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89691" w14:textId="437E9180" w:rsidR="000E6819" w:rsidRDefault="000E6819" w:rsidP="002C720C">
      <w:pPr>
        <w:pStyle w:val="Heading1"/>
      </w:pPr>
      <w:r>
        <w:rPr>
          <w:noProof/>
        </w:rPr>
        <w:drawing>
          <wp:anchor distT="0" distB="0" distL="114300" distR="114300" simplePos="0" relativeHeight="251658240" behindDoc="0" locked="0" layoutInCell="1" allowOverlap="1" wp14:anchorId="64FE6962" wp14:editId="43B48AD3">
            <wp:simplePos x="0" y="0"/>
            <wp:positionH relativeFrom="column">
              <wp:posOffset>484505</wp:posOffset>
            </wp:positionH>
            <wp:positionV relativeFrom="paragraph">
              <wp:posOffset>-860001</wp:posOffset>
            </wp:positionV>
            <wp:extent cx="3085307" cy="1645496"/>
            <wp:effectExtent l="0" t="0" r="1270" b="0"/>
            <wp:wrapNone/>
            <wp:docPr id="626155883" name="Picture 7" descr="University of Wales Trinity Saint David launches new digital health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17406" cy="1662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E56021" w14:textId="5400206B" w:rsidR="002C720C" w:rsidRPr="002C720C" w:rsidRDefault="002C720C" w:rsidP="002C720C">
      <w:pPr>
        <w:pStyle w:val="Heading1"/>
      </w:pPr>
      <w:r w:rsidRPr="002C720C">
        <w:t>INDIVIDUAL REPORT - DEVELOPING AND MANAGING INDIVIDUALS AND TEAMS</w:t>
      </w:r>
    </w:p>
    <w:p w14:paraId="7BA5BD35" w14:textId="71305BC2" w:rsidR="002C720C" w:rsidRPr="002C720C" w:rsidRDefault="002C720C" w:rsidP="00171B89">
      <w:pPr>
        <w:pStyle w:val="NormalWeb"/>
        <w:spacing w:before="0" w:beforeAutospacing="0" w:after="0" w:afterAutospacing="0"/>
        <w:jc w:val="both"/>
        <w:rPr>
          <w:rFonts w:ascii="Arial" w:hAnsi="Arial" w:cs="Arial"/>
        </w:rPr>
      </w:pPr>
      <w:r w:rsidRPr="002C720C">
        <w:rPr>
          <w:rFonts w:ascii="Arial" w:hAnsi="Arial" w:cs="Arial"/>
        </w:rPr>
        <w:t>STUDENT NAME:</w:t>
      </w:r>
      <w:r w:rsidR="000E6819">
        <w:rPr>
          <w:rFonts w:ascii="Arial" w:hAnsi="Arial" w:cs="Arial"/>
        </w:rPr>
        <w:t>Silviu Ion Popescu</w:t>
      </w:r>
    </w:p>
    <w:p w14:paraId="205897C3" w14:textId="0F1D589A" w:rsidR="002C720C" w:rsidRPr="002C720C" w:rsidRDefault="002C720C" w:rsidP="00171B89">
      <w:pPr>
        <w:pStyle w:val="NormalWeb"/>
        <w:spacing w:before="0" w:beforeAutospacing="0" w:after="0" w:afterAutospacing="0"/>
        <w:jc w:val="both"/>
        <w:rPr>
          <w:rFonts w:ascii="Arial" w:hAnsi="Arial" w:cs="Arial"/>
        </w:rPr>
      </w:pPr>
      <w:r w:rsidRPr="002C720C">
        <w:rPr>
          <w:rFonts w:ascii="Arial" w:hAnsi="Arial" w:cs="Arial"/>
        </w:rPr>
        <w:t>STUDENT ID:</w:t>
      </w:r>
      <w:r w:rsidR="000E6819">
        <w:rPr>
          <w:rFonts w:ascii="Arial" w:hAnsi="Arial" w:cs="Arial"/>
        </w:rPr>
        <w:t>2321883</w:t>
      </w:r>
    </w:p>
    <w:p w14:paraId="01C2D0E9" w14:textId="77777777" w:rsidR="002C720C" w:rsidRPr="002C720C" w:rsidRDefault="002C720C" w:rsidP="00171B89">
      <w:pPr>
        <w:pStyle w:val="NormalWeb"/>
        <w:spacing w:before="0" w:beforeAutospacing="0" w:after="0" w:afterAutospacing="0"/>
        <w:jc w:val="both"/>
        <w:rPr>
          <w:rFonts w:ascii="Arial" w:hAnsi="Arial" w:cs="Arial"/>
        </w:rPr>
      </w:pPr>
      <w:r w:rsidRPr="002C720C">
        <w:rPr>
          <w:rFonts w:ascii="Arial" w:hAnsi="Arial" w:cs="Arial"/>
        </w:rPr>
        <w:t>MODULE: LCLM5002</w:t>
      </w:r>
    </w:p>
    <w:p w14:paraId="04851A62" w14:textId="29D52F8C" w:rsidR="007516FE" w:rsidRDefault="002C720C" w:rsidP="00171B89">
      <w:pPr>
        <w:pStyle w:val="NormalWeb"/>
        <w:spacing w:before="0" w:beforeAutospacing="0" w:after="0" w:afterAutospacing="0"/>
        <w:jc w:val="both"/>
        <w:rPr>
          <w:rFonts w:ascii="Arial" w:hAnsi="Arial" w:cs="Arial"/>
        </w:rPr>
      </w:pPr>
      <w:r w:rsidRPr="002C720C">
        <w:rPr>
          <w:rFonts w:ascii="Arial" w:hAnsi="Arial" w:cs="Arial"/>
        </w:rPr>
        <w:t>LECTURER: FAIZU EDU</w:t>
      </w:r>
    </w:p>
    <w:p w14:paraId="5EA1EA72" w14:textId="77777777" w:rsidR="000E6819" w:rsidRDefault="000E6819" w:rsidP="009C34F6">
      <w:pPr>
        <w:pStyle w:val="NormalWeb"/>
        <w:spacing w:before="0" w:beforeAutospacing="0" w:after="0" w:afterAutospacing="0"/>
        <w:jc w:val="center"/>
        <w:rPr>
          <w:rFonts w:ascii="Arial" w:hAnsi="Arial" w:cs="Arial"/>
        </w:rPr>
      </w:pPr>
    </w:p>
    <w:p w14:paraId="537D24A3" w14:textId="77777777" w:rsidR="00F34D71" w:rsidRDefault="00F34D71" w:rsidP="009C34F6">
      <w:pPr>
        <w:pStyle w:val="NormalWeb"/>
        <w:spacing w:before="0" w:beforeAutospacing="0" w:after="0" w:afterAutospacing="0"/>
        <w:jc w:val="center"/>
        <w:rPr>
          <w:rFonts w:ascii="Arial" w:hAnsi="Arial" w:cs="Arial"/>
        </w:rPr>
      </w:pPr>
    </w:p>
    <w:p w14:paraId="4D29D78F" w14:textId="77777777" w:rsidR="00F34D71" w:rsidRDefault="00F34D71" w:rsidP="002C720C">
      <w:pPr>
        <w:pStyle w:val="NormalWeb"/>
        <w:spacing w:before="0" w:beforeAutospacing="0" w:after="0" w:afterAutospacing="0"/>
        <w:rPr>
          <w:rFonts w:ascii="Arial" w:hAnsi="Arial" w:cs="Arial"/>
        </w:rPr>
      </w:pPr>
    </w:p>
    <w:p w14:paraId="70AC5D52" w14:textId="77777777" w:rsidR="00F34D71" w:rsidRDefault="00F34D71" w:rsidP="002C720C">
      <w:pPr>
        <w:pStyle w:val="NormalWeb"/>
        <w:spacing w:before="0" w:beforeAutospacing="0" w:after="0" w:afterAutospacing="0"/>
        <w:rPr>
          <w:rFonts w:ascii="Arial" w:hAnsi="Arial" w:cs="Arial"/>
        </w:rPr>
      </w:pPr>
    </w:p>
    <w:p w14:paraId="4E44F6E2" w14:textId="77777777" w:rsidR="00F34D71" w:rsidRDefault="00F34D71" w:rsidP="002C720C">
      <w:pPr>
        <w:pStyle w:val="NormalWeb"/>
        <w:spacing w:before="0" w:beforeAutospacing="0" w:after="0" w:afterAutospacing="0"/>
        <w:rPr>
          <w:rFonts w:ascii="Arial" w:hAnsi="Arial" w:cs="Arial"/>
        </w:rPr>
      </w:pPr>
    </w:p>
    <w:p w14:paraId="5333236B" w14:textId="77777777" w:rsidR="00F34D71" w:rsidRDefault="00F34D71" w:rsidP="002C720C">
      <w:pPr>
        <w:pStyle w:val="NormalWeb"/>
        <w:spacing w:before="0" w:beforeAutospacing="0" w:after="0" w:afterAutospacing="0"/>
        <w:rPr>
          <w:rFonts w:ascii="Arial" w:hAnsi="Arial" w:cs="Arial"/>
        </w:rPr>
      </w:pPr>
    </w:p>
    <w:p w14:paraId="7137F561" w14:textId="77777777" w:rsidR="00F34D71" w:rsidRDefault="00F34D71" w:rsidP="002C720C">
      <w:pPr>
        <w:pStyle w:val="NormalWeb"/>
        <w:spacing w:before="0" w:beforeAutospacing="0" w:after="0" w:afterAutospacing="0"/>
        <w:rPr>
          <w:rFonts w:ascii="Arial" w:hAnsi="Arial" w:cs="Arial"/>
        </w:rPr>
      </w:pPr>
    </w:p>
    <w:p w14:paraId="07AA00CE" w14:textId="77777777" w:rsidR="00F34D71" w:rsidRDefault="00F34D71" w:rsidP="002C720C">
      <w:pPr>
        <w:pStyle w:val="NormalWeb"/>
        <w:spacing w:before="0" w:beforeAutospacing="0" w:after="0" w:afterAutospacing="0"/>
        <w:rPr>
          <w:rFonts w:ascii="Arial" w:hAnsi="Arial" w:cs="Arial"/>
        </w:rPr>
      </w:pPr>
    </w:p>
    <w:p w14:paraId="7899F2A7" w14:textId="77777777" w:rsidR="00F34D71" w:rsidRDefault="00F34D71" w:rsidP="002C720C">
      <w:pPr>
        <w:pStyle w:val="NormalWeb"/>
        <w:spacing w:before="0" w:beforeAutospacing="0" w:after="0" w:afterAutospacing="0"/>
        <w:rPr>
          <w:rFonts w:ascii="Arial" w:hAnsi="Arial" w:cs="Arial"/>
        </w:rPr>
      </w:pPr>
    </w:p>
    <w:p w14:paraId="031250B2" w14:textId="77777777" w:rsidR="00F34D71" w:rsidRDefault="00F34D71" w:rsidP="002C720C">
      <w:pPr>
        <w:pStyle w:val="NormalWeb"/>
        <w:spacing w:before="0" w:beforeAutospacing="0" w:after="0" w:afterAutospacing="0"/>
        <w:rPr>
          <w:rFonts w:ascii="Arial" w:hAnsi="Arial" w:cs="Arial"/>
        </w:rPr>
      </w:pPr>
    </w:p>
    <w:p w14:paraId="70E571AB" w14:textId="77777777" w:rsidR="00F34D71" w:rsidRDefault="00F34D71" w:rsidP="002C720C">
      <w:pPr>
        <w:pStyle w:val="NormalWeb"/>
        <w:spacing w:before="0" w:beforeAutospacing="0" w:after="0" w:afterAutospacing="0"/>
        <w:rPr>
          <w:rFonts w:ascii="Arial" w:hAnsi="Arial" w:cs="Arial"/>
        </w:rPr>
      </w:pPr>
    </w:p>
    <w:p w14:paraId="0BE715BB" w14:textId="77777777" w:rsidR="00F34D71" w:rsidRDefault="00F34D71" w:rsidP="002C720C">
      <w:pPr>
        <w:pStyle w:val="NormalWeb"/>
        <w:spacing w:before="0" w:beforeAutospacing="0" w:after="0" w:afterAutospacing="0"/>
        <w:rPr>
          <w:rFonts w:ascii="Arial" w:hAnsi="Arial" w:cs="Arial"/>
        </w:rPr>
      </w:pPr>
    </w:p>
    <w:p w14:paraId="2193683A" w14:textId="77777777" w:rsidR="00F34D71" w:rsidRDefault="00F34D71" w:rsidP="002C720C">
      <w:pPr>
        <w:pStyle w:val="NormalWeb"/>
        <w:spacing w:before="0" w:beforeAutospacing="0" w:after="0" w:afterAutospacing="0"/>
        <w:rPr>
          <w:rFonts w:ascii="Arial" w:hAnsi="Arial" w:cs="Arial"/>
        </w:rPr>
      </w:pPr>
    </w:p>
    <w:p w14:paraId="6718AA78" w14:textId="77777777" w:rsidR="00F34D71" w:rsidRDefault="00F34D71" w:rsidP="002C720C">
      <w:pPr>
        <w:pStyle w:val="NormalWeb"/>
        <w:spacing w:before="0" w:beforeAutospacing="0" w:after="0" w:afterAutospacing="0"/>
        <w:rPr>
          <w:rFonts w:ascii="Arial" w:hAnsi="Arial" w:cs="Arial"/>
        </w:rPr>
      </w:pPr>
    </w:p>
    <w:p w14:paraId="0A40C74C" w14:textId="77777777" w:rsidR="00F34D71" w:rsidRDefault="00F34D71" w:rsidP="002C720C">
      <w:pPr>
        <w:pStyle w:val="NormalWeb"/>
        <w:spacing w:before="0" w:beforeAutospacing="0" w:after="0" w:afterAutospacing="0"/>
        <w:rPr>
          <w:rFonts w:ascii="Arial" w:hAnsi="Arial" w:cs="Arial"/>
        </w:rPr>
      </w:pPr>
    </w:p>
    <w:p w14:paraId="5F101704" w14:textId="77777777" w:rsidR="00F34D71" w:rsidRDefault="00F34D71" w:rsidP="002C720C">
      <w:pPr>
        <w:pStyle w:val="NormalWeb"/>
        <w:spacing w:before="0" w:beforeAutospacing="0" w:after="0" w:afterAutospacing="0"/>
        <w:rPr>
          <w:rFonts w:ascii="Arial" w:hAnsi="Arial" w:cs="Arial"/>
        </w:rPr>
      </w:pPr>
    </w:p>
    <w:p w14:paraId="1E44C6EB" w14:textId="77777777" w:rsidR="00F34D71" w:rsidRDefault="00F34D71" w:rsidP="002C720C">
      <w:pPr>
        <w:pStyle w:val="NormalWeb"/>
        <w:spacing w:before="0" w:beforeAutospacing="0" w:after="0" w:afterAutospacing="0"/>
        <w:rPr>
          <w:rFonts w:ascii="Arial" w:hAnsi="Arial" w:cs="Arial"/>
        </w:rPr>
      </w:pPr>
    </w:p>
    <w:p w14:paraId="5CE08A1B" w14:textId="77777777" w:rsidR="00F34D71" w:rsidRDefault="00F34D71" w:rsidP="002C720C">
      <w:pPr>
        <w:pStyle w:val="NormalWeb"/>
        <w:spacing w:before="0" w:beforeAutospacing="0" w:after="0" w:afterAutospacing="0"/>
        <w:rPr>
          <w:rFonts w:ascii="Arial" w:hAnsi="Arial" w:cs="Arial"/>
        </w:rPr>
      </w:pPr>
    </w:p>
    <w:p w14:paraId="1C63A6BC" w14:textId="77777777" w:rsidR="00F34D71" w:rsidRDefault="00F34D71" w:rsidP="002C720C">
      <w:pPr>
        <w:pStyle w:val="NormalWeb"/>
        <w:spacing w:before="0" w:beforeAutospacing="0" w:after="0" w:afterAutospacing="0"/>
        <w:rPr>
          <w:rFonts w:ascii="Arial" w:hAnsi="Arial" w:cs="Arial"/>
        </w:rPr>
      </w:pPr>
    </w:p>
    <w:p w14:paraId="42D9F4B8" w14:textId="77777777" w:rsidR="00F34D71" w:rsidRDefault="00F34D71" w:rsidP="002C720C">
      <w:pPr>
        <w:pStyle w:val="NormalWeb"/>
        <w:spacing w:before="0" w:beforeAutospacing="0" w:after="0" w:afterAutospacing="0"/>
        <w:rPr>
          <w:rFonts w:ascii="Arial" w:hAnsi="Arial" w:cs="Arial"/>
        </w:rPr>
      </w:pPr>
    </w:p>
    <w:p w14:paraId="6A3CE597" w14:textId="77777777" w:rsidR="00F34D71" w:rsidRDefault="00F34D71" w:rsidP="002C720C">
      <w:pPr>
        <w:pStyle w:val="NormalWeb"/>
        <w:spacing w:before="0" w:beforeAutospacing="0" w:after="0" w:afterAutospacing="0"/>
        <w:rPr>
          <w:rFonts w:ascii="Arial" w:hAnsi="Arial" w:cs="Arial"/>
        </w:rPr>
      </w:pPr>
    </w:p>
    <w:p w14:paraId="786036CB" w14:textId="77777777" w:rsidR="00F34D71" w:rsidRDefault="00F34D71" w:rsidP="002C720C">
      <w:pPr>
        <w:pStyle w:val="NormalWeb"/>
        <w:spacing w:before="0" w:beforeAutospacing="0" w:after="0" w:afterAutospacing="0"/>
        <w:rPr>
          <w:rFonts w:ascii="Arial" w:hAnsi="Arial" w:cs="Arial"/>
        </w:rPr>
      </w:pPr>
    </w:p>
    <w:p w14:paraId="411F0294" w14:textId="77777777" w:rsidR="00F34D71" w:rsidRDefault="00F34D71" w:rsidP="002C720C">
      <w:pPr>
        <w:pStyle w:val="NormalWeb"/>
        <w:spacing w:before="0" w:beforeAutospacing="0" w:after="0" w:afterAutospacing="0"/>
        <w:rPr>
          <w:rFonts w:ascii="Arial" w:hAnsi="Arial" w:cs="Arial"/>
        </w:rPr>
      </w:pPr>
    </w:p>
    <w:p w14:paraId="2A9DECCE" w14:textId="77777777" w:rsidR="00F34D71" w:rsidRDefault="00F34D71" w:rsidP="002C720C">
      <w:pPr>
        <w:pStyle w:val="NormalWeb"/>
        <w:spacing w:before="0" w:beforeAutospacing="0" w:after="0" w:afterAutospacing="0"/>
        <w:rPr>
          <w:rFonts w:ascii="Arial" w:hAnsi="Arial" w:cs="Arial"/>
        </w:rPr>
      </w:pPr>
    </w:p>
    <w:p w14:paraId="171A5377" w14:textId="77777777" w:rsidR="00F34D71" w:rsidRDefault="00F34D71" w:rsidP="002C720C">
      <w:pPr>
        <w:pStyle w:val="NormalWeb"/>
        <w:spacing w:before="0" w:beforeAutospacing="0" w:after="0" w:afterAutospacing="0"/>
        <w:rPr>
          <w:rFonts w:ascii="Arial" w:hAnsi="Arial" w:cs="Arial"/>
        </w:rPr>
      </w:pPr>
    </w:p>
    <w:p w14:paraId="7DBAA06A" w14:textId="77777777" w:rsidR="00F34D71" w:rsidRDefault="00F34D71" w:rsidP="002C720C">
      <w:pPr>
        <w:pStyle w:val="NormalWeb"/>
        <w:spacing w:before="0" w:beforeAutospacing="0" w:after="0" w:afterAutospacing="0"/>
        <w:rPr>
          <w:rFonts w:ascii="Arial" w:hAnsi="Arial" w:cs="Arial"/>
        </w:rPr>
      </w:pPr>
    </w:p>
    <w:p w14:paraId="1BE2C86C" w14:textId="77777777" w:rsidR="00F34D71" w:rsidRDefault="00F34D71" w:rsidP="002C720C">
      <w:pPr>
        <w:pStyle w:val="NormalWeb"/>
        <w:spacing w:before="0" w:beforeAutospacing="0" w:after="0" w:afterAutospacing="0"/>
        <w:rPr>
          <w:rFonts w:ascii="Arial" w:hAnsi="Arial" w:cs="Arial"/>
        </w:rPr>
      </w:pPr>
    </w:p>
    <w:p w14:paraId="4D72858A" w14:textId="77777777" w:rsidR="00F34D71" w:rsidRDefault="00F34D71" w:rsidP="002C720C">
      <w:pPr>
        <w:pStyle w:val="NormalWeb"/>
        <w:spacing w:before="0" w:beforeAutospacing="0" w:after="0" w:afterAutospacing="0"/>
        <w:rPr>
          <w:rFonts w:ascii="Arial" w:hAnsi="Arial" w:cs="Arial"/>
        </w:rPr>
      </w:pPr>
    </w:p>
    <w:p w14:paraId="09E9B313" w14:textId="77777777" w:rsidR="00F34D71" w:rsidRDefault="00F34D71" w:rsidP="002C720C">
      <w:pPr>
        <w:pStyle w:val="NormalWeb"/>
        <w:spacing w:before="0" w:beforeAutospacing="0" w:after="0" w:afterAutospacing="0"/>
        <w:rPr>
          <w:rFonts w:ascii="Arial" w:hAnsi="Arial" w:cs="Arial"/>
        </w:rPr>
      </w:pPr>
    </w:p>
    <w:p w14:paraId="20529DB3" w14:textId="77777777" w:rsidR="00F34D71" w:rsidRDefault="00F34D71" w:rsidP="002C720C">
      <w:pPr>
        <w:pStyle w:val="NormalWeb"/>
        <w:spacing w:before="0" w:beforeAutospacing="0" w:after="0" w:afterAutospacing="0"/>
        <w:rPr>
          <w:rFonts w:ascii="Arial" w:hAnsi="Arial" w:cs="Arial"/>
        </w:rPr>
      </w:pPr>
    </w:p>
    <w:p w14:paraId="5D619D45" w14:textId="77777777" w:rsidR="00F34D71" w:rsidRDefault="00F34D71" w:rsidP="002C720C">
      <w:pPr>
        <w:pStyle w:val="NormalWeb"/>
        <w:spacing w:before="0" w:beforeAutospacing="0" w:after="0" w:afterAutospacing="0"/>
        <w:rPr>
          <w:rFonts w:ascii="Arial" w:hAnsi="Arial" w:cs="Arial"/>
        </w:rPr>
      </w:pPr>
    </w:p>
    <w:p w14:paraId="68E1CF9B" w14:textId="77777777" w:rsidR="00F34D71" w:rsidRDefault="00F34D71" w:rsidP="002C720C">
      <w:pPr>
        <w:pStyle w:val="NormalWeb"/>
        <w:spacing w:before="0" w:beforeAutospacing="0" w:after="0" w:afterAutospacing="0"/>
        <w:rPr>
          <w:rFonts w:ascii="Arial" w:hAnsi="Arial" w:cs="Arial"/>
        </w:rPr>
      </w:pPr>
    </w:p>
    <w:p w14:paraId="572F55D5" w14:textId="77777777" w:rsidR="00F34D71" w:rsidRDefault="00F34D71" w:rsidP="002C720C">
      <w:pPr>
        <w:pStyle w:val="NormalWeb"/>
        <w:spacing w:before="0" w:beforeAutospacing="0" w:after="0" w:afterAutospacing="0"/>
        <w:rPr>
          <w:rFonts w:ascii="Arial" w:hAnsi="Arial" w:cs="Arial"/>
        </w:rPr>
      </w:pPr>
    </w:p>
    <w:p w14:paraId="70258827" w14:textId="77777777" w:rsidR="00F34D71" w:rsidRDefault="00F34D71" w:rsidP="002C720C">
      <w:pPr>
        <w:pStyle w:val="NormalWeb"/>
        <w:spacing w:before="0" w:beforeAutospacing="0" w:after="0" w:afterAutospacing="0"/>
        <w:rPr>
          <w:rFonts w:ascii="Arial" w:hAnsi="Arial" w:cs="Arial"/>
        </w:rPr>
      </w:pPr>
    </w:p>
    <w:p w14:paraId="74963447" w14:textId="77777777" w:rsidR="00F34D71" w:rsidRDefault="00F34D71" w:rsidP="002C720C">
      <w:pPr>
        <w:pStyle w:val="NormalWeb"/>
        <w:spacing w:before="0" w:beforeAutospacing="0" w:after="0" w:afterAutospacing="0"/>
        <w:rPr>
          <w:rFonts w:ascii="Arial" w:hAnsi="Arial" w:cs="Arial"/>
        </w:rPr>
      </w:pPr>
    </w:p>
    <w:p w14:paraId="2DE3E3AE" w14:textId="77777777" w:rsidR="00F34D71" w:rsidRDefault="00F34D71" w:rsidP="002C720C">
      <w:pPr>
        <w:pStyle w:val="NormalWeb"/>
        <w:spacing w:before="0" w:beforeAutospacing="0" w:after="0" w:afterAutospacing="0"/>
        <w:rPr>
          <w:rFonts w:ascii="Arial" w:hAnsi="Arial" w:cs="Arial"/>
        </w:rPr>
      </w:pPr>
    </w:p>
    <w:p w14:paraId="61330BEC" w14:textId="77777777" w:rsidR="00F34D71" w:rsidRPr="002C720C" w:rsidRDefault="00F34D71" w:rsidP="002C720C">
      <w:pPr>
        <w:pStyle w:val="NormalWeb"/>
        <w:spacing w:before="0" w:beforeAutospacing="0" w:after="0" w:afterAutospacing="0"/>
        <w:rPr>
          <w:rFonts w:ascii="Arial" w:hAnsi="Arial" w:cs="Arial"/>
        </w:rPr>
      </w:pPr>
    </w:p>
    <w:p w14:paraId="096890CD" w14:textId="65C95D73" w:rsidR="005442C9" w:rsidRPr="000E6819" w:rsidRDefault="005442C9" w:rsidP="005442C9">
      <w:pPr>
        <w:rPr>
          <w:b/>
          <w:bCs/>
        </w:rPr>
      </w:pPr>
      <w:r w:rsidRPr="000E6819">
        <w:rPr>
          <w:b/>
          <w:bCs/>
        </w:rPr>
        <w:lastRenderedPageBreak/>
        <w:t>Introduction</w:t>
      </w:r>
    </w:p>
    <w:p w14:paraId="6E04DE1B" w14:textId="70E7AD60" w:rsidR="005442C9" w:rsidRDefault="005442C9" w:rsidP="005442C9">
      <w:r>
        <w:t>This report presents an overview of Aethelred Consulting, a consultancy firm specializing in strategic business solutions and tailored advisory services. Founded with a commitment to driving growth and operational excellence, Aethelred Consulting leverages deep industry expertise to help organizations tackle complex challenges and seize emerging opportunities.In this report, we will explore the firm’s approach to consulting, focusing on its unique methodologies, client-centric strategies, and proven track record of delivering impactful results. Through detailed case studies and analysis, this report will demonstrate how Aethelred Consulting empowers businesses to adapt, innovate, and thrive in an increasingly competitive marketplace.By examining the firm’s approach, expertise, and success stories, this report aims to provide valuable insights into the consulting industry and showcase the critical role that Aethelred Consulting plays in shaping sustainable business success.</w:t>
      </w:r>
    </w:p>
    <w:p w14:paraId="0151E078" w14:textId="0228FE60" w:rsidR="007516FE" w:rsidRDefault="007516FE">
      <w:pPr>
        <w:rPr>
          <w:rFonts w:eastAsia="Times New Roman"/>
        </w:rPr>
      </w:pPr>
    </w:p>
    <w:p w14:paraId="211F7CF6" w14:textId="2840289F" w:rsidR="007516FE" w:rsidRDefault="007516FE" w:rsidP="002B3E86">
      <w:pPr>
        <w:pStyle w:val="Heading3"/>
        <w:rPr>
          <w:rFonts w:eastAsia="Times New Roman"/>
        </w:rPr>
      </w:pPr>
      <w:r>
        <w:rPr>
          <w:rStyle w:val="Strong"/>
          <w:rFonts w:eastAsia="Times New Roman"/>
          <w:b w:val="0"/>
          <w:bCs w:val="0"/>
        </w:rPr>
        <w:t xml:space="preserve">1. Explanation of Specific Factors Related to Societal Changes, Technology Trends, and Flexible Working Arrangements within Aethelred Consulting </w:t>
      </w:r>
    </w:p>
    <w:p w14:paraId="5009AF46" w14:textId="77777777" w:rsidR="007516FE" w:rsidRDefault="007516FE">
      <w:pPr>
        <w:pStyle w:val="NormalWeb"/>
      </w:pPr>
      <w:r>
        <w:rPr>
          <w:rStyle w:val="Strong"/>
        </w:rPr>
        <w:t>Factor 1: Globalisation</w:t>
      </w:r>
      <w:r>
        <w:br/>
        <w:t>Globalisation refers to the increasing interconnectedness of economies, cultures, and societies around the world. For Aethelred Consulting, based in London, globalisation impacts both its client base and workforce. As the firm serves clients internationally, understanding diverse markets, economic conditions, and cultural sensitivities is crucial for providing effective consulting services. The firm has to be adaptive to the increasing demand for cross-border collaboration, requiring consultants to possess strong cross-cultural communication skills and knowledge of international regulatory frameworks. Moreover, Aethelred must be aware of the global talent pool, as it allows the firm to hire diverse individuals with specialized expertise that might not be locally available.</w:t>
      </w:r>
    </w:p>
    <w:p w14:paraId="1E95FC54" w14:textId="77777777" w:rsidR="007516FE" w:rsidRDefault="007516FE">
      <w:pPr>
        <w:pStyle w:val="NormalWeb"/>
      </w:pPr>
      <w:r>
        <w:rPr>
          <w:rStyle w:val="Strong"/>
        </w:rPr>
        <w:t>Factor 2: Health Issues and Well-being</w:t>
      </w:r>
      <w:r>
        <w:br/>
        <w:t>Health issues, particularly in the wake of the COVID-19 pandemic, have had a profound impact on organizations, including Aethelred Consulting. Health concerns have led to the prioritization of employee well-being, mental health initiatives, and the implementation of workplace health and safety measures. The company must offer health-related support systems and create a safe work environment, which in turn impacts productivity and employee satisfaction. For example, offering mental health services or flexible sick leave policies can help Aethelred Consulting maintain a healthier, more productive workforce while also promoting a positive company culture.</w:t>
      </w:r>
    </w:p>
    <w:p w14:paraId="7AFDEB91" w14:textId="4B013101" w:rsidR="007516FE" w:rsidRDefault="007516FE">
      <w:pPr>
        <w:pStyle w:val="Heading4"/>
        <w:rPr>
          <w:rFonts w:eastAsia="Times New Roman"/>
        </w:rPr>
      </w:pPr>
    </w:p>
    <w:p w14:paraId="7A431DB2" w14:textId="77777777" w:rsidR="007516FE" w:rsidRDefault="007516FE">
      <w:pPr>
        <w:pStyle w:val="NormalWeb"/>
      </w:pPr>
      <w:r>
        <w:rPr>
          <w:rStyle w:val="Strong"/>
        </w:rPr>
        <w:t>Factor 1: AI and Automation</w:t>
      </w:r>
      <w:r>
        <w:br/>
        <w:t xml:space="preserve">The rise of Artificial Intelligence (AI) and automation is reshaping industries, and consulting firms like Aethelred Consulting are no exception. Automation tools allow for faster data analysis, streamlining of repetitive tasks, and more efficient decision-making processes. </w:t>
      </w:r>
      <w:r>
        <w:lastRenderedPageBreak/>
        <w:t>However, this trend also creates the need for consultants to develop new skills related to AI and machine learning. Employees must embrace these technologies, not only to stay competitive but also to integrate them into the company's services for improved client offerings. Aethelred Consulting can use AI for predictive analytics, helping clients forecast trends or optimize operations. However, the challenge is ensuring that employees are adequately trained to handle these new technologies.</w:t>
      </w:r>
    </w:p>
    <w:p w14:paraId="7BD737D0" w14:textId="77777777" w:rsidR="007516FE" w:rsidRDefault="007516FE">
      <w:pPr>
        <w:pStyle w:val="NormalWeb"/>
      </w:pPr>
      <w:r>
        <w:rPr>
          <w:rStyle w:val="Strong"/>
        </w:rPr>
        <w:t>Factor 2: Cybersecurity</w:t>
      </w:r>
      <w:r>
        <w:br/>
        <w:t>As more organizations shift to digital platforms, cybersecurity has become a significant concern for consulting firms. Aethelred Consulting, handling sensitive client data, must ensure robust cybersecurity practices. The firm needs to invest in encryption, secure communication tools, and employee training on cybersecurity best practices. Failure to safeguard data can lead to loss of client trust and legal repercussions. As a result, Aethelred Consulting must also be prepared to respond quickly to any data breaches or cyberattacks, which may require changes to internal policies and employee roles.</w:t>
      </w:r>
    </w:p>
    <w:p w14:paraId="0A851409" w14:textId="7473AFEC" w:rsidR="007516FE" w:rsidRDefault="007516FE">
      <w:pPr>
        <w:pStyle w:val="Heading4"/>
        <w:rPr>
          <w:rFonts w:eastAsia="Times New Roman"/>
        </w:rPr>
      </w:pPr>
    </w:p>
    <w:p w14:paraId="2E5E5F48" w14:textId="77777777" w:rsidR="007516FE" w:rsidRDefault="007516FE">
      <w:pPr>
        <w:pStyle w:val="NormalWeb"/>
      </w:pPr>
      <w:r>
        <w:rPr>
          <w:rStyle w:val="Strong"/>
        </w:rPr>
        <w:t>Factor 1: Remote Working</w:t>
      </w:r>
      <w:r>
        <w:br/>
        <w:t>Remote working has been widely adopted following the COVID-19 pandemic, and Aethelred Consulting has likely followed this trend. This arrangement allows employees to work from home, increasing flexibility and promoting work-life balance. However, it also presents challenges in terms of maintaining productivity, team collaboration, and effective communication. Managers must find ways to keep employees engaged and connected, using digital tools to facilitate virtual meetings and project management. Aethelred Consulting must invest in technologies and establish policies that ensure remote working is efficient while keeping employees motivated and supported.</w:t>
      </w:r>
    </w:p>
    <w:p w14:paraId="757A27F7" w14:textId="77777777" w:rsidR="007516FE" w:rsidRDefault="007516FE">
      <w:pPr>
        <w:pStyle w:val="NormalWeb"/>
      </w:pPr>
      <w:r>
        <w:rPr>
          <w:rStyle w:val="Strong"/>
        </w:rPr>
        <w:t>Factor 2: Condensed Working Hours</w:t>
      </w:r>
      <w:r>
        <w:br/>
        <w:t>Condensed working hours, such as four-day workweeks, can be an attractive option for employees seeking a better work-life balance. For Aethelred Consulting, this arrangement can help attract top talent, particularly those in high-demand fields like technology and management consulting. However, the company must ensure that the quality of work and client satisfaction are not compromised. Implementing condensed working hours requires clear communication with clients and internally defining deliverables and expectations to ensure productivity remains high without overburdening staff.</w:t>
      </w:r>
    </w:p>
    <w:p w14:paraId="6A5C34A0" w14:textId="580A1F88" w:rsidR="007516FE" w:rsidRDefault="007516FE">
      <w:pPr>
        <w:rPr>
          <w:rFonts w:eastAsia="Times New Roman"/>
        </w:rPr>
      </w:pPr>
    </w:p>
    <w:p w14:paraId="6E5BCEBD" w14:textId="5E5A998D" w:rsidR="007516FE" w:rsidRDefault="007516FE">
      <w:pPr>
        <w:pStyle w:val="Heading3"/>
        <w:rPr>
          <w:rFonts w:eastAsia="Times New Roman"/>
        </w:rPr>
      </w:pPr>
      <w:r>
        <w:rPr>
          <w:rStyle w:val="Strong"/>
          <w:rFonts w:eastAsia="Times New Roman"/>
          <w:b w:val="0"/>
          <w:bCs w:val="0"/>
        </w:rPr>
        <w:t xml:space="preserve">2. Evaluation of Different Contemporary HR Practices to Address the Above Factors </w:t>
      </w:r>
    </w:p>
    <w:p w14:paraId="53172916" w14:textId="77777777" w:rsidR="007516FE" w:rsidRDefault="007516FE">
      <w:pPr>
        <w:pStyle w:val="Heading4"/>
        <w:rPr>
          <w:rFonts w:eastAsia="Times New Roman"/>
        </w:rPr>
      </w:pPr>
      <w:r>
        <w:rPr>
          <w:rStyle w:val="Strong"/>
          <w:rFonts w:eastAsia="Times New Roman"/>
          <w:b w:val="0"/>
          <w:bCs w:val="0"/>
        </w:rPr>
        <w:t>Employee Engagement</w:t>
      </w:r>
    </w:p>
    <w:p w14:paraId="3A901792" w14:textId="77777777" w:rsidR="007516FE" w:rsidRDefault="007516FE">
      <w:pPr>
        <w:pStyle w:val="NormalWeb"/>
      </w:pPr>
      <w:r>
        <w:t xml:space="preserve">Employee engagement is essential in adapting to societal and technological changes, especially in the context of flexible work arrangements. For Aethelred Consulting, engaging employees in a remote or hybrid working environment can be challenging. A well-implemented employee engagement strategy involves open communication, regular feedback, and opportunities for career development. According to </w:t>
      </w:r>
      <w:r>
        <w:rPr>
          <w:rStyle w:val="Strong"/>
        </w:rPr>
        <w:t>Kahn’s Engagement Theory</w:t>
      </w:r>
      <w:r>
        <w:t xml:space="preserve">, employees will feel more engaged when they perceive that their work is meaningful, when </w:t>
      </w:r>
      <w:r>
        <w:lastRenderedPageBreak/>
        <w:t>they have the opportunity to develop themselves, and when there is a sense of psychological safety. Aethelred Consulting can leverage virtual engagement tools, such as surveys and team-building activities, to ensure employees are motivated and connected even in remote settings.</w:t>
      </w:r>
    </w:p>
    <w:p w14:paraId="44E50911" w14:textId="77777777" w:rsidR="007516FE" w:rsidRDefault="007516FE">
      <w:pPr>
        <w:pStyle w:val="Heading4"/>
        <w:rPr>
          <w:rFonts w:eastAsia="Times New Roman"/>
        </w:rPr>
      </w:pPr>
      <w:r>
        <w:rPr>
          <w:rStyle w:val="Strong"/>
          <w:rFonts w:eastAsia="Times New Roman"/>
          <w:b w:val="0"/>
          <w:bCs w:val="0"/>
        </w:rPr>
        <w:t>Talent Acquisition</w:t>
      </w:r>
    </w:p>
    <w:p w14:paraId="2199A087" w14:textId="77777777" w:rsidR="007516FE" w:rsidRDefault="007516FE">
      <w:pPr>
        <w:pStyle w:val="NormalWeb"/>
      </w:pPr>
      <w:r>
        <w:t xml:space="preserve">In response to globalisation and the rise of flexible work arrangements, Aethelred Consulting needs to adopt innovative talent acquisition strategies. The company can leverage AI-based recruitment tools to streamline the hiring process, ensuring that it attracts a diverse pool of candidates. These tools can help identify candidates with the right technical skills, cultural fit, and ability to thrive in a remote or hybrid work environment. Additionally, incorporating </w:t>
      </w:r>
      <w:r>
        <w:rPr>
          <w:rStyle w:val="Strong"/>
        </w:rPr>
        <w:t>Maslow’s Hierarchy of Needs</w:t>
      </w:r>
      <w:r>
        <w:t xml:space="preserve"> can help Aethelred Consulting understand what potential candidates prioritize, such as work-life balance, career progression, and job security. By offering flexible work options and career development opportunities, Aethelred Consulting can attract top talent.</w:t>
      </w:r>
    </w:p>
    <w:p w14:paraId="1DB01C3C" w14:textId="77777777" w:rsidR="007516FE" w:rsidRDefault="007516FE">
      <w:pPr>
        <w:pStyle w:val="Heading4"/>
        <w:rPr>
          <w:rFonts w:eastAsia="Times New Roman"/>
        </w:rPr>
      </w:pPr>
      <w:r>
        <w:rPr>
          <w:rStyle w:val="Strong"/>
          <w:rFonts w:eastAsia="Times New Roman"/>
          <w:b w:val="0"/>
          <w:bCs w:val="0"/>
        </w:rPr>
        <w:t>Learning and Development</w:t>
      </w:r>
    </w:p>
    <w:p w14:paraId="0837DE53" w14:textId="77777777" w:rsidR="007516FE" w:rsidRDefault="007516FE">
      <w:pPr>
        <w:pStyle w:val="NormalWeb"/>
      </w:pPr>
      <w:r>
        <w:t xml:space="preserve">In response to technological advancements, continuous learning and development are vital to keeping employees at Aethelred Consulting ahead of the curve. The company can implement structured development programs focusing on new technologies such as AI, data analytics, and cybersecurity. According to </w:t>
      </w:r>
      <w:r>
        <w:rPr>
          <w:rStyle w:val="Strong"/>
        </w:rPr>
        <w:t>Herzberg’s Motivation-Hygiene Theory</w:t>
      </w:r>
      <w:r>
        <w:t>, employees are motivated not only by the opportunity for career advancement (motivation factors) but also by the provision of necessary tools and support (hygiene factors). By investing in both hard and soft skills training, Aethelred Consulting ensures its workforce remains competitive, capable of adapting to technological trends and maintaining high levels of job satisfaction.</w:t>
      </w:r>
    </w:p>
    <w:p w14:paraId="6258D64A" w14:textId="1336E2F9" w:rsidR="007516FE" w:rsidRDefault="007516FE">
      <w:pPr>
        <w:rPr>
          <w:rFonts w:eastAsia="Times New Roman"/>
        </w:rPr>
      </w:pPr>
    </w:p>
    <w:p w14:paraId="0521C14F" w14:textId="6EA1F15D" w:rsidR="007516FE" w:rsidRDefault="007516FE">
      <w:pPr>
        <w:pStyle w:val="Heading3"/>
        <w:rPr>
          <w:rFonts w:eastAsia="Times New Roman"/>
        </w:rPr>
      </w:pPr>
      <w:r>
        <w:rPr>
          <w:rStyle w:val="Strong"/>
          <w:rFonts w:eastAsia="Times New Roman"/>
          <w:b w:val="0"/>
          <w:bCs w:val="0"/>
        </w:rPr>
        <w:t xml:space="preserve">3. Critical Evaluation of How Departmental Managers Can Ensure These Contemporary Practices Are Being Implemented </w:t>
      </w:r>
    </w:p>
    <w:p w14:paraId="7B01A0CE" w14:textId="77777777" w:rsidR="007516FE" w:rsidRDefault="007516FE">
      <w:pPr>
        <w:pStyle w:val="Heading4"/>
        <w:rPr>
          <w:rFonts w:eastAsia="Times New Roman"/>
        </w:rPr>
      </w:pPr>
      <w:r>
        <w:rPr>
          <w:rStyle w:val="Strong"/>
          <w:rFonts w:eastAsia="Times New Roman"/>
          <w:b w:val="0"/>
          <w:bCs w:val="0"/>
        </w:rPr>
        <w:t>Practice 1: Lead by Example</w:t>
      </w:r>
    </w:p>
    <w:p w14:paraId="0882E604" w14:textId="77777777" w:rsidR="007516FE" w:rsidRDefault="007516FE">
      <w:pPr>
        <w:pStyle w:val="NormalWeb"/>
      </w:pPr>
      <w:r>
        <w:t>Departmental managers at Aethelred Consulting can play a pivotal role in implementing contemporary HR practices by leading by example. For example, if managers embrace remote working arrangements and adopt flexible schedules themselves, employees will be more likely to follow suit. Demonstrating commitment to employee well-being and professional growth through personal actions fosters a culture of trust and engagement. Leading by example also means making time for open communication, providing feedback, and prioritizing team success over individual achievements. By modeling these behaviors, managers can ensure that the HR practices around flexible work and employee engagement are integrated into daily operations.</w:t>
      </w:r>
    </w:p>
    <w:p w14:paraId="20BEDF94" w14:textId="77777777" w:rsidR="007516FE" w:rsidRDefault="007516FE">
      <w:pPr>
        <w:pStyle w:val="Heading4"/>
        <w:rPr>
          <w:rFonts w:eastAsia="Times New Roman"/>
        </w:rPr>
      </w:pPr>
      <w:r>
        <w:rPr>
          <w:rStyle w:val="Strong"/>
          <w:rFonts w:eastAsia="Times New Roman"/>
          <w:b w:val="0"/>
          <w:bCs w:val="0"/>
        </w:rPr>
        <w:t>Practice 2: Align Departmental Goals with HR Priorities</w:t>
      </w:r>
    </w:p>
    <w:p w14:paraId="5593E61D" w14:textId="77777777" w:rsidR="007516FE" w:rsidRDefault="007516FE">
      <w:pPr>
        <w:pStyle w:val="NormalWeb"/>
      </w:pPr>
      <w:r>
        <w:t xml:space="preserve">To ensure that employee engagement, learning and development, and other HR practices are aligned with the company’s overall objectives, departmental managers must align their team </w:t>
      </w:r>
      <w:r>
        <w:lastRenderedPageBreak/>
        <w:t>goals with HR priorities. For instance, if Aethelred Consulting’s HR strategy focuses on increasing employee engagement through continuous learning, managers should ensure that their departments have access to relevant training programs. This approach will drive both individual performance and company-wide success. By involving HR in departmental planning and setting clear expectations around training and development, managers ensure that HR initiatives are part of the core business activities.</w:t>
      </w:r>
    </w:p>
    <w:p w14:paraId="25EFCCF7" w14:textId="3BAE25CD" w:rsidR="007516FE" w:rsidRDefault="007516FE">
      <w:pPr>
        <w:rPr>
          <w:rFonts w:eastAsia="Times New Roman"/>
        </w:rPr>
      </w:pPr>
    </w:p>
    <w:p w14:paraId="7B96DED1" w14:textId="034B8244" w:rsidR="007516FE" w:rsidRDefault="007516FE">
      <w:pPr>
        <w:pStyle w:val="Heading3"/>
        <w:rPr>
          <w:rFonts w:eastAsia="Times New Roman"/>
        </w:rPr>
      </w:pPr>
      <w:r>
        <w:rPr>
          <w:rStyle w:val="Strong"/>
          <w:rFonts w:eastAsia="Times New Roman"/>
          <w:b w:val="0"/>
          <w:bCs w:val="0"/>
        </w:rPr>
        <w:t xml:space="preserve">Conclusion </w:t>
      </w:r>
    </w:p>
    <w:p w14:paraId="2FD6096D" w14:textId="2E93F106" w:rsidR="009B1A25" w:rsidRPr="009B1A25" w:rsidRDefault="00F670E5" w:rsidP="009B1A25">
      <w:pPr>
        <w:pStyle w:val="NormalWeb"/>
        <w:rPr>
          <w:rFonts w:eastAsia="Times New Roman"/>
          <w:lang w:val="en-GB" w:eastAsia="en-GB"/>
        </w:rPr>
      </w:pPr>
      <w:r>
        <w:t>In conclusion, Aethelred Consulting stands at a pivotal moment as it navigates a rapidly evolving organisational landscape shaped by societal shifts, technological innovation, and the growing demand for flexible working arrangements. These developments present both considerable challenges and meaningful opportunities for the company as it strives to remain competitive within the consulting industry. By placing strategic emphasis on strengthening employee engagement, enhancing talent acquisition processes, and investing in comprehensive learning and development initiatives, Aethelred Consulting can cultivate a highly skilled, motivated, and adaptable workforce capable of meeting future demands.</w:t>
      </w:r>
      <w:r w:rsidR="009B1A25" w:rsidRPr="009B1A25">
        <w:rPr>
          <w:rFonts w:eastAsia="Times New Roman"/>
          <w:lang w:val="en-GB" w:eastAsia="en-GB"/>
        </w:rPr>
        <w:t xml:space="preserve"> Crucially, departmental managers occupy a central role in the successful implementation of these contemporary HR practices. Their ability to translate organisational objectives into departmental action, foster a supportive and collaborative team culture, and model the behaviours expected throughout the organisation will determine the effectiveness of these initiatives. Through consistent leadership, clear communication, and a commitment to continuous improvement, managers can help align departmental priorities with wider HR strategies, ensuring coherence across the organisation.</w:t>
      </w:r>
    </w:p>
    <w:p w14:paraId="4134611B" w14:textId="77777777" w:rsidR="009B1A25" w:rsidRPr="009B1A25" w:rsidRDefault="009B1A25" w:rsidP="009B1A25">
      <w:p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9B1A25">
        <w:rPr>
          <w:rFonts w:ascii="Times New Roman" w:eastAsia="Times New Roman" w:hAnsi="Times New Roman" w:cs="Times New Roman"/>
          <w:kern w:val="0"/>
          <w:lang w:val="en-GB" w:eastAsia="en-GB"/>
          <w14:ligatures w14:val="none"/>
        </w:rPr>
        <w:t>Ultimately, by adopting a proactive and forward-thinking approach to workforce management, Aethelred Consulting can position itself not only to withstand external pressures but also to leverage them as catalysts for innovation and organisational growth. Embracing these changes will enhance the company’s reputation as an employer of choice, enabling it to attract and retain top talent and maintain a strong competitive advantage in an increasingly dynamic consulting environment.</w:t>
      </w:r>
    </w:p>
    <w:p w14:paraId="1B5B9F9E" w14:textId="117E1FBB" w:rsidR="007516FE" w:rsidRDefault="007516FE" w:rsidP="00656B43">
      <w:pPr>
        <w:pStyle w:val="NoSpacing"/>
        <w:rPr>
          <w:rFonts w:eastAsia="Times New Roman"/>
        </w:rPr>
      </w:pPr>
    </w:p>
    <w:p w14:paraId="250732F0" w14:textId="0A215E00" w:rsidR="007516FE" w:rsidRDefault="007516FE">
      <w:pPr>
        <w:pStyle w:val="Heading3"/>
        <w:rPr>
          <w:rFonts w:eastAsia="Times New Roman"/>
        </w:rPr>
      </w:pPr>
      <w:r>
        <w:rPr>
          <w:rStyle w:val="Strong"/>
          <w:rFonts w:eastAsia="Times New Roman"/>
          <w:b w:val="0"/>
          <w:bCs w:val="0"/>
        </w:rPr>
        <w:t xml:space="preserve">Recommendations </w:t>
      </w:r>
    </w:p>
    <w:p w14:paraId="4BCF3542" w14:textId="77777777" w:rsidR="00443C6C" w:rsidRPr="00443C6C" w:rsidRDefault="00443C6C" w:rsidP="00443C6C">
      <w:p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443C6C">
        <w:rPr>
          <w:rFonts w:ascii="Times New Roman" w:eastAsia="Times New Roman" w:hAnsi="Times New Roman" w:cs="Times New Roman"/>
          <w:kern w:val="0"/>
          <w:lang w:val="en-GB" w:eastAsia="en-GB"/>
          <w14:ligatures w14:val="none"/>
        </w:rPr>
        <w:t>It is recommended that Aethelred Consulting prioritise sustained investment in comprehensive training and development programmes to ensure employees are fully equipped to work effectively with emerging technologies, including artificial intelligence, data analytics, and cybersecurity systems. As technological transformation continues to reshape the consulting industry, building internal digital capability is essential not only for maintaining competitiveness but also for enhancing the quality and efficiency of client-facing services.</w:t>
      </w:r>
    </w:p>
    <w:p w14:paraId="673AF1A0" w14:textId="77777777" w:rsidR="00443C6C" w:rsidRPr="00443C6C" w:rsidRDefault="00443C6C" w:rsidP="00443C6C">
      <w:p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443C6C">
        <w:rPr>
          <w:rFonts w:ascii="Times New Roman" w:eastAsia="Times New Roman" w:hAnsi="Times New Roman" w:cs="Times New Roman"/>
          <w:kern w:val="0"/>
          <w:lang w:val="en-GB" w:eastAsia="en-GB"/>
          <w14:ligatures w14:val="none"/>
        </w:rPr>
        <w:t xml:space="preserve">Furthermore, the organisation should continue to embrace flexible working arrangements as a core component of its employee value proposition. Flexible schedules, hybrid work options, and autonomy in task management can significantly improve job satisfaction and reduce turnover, particularly among highly skilled professionals. To reinforce this, Aethelred </w:t>
      </w:r>
      <w:r w:rsidRPr="00443C6C">
        <w:rPr>
          <w:rFonts w:ascii="Times New Roman" w:eastAsia="Times New Roman" w:hAnsi="Times New Roman" w:cs="Times New Roman"/>
          <w:kern w:val="0"/>
          <w:lang w:val="en-GB" w:eastAsia="en-GB"/>
          <w14:ligatures w14:val="none"/>
        </w:rPr>
        <w:lastRenderedPageBreak/>
        <w:t>Consulting should cultivate a stronger culture of engagement by implementing structured communication practices, providing clear career progression pathways, and supporting employee well-being through targeted work–life balance initiatives.</w:t>
      </w:r>
    </w:p>
    <w:p w14:paraId="67553BC5" w14:textId="1FEEFFFE" w:rsidR="007516FE" w:rsidRDefault="00E52565">
      <w:pPr>
        <w:rPr>
          <w:rFonts w:eastAsia="Times New Roman"/>
        </w:rPr>
      </w:pPr>
      <w:r>
        <w:t>In addition, departmental managers must take a more proactive and strategic role in aligning their teams with broader HR priorities. This includes effectively communicating organisational expectations, monitoring skill development needs, and fostering an environment where continuous improvement is embedded within daily operations. By adopting these recommendations, Aethelred Consulting can enhance organisational performance, strengthen employee commitment, and position itself for sustainable long-term growth.</w:t>
      </w:r>
    </w:p>
    <w:p w14:paraId="4B0E4A5B" w14:textId="77777777" w:rsidR="00B36150" w:rsidRDefault="00B36150">
      <w:pPr>
        <w:rPr>
          <w:rFonts w:eastAsia="Times New Roman"/>
        </w:rPr>
      </w:pPr>
    </w:p>
    <w:p w14:paraId="10B1EA84" w14:textId="77777777" w:rsidR="00B36150" w:rsidRDefault="00B36150">
      <w:pPr>
        <w:rPr>
          <w:rFonts w:eastAsia="Times New Roman"/>
        </w:rPr>
      </w:pPr>
    </w:p>
    <w:p w14:paraId="57648B2E" w14:textId="77777777" w:rsidR="00B36150" w:rsidRDefault="00B36150">
      <w:pPr>
        <w:rPr>
          <w:rFonts w:eastAsia="Times New Roman"/>
        </w:rPr>
      </w:pPr>
    </w:p>
    <w:p w14:paraId="6C76E2E0" w14:textId="77777777" w:rsidR="00B36150" w:rsidRDefault="00B36150">
      <w:pPr>
        <w:rPr>
          <w:rFonts w:eastAsia="Times New Roman"/>
        </w:rPr>
      </w:pPr>
    </w:p>
    <w:p w14:paraId="6F8EAC7A" w14:textId="77777777" w:rsidR="00B36150" w:rsidRDefault="00B36150">
      <w:pPr>
        <w:rPr>
          <w:rFonts w:eastAsia="Times New Roman"/>
        </w:rPr>
      </w:pPr>
    </w:p>
    <w:p w14:paraId="58DEC9A2" w14:textId="77777777" w:rsidR="00B36150" w:rsidRDefault="00B36150">
      <w:pPr>
        <w:rPr>
          <w:rFonts w:eastAsia="Times New Roman"/>
        </w:rPr>
      </w:pPr>
    </w:p>
    <w:p w14:paraId="323EEE47" w14:textId="77777777" w:rsidR="00B36150" w:rsidRDefault="00B36150">
      <w:pPr>
        <w:rPr>
          <w:rFonts w:eastAsia="Times New Roman"/>
        </w:rPr>
      </w:pPr>
    </w:p>
    <w:p w14:paraId="4BE2E7BB" w14:textId="77777777" w:rsidR="007516FE" w:rsidRDefault="007516FE">
      <w:pPr>
        <w:pStyle w:val="Heading3"/>
        <w:rPr>
          <w:rFonts w:eastAsia="Times New Roman"/>
        </w:rPr>
      </w:pPr>
      <w:r>
        <w:rPr>
          <w:rStyle w:val="Strong"/>
          <w:rFonts w:eastAsia="Times New Roman"/>
          <w:b w:val="0"/>
          <w:bCs w:val="0"/>
        </w:rPr>
        <w:t>References</w:t>
      </w:r>
    </w:p>
    <w:p w14:paraId="12533A4B" w14:textId="77777777" w:rsidR="00083661" w:rsidRDefault="00083661">
      <w:r>
        <w:t>Armstrong, M. &amp; Taylor, S. (2020) *Armstrong’s Handbook of Human Resource Management Practice*. 15th edn. London: Kogan Page.</w:t>
      </w:r>
    </w:p>
    <w:p w14:paraId="1DF00BCA" w14:textId="77777777" w:rsidR="00083661" w:rsidRDefault="00083661"/>
    <w:p w14:paraId="1D01153C" w14:textId="77777777" w:rsidR="00083661" w:rsidRDefault="00083661">
      <w:r>
        <w:t>Beardwell, J. &amp; Thompson, A. (2017) *Human Resource Management: A Contemporary Approach*. 8th edn. Harlow: Pearson.</w:t>
      </w:r>
    </w:p>
    <w:p w14:paraId="4D9851E6" w14:textId="77777777" w:rsidR="00083661" w:rsidRDefault="00083661"/>
    <w:p w14:paraId="678AB9BF" w14:textId="7962F6D7" w:rsidR="00083661" w:rsidRDefault="00083661">
      <w:r>
        <w:t>CIPD (2023) *Flexible Working Practices*. Available at: [https://www.cipd.co.uk](</w:t>
      </w:r>
      <w:hyperlink r:id="rId7" w:history="1">
        <w:r w:rsidRPr="00CB2F9D">
          <w:rPr>
            <w:rStyle w:val="Hyperlink"/>
          </w:rPr>
          <w:t>https://www.cipd.co.uk</w:t>
        </w:r>
      </w:hyperlink>
      <w:r>
        <w:t>) (Accessed: [insert date]).</w:t>
      </w:r>
    </w:p>
    <w:p w14:paraId="5004C261" w14:textId="77777777" w:rsidR="00083661" w:rsidRDefault="00083661"/>
    <w:p w14:paraId="61A1F5F4" w14:textId="2C1FF684" w:rsidR="00083661" w:rsidRDefault="00083661">
      <w:r>
        <w:t>CIPD (2022) *Technology, the Future of Work and Skills*. Available at: [https://www.cipd.co.uk](</w:t>
      </w:r>
      <w:hyperlink r:id="rId8" w:history="1">
        <w:r w:rsidRPr="00CB2F9D">
          <w:rPr>
            <w:rStyle w:val="Hyperlink"/>
          </w:rPr>
          <w:t>https://www.cipd.co.uk</w:t>
        </w:r>
      </w:hyperlink>
      <w:r>
        <w:t>) (Accessed: [insert date]).</w:t>
      </w:r>
    </w:p>
    <w:p w14:paraId="1D656F01" w14:textId="77777777" w:rsidR="00083661" w:rsidRDefault="00083661"/>
    <w:p w14:paraId="57603947" w14:textId="42FD84BA" w:rsidR="00083661" w:rsidRDefault="00083661">
      <w:r>
        <w:t>Deloitte (2023) *2023 Global Human Capital Trends*. Deloitte Insights. Available at: [https://www2.deloitte.com](</w:t>
      </w:r>
      <w:hyperlink r:id="rId9" w:history="1">
        <w:r w:rsidRPr="00CB2F9D">
          <w:rPr>
            <w:rStyle w:val="Hyperlink"/>
          </w:rPr>
          <w:t>https://www2.deloitte.com</w:t>
        </w:r>
      </w:hyperlink>
      <w:r>
        <w:t>) (Accessed: [insert date]).</w:t>
      </w:r>
    </w:p>
    <w:p w14:paraId="21823050" w14:textId="77777777" w:rsidR="00083661" w:rsidRDefault="00083661"/>
    <w:p w14:paraId="1A842689" w14:textId="77777777" w:rsidR="00083661" w:rsidRDefault="00083661">
      <w:r>
        <w:t>Herzberg, F. (1968) ‘One More Time: How Do You Motivate Employees?’ *Harvard Business Review*, 46(1), pp. 53–62.</w:t>
      </w:r>
    </w:p>
    <w:p w14:paraId="5AC71575" w14:textId="77777777" w:rsidR="00083661" w:rsidRDefault="00083661"/>
    <w:p w14:paraId="228F127B" w14:textId="77777777" w:rsidR="00083661" w:rsidRDefault="00083661">
      <w:r>
        <w:t>Kahn, W.A. (1990) ‘Psychological Conditions of Personal Engagement and Disengagement at Work’, *Academy of Management Journal*, 33(4), pp. 692–724.</w:t>
      </w:r>
    </w:p>
    <w:p w14:paraId="65C4BE84" w14:textId="77777777" w:rsidR="00083661" w:rsidRDefault="00083661"/>
    <w:p w14:paraId="47CDB2E2" w14:textId="77777777" w:rsidR="00083661" w:rsidRDefault="00083661">
      <w:r>
        <w:t>Maslow, A.H. (1943) ‘A Theory of Human Motivation’, *Psychological Review*, 50(4), pp. 370–396.</w:t>
      </w:r>
    </w:p>
    <w:p w14:paraId="39545547" w14:textId="77777777" w:rsidR="00083661" w:rsidRDefault="00083661"/>
    <w:p w14:paraId="73586213" w14:textId="66FDA3C1" w:rsidR="00083661" w:rsidRDefault="00083661">
      <w:r>
        <w:t>McKinsey &amp; Company (2022) *The Future of Work after COVID-19*. Available at: [https://www.mckinsey.com](</w:t>
      </w:r>
      <w:hyperlink r:id="rId10" w:history="1">
        <w:r w:rsidRPr="00CB2F9D">
          <w:rPr>
            <w:rStyle w:val="Hyperlink"/>
          </w:rPr>
          <w:t>https://www.mckinsey.com</w:t>
        </w:r>
      </w:hyperlink>
      <w:r>
        <w:t>) (Accessed: [insert date]).</w:t>
      </w:r>
    </w:p>
    <w:p w14:paraId="20B77894" w14:textId="77777777" w:rsidR="00083661" w:rsidRDefault="00083661"/>
    <w:p w14:paraId="39997B0A" w14:textId="0E6A076F" w:rsidR="00083661" w:rsidRDefault="00083661">
      <w:r>
        <w:t>PwC (2023) *Global Workforce Hopes and Fears Survey*. Available at: [https://www.pwc.com](</w:t>
      </w:r>
      <w:hyperlink r:id="rId11" w:history="1">
        <w:r w:rsidRPr="00CB2F9D">
          <w:rPr>
            <w:rStyle w:val="Hyperlink"/>
          </w:rPr>
          <w:t>https://www.pwc.com</w:t>
        </w:r>
      </w:hyperlink>
      <w:r>
        <w:t>) (Accessed: [insert date]).</w:t>
      </w:r>
    </w:p>
    <w:p w14:paraId="50120E17" w14:textId="77777777" w:rsidR="00083661" w:rsidRDefault="00083661"/>
    <w:p w14:paraId="5FB371EE" w14:textId="77777777" w:rsidR="00083661" w:rsidRDefault="00083661">
      <w:r>
        <w:t>Schwab, K. (2017) *The Fourth Industrial Revolution*. Geneva: World Economic Forum.</w:t>
      </w:r>
    </w:p>
    <w:p w14:paraId="02268EAE" w14:textId="77777777" w:rsidR="00083661" w:rsidRDefault="00083661"/>
    <w:p w14:paraId="09DBEFF2" w14:textId="77777777" w:rsidR="00083661" w:rsidRDefault="00083661"/>
    <w:p w14:paraId="75B90D75" w14:textId="46450921" w:rsidR="00083661" w:rsidRDefault="00083661"/>
    <w:p w14:paraId="5746459A" w14:textId="77777777" w:rsidR="00083661" w:rsidRDefault="00083661"/>
    <w:p w14:paraId="4179D652" w14:textId="77777777" w:rsidR="007516FE" w:rsidRDefault="007516FE"/>
    <w:sectPr w:rsidR="007516FE">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B3B17" w14:textId="77777777" w:rsidR="00E93768" w:rsidRDefault="00E93768" w:rsidP="00544AAA">
      <w:pPr>
        <w:spacing w:after="0" w:line="240" w:lineRule="auto"/>
      </w:pPr>
      <w:r>
        <w:separator/>
      </w:r>
    </w:p>
  </w:endnote>
  <w:endnote w:type="continuationSeparator" w:id="0">
    <w:p w14:paraId="5151F850" w14:textId="77777777" w:rsidR="00E93768" w:rsidRDefault="00E93768" w:rsidP="00544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4CF3C" w14:textId="77777777" w:rsidR="00E93768" w:rsidRDefault="00E93768" w:rsidP="00544AAA">
      <w:pPr>
        <w:spacing w:after="0" w:line="240" w:lineRule="auto"/>
      </w:pPr>
      <w:r>
        <w:separator/>
      </w:r>
    </w:p>
  </w:footnote>
  <w:footnote w:type="continuationSeparator" w:id="0">
    <w:p w14:paraId="4893D699" w14:textId="77777777" w:rsidR="00E93768" w:rsidRDefault="00E93768" w:rsidP="00544A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FE"/>
    <w:rsid w:val="00023DF1"/>
    <w:rsid w:val="00083661"/>
    <w:rsid w:val="000867DF"/>
    <w:rsid w:val="000D68D8"/>
    <w:rsid w:val="000E6819"/>
    <w:rsid w:val="000F24FE"/>
    <w:rsid w:val="00112A4C"/>
    <w:rsid w:val="00145E38"/>
    <w:rsid w:val="00171B89"/>
    <w:rsid w:val="001F6C48"/>
    <w:rsid w:val="0027699E"/>
    <w:rsid w:val="00295F79"/>
    <w:rsid w:val="002B3E86"/>
    <w:rsid w:val="002C720C"/>
    <w:rsid w:val="003037CE"/>
    <w:rsid w:val="003D7868"/>
    <w:rsid w:val="00424733"/>
    <w:rsid w:val="00443C6C"/>
    <w:rsid w:val="00481981"/>
    <w:rsid w:val="005442C9"/>
    <w:rsid w:val="00544AAA"/>
    <w:rsid w:val="0061334E"/>
    <w:rsid w:val="00646C36"/>
    <w:rsid w:val="00652611"/>
    <w:rsid w:val="00656B43"/>
    <w:rsid w:val="006A382F"/>
    <w:rsid w:val="007067DB"/>
    <w:rsid w:val="007516FE"/>
    <w:rsid w:val="008F4559"/>
    <w:rsid w:val="008F5A74"/>
    <w:rsid w:val="009B1A25"/>
    <w:rsid w:val="009C34F6"/>
    <w:rsid w:val="00A75B16"/>
    <w:rsid w:val="00AA31D8"/>
    <w:rsid w:val="00B36150"/>
    <w:rsid w:val="00B729C7"/>
    <w:rsid w:val="00CB7421"/>
    <w:rsid w:val="00E35C9F"/>
    <w:rsid w:val="00E52565"/>
    <w:rsid w:val="00E93768"/>
    <w:rsid w:val="00F34D71"/>
    <w:rsid w:val="00F670E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4144C"/>
  <w15:chartTrackingRefBased/>
  <w15:docId w15:val="{763CCE14-9CF5-E948-8CFE-C554D3D9E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6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6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16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516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6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6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6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6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6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6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6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6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6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6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6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6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6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6FE"/>
    <w:rPr>
      <w:rFonts w:eastAsiaTheme="majorEastAsia" w:cstheme="majorBidi"/>
      <w:color w:val="272727" w:themeColor="text1" w:themeTint="D8"/>
    </w:rPr>
  </w:style>
  <w:style w:type="paragraph" w:styleId="Title">
    <w:name w:val="Title"/>
    <w:basedOn w:val="Normal"/>
    <w:next w:val="Normal"/>
    <w:link w:val="TitleChar"/>
    <w:uiPriority w:val="10"/>
    <w:qFormat/>
    <w:rsid w:val="007516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6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6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6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6FE"/>
    <w:pPr>
      <w:spacing w:before="160"/>
      <w:jc w:val="center"/>
    </w:pPr>
    <w:rPr>
      <w:i/>
      <w:iCs/>
      <w:color w:val="404040" w:themeColor="text1" w:themeTint="BF"/>
    </w:rPr>
  </w:style>
  <w:style w:type="character" w:customStyle="1" w:styleId="QuoteChar">
    <w:name w:val="Quote Char"/>
    <w:basedOn w:val="DefaultParagraphFont"/>
    <w:link w:val="Quote"/>
    <w:uiPriority w:val="29"/>
    <w:rsid w:val="007516FE"/>
    <w:rPr>
      <w:i/>
      <w:iCs/>
      <w:color w:val="404040" w:themeColor="text1" w:themeTint="BF"/>
    </w:rPr>
  </w:style>
  <w:style w:type="paragraph" w:styleId="ListParagraph">
    <w:name w:val="List Paragraph"/>
    <w:basedOn w:val="Normal"/>
    <w:uiPriority w:val="34"/>
    <w:qFormat/>
    <w:rsid w:val="007516FE"/>
    <w:pPr>
      <w:ind w:left="720"/>
      <w:contextualSpacing/>
    </w:pPr>
  </w:style>
  <w:style w:type="character" w:styleId="IntenseEmphasis">
    <w:name w:val="Intense Emphasis"/>
    <w:basedOn w:val="DefaultParagraphFont"/>
    <w:uiPriority w:val="21"/>
    <w:qFormat/>
    <w:rsid w:val="007516FE"/>
    <w:rPr>
      <w:i/>
      <w:iCs/>
      <w:color w:val="0F4761" w:themeColor="accent1" w:themeShade="BF"/>
    </w:rPr>
  </w:style>
  <w:style w:type="paragraph" w:styleId="IntenseQuote">
    <w:name w:val="Intense Quote"/>
    <w:basedOn w:val="Normal"/>
    <w:next w:val="Normal"/>
    <w:link w:val="IntenseQuoteChar"/>
    <w:uiPriority w:val="30"/>
    <w:qFormat/>
    <w:rsid w:val="007516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6FE"/>
    <w:rPr>
      <w:i/>
      <w:iCs/>
      <w:color w:val="0F4761" w:themeColor="accent1" w:themeShade="BF"/>
    </w:rPr>
  </w:style>
  <w:style w:type="character" w:styleId="IntenseReference">
    <w:name w:val="Intense Reference"/>
    <w:basedOn w:val="DefaultParagraphFont"/>
    <w:uiPriority w:val="32"/>
    <w:qFormat/>
    <w:rsid w:val="007516FE"/>
    <w:rPr>
      <w:b/>
      <w:bCs/>
      <w:smallCaps/>
      <w:color w:val="0F4761" w:themeColor="accent1" w:themeShade="BF"/>
      <w:spacing w:val="5"/>
    </w:rPr>
  </w:style>
  <w:style w:type="paragraph" w:styleId="NormalWeb">
    <w:name w:val="Normal (Web)"/>
    <w:basedOn w:val="Normal"/>
    <w:uiPriority w:val="99"/>
    <w:semiHidden/>
    <w:unhideWhenUsed/>
    <w:rsid w:val="007516FE"/>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7516FE"/>
    <w:rPr>
      <w:b/>
      <w:bCs/>
    </w:rPr>
  </w:style>
  <w:style w:type="character" w:styleId="Hyperlink">
    <w:name w:val="Hyperlink"/>
    <w:basedOn w:val="DefaultParagraphFont"/>
    <w:uiPriority w:val="99"/>
    <w:unhideWhenUsed/>
    <w:rsid w:val="00083661"/>
    <w:rPr>
      <w:color w:val="467886" w:themeColor="hyperlink"/>
      <w:u w:val="single"/>
    </w:rPr>
  </w:style>
  <w:style w:type="character" w:styleId="UnresolvedMention">
    <w:name w:val="Unresolved Mention"/>
    <w:basedOn w:val="DefaultParagraphFont"/>
    <w:uiPriority w:val="99"/>
    <w:semiHidden/>
    <w:unhideWhenUsed/>
    <w:rsid w:val="00083661"/>
    <w:rPr>
      <w:color w:val="605E5C"/>
      <w:shd w:val="clear" w:color="auto" w:fill="E1DFDD"/>
    </w:rPr>
  </w:style>
  <w:style w:type="paragraph" w:styleId="Header">
    <w:name w:val="header"/>
    <w:basedOn w:val="Normal"/>
    <w:link w:val="HeaderChar"/>
    <w:uiPriority w:val="99"/>
    <w:unhideWhenUsed/>
    <w:rsid w:val="00544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AAA"/>
  </w:style>
  <w:style w:type="paragraph" w:styleId="Footer">
    <w:name w:val="footer"/>
    <w:basedOn w:val="Normal"/>
    <w:link w:val="FooterChar"/>
    <w:uiPriority w:val="99"/>
    <w:unhideWhenUsed/>
    <w:rsid w:val="00544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AAA"/>
  </w:style>
  <w:style w:type="paragraph" w:styleId="NoSpacing">
    <w:name w:val="No Spacing"/>
    <w:uiPriority w:val="1"/>
    <w:qFormat/>
    <w:rsid w:val="00656B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484778">
      <w:bodyDiv w:val="1"/>
      <w:marLeft w:val="0"/>
      <w:marRight w:val="0"/>
      <w:marTop w:val="0"/>
      <w:marBottom w:val="0"/>
      <w:divBdr>
        <w:top w:val="none" w:sz="0" w:space="0" w:color="auto"/>
        <w:left w:val="none" w:sz="0" w:space="0" w:color="auto"/>
        <w:bottom w:val="none" w:sz="0" w:space="0" w:color="auto"/>
        <w:right w:val="none" w:sz="0" w:space="0" w:color="auto"/>
      </w:divBdr>
    </w:div>
    <w:div w:id="1956402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pd.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wc.com" TargetMode="External"/><Relationship Id="rId5" Type="http://schemas.openxmlformats.org/officeDocument/2006/relationships/endnotes" Target="endnotes.xml"/><Relationship Id="rId10" Type="http://schemas.openxmlformats.org/officeDocument/2006/relationships/hyperlink" Target="https://www.mckinsey.com" TargetMode="External"/><Relationship Id="rId4" Type="http://schemas.openxmlformats.org/officeDocument/2006/relationships/footnotes" Target="footnotes.xml"/><Relationship Id="rId9" Type="http://schemas.openxmlformats.org/officeDocument/2006/relationships/hyperlink" Target="https://www2.deloitte.co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2195</Words>
  <Characters>12518</Characters>
  <Application>Microsoft Office Word</Application>
  <DocSecurity>0</DocSecurity>
  <Lines>104</Lines>
  <Paragraphs>29</Paragraphs>
  <ScaleCrop>false</ScaleCrop>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popescusilviu387@gmail.com</dc:creator>
  <cp:keywords/>
  <dc:description/>
  <cp:lastModifiedBy>popescusilviu387@gmail.com</cp:lastModifiedBy>
  <cp:revision>16</cp:revision>
  <dcterms:created xsi:type="dcterms:W3CDTF">2025-12-06T15:45:00Z</dcterms:created>
  <dcterms:modified xsi:type="dcterms:W3CDTF">2025-12-08T16:05:00Z</dcterms:modified>
</cp:coreProperties>
</file>