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D86EDE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7A37D3">
              <w:rPr>
                <w:b/>
                <w:color w:val="auto"/>
                <w:sz w:val="32"/>
              </w:rPr>
              <w:t>Callum Jones</w:t>
            </w:r>
            <w:r>
              <w:rPr>
                <w:b/>
                <w:color w:val="auto"/>
                <w:sz w:val="32"/>
              </w:rPr>
              <w:t>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9DE05EA" w:rsidR="00575A8F" w:rsidRDefault="00575A8F" w:rsidP="00E6298B">
            <w:pPr>
              <w:overflowPunct/>
              <w:autoSpaceDE/>
              <w:autoSpaceDN/>
              <w:adjustRightInd/>
              <w:ind w:right="107"/>
              <w:textAlignment w:val="auto"/>
              <w:rPr>
                <w:b/>
                <w:color w:val="auto"/>
                <w:sz w:val="32"/>
              </w:rPr>
            </w:pPr>
            <w:r>
              <w:rPr>
                <w:b/>
                <w:color w:val="auto"/>
                <w:sz w:val="32"/>
              </w:rPr>
              <w:t>___</w:t>
            </w:r>
            <w:r w:rsidR="007A37D3">
              <w:rPr>
                <w:b/>
                <w:color w:val="auto"/>
                <w:sz w:val="32"/>
              </w:rPr>
              <w:t>2134323</w:t>
            </w:r>
            <w:r>
              <w:rPr>
                <w:b/>
                <w:color w:val="auto"/>
                <w:sz w:val="32"/>
              </w:rPr>
              <w:t>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7A37D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E07CD17" w14:textId="77777777" w:rsidR="006055F2" w:rsidRPr="006055F2" w:rsidRDefault="006055F2" w:rsidP="006055F2">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6055F2">
        <w:rPr>
          <w:rFonts w:asciiTheme="minorHAnsi" w:eastAsiaTheme="minorHAnsi" w:hAnsiTheme="minorHAnsi" w:cstheme="minorHAnsi"/>
          <w:color w:val="auto"/>
          <w:sz w:val="24"/>
          <w:szCs w:val="24"/>
          <w:lang w:eastAsia="en-US"/>
        </w:rPr>
        <w:t xml:space="preserve">Stress can be defined </w:t>
      </w:r>
      <w:r w:rsidRPr="006055F2">
        <w:rPr>
          <w:rFonts w:asciiTheme="minorHAnsi" w:eastAsiaTheme="minorHAnsi" w:hAnsiTheme="minorHAnsi" w:cstheme="minorHAnsi"/>
          <w:color w:val="3C4245"/>
          <w:sz w:val="24"/>
          <w:szCs w:val="24"/>
          <w:lang w:eastAsia="en-US"/>
        </w:rPr>
        <w:t>as any type of change that causes physical, emotional or psychological strain,</w:t>
      </w:r>
      <w:r w:rsidRPr="006055F2">
        <w:rPr>
          <w:rFonts w:asciiTheme="minorHAnsi" w:eastAsiaTheme="minorHAnsi" w:hAnsiTheme="minorHAnsi" w:cstheme="minorHAnsi"/>
          <w:color w:val="auto"/>
          <w:sz w:val="24"/>
          <w:szCs w:val="24"/>
          <w:lang w:eastAsia="en-US"/>
        </w:rPr>
        <w:t xml:space="preserve"> often from adverse or demanding circumstances (The World Health Organisation 2021). Whereas the ability to respond appropriately to stress can be classed as resilience (MIND 2022). </w:t>
      </w:r>
    </w:p>
    <w:p w14:paraId="4C53CC16" w14:textId="77777777" w:rsidR="006055F2" w:rsidRPr="006055F2" w:rsidRDefault="006055F2" w:rsidP="006055F2">
      <w:pPr>
        <w:overflowPunct/>
        <w:autoSpaceDE/>
        <w:autoSpaceDN/>
        <w:adjustRightInd/>
        <w:spacing w:after="160" w:line="360" w:lineRule="auto"/>
        <w:textAlignment w:val="auto"/>
        <w:rPr>
          <w:rFonts w:asciiTheme="minorHAnsi" w:eastAsiaTheme="minorHAnsi" w:hAnsiTheme="minorHAnsi" w:cstheme="minorHAnsi"/>
          <w:color w:val="3C4245"/>
          <w:sz w:val="24"/>
          <w:szCs w:val="24"/>
          <w:lang w:eastAsia="en-US"/>
        </w:rPr>
      </w:pPr>
      <w:r w:rsidRPr="006055F2">
        <w:rPr>
          <w:rFonts w:asciiTheme="minorHAnsi" w:eastAsiaTheme="minorHAnsi" w:hAnsiTheme="minorHAnsi" w:cstheme="minorHAnsi"/>
          <w:color w:val="auto"/>
          <w:sz w:val="24"/>
          <w:szCs w:val="24"/>
          <w:lang w:eastAsia="en-US"/>
        </w:rPr>
        <w:t>Stress is often seen in public service personnel, as the role is often challenging and unpredictable, leading to a range of potential tensions (Queiros 2020). There is a need to become resilient and reduce or eliminate stress in both personal and professional arenas to allow for normal functioning. This is particularly important as public service requires its employees to have the ability to cope with the fluctuating demands of the service, especially as burnout can occur when there is a prolonged response to stressors on the job, defined by three dimensions of exhaustion, cynicism and inefficiency (Maslach 2001).</w:t>
      </w:r>
      <w:r w:rsidRPr="006055F2">
        <w:rPr>
          <w:rFonts w:asciiTheme="minorHAnsi" w:eastAsiaTheme="minorHAnsi" w:hAnsiTheme="minorHAnsi" w:cstheme="minorHAnsi"/>
          <w:color w:val="3C4245"/>
          <w:sz w:val="24"/>
          <w:szCs w:val="24"/>
          <w:lang w:eastAsia="en-US"/>
        </w:rPr>
        <w:t xml:space="preserve">  When officers fail to cope effectively with stress it can result in increased rates of heart disease, stomach complaints, divorce, alcohol and drug misuse and potentially suicide when compared to the general population (Anshel 2000). So, the way individuals respond to stress and develop resilience has a significant influence on overall health and well-being and the ability to undertake the role effectively. </w:t>
      </w:r>
    </w:p>
    <w:p w14:paraId="45C954F0" w14:textId="77777777" w:rsidR="006055F2" w:rsidRPr="006055F2" w:rsidRDefault="006055F2" w:rsidP="006055F2">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Stress causes stimulation of the sympathetic nervous system which releases catecholamines mainly adrenaline, allowing the human body to prepare for fleeing or fighting (flight or fight) (McCarty 2016) as well as the release of cortisol. Signs and symptoms of stress can be significant, but individuals have to utilise coping strategies to ensure exhaustion and burnout do not occur.</w:t>
      </w:r>
    </w:p>
    <w:p w14:paraId="57CC5912" w14:textId="77777777" w:rsidR="006055F2" w:rsidRPr="006055F2" w:rsidRDefault="006055F2" w:rsidP="006055F2">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 xml:space="preserve">Many individuals will choose mechanisms for coping with stress that suits them, with some choosing one method whilst others may use a range of strategies. The strategies I use to destress </w:t>
      </w:r>
      <w:r w:rsidRPr="006055F2">
        <w:rPr>
          <w:rFonts w:asciiTheme="minorHAnsi" w:hAnsiTheme="minorHAnsi" w:cstheme="minorHAnsi"/>
          <w:color w:val="auto"/>
          <w:sz w:val="24"/>
          <w:szCs w:val="24"/>
        </w:rPr>
        <w:lastRenderedPageBreak/>
        <w:t>and develop my resilience to cope with stressors are physical activity, walking my dog, healthy eating, listening to music and talking with family. Each strategy provides me with different options of reducing or alleviating any stress and developing my resilience.</w:t>
      </w:r>
    </w:p>
    <w:p w14:paraId="5581F83B" w14:textId="77777777" w:rsidR="006055F2" w:rsidRPr="006055F2" w:rsidRDefault="006055F2" w:rsidP="006055F2">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6055F2">
        <w:rPr>
          <w:rFonts w:asciiTheme="minorHAnsi" w:hAnsiTheme="minorHAnsi" w:cstheme="minorHAnsi"/>
          <w:color w:val="000000" w:themeColor="text1"/>
          <w:sz w:val="24"/>
          <w:szCs w:val="24"/>
          <w:shd w:val="clear" w:color="auto" w:fill="FFFFFF"/>
        </w:rPr>
        <w:t>Physical activity has been identified as an aid to stress reduction. It has been identified that individuals</w:t>
      </w:r>
      <w:r w:rsidRPr="006055F2">
        <w:rPr>
          <w:rFonts w:asciiTheme="minorHAnsi" w:hAnsiTheme="minorHAnsi" w:cstheme="minorHAnsi"/>
          <w:color w:val="7A7A7A"/>
          <w:sz w:val="24"/>
          <w:szCs w:val="24"/>
          <w:shd w:val="clear" w:color="auto" w:fill="FFFFFF"/>
        </w:rPr>
        <w:t xml:space="preserve"> </w:t>
      </w:r>
      <w:r w:rsidRPr="006055F2">
        <w:rPr>
          <w:rFonts w:asciiTheme="minorHAnsi" w:hAnsiTheme="minorHAnsi" w:cstheme="minorHAnsi"/>
          <w:color w:val="auto"/>
          <w:sz w:val="24"/>
          <w:szCs w:val="24"/>
        </w:rPr>
        <w:t>who are more physically fit have improved cortisol profiles and reduced physiological responses to stressors (Strahler et al 2016)</w:t>
      </w:r>
      <w:r w:rsidRPr="006055F2">
        <w:rPr>
          <w:rFonts w:asciiTheme="minorHAnsi" w:hAnsiTheme="minorHAnsi" w:cstheme="minorHAnsi"/>
          <w:color w:val="000000" w:themeColor="text1"/>
          <w:sz w:val="24"/>
          <w:szCs w:val="24"/>
          <w:shd w:val="clear" w:color="auto" w:fill="FFFFFF"/>
        </w:rPr>
        <w:t>.  The physical activities I undertake are running and attending the gym. I try to attend the gym everyday combined with running a couple of times a week, to reduce stress, develop my endurance and to aid my resilience.</w:t>
      </w:r>
      <w:r w:rsidRPr="006055F2">
        <w:rPr>
          <w:rFonts w:asciiTheme="minorHAnsi" w:hAnsiTheme="minorHAnsi" w:cstheme="minorHAnsi"/>
          <w:color w:val="auto"/>
          <w:sz w:val="24"/>
          <w:szCs w:val="24"/>
        </w:rPr>
        <w:t xml:space="preserve"> A meta-analysis by Hamer et al (2006) indicated that an acute session of exercise can reduce blood pressure and heart rate responses to a stressor. Additionally, both regular physical activity and high fitness level (both aerobic and muscular) are associated with more favourable mental well-being. Physical exercise has proved to have a positive impact on depression and self esteem (Ekeland et al 2005; Bailey et al 2018). However, Dearing and Paton (2022) indicated that there is little consensus on which types of exercise have the strongest impact on psychological stress. Furthermore, Fluetsch et al (2019) suggested that h</w:t>
      </w:r>
      <w:r w:rsidRPr="006055F2">
        <w:rPr>
          <w:rFonts w:asciiTheme="minorHAnsi" w:hAnsiTheme="minorHAnsi" w:cstheme="minorHAnsi"/>
          <w:color w:val="2E2E2E"/>
          <w:sz w:val="24"/>
          <w:szCs w:val="24"/>
        </w:rPr>
        <w:t xml:space="preserve">igher physical activity levels were associated with fewer self-reported days of poor mental health. </w:t>
      </w:r>
      <w:r w:rsidRPr="006055F2">
        <w:rPr>
          <w:rFonts w:asciiTheme="minorHAnsi" w:hAnsiTheme="minorHAnsi" w:cstheme="minorHAnsi"/>
          <w:color w:val="auto"/>
          <w:sz w:val="24"/>
          <w:szCs w:val="24"/>
        </w:rPr>
        <w:t>Physical activity has been shown to alter neurotransmitter levels such as increasing dopamine, serotonin, and endorphins allowing a positive affect and decreasing a negative affect on a person.</w:t>
      </w:r>
    </w:p>
    <w:p w14:paraId="761CD076" w14:textId="77777777" w:rsidR="006055F2" w:rsidRPr="006055F2" w:rsidRDefault="006055F2" w:rsidP="006055F2">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6055F2">
        <w:rPr>
          <w:rFonts w:asciiTheme="minorHAnsi" w:eastAsiaTheme="minorHAnsi" w:hAnsiTheme="minorHAnsi" w:cstheme="minorHAnsi"/>
          <w:color w:val="1C1D1E"/>
          <w:sz w:val="24"/>
          <w:szCs w:val="24"/>
          <w:shd w:val="clear" w:color="auto" w:fill="FFFFFF"/>
          <w:lang w:eastAsia="en-US"/>
        </w:rPr>
        <w:t>Stress is also associated with eating behaviour changes which tends toward an unhealthy, rather than a healthy direction. I pay attention to my diet and ensure I eat healthily which includes a low saturated fat, low sugar and high protein diet. O'Connor </w:t>
      </w:r>
      <w:r w:rsidRPr="006055F2">
        <w:rPr>
          <w:rFonts w:asciiTheme="minorHAnsi" w:eastAsiaTheme="minorHAnsi" w:hAnsiTheme="minorHAnsi" w:cstheme="minorHAnsi"/>
          <w:i/>
          <w:iCs/>
          <w:color w:val="1C1D1E"/>
          <w:sz w:val="24"/>
          <w:szCs w:val="24"/>
          <w:shd w:val="clear" w:color="auto" w:fill="FFFFFF"/>
          <w:lang w:eastAsia="en-US"/>
        </w:rPr>
        <w:t>et al</w:t>
      </w:r>
      <w:r w:rsidRPr="006055F2">
        <w:rPr>
          <w:rFonts w:asciiTheme="minorHAnsi" w:eastAsiaTheme="minorHAnsi" w:hAnsiTheme="minorHAnsi" w:cstheme="minorHAnsi"/>
          <w:color w:val="1C1D1E"/>
          <w:sz w:val="24"/>
          <w:szCs w:val="24"/>
          <w:shd w:val="clear" w:color="auto" w:fill="FFFFFF"/>
          <w:lang w:eastAsia="en-US"/>
        </w:rPr>
        <w:t>. (</w:t>
      </w:r>
      <w:hyperlink r:id="rId14" w:anchor="bjhp12355-bib-0054" w:history="1">
        <w:r w:rsidRPr="006055F2">
          <w:rPr>
            <w:rFonts w:asciiTheme="minorHAnsi" w:eastAsiaTheme="minorHAnsi" w:hAnsiTheme="minorHAnsi" w:cstheme="minorHAnsi"/>
            <w:color w:val="000000" w:themeColor="text1"/>
            <w:sz w:val="24"/>
            <w:szCs w:val="24"/>
            <w:lang w:eastAsia="en-US"/>
          </w:rPr>
          <w:t>2008</w:t>
        </w:r>
      </w:hyperlink>
      <w:r w:rsidRPr="006055F2">
        <w:rPr>
          <w:rFonts w:asciiTheme="minorHAnsi" w:eastAsiaTheme="minorHAnsi" w:hAnsiTheme="minorHAnsi" w:cstheme="minorHAnsi"/>
          <w:color w:val="1C1D1E"/>
          <w:sz w:val="24"/>
          <w:szCs w:val="24"/>
          <w:shd w:val="clear" w:color="auto" w:fill="FFFFFF"/>
          <w:lang w:eastAsia="en-US"/>
        </w:rPr>
        <w:t>), showed that stress increases unhealthy eating behaviour through a tendency towards high-fat/high-sugar snacks as well as a reduction of main meals and vegetables consumption.</w:t>
      </w:r>
      <w:r w:rsidRPr="006055F2">
        <w:rPr>
          <w:rFonts w:asciiTheme="minorHAnsi" w:hAnsiTheme="minorHAnsi" w:cstheme="minorHAnsi"/>
          <w:color w:val="1C1D1E"/>
          <w:sz w:val="24"/>
          <w:szCs w:val="24"/>
          <w:shd w:val="clear" w:color="auto" w:fill="FFFFFF"/>
        </w:rPr>
        <w:t xml:space="preserve"> Healthy eating also leads to improved bodily and mental health. </w:t>
      </w:r>
      <w:r w:rsidRPr="006055F2">
        <w:rPr>
          <w:rFonts w:asciiTheme="minorHAnsi" w:eastAsiaTheme="minorHAnsi" w:hAnsiTheme="minorHAnsi" w:cstheme="minorHAnsi"/>
          <w:color w:val="1C1D1E"/>
          <w:sz w:val="24"/>
          <w:szCs w:val="24"/>
          <w:shd w:val="clear" w:color="auto" w:fill="FFFFFF"/>
          <w:lang w:eastAsia="en-US"/>
        </w:rPr>
        <w:t>Alternatively, eating</w:t>
      </w:r>
      <w:r w:rsidRPr="006055F2">
        <w:rPr>
          <w:rFonts w:asciiTheme="minorHAnsi" w:hAnsiTheme="minorHAnsi" w:cstheme="minorHAnsi"/>
          <w:color w:val="1C1D1E"/>
          <w:sz w:val="24"/>
          <w:szCs w:val="24"/>
          <w:shd w:val="clear" w:color="auto" w:fill="FFFFFF"/>
        </w:rPr>
        <w:t xml:space="preserve"> healthy may decrease stress and serve as another key behaviour for reducing stress</w:t>
      </w:r>
      <w:r w:rsidRPr="006055F2">
        <w:rPr>
          <w:rFonts w:asciiTheme="minorHAnsi" w:eastAsiaTheme="minorHAnsi" w:hAnsiTheme="minorHAnsi" w:cstheme="minorHAnsi"/>
          <w:color w:val="1C1D1E"/>
          <w:sz w:val="24"/>
          <w:szCs w:val="24"/>
          <w:shd w:val="clear" w:color="auto" w:fill="FFFFFF"/>
          <w:lang w:eastAsia="en-US"/>
        </w:rPr>
        <w:t xml:space="preserve"> and can be used as a distraction, thereby alleviating perceived emotional stress (Macht et al </w:t>
      </w:r>
      <w:hyperlink r:id="rId15" w:anchor="bjhp12355-bib-0045" w:history="1">
        <w:r w:rsidRPr="006055F2">
          <w:rPr>
            <w:rFonts w:asciiTheme="minorHAnsi" w:eastAsiaTheme="minorHAnsi" w:hAnsiTheme="minorHAnsi" w:cstheme="minorHAnsi"/>
            <w:color w:val="000000" w:themeColor="text1"/>
            <w:sz w:val="24"/>
            <w:szCs w:val="24"/>
            <w:lang w:eastAsia="en-US"/>
          </w:rPr>
          <w:t>2005</w:t>
        </w:r>
      </w:hyperlink>
      <w:r w:rsidRPr="006055F2">
        <w:rPr>
          <w:rFonts w:asciiTheme="minorHAnsi" w:eastAsiaTheme="minorHAnsi" w:hAnsiTheme="minorHAnsi" w:cstheme="minorHAnsi"/>
          <w:color w:val="1C1D1E"/>
          <w:sz w:val="24"/>
          <w:szCs w:val="24"/>
          <w:shd w:val="clear" w:color="auto" w:fill="FFFFFF"/>
          <w:lang w:eastAsia="en-US"/>
        </w:rPr>
        <w:t>).</w:t>
      </w:r>
    </w:p>
    <w:p w14:paraId="4A7647B0" w14:textId="77777777" w:rsidR="006055F2" w:rsidRPr="006055F2" w:rsidRDefault="006055F2" w:rsidP="006055F2">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6055F2">
        <w:rPr>
          <w:rFonts w:asciiTheme="minorHAnsi" w:hAnsiTheme="minorHAnsi" w:cstheme="minorHAnsi"/>
          <w:color w:val="555555"/>
          <w:sz w:val="24"/>
          <w:szCs w:val="24"/>
          <w:shd w:val="clear" w:color="auto" w:fill="FFFFFF"/>
        </w:rPr>
        <w:t xml:space="preserve">Listening to music is another strategy I use to aid my resilience to stress. Sarkamo et al (2008) identified that music activates memory, motor functioning, emotional processing as well as enhancing cognitive functioning. </w:t>
      </w:r>
      <w:r w:rsidRPr="006055F2">
        <w:rPr>
          <w:rFonts w:asciiTheme="minorHAnsi" w:hAnsiTheme="minorHAnsi" w:cstheme="minorHAnsi"/>
          <w:color w:val="auto"/>
          <w:sz w:val="24"/>
          <w:szCs w:val="24"/>
        </w:rPr>
        <w:t xml:space="preserve">Listening to music </w:t>
      </w:r>
      <w:r w:rsidRPr="006055F2">
        <w:rPr>
          <w:rFonts w:asciiTheme="minorHAnsi" w:hAnsiTheme="minorHAnsi" w:cstheme="minorHAnsi"/>
          <w:sz w:val="24"/>
          <w:szCs w:val="24"/>
          <w:shd w:val="clear" w:color="auto" w:fill="FFFFFF"/>
        </w:rPr>
        <w:t xml:space="preserve">brings appeal to the listener and different music has different effects on mental states. Yet, music can help relieve pain, help individuals focus, </w:t>
      </w:r>
      <w:r w:rsidRPr="006055F2">
        <w:rPr>
          <w:rFonts w:asciiTheme="minorHAnsi" w:hAnsiTheme="minorHAnsi" w:cstheme="minorHAnsi"/>
          <w:sz w:val="24"/>
          <w:szCs w:val="24"/>
          <w:shd w:val="clear" w:color="auto" w:fill="FFFFFF"/>
        </w:rPr>
        <w:lastRenderedPageBreak/>
        <w:t>improve athletic performance, improve mood, and make people feel at ease and has the characteristics of being more efficient, more convenient, long-lasting, and low cost (Mao 2022).</w:t>
      </w:r>
      <w:r w:rsidRPr="006055F2">
        <w:rPr>
          <w:rFonts w:asciiTheme="minorHAnsi" w:hAnsiTheme="minorHAnsi" w:cstheme="minorHAnsi"/>
          <w:color w:val="555555"/>
          <w:sz w:val="24"/>
          <w:szCs w:val="24"/>
          <w:shd w:val="clear" w:color="auto" w:fill="FFFFFF"/>
        </w:rPr>
        <w:t xml:space="preserve"> Music has a well-documented effect on alleviating stress, anxiety and depression,</w:t>
      </w:r>
      <w:r w:rsidRPr="006055F2">
        <w:rPr>
          <w:rFonts w:asciiTheme="minorHAnsi" w:hAnsiTheme="minorHAnsi" w:cstheme="minorHAnsi"/>
          <w:sz w:val="24"/>
          <w:szCs w:val="24"/>
          <w:shd w:val="clear" w:color="auto" w:fill="FFFFFF"/>
        </w:rPr>
        <w:t xml:space="preserve"> improving physiological responses such as heart rate and respiratory rate in many healthcare</w:t>
      </w:r>
      <w:r w:rsidRPr="006055F2">
        <w:rPr>
          <w:rFonts w:asciiTheme="minorHAnsi" w:hAnsiTheme="minorHAnsi" w:cstheme="minorHAnsi"/>
          <w:color w:val="555555"/>
          <w:sz w:val="24"/>
          <w:szCs w:val="24"/>
          <w:shd w:val="clear" w:color="auto" w:fill="FFFFFF"/>
        </w:rPr>
        <w:t xml:space="preserve"> settings </w:t>
      </w:r>
      <w:r w:rsidRPr="006055F2">
        <w:rPr>
          <w:rFonts w:asciiTheme="minorHAnsi" w:hAnsiTheme="minorHAnsi" w:cstheme="minorHAnsi"/>
          <w:sz w:val="24"/>
          <w:szCs w:val="24"/>
          <w:shd w:val="clear" w:color="auto" w:fill="FFFFFF"/>
        </w:rPr>
        <w:t xml:space="preserve">(Bradt 2013). </w:t>
      </w:r>
      <w:r w:rsidRPr="006055F2">
        <w:rPr>
          <w:rFonts w:asciiTheme="minorHAnsi" w:hAnsiTheme="minorHAnsi" w:cstheme="minorHAnsi"/>
          <w:color w:val="555555"/>
          <w:sz w:val="24"/>
          <w:szCs w:val="24"/>
          <w:shd w:val="clear" w:color="auto" w:fill="FFFFFF"/>
        </w:rPr>
        <w:t> Additionally, m</w:t>
      </w:r>
      <w:r w:rsidRPr="006055F2">
        <w:rPr>
          <w:rFonts w:asciiTheme="minorHAnsi" w:hAnsiTheme="minorHAnsi" w:cstheme="minorHAnsi"/>
          <w:color w:val="auto"/>
          <w:sz w:val="24"/>
          <w:szCs w:val="24"/>
        </w:rPr>
        <w:t xml:space="preserve">usic has been proven to play a key role in medical students coping with many stating that listening to music relaxed them (Zarenna 2017). </w:t>
      </w:r>
      <w:r w:rsidRPr="006055F2">
        <w:rPr>
          <w:rFonts w:asciiTheme="minorHAnsi" w:hAnsiTheme="minorHAnsi" w:cstheme="minorHAnsi"/>
          <w:color w:val="555555"/>
          <w:sz w:val="24"/>
          <w:szCs w:val="24"/>
          <w:shd w:val="clear" w:color="auto" w:fill="FFFFFF"/>
        </w:rPr>
        <w:t xml:space="preserve"> Music is also seen as a tool that can be used to influence an individual's regulatory functions, such as emotions (Krueger, 2011).</w:t>
      </w:r>
    </w:p>
    <w:p w14:paraId="36A8F87D" w14:textId="77777777" w:rsidR="006055F2" w:rsidRPr="006055F2" w:rsidRDefault="006055F2" w:rsidP="006055F2">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 xml:space="preserve">In addition to the strategies discussed above I also have the support of my family and this relationship allows me to openly discuss my thoughts, feelings and ability to cope with differing pressures in my life, both personal and professional. I have parents who have both been public sector employees and are aware of the benefits and pitfalls of stress and the need to manage it effectively.  Talking allows me to normalise my feelings and helps me build a </w:t>
      </w:r>
      <w:r w:rsidRPr="006055F2">
        <w:rPr>
          <w:rFonts w:asciiTheme="minorHAnsi" w:hAnsiTheme="minorHAnsi" w:cstheme="minorHAnsi"/>
          <w:color w:val="212B32"/>
          <w:sz w:val="24"/>
          <w:szCs w:val="24"/>
        </w:rPr>
        <w:t>sense of belonging, self esteem and self-worth, giving me the opportunity to share both positive and negative experiences. In addition, this social support gives me a feeling of belonging allowing significant emotional support.</w:t>
      </w:r>
      <w:r w:rsidRPr="006055F2">
        <w:rPr>
          <w:rFonts w:asciiTheme="minorHAnsi" w:hAnsiTheme="minorHAnsi" w:cstheme="minorHAnsi"/>
          <w:color w:val="auto"/>
          <w:sz w:val="24"/>
          <w:szCs w:val="24"/>
        </w:rPr>
        <w:t xml:space="preserve"> </w:t>
      </w:r>
    </w:p>
    <w:p w14:paraId="576D620D" w14:textId="28B17A89" w:rsidR="006055F2" w:rsidRPr="006055F2" w:rsidRDefault="006055F2" w:rsidP="006055F2">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Thoits (2011) identified that those with better social support networks allow for promotion and buffering of physical health and emotional well-being and individuals with good social ties are at decreased risk of issues such as depression and loneliness. Similarly, ChihYuan (2020) mentioned that family support was positively associated with self-rated physical health. Thoits (2011) further argued that social ties offer two broad types of support, emotional sustenance and active coping assistance.</w:t>
      </w:r>
    </w:p>
    <w:p w14:paraId="1A576A3C" w14:textId="77777777" w:rsidR="006055F2" w:rsidRPr="006055F2" w:rsidRDefault="006055F2" w:rsidP="006055F2">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 xml:space="preserve">Stress can significantly affect physical and mental wellbeing and individuals must develop strategies to ensure that the potential harmful effects are managed effectively, decreased or eliminated. Developing resilience to stress is often difficult but each person needs to identify what strategies work best for them. The strategies I have adopted have worked for me and I hope I will continue to use them to cope with the increasing demands of an ever changing police service.          </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2B457BB7" w14:textId="77777777" w:rsidR="006055F2" w:rsidRPr="008F5896" w:rsidRDefault="006055F2" w:rsidP="006055F2">
      <w:pPr>
        <w:pStyle w:val="NormalWeb"/>
        <w:spacing w:line="360" w:lineRule="atLeast"/>
        <w:rPr>
          <w:rFonts w:asciiTheme="minorHAnsi" w:eastAsiaTheme="minorHAnsi" w:hAnsiTheme="minorHAnsi" w:cstheme="minorHAnsi"/>
          <w:color w:val="2A2A2A"/>
          <w:shd w:val="clear" w:color="auto" w:fill="FFFFFF"/>
          <w:lang w:eastAsia="en-US"/>
        </w:rPr>
      </w:pPr>
      <w:r w:rsidRPr="008F5896">
        <w:rPr>
          <w:rFonts w:asciiTheme="minorHAnsi" w:hAnsiTheme="minorHAnsi" w:cstheme="minorHAnsi"/>
          <w:color w:val="333333"/>
        </w:rPr>
        <w:t>The effectiveness of the police service will depend on the way in which officers interact with the public. Officers are particularly challenged when conflict occurs and Euwena et al (2007) has suggested that there seems to be a growing amount of conflict in society as more and more people become demanding and assertive. I</w:t>
      </w:r>
      <w:r w:rsidRPr="008F5896">
        <w:rPr>
          <w:rFonts w:asciiTheme="minorHAnsi" w:hAnsiTheme="minorHAnsi" w:cstheme="minorHAnsi"/>
          <w:color w:val="0B0C0C"/>
          <w:shd w:val="clear" w:color="auto" w:fill="FFFFFF"/>
        </w:rPr>
        <w:t>n the year ending March 2021 there were almost 37,000 assaults on police officers in England and Wales (ONS 2022).</w:t>
      </w:r>
      <w:r w:rsidRPr="008F5896">
        <w:rPr>
          <w:rFonts w:asciiTheme="minorHAnsi" w:hAnsiTheme="minorHAnsi" w:cstheme="minorHAnsi"/>
          <w:color w:val="333333"/>
        </w:rPr>
        <w:t xml:space="preserve"> Conflict is viewed as any situation in which two or more individuals feel they have incompatible intentions (Cambridge Dictionary 2021). </w:t>
      </w:r>
      <w:r w:rsidRPr="008F5896">
        <w:rPr>
          <w:rFonts w:asciiTheme="minorHAnsi" w:hAnsiTheme="minorHAnsi" w:cstheme="minorHAnsi"/>
        </w:rPr>
        <w:t xml:space="preserve">Agastra (2018) has suggested that any police intervention in conflict should be geared to preventing the conflict from escalating and causing physical, economic and psychological damage. </w:t>
      </w:r>
      <w:r w:rsidRPr="008F5896">
        <w:rPr>
          <w:rFonts w:asciiTheme="minorHAnsi" w:hAnsiTheme="minorHAnsi" w:cstheme="minorHAnsi"/>
          <w:color w:val="333333"/>
        </w:rPr>
        <w:t>De Dreu &amp; Van de Vliert (1999) ha</w:t>
      </w:r>
      <w:r>
        <w:rPr>
          <w:rFonts w:asciiTheme="minorHAnsi" w:hAnsiTheme="minorHAnsi" w:cstheme="minorHAnsi"/>
          <w:color w:val="333333"/>
        </w:rPr>
        <w:t>ve</w:t>
      </w:r>
      <w:r w:rsidRPr="008F5896">
        <w:rPr>
          <w:rFonts w:asciiTheme="minorHAnsi" w:hAnsiTheme="minorHAnsi" w:cstheme="minorHAnsi"/>
          <w:color w:val="333333"/>
        </w:rPr>
        <w:t xml:space="preserve"> suggested the same, in that the professional challenge for police officers in conflict situations is two-fold; to prevent escalation as much as possible and to achieve professional goals such as maintaining or restoring order.</w:t>
      </w:r>
      <w:r w:rsidRPr="008F5896">
        <w:rPr>
          <w:rFonts w:asciiTheme="minorHAnsi" w:eastAsiaTheme="minorHAnsi" w:hAnsiTheme="minorHAnsi" w:cstheme="minorHAnsi"/>
          <w:color w:val="2A2A2A"/>
          <w:shd w:val="clear" w:color="auto" w:fill="FFFFFF"/>
          <w:lang w:eastAsia="en-US"/>
        </w:rPr>
        <w:t xml:space="preserve"> Furthermore, Staller (2020) suggested that officers require a high level of situational awareness, rapid decision-making, avoidance and de-escalation and, if necessary, the rapid and powerful use of force when dealing with violence/conflict. </w:t>
      </w:r>
    </w:p>
    <w:p w14:paraId="23A7E7FC" w14:textId="77777777" w:rsidR="006055F2" w:rsidRPr="008F5896" w:rsidRDefault="006055F2" w:rsidP="006055F2">
      <w:pPr>
        <w:pStyle w:val="NormalWeb"/>
        <w:spacing w:line="360" w:lineRule="atLeast"/>
        <w:rPr>
          <w:rFonts w:asciiTheme="minorHAnsi" w:eastAsiaTheme="minorHAnsi" w:hAnsiTheme="minorHAnsi" w:cstheme="minorHAnsi"/>
          <w:color w:val="282828"/>
          <w:shd w:val="clear" w:color="auto" w:fill="F7F7F7"/>
          <w:lang w:eastAsia="en-US"/>
        </w:rPr>
      </w:pPr>
      <w:r w:rsidRPr="008F5896">
        <w:rPr>
          <w:rFonts w:asciiTheme="minorHAnsi" w:eastAsiaTheme="minorHAnsi" w:hAnsiTheme="minorHAnsi" w:cstheme="minorHAnsi"/>
          <w:color w:val="282828"/>
          <w:shd w:val="clear" w:color="auto" w:fill="F7F7F7"/>
          <w:lang w:eastAsia="en-US"/>
        </w:rPr>
        <w:t>Todak and James (2018) have indicated that if officers can stay calm, keep their emotions in check and ultimately interact with a person that reduces the power difference between them, then a calmer situation will entail, and conflict averted. Verna (1998) mentioned conflict is natural and inevitable though it is impossible to eliminate conflict from policing entirely, yet how it is handled is important for all involved.</w:t>
      </w:r>
      <w:r w:rsidRPr="008F5896">
        <w:rPr>
          <w:rFonts w:asciiTheme="minorHAnsi" w:hAnsiTheme="minorHAnsi" w:cstheme="minorHAnsi"/>
        </w:rPr>
        <w:t xml:space="preserve"> Lumumba-Kasongo (2019) has identified that several theories exist that aid the critical understanding of the causes and management of conflict which include </w:t>
      </w:r>
      <w:r w:rsidRPr="008F5896">
        <w:rPr>
          <w:rFonts w:asciiTheme="minorHAnsi" w:hAnsiTheme="minorHAnsi" w:cstheme="minorHAnsi"/>
        </w:rPr>
        <w:lastRenderedPageBreak/>
        <w:t xml:space="preserve">traditionalist, liberalist, structuralist and constructivist theories. They argue that policing approaches should reflect these theories for effective conflict management. The traditionalist approach is concerned by power politics whilst liberalism fosters cooperation and democratic principles to prevent or manage conflicts. Whereas structuralist theories look at societal structures from different levels to determine how social institutions and global inequalities contribute to conflict. Yet the constructivist views, focus on how ideas, beliefs and identity influence conflict. However, most theories of conflict, previously and currently, identify that conflict occurs due to the imbalance of power, inequality and differing interests. Conflict theory was potentially first identified by Karl Marx as a </w:t>
      </w:r>
      <w:r w:rsidRPr="008F5896">
        <w:rPr>
          <w:rFonts w:asciiTheme="minorHAnsi" w:hAnsiTheme="minorHAnsi" w:cstheme="minorHAnsi"/>
          <w:color w:val="282828"/>
          <w:shd w:val="clear" w:color="auto" w:fill="FFFFFF"/>
        </w:rPr>
        <w:t xml:space="preserve">societal issue in that there were structural power divisions within the different social classes. This imbalance of power and subsequent conflict that might ensue can be seen in policing as those who break the law view police as </w:t>
      </w:r>
      <w:r>
        <w:rPr>
          <w:rFonts w:asciiTheme="minorHAnsi" w:hAnsiTheme="minorHAnsi" w:cstheme="minorHAnsi"/>
          <w:color w:val="282828"/>
          <w:shd w:val="clear" w:color="auto" w:fill="FFFFFF"/>
        </w:rPr>
        <w:t xml:space="preserve">having a </w:t>
      </w:r>
      <w:r w:rsidRPr="008F5896">
        <w:rPr>
          <w:rFonts w:asciiTheme="minorHAnsi" w:hAnsiTheme="minorHAnsi" w:cstheme="minorHAnsi"/>
          <w:color w:val="282828"/>
          <w:shd w:val="clear" w:color="auto" w:fill="FFFFFF"/>
        </w:rPr>
        <w:t xml:space="preserve"> position of perceived power over them, with many becoming violent and aggressive as a result.   </w:t>
      </w:r>
      <w:r w:rsidRPr="008F5896">
        <w:rPr>
          <w:rFonts w:asciiTheme="minorHAnsi" w:hAnsiTheme="minorHAnsi" w:cstheme="minorHAnsi"/>
        </w:rPr>
        <w:t xml:space="preserve"> </w:t>
      </w:r>
    </w:p>
    <w:p w14:paraId="7B7B737A" w14:textId="77777777" w:rsidR="006055F2" w:rsidRPr="008F5896" w:rsidRDefault="006055F2" w:rsidP="006055F2">
      <w:pPr>
        <w:pStyle w:val="NormalWeb"/>
        <w:spacing w:line="360" w:lineRule="atLeast"/>
        <w:rPr>
          <w:rFonts w:asciiTheme="minorHAnsi" w:eastAsiaTheme="minorHAnsi" w:hAnsiTheme="minorHAnsi" w:cstheme="minorHAnsi"/>
          <w:color w:val="282828"/>
          <w:shd w:val="clear" w:color="auto" w:fill="F7F7F7"/>
          <w:lang w:eastAsia="en-US"/>
        </w:rPr>
      </w:pPr>
      <w:r w:rsidRPr="008F5896">
        <w:rPr>
          <w:rFonts w:asciiTheme="minorHAnsi" w:eastAsiaTheme="minorHAnsi" w:hAnsiTheme="minorHAnsi" w:cstheme="minorHAnsi"/>
          <w:color w:val="282828"/>
          <w:shd w:val="clear" w:color="auto" w:fill="F7F7F7"/>
          <w:lang w:eastAsia="en-US"/>
        </w:rPr>
        <w:t xml:space="preserve">The incident in question involved a male who was reported to be driving a car under the influence of drugs or alcohol. He was taken into custody for the purpose of an intimate search, as it was also reported by witnesses that he was seen with a bag of white powder. He was placed in a holding cell after an intimate search was conducted whilst also awaiting officers at the original scene to complete their investigation. Whilst in the holding cell he was arrested for Section 4 of the Road Traffic Act (1988). He was then taken to the custody desk to process his arrest. At which time he had a verbal argument with the custody sergeant which antagonised the male and he became verbally aggressive and became combative toward police. </w:t>
      </w:r>
    </w:p>
    <w:p w14:paraId="4A0A13B8" w14:textId="77777777" w:rsidR="006055F2" w:rsidRPr="008F5896" w:rsidRDefault="006055F2" w:rsidP="006055F2">
      <w:pPr>
        <w:pStyle w:val="NormalWeb"/>
        <w:spacing w:line="360" w:lineRule="atLeast"/>
        <w:rPr>
          <w:rFonts w:asciiTheme="minorHAnsi" w:eastAsiaTheme="minorHAnsi" w:hAnsiTheme="minorHAnsi" w:cstheme="minorHAnsi"/>
          <w:color w:val="282828"/>
          <w:shd w:val="clear" w:color="auto" w:fill="F7F7F7"/>
          <w:lang w:eastAsia="en-US"/>
        </w:rPr>
      </w:pPr>
      <w:r w:rsidRPr="008F5896">
        <w:rPr>
          <w:rFonts w:asciiTheme="minorHAnsi" w:eastAsiaTheme="minorHAnsi" w:hAnsiTheme="minorHAnsi" w:cstheme="minorHAnsi"/>
          <w:color w:val="282828"/>
          <w:shd w:val="clear" w:color="auto" w:fill="F7F7F7"/>
          <w:lang w:eastAsia="en-US"/>
        </w:rPr>
        <w:t>It appeared that the sergeant</w:t>
      </w:r>
      <w:r>
        <w:rPr>
          <w:rFonts w:asciiTheme="minorHAnsi" w:eastAsiaTheme="minorHAnsi" w:hAnsiTheme="minorHAnsi" w:cstheme="minorHAnsi"/>
          <w:color w:val="282828"/>
          <w:shd w:val="clear" w:color="auto" w:fill="F7F7F7"/>
          <w:lang w:eastAsia="en-US"/>
        </w:rPr>
        <w:t>’</w:t>
      </w:r>
      <w:r w:rsidRPr="008F5896">
        <w:rPr>
          <w:rFonts w:asciiTheme="minorHAnsi" w:eastAsiaTheme="minorHAnsi" w:hAnsiTheme="minorHAnsi" w:cstheme="minorHAnsi"/>
          <w:color w:val="282828"/>
          <w:shd w:val="clear" w:color="auto" w:fill="F7F7F7"/>
          <w:lang w:eastAsia="en-US"/>
        </w:rPr>
        <w:t xml:space="preserve">s attitude </w:t>
      </w:r>
      <w:r>
        <w:rPr>
          <w:rFonts w:asciiTheme="minorHAnsi" w:eastAsiaTheme="minorHAnsi" w:hAnsiTheme="minorHAnsi" w:cstheme="minorHAnsi"/>
          <w:color w:val="282828"/>
          <w:shd w:val="clear" w:color="auto" w:fill="F7F7F7"/>
          <w:lang w:eastAsia="en-US"/>
        </w:rPr>
        <w:t xml:space="preserve">may have </w:t>
      </w:r>
      <w:r w:rsidRPr="008F5896">
        <w:rPr>
          <w:rFonts w:asciiTheme="minorHAnsi" w:eastAsiaTheme="minorHAnsi" w:hAnsiTheme="minorHAnsi" w:cstheme="minorHAnsi"/>
          <w:color w:val="282828"/>
          <w:shd w:val="clear" w:color="auto" w:fill="F7F7F7"/>
          <w:lang w:eastAsia="en-US"/>
        </w:rPr>
        <w:t xml:space="preserve">antagonised the male. By applying the mental model of Betaris box (date unknown) it describes how one person’s attitude can affect the way </w:t>
      </w:r>
      <w:r w:rsidRPr="008F5896">
        <w:rPr>
          <w:rFonts w:asciiTheme="minorHAnsi" w:hAnsiTheme="minorHAnsi" w:cstheme="minorHAnsi"/>
          <w:color w:val="4D5156"/>
          <w:shd w:val="clear" w:color="auto" w:fill="FFFFFF"/>
        </w:rPr>
        <w:t xml:space="preserve">other people respond. Therefore, if the sergeant had potentially changed their attitude, then the attitude and behaviour of the male could have been different. Betaris box </w:t>
      </w:r>
      <w:r w:rsidRPr="008F5896">
        <w:rPr>
          <w:rFonts w:asciiTheme="minorHAnsi" w:eastAsiaTheme="minorHAnsi" w:hAnsiTheme="minorHAnsi" w:cstheme="minorHAnsi"/>
          <w:color w:val="282828"/>
          <w:shd w:val="clear" w:color="auto" w:fill="F7F7F7"/>
          <w:lang w:eastAsia="en-US"/>
        </w:rPr>
        <w:t xml:space="preserve">describes how people can get locked into a vicious circle of communication based on how their attitudes and behaviours respond to each other. </w:t>
      </w:r>
    </w:p>
    <w:p w14:paraId="7FA3522E" w14:textId="77777777" w:rsidR="006055F2" w:rsidRDefault="006055F2" w:rsidP="006055F2">
      <w:pPr>
        <w:pStyle w:val="NormalWeb"/>
        <w:spacing w:line="360" w:lineRule="atLeast"/>
        <w:rPr>
          <w:rFonts w:asciiTheme="minorHAnsi" w:eastAsiaTheme="minorHAnsi" w:hAnsiTheme="minorHAnsi" w:cstheme="minorHAnsi"/>
          <w:color w:val="2A2A2A"/>
          <w:shd w:val="clear" w:color="auto" w:fill="FFFFFF"/>
          <w:lang w:eastAsia="en-US"/>
        </w:rPr>
      </w:pPr>
      <w:r w:rsidRPr="008F5896">
        <w:rPr>
          <w:rFonts w:asciiTheme="minorHAnsi" w:eastAsiaTheme="minorHAnsi" w:hAnsiTheme="minorHAnsi" w:cstheme="minorHAnsi"/>
          <w:color w:val="282828"/>
          <w:shd w:val="clear" w:color="auto" w:fill="F7F7F7"/>
          <w:lang w:eastAsia="en-US"/>
        </w:rPr>
        <w:t>The College of Policing (2020) suggested that o</w:t>
      </w:r>
      <w:r w:rsidRPr="008F5896">
        <w:rPr>
          <w:rFonts w:asciiTheme="minorHAnsi" w:eastAsiaTheme="minorHAnsi" w:hAnsiTheme="minorHAnsi" w:cstheme="minorHAnsi"/>
          <w:color w:val="2A2A2A"/>
          <w:shd w:val="clear" w:color="auto" w:fill="FFFFFF"/>
          <w:lang w:eastAsia="en-US"/>
        </w:rPr>
        <w:t xml:space="preserve">fficers need to pay attention to potential danger cues the person maybe displaying such as body stance or clenching of fists to help with risk assessment and to predict actions. </w:t>
      </w:r>
      <w:r>
        <w:rPr>
          <w:rFonts w:asciiTheme="minorHAnsi" w:eastAsiaTheme="minorHAnsi" w:hAnsiTheme="minorHAnsi" w:cstheme="minorHAnsi"/>
          <w:color w:val="2A2A2A"/>
          <w:shd w:val="clear" w:color="auto" w:fill="FFFFFF"/>
          <w:lang w:eastAsia="en-US"/>
        </w:rPr>
        <w:t xml:space="preserve">Additionally,  The College of Policing (2020) add that officers also need to consider behaviour and reactions situation that may be due to mental or physical illness , physical disability or reduced mental capacity. </w:t>
      </w:r>
    </w:p>
    <w:p w14:paraId="3794B4D5" w14:textId="77777777" w:rsidR="006055F2" w:rsidRPr="008F5896" w:rsidRDefault="006055F2" w:rsidP="006055F2">
      <w:pPr>
        <w:pStyle w:val="NormalWeb"/>
        <w:spacing w:line="360" w:lineRule="atLeast"/>
        <w:rPr>
          <w:rFonts w:asciiTheme="minorHAnsi" w:eastAsiaTheme="minorHAnsi" w:hAnsiTheme="minorHAnsi" w:cstheme="minorHAnsi"/>
          <w:color w:val="282828"/>
          <w:shd w:val="clear" w:color="auto" w:fill="F7F7F7"/>
          <w:lang w:eastAsia="en-US"/>
        </w:rPr>
      </w:pPr>
      <w:r w:rsidRPr="008F5896">
        <w:rPr>
          <w:rFonts w:asciiTheme="minorHAnsi" w:eastAsiaTheme="minorHAnsi" w:hAnsiTheme="minorHAnsi" w:cstheme="minorHAnsi"/>
          <w:color w:val="2A2A2A"/>
          <w:shd w:val="clear" w:color="auto" w:fill="FFFFFF"/>
          <w:lang w:eastAsia="en-US"/>
        </w:rPr>
        <w:t xml:space="preserve">The male adopted a fighting/boxing stance by opting to stand with feet in a staggered position, dropping his chin and leaning forward. There are many cues that can suggest precursors to conflict/aggression which include change in body position, nasal flaring, teeth licking, raising of eyebrows, change in pitch and tone of voice, use of specific verbal language and officers have to be attuned to these and use strategies to defuse such behaviours (Johnson and Aaron 2013). Johnson </w:t>
      </w:r>
      <w:r w:rsidRPr="008F5896">
        <w:rPr>
          <w:rFonts w:asciiTheme="minorHAnsi" w:eastAsiaTheme="minorHAnsi" w:hAnsiTheme="minorHAnsi" w:cstheme="minorHAnsi"/>
          <w:color w:val="2A2A2A"/>
          <w:shd w:val="clear" w:color="auto" w:fill="FFFFFF"/>
          <w:lang w:eastAsia="en-US"/>
        </w:rPr>
        <w:lastRenderedPageBreak/>
        <w:t xml:space="preserve">and Aaron (2013) further suggested that assumptions can also be made about which </w:t>
      </w:r>
      <w:r w:rsidRPr="008F5896">
        <w:rPr>
          <w:rFonts w:asciiTheme="minorHAnsi" w:hAnsiTheme="minorHAnsi" w:cstheme="minorHAnsi"/>
        </w:rPr>
        <w:t xml:space="preserve">behaviours are not indicative of potential violence. </w:t>
      </w:r>
      <w:r w:rsidRPr="008F5896">
        <w:rPr>
          <w:rFonts w:asciiTheme="minorHAnsi" w:eastAsiaTheme="minorHAnsi" w:hAnsiTheme="minorHAnsi" w:cstheme="minorHAnsi"/>
          <w:color w:val="2A2A2A"/>
          <w:shd w:val="clear" w:color="auto" w:fill="FFFFFF"/>
          <w:lang w:eastAsia="en-US"/>
        </w:rPr>
        <w:t xml:space="preserve">The cues given be the male suggested readiness for a fight and could have been picked up by the sergeant and defused earlier and by not reacting to his behaviour. </w:t>
      </w:r>
      <w:r w:rsidRPr="008F5896">
        <w:rPr>
          <w:rFonts w:asciiTheme="minorHAnsi" w:eastAsiaTheme="minorHAnsi" w:hAnsiTheme="minorHAnsi" w:cstheme="minorHAnsi"/>
          <w:color w:val="282828"/>
          <w:shd w:val="clear" w:color="auto" w:fill="F7F7F7"/>
          <w:lang w:eastAsia="en-US"/>
        </w:rPr>
        <w:t xml:space="preserve">Behaviour is defined as the outward actions that are shown through actions such as body language whereas an attitude is a state of mind or a mindset which controls how individuals respond to other people and the situations around them (Cambridge Dictionary 2021). </w:t>
      </w:r>
    </w:p>
    <w:p w14:paraId="5EEA2E9C" w14:textId="77777777" w:rsidR="006055F2" w:rsidRDefault="006055F2" w:rsidP="006055F2">
      <w:pPr>
        <w:pStyle w:val="NormalWeb"/>
        <w:spacing w:line="360" w:lineRule="atLeast"/>
        <w:rPr>
          <w:rFonts w:asciiTheme="minorHAnsi" w:eastAsiaTheme="minorHAnsi" w:hAnsiTheme="minorHAnsi" w:cstheme="minorHAnsi"/>
          <w:color w:val="282828"/>
          <w:shd w:val="clear" w:color="auto" w:fill="F7F7F7"/>
          <w:lang w:eastAsia="en-US"/>
        </w:rPr>
      </w:pPr>
      <w:r w:rsidRPr="008F5896">
        <w:rPr>
          <w:rFonts w:asciiTheme="minorHAnsi" w:eastAsiaTheme="minorHAnsi" w:hAnsiTheme="minorHAnsi" w:cstheme="minorHAnsi"/>
          <w:color w:val="282828"/>
          <w:shd w:val="clear" w:color="auto" w:fill="F7F7F7"/>
          <w:lang w:eastAsia="en-US"/>
        </w:rPr>
        <w:t>After being processed the male was placed back in the holding cell to await a breath specimen test. Whilst in the cell the male became more abusive and exhibited violent and aggressive behaviour by removing clothing and throwing himself against the cell door. Officers prepared for a confrontation however, I took the time to speak to the male through the cell door and in my conversations de-escalation was successful.</w:t>
      </w:r>
      <w:r w:rsidRPr="008F5896">
        <w:rPr>
          <w:rFonts w:asciiTheme="minorHAnsi" w:eastAsiaTheme="minorHAnsi" w:hAnsiTheme="minorHAnsi" w:cstheme="minorHAnsi"/>
          <w:color w:val="2A2A2A"/>
          <w:shd w:val="clear" w:color="auto" w:fill="FFFFFF"/>
          <w:lang w:eastAsia="en-US"/>
        </w:rPr>
        <w:t xml:space="preserve"> </w:t>
      </w:r>
      <w:r w:rsidRPr="008F5896">
        <w:rPr>
          <w:rFonts w:asciiTheme="minorHAnsi" w:eastAsiaTheme="minorHAnsi" w:hAnsiTheme="minorHAnsi" w:cstheme="minorHAnsi"/>
          <w:color w:val="282828"/>
          <w:shd w:val="clear" w:color="auto" w:fill="F7F7F7"/>
          <w:lang w:eastAsia="en-US"/>
        </w:rPr>
        <w:t xml:space="preserve">I actively listened to the male and was open to what he was saying which helped me build a rapport. Building an effective rapport can help alleviate tension. </w:t>
      </w:r>
      <w:r>
        <w:rPr>
          <w:rFonts w:asciiTheme="minorHAnsi" w:eastAsiaTheme="minorHAnsi" w:hAnsiTheme="minorHAnsi" w:cstheme="minorHAnsi"/>
          <w:color w:val="282828"/>
          <w:shd w:val="clear" w:color="auto" w:fill="F7F7F7"/>
          <w:lang w:eastAsia="en-US"/>
        </w:rPr>
        <w:t xml:space="preserve">I asked questions to determine his background and any health issues, to identify whether there were any mitigating factors to his behaviour. </w:t>
      </w:r>
      <w:r w:rsidRPr="008F5896">
        <w:rPr>
          <w:rFonts w:asciiTheme="minorHAnsi" w:eastAsiaTheme="minorHAnsi" w:hAnsiTheme="minorHAnsi" w:cstheme="minorHAnsi"/>
          <w:color w:val="282828"/>
          <w:shd w:val="clear" w:color="auto" w:fill="F7F7F7"/>
          <w:lang w:eastAsia="en-US"/>
        </w:rPr>
        <w:t xml:space="preserve">I used non-verbal cues such as nodding and using facial expressions to convey I had heard what he had said. Even-though, these were difficult through a cell door I made sure that the male could still see that I was attentive to him.  </w:t>
      </w:r>
    </w:p>
    <w:p w14:paraId="590B11B4" w14:textId="77777777" w:rsidR="006055F2" w:rsidRDefault="006055F2" w:rsidP="006055F2">
      <w:pPr>
        <w:pStyle w:val="NormalWeb"/>
        <w:spacing w:line="360" w:lineRule="atLeast"/>
        <w:rPr>
          <w:rFonts w:asciiTheme="minorHAnsi" w:eastAsiaTheme="minorHAnsi" w:hAnsiTheme="minorHAnsi" w:cstheme="minorHAnsi"/>
          <w:color w:val="282828"/>
          <w:shd w:val="clear" w:color="auto" w:fill="F7F7F7"/>
          <w:lang w:eastAsia="en-US"/>
        </w:rPr>
      </w:pPr>
      <w:r w:rsidRPr="008F5896">
        <w:rPr>
          <w:rFonts w:asciiTheme="minorHAnsi" w:eastAsiaTheme="minorHAnsi" w:hAnsiTheme="minorHAnsi" w:cstheme="minorHAnsi"/>
          <w:color w:val="282828"/>
          <w:shd w:val="clear" w:color="auto" w:fill="F7F7F7"/>
          <w:lang w:eastAsia="en-US"/>
        </w:rPr>
        <w:t>When conversing I was calm, considered</w:t>
      </w:r>
      <w:r>
        <w:rPr>
          <w:rFonts w:asciiTheme="minorHAnsi" w:eastAsiaTheme="minorHAnsi" w:hAnsiTheme="minorHAnsi" w:cstheme="minorHAnsi"/>
          <w:color w:val="282828"/>
          <w:shd w:val="clear" w:color="auto" w:fill="F7F7F7"/>
          <w:lang w:eastAsia="en-US"/>
        </w:rPr>
        <w:t xml:space="preserve">, empathic </w:t>
      </w:r>
      <w:r w:rsidRPr="008F5896">
        <w:rPr>
          <w:rFonts w:asciiTheme="minorHAnsi" w:eastAsiaTheme="minorHAnsi" w:hAnsiTheme="minorHAnsi" w:cstheme="minorHAnsi"/>
          <w:color w:val="282828"/>
          <w:shd w:val="clear" w:color="auto" w:fill="F7F7F7"/>
          <w:lang w:eastAsia="en-US"/>
        </w:rPr>
        <w:t>and reasoned and all verbal communication was delivered in a gentle and quiet tone</w:t>
      </w:r>
      <w:r>
        <w:rPr>
          <w:rFonts w:asciiTheme="minorHAnsi" w:eastAsiaTheme="minorHAnsi" w:hAnsiTheme="minorHAnsi" w:cstheme="minorHAnsi"/>
          <w:color w:val="282828"/>
          <w:shd w:val="clear" w:color="auto" w:fill="F7F7F7"/>
          <w:lang w:eastAsia="en-US"/>
        </w:rPr>
        <w:t xml:space="preserve">. </w:t>
      </w:r>
      <w:r w:rsidRPr="008F5896">
        <w:rPr>
          <w:rFonts w:asciiTheme="minorHAnsi" w:eastAsiaTheme="minorHAnsi" w:hAnsiTheme="minorHAnsi" w:cstheme="minorHAnsi"/>
          <w:color w:val="282828"/>
          <w:shd w:val="clear" w:color="auto" w:fill="F7F7F7"/>
          <w:lang w:eastAsia="en-US"/>
        </w:rPr>
        <w:t>This is important as often in difficult situations tone and pitch of voice change which can indicate stress in the person speaking and can influence others behaviour and attitude (Johnson and Aaron 2013).</w:t>
      </w:r>
      <w:r w:rsidRPr="00060E97">
        <w:rPr>
          <w:rFonts w:asciiTheme="minorHAnsi" w:eastAsiaTheme="minorHAnsi" w:hAnsiTheme="minorHAnsi" w:cstheme="minorHAnsi"/>
          <w:color w:val="282828"/>
          <w:shd w:val="clear" w:color="auto" w:fill="F7F7F7"/>
          <w:lang w:eastAsia="en-US"/>
        </w:rPr>
        <w:t xml:space="preserve"> </w:t>
      </w:r>
      <w:r>
        <w:rPr>
          <w:rFonts w:asciiTheme="minorHAnsi" w:eastAsiaTheme="minorHAnsi" w:hAnsiTheme="minorHAnsi" w:cstheme="minorHAnsi"/>
          <w:color w:val="282828"/>
          <w:shd w:val="clear" w:color="auto" w:fill="F7F7F7"/>
          <w:lang w:eastAsia="en-US"/>
        </w:rPr>
        <w:t xml:space="preserve">I used open questions and effective pauses to allow the male to vent his frustrations and I paraphrased what he was saying to demonstrate my understanding of his issues. I also used what the College of Policing (2020) identified as emotional labelling in that I showed my understanding of the effect the situation was having on him. My approach was in line with the mnemonic of MOREPIES </w:t>
      </w:r>
      <w:r w:rsidRPr="008F5896">
        <w:rPr>
          <w:rFonts w:asciiTheme="minorHAnsi" w:eastAsiaTheme="minorHAnsi" w:hAnsiTheme="minorHAnsi" w:cstheme="minorHAnsi"/>
          <w:color w:val="282828"/>
          <w:shd w:val="clear" w:color="auto" w:fill="F7F7F7"/>
          <w:lang w:eastAsia="en-US"/>
        </w:rPr>
        <w:t xml:space="preserve"> </w:t>
      </w:r>
      <w:r>
        <w:rPr>
          <w:rFonts w:asciiTheme="minorHAnsi" w:eastAsiaTheme="minorHAnsi" w:hAnsiTheme="minorHAnsi" w:cstheme="minorHAnsi"/>
          <w:color w:val="282828"/>
          <w:shd w:val="clear" w:color="auto" w:fill="F7F7F7"/>
          <w:lang w:eastAsia="en-US"/>
        </w:rPr>
        <w:t xml:space="preserve">as advocated by The College of Policing (2020). </w:t>
      </w:r>
      <w:r w:rsidRPr="008F5896">
        <w:rPr>
          <w:rFonts w:asciiTheme="minorHAnsi" w:eastAsiaTheme="minorHAnsi" w:hAnsiTheme="minorHAnsi" w:cstheme="minorHAnsi"/>
          <w:color w:val="282828"/>
          <w:shd w:val="clear" w:color="auto" w:fill="F7F7F7"/>
          <w:lang w:eastAsia="en-US"/>
        </w:rPr>
        <w:t xml:space="preserve">Often verbal communication is described as the first tactic in trying to deescalate or defuse situations yet verbal communication can be one dimensional as described by Calero (2005) and should be supported by appropriate use of non- verbal communication. </w:t>
      </w:r>
      <w:r>
        <w:rPr>
          <w:rFonts w:asciiTheme="minorHAnsi" w:eastAsiaTheme="minorHAnsi" w:hAnsiTheme="minorHAnsi" w:cstheme="minorHAnsi"/>
          <w:color w:val="282828"/>
          <w:shd w:val="clear" w:color="auto" w:fill="F7F7F7"/>
          <w:lang w:eastAsia="en-US"/>
        </w:rPr>
        <w:t>Often n</w:t>
      </w:r>
      <w:r w:rsidRPr="008F5896">
        <w:rPr>
          <w:rFonts w:asciiTheme="minorHAnsi" w:eastAsiaTheme="minorHAnsi" w:hAnsiTheme="minorHAnsi" w:cstheme="minorHAnsi"/>
          <w:color w:val="282828"/>
          <w:shd w:val="clear" w:color="auto" w:fill="F7F7F7"/>
          <w:lang w:eastAsia="en-US"/>
        </w:rPr>
        <w:t>on</w:t>
      </w:r>
      <w:r>
        <w:rPr>
          <w:rFonts w:asciiTheme="minorHAnsi" w:eastAsiaTheme="minorHAnsi" w:hAnsiTheme="minorHAnsi" w:cstheme="minorHAnsi"/>
          <w:color w:val="282828"/>
          <w:shd w:val="clear" w:color="auto" w:fill="F7F7F7"/>
          <w:lang w:eastAsia="en-US"/>
        </w:rPr>
        <w:t>-</w:t>
      </w:r>
      <w:r w:rsidRPr="008F5896">
        <w:rPr>
          <w:rFonts w:asciiTheme="minorHAnsi" w:eastAsiaTheme="minorHAnsi" w:hAnsiTheme="minorHAnsi" w:cstheme="minorHAnsi"/>
          <w:color w:val="282828"/>
          <w:shd w:val="clear" w:color="auto" w:fill="F7F7F7"/>
          <w:lang w:eastAsia="en-US"/>
        </w:rPr>
        <w:t xml:space="preserve"> verbal communication is more powerful than verbal communication.   </w:t>
      </w:r>
    </w:p>
    <w:p w14:paraId="18B309F9" w14:textId="77777777" w:rsidR="006055F2" w:rsidRPr="008F5896" w:rsidRDefault="006055F2" w:rsidP="006055F2">
      <w:pPr>
        <w:pStyle w:val="NormalWeb"/>
        <w:spacing w:line="360" w:lineRule="atLeast"/>
        <w:rPr>
          <w:rFonts w:asciiTheme="minorHAnsi" w:eastAsiaTheme="minorHAnsi" w:hAnsiTheme="minorHAnsi" w:cstheme="minorHAnsi"/>
          <w:color w:val="282828"/>
          <w:shd w:val="clear" w:color="auto" w:fill="F7F7F7"/>
          <w:lang w:eastAsia="en-US"/>
        </w:rPr>
      </w:pPr>
      <w:r w:rsidRPr="008F5896">
        <w:rPr>
          <w:rFonts w:asciiTheme="minorHAnsi" w:eastAsiaTheme="minorHAnsi" w:hAnsiTheme="minorHAnsi" w:cstheme="minorHAnsi"/>
          <w:color w:val="282828"/>
          <w:shd w:val="clear" w:color="auto" w:fill="F7F7F7"/>
          <w:lang w:eastAsia="en-US"/>
        </w:rPr>
        <w:t xml:space="preserve">Karpman (1961) has described the drama triangle model which identifies how interactions can lead to excessive conflicts among different people and the </w:t>
      </w:r>
      <w:r w:rsidRPr="008F5896">
        <w:rPr>
          <w:rFonts w:asciiTheme="minorHAnsi" w:hAnsiTheme="minorHAnsi" w:cstheme="minorHAnsi"/>
          <w:color w:val="202122"/>
          <w:shd w:val="clear" w:color="auto" w:fill="FFFFFF"/>
        </w:rPr>
        <w:t xml:space="preserve">destructive and shifting roles people play. </w:t>
      </w:r>
      <w:r w:rsidRPr="008F5896">
        <w:rPr>
          <w:rFonts w:asciiTheme="minorHAnsi" w:eastAsiaTheme="minorHAnsi" w:hAnsiTheme="minorHAnsi" w:cstheme="minorHAnsi"/>
          <w:color w:val="282828"/>
          <w:shd w:val="clear" w:color="auto" w:fill="F7F7F7"/>
          <w:lang w:eastAsia="en-US"/>
        </w:rPr>
        <w:t xml:space="preserve">The model is open to interpretation but essentially focusses on behaviour and roles taken on during conflict and described as the role of victim, persecutor or rescuer. In the incident described it could be argued that the male saw the police sergeant as the persecutor and him as the victim as he was unhappy about his arrest and when I stepped into the situation I was seen as the potential rescuer.  As the potential rescuer, I had the </w:t>
      </w:r>
      <w:r w:rsidRPr="008F5896">
        <w:rPr>
          <w:rFonts w:asciiTheme="minorHAnsi" w:hAnsiTheme="minorHAnsi" w:cstheme="minorHAnsi"/>
          <w:color w:val="202122"/>
          <w:shd w:val="clear" w:color="auto" w:fill="FFFFFF"/>
        </w:rPr>
        <w:t xml:space="preserve">motive to resolve the problem as I did not want the situation escalating or the male causing harm to himself. Thus, I made an effort to deescalate the situation. This is where I believe I also acted ethically toward the male, in that I acted beneficently, by trying </w:t>
      </w:r>
      <w:r w:rsidRPr="008F5896">
        <w:rPr>
          <w:rFonts w:asciiTheme="minorHAnsi" w:hAnsiTheme="minorHAnsi" w:cstheme="minorHAnsi"/>
          <w:color w:val="202122"/>
          <w:shd w:val="clear" w:color="auto" w:fill="FFFFFF"/>
        </w:rPr>
        <w:lastRenderedPageBreak/>
        <w:t xml:space="preserve">to do good and preventing further escalation and harm.  I also considered what </w:t>
      </w:r>
      <w:r w:rsidRPr="008F5896">
        <w:rPr>
          <w:rFonts w:asciiTheme="minorHAnsi" w:eastAsiaTheme="minorHAnsi" w:hAnsiTheme="minorHAnsi" w:cstheme="minorHAnsi"/>
          <w:color w:val="282828"/>
          <w:shd w:val="clear" w:color="auto" w:fill="F7F7F7"/>
          <w:lang w:eastAsia="en-US"/>
        </w:rPr>
        <w:t xml:space="preserve">Mcnab et al (2014) have mentioned in that </w:t>
      </w:r>
      <w:r w:rsidRPr="008F5896">
        <w:rPr>
          <w:rFonts w:asciiTheme="minorHAnsi" w:hAnsiTheme="minorHAnsi" w:cstheme="minorHAnsi"/>
          <w:color w:val="363636"/>
          <w:shd w:val="clear" w:color="auto" w:fill="FFFFFF"/>
        </w:rPr>
        <w:t>conflict is often about them (the perpetrator) and not about you (the officer).</w:t>
      </w:r>
    </w:p>
    <w:p w14:paraId="2792584B" w14:textId="77777777" w:rsidR="006055F2" w:rsidRPr="008F5896" w:rsidRDefault="006055F2" w:rsidP="006055F2">
      <w:pPr>
        <w:pStyle w:val="NormalWeb"/>
        <w:spacing w:line="360" w:lineRule="atLeast"/>
        <w:rPr>
          <w:rFonts w:asciiTheme="minorHAnsi" w:eastAsiaTheme="minorHAnsi" w:hAnsiTheme="minorHAnsi" w:cstheme="minorHAnsi"/>
          <w:color w:val="282828"/>
          <w:shd w:val="clear" w:color="auto" w:fill="F7F7F7"/>
          <w:lang w:eastAsia="en-US"/>
        </w:rPr>
      </w:pPr>
      <w:r w:rsidRPr="008F5896">
        <w:rPr>
          <w:rFonts w:asciiTheme="minorHAnsi" w:hAnsiTheme="minorHAnsi" w:cstheme="minorHAnsi"/>
          <w:color w:val="333333"/>
          <w:shd w:val="clear" w:color="auto" w:fill="FFFFFF"/>
        </w:rPr>
        <w:t xml:space="preserve">The National Institute of Health and Care Excellence (2017) has suggested that de-escalation in a health setting aims to reduce violence and aggression, and hence avoid the use of restrictive interventions, by negotiating a mutually agreeable solution to the aggressor. It can be argued this is the same for policing. </w:t>
      </w:r>
    </w:p>
    <w:p w14:paraId="34520FFC" w14:textId="77777777" w:rsidR="006055F2" w:rsidRPr="008F5896" w:rsidRDefault="006055F2" w:rsidP="006055F2">
      <w:pPr>
        <w:pStyle w:val="NormalWeb"/>
        <w:spacing w:line="360" w:lineRule="atLeast"/>
        <w:rPr>
          <w:rStyle w:val="Emphasis"/>
          <w:rFonts w:asciiTheme="minorHAnsi" w:hAnsiTheme="minorHAnsi" w:cstheme="minorHAnsi"/>
          <w:i w:val="0"/>
          <w:iCs w:val="0"/>
          <w:color w:val="282828"/>
          <w:shd w:val="clear" w:color="auto" w:fill="F7F7F7"/>
        </w:rPr>
      </w:pPr>
      <w:r w:rsidRPr="008F5896">
        <w:rPr>
          <w:rFonts w:asciiTheme="minorHAnsi" w:eastAsiaTheme="minorHAnsi" w:hAnsiTheme="minorHAnsi" w:cstheme="minorHAnsi"/>
          <w:color w:val="282828"/>
          <w:shd w:val="clear" w:color="auto" w:fill="F7F7F7"/>
          <w:lang w:eastAsia="en-US"/>
        </w:rPr>
        <w:t>V</w:t>
      </w:r>
      <w:r w:rsidRPr="008F5896">
        <w:rPr>
          <w:rFonts w:asciiTheme="minorHAnsi" w:eastAsiaTheme="minorHAnsi" w:hAnsiTheme="minorHAnsi" w:cstheme="minorHAnsi"/>
          <w:color w:val="2A2A2A"/>
          <w:shd w:val="clear" w:color="auto" w:fill="FFFFFF"/>
          <w:lang w:eastAsia="en-US"/>
        </w:rPr>
        <w:t xml:space="preserve">iolent and physical attacks on police officers tend to arise suddenly and are often unanticipated and accompanied by a high degree of aggression and brutality (Renden et al 2015). Appropriate </w:t>
      </w:r>
      <w:r w:rsidRPr="008F5896">
        <w:rPr>
          <w:rFonts w:asciiTheme="minorHAnsi" w:hAnsiTheme="minorHAnsi" w:cstheme="minorHAnsi"/>
          <w:color w:val="2A2A2A"/>
          <w:shd w:val="clear" w:color="auto" w:fill="FFFFFF"/>
        </w:rPr>
        <w:t xml:space="preserve">training plays a role in an officer’s skill development where </w:t>
      </w:r>
      <w:bookmarkStart w:id="0" w:name="_Hlk129195741"/>
      <w:r w:rsidRPr="008F5896">
        <w:rPr>
          <w:rFonts w:asciiTheme="minorHAnsi" w:hAnsiTheme="minorHAnsi" w:cstheme="minorHAnsi"/>
          <w:color w:val="2A2A2A"/>
          <w:shd w:val="clear" w:color="auto" w:fill="FFFFFF"/>
        </w:rPr>
        <w:t>Koerner and Staller (2021a)</w:t>
      </w:r>
      <w:bookmarkEnd w:id="0"/>
      <w:r w:rsidRPr="008F5896">
        <w:rPr>
          <w:rFonts w:asciiTheme="minorHAnsi" w:hAnsiTheme="minorHAnsi" w:cstheme="minorHAnsi"/>
          <w:color w:val="2A2A2A"/>
          <w:shd w:val="clear" w:color="auto" w:fill="FFFFFF"/>
        </w:rPr>
        <w:t xml:space="preserve"> argued that conflict training should prepare officers for the demands of the role and this training should allow the link between professional practice and education.</w:t>
      </w:r>
      <w:r w:rsidRPr="008F5896">
        <w:rPr>
          <w:rFonts w:asciiTheme="minorHAnsi" w:eastAsiaTheme="minorHAnsi" w:hAnsiTheme="minorHAnsi" w:cstheme="minorHAnsi"/>
          <w:color w:val="2A2A2A"/>
          <w:shd w:val="clear" w:color="auto" w:fill="FFFFFF"/>
          <w:lang w:eastAsia="en-US"/>
        </w:rPr>
        <w:t xml:space="preserve"> Yet in a small study of German Police officers, </w:t>
      </w:r>
      <w:r w:rsidRPr="008F5896">
        <w:rPr>
          <w:rFonts w:asciiTheme="minorHAnsi" w:hAnsiTheme="minorHAnsi" w:cstheme="minorHAnsi"/>
          <w:color w:val="2A2A2A"/>
          <w:shd w:val="clear" w:color="auto" w:fill="FFFFFF"/>
        </w:rPr>
        <w:t xml:space="preserve">Koerner and Staller (2021b) identified that </w:t>
      </w:r>
      <w:r w:rsidRPr="008F5896">
        <w:rPr>
          <w:rFonts w:asciiTheme="minorHAnsi" w:hAnsiTheme="minorHAnsi" w:cstheme="minorHAnsi"/>
          <w:color w:val="282828"/>
          <w:shd w:val="clear" w:color="auto" w:fill="F7F7F7"/>
        </w:rPr>
        <w:t>17 out of 29 police officers stated that their police training had not prepared them for conflict situations and suggested there was a significant difference between real life and training, stating training was not</w:t>
      </w:r>
      <w:r w:rsidRPr="008F5896">
        <w:rPr>
          <w:rFonts w:asciiTheme="minorHAnsi" w:hAnsiTheme="minorHAnsi" w:cstheme="minorHAnsi"/>
          <w:i/>
          <w:iCs/>
          <w:color w:val="282828"/>
          <w:shd w:val="clear" w:color="auto" w:fill="F7F7F7"/>
        </w:rPr>
        <w:t> </w:t>
      </w:r>
      <w:r w:rsidRPr="008F5896">
        <w:rPr>
          <w:rStyle w:val="Emphasis"/>
          <w:rFonts w:asciiTheme="minorHAnsi" w:hAnsiTheme="minorHAnsi" w:cstheme="minorHAnsi"/>
          <w:i w:val="0"/>
          <w:iCs w:val="0"/>
          <w:color w:val="282828"/>
          <w:shd w:val="clear" w:color="auto" w:fill="F7F7F7"/>
        </w:rPr>
        <w:t xml:space="preserve">close to reality. I would agree with the findings of the study by Koerner and Staller as I feel that the training I have had so far in relation to conflict, and deescalating violent and aggressive behaviour has only minimally prepared me for what I am currently dealing with. </w:t>
      </w:r>
    </w:p>
    <w:p w14:paraId="4B3C0F1D" w14:textId="77777777" w:rsidR="006055F2" w:rsidRPr="008F5896" w:rsidRDefault="006055F2" w:rsidP="006055F2">
      <w:pPr>
        <w:pStyle w:val="NormalWeb"/>
        <w:spacing w:line="360" w:lineRule="atLeast"/>
        <w:rPr>
          <w:rFonts w:asciiTheme="minorHAnsi" w:eastAsiaTheme="minorHAnsi" w:hAnsiTheme="minorHAnsi" w:cstheme="minorHAnsi"/>
          <w:i/>
          <w:iCs/>
          <w:color w:val="2A2A2A"/>
          <w:shd w:val="clear" w:color="auto" w:fill="FFFFFF"/>
          <w:lang w:eastAsia="en-US"/>
        </w:rPr>
      </w:pPr>
      <w:r w:rsidRPr="008F5896">
        <w:rPr>
          <w:rStyle w:val="Emphasis"/>
          <w:rFonts w:asciiTheme="minorHAnsi" w:hAnsiTheme="minorHAnsi" w:cstheme="minorHAnsi"/>
          <w:i w:val="0"/>
          <w:iCs w:val="0"/>
          <w:color w:val="282828"/>
          <w:shd w:val="clear" w:color="auto" w:fill="F7F7F7"/>
        </w:rPr>
        <w:t xml:space="preserve">It appears that people in society have no issue in using aggressive or violent behaviour toward police and being able to act appropriately avoiding harm to all involved is often difficult and requires the appropriate attitude and a range of skills that can be influences by time. Engel et al (2020) has discussed the possibility that de-escalation training effectiveness increases over time as individuals encounter more opportunities to use the skills. Yet an alternative view is that skills and knowledge </w:t>
      </w:r>
      <w:r w:rsidRPr="008F5896">
        <w:rPr>
          <w:rFonts w:asciiTheme="minorHAnsi" w:hAnsiTheme="minorHAnsi" w:cstheme="minorHAnsi"/>
          <w:color w:val="1C1D1E"/>
          <w:shd w:val="clear" w:color="auto" w:fill="FFFFFF"/>
        </w:rPr>
        <w:t>gained through de-escalation training could be highly susceptible to decay as a result of the effects of time on memory and potential infrequent opportunities for its use.</w:t>
      </w:r>
    </w:p>
    <w:p w14:paraId="5A1C99D5" w14:textId="77777777" w:rsidR="006055F2" w:rsidRPr="008F5896" w:rsidRDefault="006055F2" w:rsidP="006055F2">
      <w:pPr>
        <w:pStyle w:val="NormalWeb"/>
        <w:spacing w:line="360" w:lineRule="atLeast"/>
        <w:rPr>
          <w:rFonts w:asciiTheme="minorHAnsi" w:eastAsiaTheme="minorHAnsi" w:hAnsiTheme="minorHAnsi" w:cstheme="minorHAnsi"/>
          <w:color w:val="2A2A2A"/>
          <w:shd w:val="clear" w:color="auto" w:fill="FFFFFF"/>
          <w:lang w:eastAsia="en-US"/>
        </w:rPr>
      </w:pPr>
      <w:r w:rsidRPr="008F5896">
        <w:rPr>
          <w:rFonts w:asciiTheme="minorHAnsi" w:eastAsiaTheme="minorHAnsi" w:hAnsiTheme="minorHAnsi" w:cstheme="minorHAnsi"/>
          <w:color w:val="2A2A2A"/>
          <w:shd w:val="clear" w:color="auto" w:fill="FFFFFF"/>
          <w:lang w:eastAsia="en-US"/>
        </w:rPr>
        <w:t xml:space="preserve">The College of Policing (2020) have </w:t>
      </w:r>
      <w:r>
        <w:rPr>
          <w:rFonts w:asciiTheme="minorHAnsi" w:eastAsiaTheme="minorHAnsi" w:hAnsiTheme="minorHAnsi" w:cstheme="minorHAnsi"/>
          <w:color w:val="2A2A2A"/>
          <w:shd w:val="clear" w:color="auto" w:fill="FFFFFF"/>
          <w:lang w:eastAsia="en-US"/>
        </w:rPr>
        <w:t xml:space="preserve">also </w:t>
      </w:r>
      <w:r w:rsidRPr="008F5896">
        <w:rPr>
          <w:rFonts w:asciiTheme="minorHAnsi" w:eastAsiaTheme="minorHAnsi" w:hAnsiTheme="minorHAnsi" w:cstheme="minorHAnsi"/>
          <w:color w:val="2A2A2A"/>
          <w:shd w:val="clear" w:color="auto" w:fill="FFFFFF"/>
          <w:lang w:eastAsia="en-US"/>
        </w:rPr>
        <w:t>advocated , as part of a decision making model, the BUGEE mnemonic to help officers to assess risk and decide on the most appropriate action</w:t>
      </w:r>
      <w:r>
        <w:rPr>
          <w:rFonts w:asciiTheme="minorHAnsi" w:eastAsiaTheme="minorHAnsi" w:hAnsiTheme="minorHAnsi" w:cstheme="minorHAnsi"/>
          <w:color w:val="2A2A2A"/>
          <w:shd w:val="clear" w:color="auto" w:fill="FFFFFF"/>
          <w:lang w:eastAsia="en-US"/>
        </w:rPr>
        <w:t xml:space="preserve"> to use when dealing with conflict</w:t>
      </w:r>
      <w:r w:rsidRPr="008F5896">
        <w:rPr>
          <w:rFonts w:asciiTheme="minorHAnsi" w:eastAsiaTheme="minorHAnsi" w:hAnsiTheme="minorHAnsi" w:cstheme="minorHAnsi"/>
          <w:color w:val="2A2A2A"/>
          <w:shd w:val="clear" w:color="auto" w:fill="FFFFFF"/>
          <w:lang w:eastAsia="en-US"/>
        </w:rPr>
        <w:t xml:space="preserve">. This includes; Be prepared to back off, Use of effective cover, Give space and time, Early negotiation and Evacuate immediate areas. </w:t>
      </w:r>
      <w:r>
        <w:rPr>
          <w:rFonts w:asciiTheme="minorHAnsi" w:eastAsiaTheme="minorHAnsi" w:hAnsiTheme="minorHAnsi" w:cstheme="minorHAnsi"/>
          <w:color w:val="2A2A2A"/>
          <w:shd w:val="clear" w:color="auto" w:fill="FFFFFF"/>
          <w:lang w:eastAsia="en-US"/>
        </w:rPr>
        <w:t>I was aware of this model however, i</w:t>
      </w:r>
      <w:r w:rsidRPr="008F5896">
        <w:rPr>
          <w:rFonts w:asciiTheme="minorHAnsi" w:eastAsiaTheme="minorHAnsi" w:hAnsiTheme="minorHAnsi" w:cstheme="minorHAnsi"/>
          <w:color w:val="2A2A2A"/>
          <w:shd w:val="clear" w:color="auto" w:fill="FFFFFF"/>
          <w:lang w:eastAsia="en-US"/>
        </w:rPr>
        <w:t xml:space="preserve">n the situation discussed there was no real need to use this model as it did not fit with the situation in question as I de-escalated through the cell door.  </w:t>
      </w:r>
    </w:p>
    <w:p w14:paraId="16467977" w14:textId="12B8F951" w:rsidR="006055F2" w:rsidRPr="008F5896" w:rsidRDefault="006055F2" w:rsidP="006055F2">
      <w:pPr>
        <w:pStyle w:val="xmsonormal"/>
        <w:shd w:val="clear" w:color="auto" w:fill="FFFFFF"/>
        <w:spacing w:before="0" w:beforeAutospacing="0" w:after="0" w:afterAutospacing="0"/>
        <w:rPr>
          <w:rFonts w:asciiTheme="minorHAnsi" w:eastAsiaTheme="minorHAnsi" w:hAnsiTheme="minorHAnsi" w:cstheme="minorHAnsi"/>
          <w:color w:val="2A2A2A"/>
          <w:shd w:val="clear" w:color="auto" w:fill="FFFFFF"/>
          <w:lang w:eastAsia="en-US"/>
        </w:rPr>
      </w:pPr>
    </w:p>
    <w:p w14:paraId="28AE9217" w14:textId="77777777" w:rsidR="006055F2" w:rsidRPr="008F5896" w:rsidRDefault="006055F2" w:rsidP="006055F2">
      <w:pPr>
        <w:pStyle w:val="xmsonormal"/>
        <w:shd w:val="clear" w:color="auto" w:fill="FFFFFF"/>
        <w:spacing w:before="0" w:beforeAutospacing="0" w:after="0" w:afterAutospacing="0" w:line="360" w:lineRule="auto"/>
        <w:rPr>
          <w:rFonts w:asciiTheme="minorHAnsi" w:hAnsiTheme="minorHAnsi" w:cstheme="minorHAnsi"/>
          <w:color w:val="242424"/>
        </w:rPr>
      </w:pPr>
      <w:r w:rsidRPr="008F5896">
        <w:rPr>
          <w:rFonts w:asciiTheme="minorHAnsi" w:eastAsiaTheme="minorHAnsi" w:hAnsiTheme="minorHAnsi" w:cstheme="minorHAnsi"/>
          <w:color w:val="2A2A2A"/>
          <w:shd w:val="clear" w:color="auto" w:fill="FFFFFF"/>
          <w:lang w:eastAsia="en-US"/>
        </w:rPr>
        <w:t>The College of Policing (2020) have suggested that all officers would prefer to deal with conflict without having to use force although they must act where necessary to protect the public, themselves or to arrest someone.</w:t>
      </w:r>
      <w:r w:rsidRPr="008F5896">
        <w:rPr>
          <w:rFonts w:asciiTheme="minorHAnsi" w:eastAsiaTheme="minorHAnsi" w:hAnsiTheme="minorHAnsi" w:cstheme="minorHAnsi"/>
          <w:color w:val="282828"/>
          <w:shd w:val="clear" w:color="auto" w:fill="F7F7F7"/>
          <w:lang w:eastAsia="en-US"/>
        </w:rPr>
        <w:t xml:space="preserve"> The ability of officers to pick up on cues, behaviour and attitudes </w:t>
      </w:r>
      <w:r w:rsidRPr="008F5896">
        <w:rPr>
          <w:rFonts w:asciiTheme="minorHAnsi" w:eastAsiaTheme="minorHAnsi" w:hAnsiTheme="minorHAnsi" w:cstheme="minorHAnsi"/>
          <w:color w:val="282828"/>
          <w:shd w:val="clear" w:color="auto" w:fill="F7F7F7"/>
          <w:lang w:eastAsia="en-US"/>
        </w:rPr>
        <w:lastRenderedPageBreak/>
        <w:t xml:space="preserve">early, with the use of effective communication skills, both verbal and nonverbal, can ultimately deescalate a situation and reduce any harmful effects of violent or aggressive behaviour. </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9E5E5B7" w14:textId="77777777" w:rsidR="006055F2" w:rsidRPr="006055F2" w:rsidRDefault="006055F2" w:rsidP="006055F2">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6055F2">
        <w:rPr>
          <w:rFonts w:asciiTheme="minorHAnsi" w:hAnsiTheme="minorHAnsi" w:cstheme="minorHAnsi"/>
          <w:color w:val="auto"/>
          <w:sz w:val="24"/>
          <w:szCs w:val="24"/>
        </w:rPr>
        <w:t xml:space="preserve">Society expects police officers to maintain the safety and well-being of people, and ultimately this requires officers to do the right thing, at the right time, in right way. This often involves making decisions that can be difficult and complex. </w:t>
      </w:r>
      <w:r w:rsidRPr="006055F2">
        <w:rPr>
          <w:rFonts w:asciiTheme="minorHAnsi" w:hAnsiTheme="minorHAnsi" w:cstheme="minorHAnsi"/>
          <w:color w:val="333333"/>
          <w:sz w:val="24"/>
          <w:szCs w:val="24"/>
          <w:shd w:val="clear" w:color="auto" w:fill="FFFFFF"/>
        </w:rPr>
        <w:t>Saus et al.</w:t>
      </w:r>
      <w:r w:rsidRPr="006055F2">
        <w:rPr>
          <w:rFonts w:asciiTheme="minorHAnsi" w:hAnsiTheme="minorHAnsi" w:cstheme="minorHAnsi"/>
          <w:i/>
          <w:iCs/>
          <w:color w:val="333333"/>
          <w:sz w:val="24"/>
          <w:szCs w:val="24"/>
          <w:shd w:val="clear" w:color="auto" w:fill="FFFFFF"/>
        </w:rPr>
        <w:t>,</w:t>
      </w:r>
      <w:r w:rsidRPr="006055F2">
        <w:rPr>
          <w:rFonts w:asciiTheme="minorHAnsi" w:hAnsiTheme="minorHAnsi" w:cstheme="minorHAnsi"/>
          <w:color w:val="333333"/>
          <w:sz w:val="24"/>
          <w:szCs w:val="24"/>
          <w:shd w:val="clear" w:color="auto" w:fill="FFFFFF"/>
        </w:rPr>
        <w:t> (2006) identified that every situation encountered by an officer can evolve rapidly and has the potential to occur in a complex and dynamic environment, involving a great deal of uncertainty. Yet, the role requires officers to uphold a range of values, utilise the legal system effectively, to undertake the role in a professional manner and be ethical in their approach to each situation. </w:t>
      </w:r>
      <w:r w:rsidRPr="006055F2">
        <w:rPr>
          <w:rFonts w:asciiTheme="minorHAnsi" w:hAnsiTheme="minorHAnsi" w:cstheme="minorHAnsi"/>
          <w:color w:val="auto"/>
          <w:sz w:val="24"/>
          <w:szCs w:val="24"/>
        </w:rPr>
        <w:t xml:space="preserve"> Jackson et al (2012) have suggested there is a need for police to behave in ways which are fair and moral, </w:t>
      </w:r>
      <w:r w:rsidRPr="006055F2">
        <w:rPr>
          <w:rFonts w:ascii="Times New Roman" w:hAnsi="Times New Roman" w:cs="Times New Roman"/>
          <w:color w:val="auto"/>
          <w:sz w:val="24"/>
          <w:szCs w:val="24"/>
        </w:rPr>
        <w:t>showing that the police understand and share the values of the public.</w:t>
      </w:r>
    </w:p>
    <w:p w14:paraId="03AA9F7C" w14:textId="77777777" w:rsidR="006055F2" w:rsidRPr="006055F2" w:rsidRDefault="006055F2" w:rsidP="006055F2">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O</w:t>
      </w:r>
      <w:r w:rsidRPr="006055F2">
        <w:rPr>
          <w:rFonts w:asciiTheme="minorHAnsi" w:hAnsiTheme="minorHAnsi" w:cstheme="minorHAnsi"/>
          <w:color w:val="333333"/>
          <w:sz w:val="24"/>
          <w:szCs w:val="24"/>
          <w:shd w:val="clear" w:color="auto" w:fill="FFFFFF"/>
        </w:rPr>
        <w:t xml:space="preserve">fficers frequently have to react quickly and decide what to do and determine whether force is needed or not. </w:t>
      </w:r>
      <w:r w:rsidRPr="006055F2">
        <w:rPr>
          <w:rFonts w:asciiTheme="minorHAnsi" w:hAnsiTheme="minorHAnsi" w:cstheme="minorHAnsi"/>
          <w:color w:val="auto"/>
          <w:sz w:val="24"/>
          <w:szCs w:val="24"/>
        </w:rPr>
        <w:t xml:space="preserve"> The College of Policing (2014) Code of Ethics, stated these responses and decisions should be underpinned by specific behaviours that promote, reinforce and support the highest standards. These behaviours include the officer being professional at all times, showing fairness and impartiality, to act with honesty and integrity, being inclusive, ensuring equality, addressing diversity, having moral courage and being flexible and willing to change a course of action if </w:t>
      </w:r>
      <w:r w:rsidRPr="006055F2">
        <w:rPr>
          <w:rFonts w:asciiTheme="minorHAnsi" w:hAnsiTheme="minorHAnsi" w:cstheme="minorHAnsi"/>
          <w:color w:val="auto"/>
          <w:sz w:val="24"/>
          <w:szCs w:val="24"/>
        </w:rPr>
        <w:lastRenderedPageBreak/>
        <w:t>necessary (College of Policing 2014). Additionally, promoting, supporting and reinforcing ethical behaviour is essential which includes considering beneficence and non-maleficence which require police officers to ‘do good’ and ‘to do no harm’, as well as ensuring autonomy and justice by respecting individual choices within reason, within the legal system and allowing and abiding by human rights legislation (Neyroud 2008).</w:t>
      </w:r>
    </w:p>
    <w:p w14:paraId="43B51138" w14:textId="77777777" w:rsidR="006055F2" w:rsidRPr="006055F2" w:rsidRDefault="006055F2" w:rsidP="006055F2">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 xml:space="preserve">I will reflect on an incident where I had to consider my ability to be fair, demonstrate objectivity, show integrity by doing the right thing, respecting each person involved in the incident as well as upholding the law.   </w:t>
      </w:r>
    </w:p>
    <w:p w14:paraId="14625B87" w14:textId="77777777" w:rsidR="006055F2" w:rsidRPr="006055F2" w:rsidRDefault="006055F2" w:rsidP="006055F2">
      <w:pPr>
        <w:shd w:val="clear" w:color="auto" w:fill="FFFFFF"/>
        <w:overflowPunct/>
        <w:autoSpaceDE/>
        <w:autoSpaceDN/>
        <w:adjustRightInd/>
        <w:spacing w:after="120" w:line="360" w:lineRule="auto"/>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 xml:space="preserve">I was involved in an incident where a 999 call was made by a third person who heard a disturbance between a male and female, indicating they had heard constant arguing and were concerned for the welfare of those involved. On attendance I took the details of the parties in question, they confirmed to me that they were Nigerian nationals and had been involved in a domestic related incident. </w:t>
      </w:r>
    </w:p>
    <w:p w14:paraId="1C5DF6C7" w14:textId="77777777" w:rsidR="006055F2" w:rsidRPr="006055F2" w:rsidRDefault="006055F2" w:rsidP="006055F2">
      <w:pPr>
        <w:shd w:val="clear" w:color="auto" w:fill="FFFFFF"/>
        <w:overflowPunct/>
        <w:autoSpaceDE/>
        <w:autoSpaceDN/>
        <w:adjustRightInd/>
        <w:spacing w:after="120" w:line="360" w:lineRule="auto"/>
        <w:textAlignment w:val="auto"/>
        <w:rPr>
          <w:rFonts w:asciiTheme="minorHAnsi" w:hAnsiTheme="minorHAnsi" w:cstheme="minorHAnsi"/>
          <w:sz w:val="24"/>
          <w:szCs w:val="24"/>
        </w:rPr>
      </w:pPr>
      <w:r w:rsidRPr="006055F2">
        <w:rPr>
          <w:rFonts w:asciiTheme="minorHAnsi" w:hAnsiTheme="minorHAnsi" w:cstheme="minorHAnsi"/>
          <w:color w:val="auto"/>
          <w:sz w:val="24"/>
          <w:szCs w:val="24"/>
        </w:rPr>
        <w:t xml:space="preserve">The discussion that ensued, and the disclosure made, was recorded on a police body worn camera with the male person indicating that the woman was not pulling her weight around the house and as a result he had chastised her. The female disclosed to being slapped by her partner but indicated that this behaviour was part of their culture. </w:t>
      </w:r>
      <w:r w:rsidRPr="006055F2">
        <w:rPr>
          <w:rFonts w:asciiTheme="minorHAnsi" w:hAnsiTheme="minorHAnsi" w:cstheme="minorHAnsi"/>
          <w:color w:val="4D5156"/>
          <w:sz w:val="24"/>
          <w:szCs w:val="24"/>
          <w:shd w:val="clear" w:color="auto" w:fill="FFFFFF"/>
        </w:rPr>
        <w:t>Culture refers to the general customs and beliefs, of a particular group and in some cultures, it is deemed appropriate to chastise a partner.</w:t>
      </w:r>
      <w:r w:rsidRPr="006055F2">
        <w:rPr>
          <w:rFonts w:asciiTheme="minorHAnsi" w:hAnsiTheme="minorHAnsi" w:cstheme="minorHAnsi"/>
          <w:color w:val="auto"/>
          <w:sz w:val="24"/>
          <w:szCs w:val="24"/>
        </w:rPr>
        <w:t xml:space="preserve"> In this case the female believed that it was acceptable for her husband to use physical violence as chastisement. Uwe et al (2007) identified that </w:t>
      </w:r>
      <w:r w:rsidRPr="006055F2">
        <w:rPr>
          <w:rFonts w:asciiTheme="minorHAnsi" w:hAnsiTheme="minorHAnsi" w:cstheme="minorHAnsi"/>
          <w:color w:val="000000" w:themeColor="text1"/>
          <w:sz w:val="24"/>
          <w:szCs w:val="24"/>
        </w:rPr>
        <w:t>gendered hierarchies are seen in Nigerian culture and are the foundations on which gender inequality and power are maintained through violence</w:t>
      </w:r>
      <w:r w:rsidRPr="006055F2">
        <w:rPr>
          <w:rFonts w:asciiTheme="minorHAnsi" w:hAnsiTheme="minorHAnsi" w:cstheme="minorHAnsi"/>
          <w:color w:val="FF0000"/>
          <w:sz w:val="24"/>
          <w:szCs w:val="24"/>
        </w:rPr>
        <w:t xml:space="preserve">. </w:t>
      </w:r>
      <w:r w:rsidRPr="006055F2">
        <w:rPr>
          <w:rFonts w:asciiTheme="minorHAnsi" w:hAnsiTheme="minorHAnsi" w:cstheme="minorHAnsi"/>
          <w:color w:val="auto"/>
          <w:sz w:val="24"/>
          <w:szCs w:val="24"/>
        </w:rPr>
        <w:t xml:space="preserve">However, this behaviour is not acceptable within the British justice system as it is contrary to the Criminal Justice Act (1988);S 39 which states that an assault is any act by which a person intentionally or recklessly causes another to suffer or apprehend immediate unlawful violence. </w:t>
      </w:r>
    </w:p>
    <w:p w14:paraId="5BD0F4A0" w14:textId="77777777" w:rsidR="006055F2" w:rsidRPr="006055F2" w:rsidRDefault="006055F2" w:rsidP="006055F2">
      <w:pPr>
        <w:shd w:val="clear" w:color="auto" w:fill="FFFFFF"/>
        <w:overflowPunct/>
        <w:autoSpaceDE/>
        <w:autoSpaceDN/>
        <w:adjustRightInd/>
        <w:spacing w:after="120" w:line="360" w:lineRule="auto"/>
        <w:textAlignment w:val="auto"/>
        <w:rPr>
          <w:rFonts w:asciiTheme="minorHAnsi" w:hAnsiTheme="minorHAnsi" w:cstheme="minorHAnsi"/>
          <w:color w:val="4D5156"/>
          <w:sz w:val="24"/>
          <w:szCs w:val="24"/>
          <w:shd w:val="clear" w:color="auto" w:fill="FFFFFF"/>
        </w:rPr>
      </w:pPr>
      <w:r w:rsidRPr="006055F2">
        <w:rPr>
          <w:rFonts w:asciiTheme="minorHAnsi" w:hAnsiTheme="minorHAnsi" w:cstheme="minorHAnsi"/>
          <w:color w:val="4D5156"/>
          <w:sz w:val="24"/>
          <w:szCs w:val="24"/>
          <w:shd w:val="clear" w:color="auto" w:fill="FFFFFF"/>
        </w:rPr>
        <w:t>The police recorded a total of 1,459,663 domestic abuse-related incidents and crimes in England and Wales in the year ending March 2021 (ONS, 2021). Additionally, t</w:t>
      </w:r>
      <w:r w:rsidRPr="006055F2">
        <w:rPr>
          <w:rFonts w:asciiTheme="minorHAnsi" w:hAnsiTheme="minorHAnsi" w:cstheme="minorHAnsi"/>
          <w:color w:val="auto"/>
          <w:sz w:val="24"/>
          <w:szCs w:val="24"/>
        </w:rPr>
        <w:t xml:space="preserve">he Office of National Statistics (ONS 2014) reports that England and Wales have become more ethnically diverse with rising numbers belonging to minority groups. This increase of minority ethnic populations also brings cultural diversification which generally means new forms of gender-based violence which are different to those experienced by the majority group (Smeaton 2013; Ajayi et al 2021). Fernandez </w:t>
      </w:r>
      <w:r w:rsidRPr="006055F2">
        <w:rPr>
          <w:rFonts w:asciiTheme="minorHAnsi" w:hAnsiTheme="minorHAnsi" w:cstheme="minorHAnsi"/>
          <w:color w:val="auto"/>
          <w:sz w:val="24"/>
          <w:szCs w:val="24"/>
        </w:rPr>
        <w:lastRenderedPageBreak/>
        <w:t xml:space="preserve">(2006) has indicated that a greater </w:t>
      </w:r>
      <w:r w:rsidRPr="006055F2">
        <w:rPr>
          <w:rFonts w:asciiTheme="minorHAnsi" w:hAnsiTheme="minorHAnsi" w:cstheme="minorHAnsi"/>
          <w:color w:val="4D5156"/>
          <w:sz w:val="24"/>
          <w:szCs w:val="24"/>
          <w:shd w:val="clear" w:color="auto" w:fill="FFFFFF"/>
        </w:rPr>
        <w:t xml:space="preserve">understanding of the cultural context of domestic abuse is needed to ensure that police are able to deal with this ‘public health’ issue effectively and sensitively. </w:t>
      </w:r>
    </w:p>
    <w:p w14:paraId="7A459123" w14:textId="77777777" w:rsidR="006055F2" w:rsidRPr="006055F2" w:rsidRDefault="006055F2" w:rsidP="006055F2">
      <w:pPr>
        <w:shd w:val="clear" w:color="auto" w:fill="FFFFFF"/>
        <w:overflowPunct/>
        <w:autoSpaceDE/>
        <w:autoSpaceDN/>
        <w:adjustRightInd/>
        <w:spacing w:after="120" w:line="360" w:lineRule="auto"/>
        <w:textAlignment w:val="auto"/>
        <w:rPr>
          <w:rFonts w:asciiTheme="minorHAnsi" w:hAnsiTheme="minorHAnsi" w:cstheme="minorHAnsi"/>
          <w:sz w:val="24"/>
          <w:szCs w:val="24"/>
        </w:rPr>
      </w:pPr>
      <w:r w:rsidRPr="006055F2">
        <w:rPr>
          <w:rFonts w:asciiTheme="minorHAnsi" w:hAnsiTheme="minorHAnsi" w:cstheme="minorHAnsi"/>
          <w:color w:val="auto"/>
          <w:sz w:val="24"/>
          <w:szCs w:val="24"/>
        </w:rPr>
        <w:t xml:space="preserve">A domestic related incident was categorised in this case and the Domestic Abuse Act (2021) was referred to as it </w:t>
      </w:r>
      <w:r w:rsidRPr="006055F2">
        <w:rPr>
          <w:rFonts w:asciiTheme="minorHAnsi" w:hAnsiTheme="minorHAnsi" w:cstheme="minorHAnsi"/>
          <w:sz w:val="24"/>
          <w:szCs w:val="24"/>
        </w:rPr>
        <w:t>defines behaviour as “abusive” if it consists of any of the following; physical or sexual abuse; violent or threatening behaviour; controlling or coercive behaviour; economic abuse and psychological, emotional or other abuse; and it does not matter whether the behaviour consists of a single incident or a number of incidents. It was evident that this was deemed a single incident as there had been no other reported prior incidents.</w:t>
      </w:r>
    </w:p>
    <w:p w14:paraId="59DDE4F3" w14:textId="77777777" w:rsidR="006055F2" w:rsidRPr="006055F2" w:rsidRDefault="006055F2" w:rsidP="006055F2">
      <w:pPr>
        <w:overflowPunct/>
        <w:autoSpaceDE/>
        <w:autoSpaceDN/>
        <w:adjustRightInd/>
        <w:spacing w:before="100" w:beforeAutospacing="1" w:after="100" w:afterAutospacing="1" w:line="360" w:lineRule="auto"/>
        <w:textAlignment w:val="auto"/>
        <w:rPr>
          <w:rFonts w:asciiTheme="minorHAnsi" w:hAnsiTheme="minorHAnsi" w:cstheme="minorHAnsi"/>
          <w:color w:val="2E2E2E"/>
          <w:sz w:val="24"/>
          <w:szCs w:val="24"/>
        </w:rPr>
      </w:pPr>
      <w:r w:rsidRPr="006055F2">
        <w:rPr>
          <w:rFonts w:asciiTheme="minorHAnsi" w:hAnsiTheme="minorHAnsi" w:cstheme="minorHAnsi"/>
          <w:color w:val="auto"/>
          <w:sz w:val="24"/>
          <w:szCs w:val="24"/>
        </w:rPr>
        <w:t>Both individuals from this incident were able to speak English, but English was not their first language. It appeared the male had a lesser ability to communicate clearly in English and struggled with some understanding. L</w:t>
      </w:r>
      <w:r w:rsidRPr="006055F2">
        <w:rPr>
          <w:rFonts w:asciiTheme="minorHAnsi" w:hAnsiTheme="minorHAnsi" w:cstheme="minorHAnsi"/>
          <w:color w:val="2E2E2E"/>
          <w:sz w:val="24"/>
          <w:szCs w:val="24"/>
        </w:rPr>
        <w:t xml:space="preserve">anguage, is an aspect of culture which plays an important role in interactions with the police. However, Trosborg (2010) suggested that language and culture are intertwined and shape each other. Nevertheless, police have to take their time and be sensitive to culture and language which could ultimately lead to difficulties in communication and understanding, with these potentially affecting or influencing the overall outcome. </w:t>
      </w:r>
    </w:p>
    <w:p w14:paraId="30A51439" w14:textId="77777777" w:rsidR="006055F2" w:rsidRPr="006055F2" w:rsidRDefault="006055F2" w:rsidP="006055F2">
      <w:pPr>
        <w:overflowPunct/>
        <w:autoSpaceDE/>
        <w:autoSpaceDN/>
        <w:adjustRightInd/>
        <w:spacing w:before="100" w:beforeAutospacing="1" w:after="100" w:afterAutospacing="1" w:line="360" w:lineRule="auto"/>
        <w:textAlignment w:val="auto"/>
        <w:rPr>
          <w:rFonts w:asciiTheme="minorHAnsi" w:hAnsiTheme="minorHAnsi" w:cstheme="minorHAnsi"/>
          <w:color w:val="2E2E2E"/>
          <w:sz w:val="24"/>
          <w:szCs w:val="24"/>
        </w:rPr>
      </w:pPr>
      <w:r w:rsidRPr="006055F2">
        <w:rPr>
          <w:rFonts w:asciiTheme="minorHAnsi" w:hAnsiTheme="minorHAnsi" w:cstheme="minorHAnsi"/>
          <w:color w:val="2E2E2E"/>
          <w:sz w:val="24"/>
          <w:szCs w:val="24"/>
        </w:rPr>
        <w:t xml:space="preserve">Consideration was given to the potential need for an interpreter for the female although her language skills were better than the male. The use of an interpreter service via the use of language line were offered to the female however they were declined.   Clear and careful communication was used with both parties. Although, this was particularly important for the female victim especially as Right 1 under the Victim’s Code (2021) is to be able to understand and to be understood. </w:t>
      </w:r>
    </w:p>
    <w:p w14:paraId="48058F4C" w14:textId="77777777" w:rsidR="006055F2" w:rsidRPr="006055F2" w:rsidRDefault="006055F2" w:rsidP="006055F2">
      <w:pPr>
        <w:overflowPunct/>
        <w:autoSpaceDE/>
        <w:autoSpaceDN/>
        <w:adjustRightInd/>
        <w:spacing w:before="100" w:beforeAutospacing="1" w:after="100" w:afterAutospacing="1" w:line="360" w:lineRule="auto"/>
        <w:textAlignment w:val="auto"/>
        <w:rPr>
          <w:rFonts w:asciiTheme="minorHAnsi" w:hAnsiTheme="minorHAnsi" w:cstheme="minorHAnsi"/>
          <w:color w:val="2E2E2E"/>
          <w:sz w:val="24"/>
          <w:szCs w:val="24"/>
        </w:rPr>
      </w:pPr>
      <w:r w:rsidRPr="006055F2">
        <w:rPr>
          <w:rFonts w:asciiTheme="minorHAnsi" w:hAnsiTheme="minorHAnsi" w:cstheme="minorHAnsi"/>
          <w:color w:val="2E2E2E"/>
          <w:sz w:val="24"/>
          <w:szCs w:val="24"/>
        </w:rPr>
        <w:t>The male in this case was arrested with the m</w:t>
      </w:r>
      <w:r w:rsidRPr="006055F2">
        <w:rPr>
          <w:rFonts w:asciiTheme="minorHAnsi" w:hAnsiTheme="minorHAnsi" w:cstheme="minorHAnsi"/>
          <w:color w:val="auto"/>
          <w:sz w:val="24"/>
          <w:szCs w:val="24"/>
        </w:rPr>
        <w:t xml:space="preserve">inimal use of force and was taken into custody. He was later interviewed with relation to his suspected involvement in an assault upon the female. Due to his language difficulties an interpreter was used </w:t>
      </w:r>
      <w:r w:rsidRPr="006055F2">
        <w:rPr>
          <w:rFonts w:asciiTheme="minorHAnsi" w:hAnsiTheme="minorHAnsi" w:cstheme="minorHAnsi"/>
          <w:color w:val="2E2E2E"/>
          <w:sz w:val="24"/>
          <w:szCs w:val="24"/>
        </w:rPr>
        <w:t xml:space="preserve">to ensure that he understood the nature of the offence, the case against him and that he was able to exercise his right of defence (Police and Criminal Evidence Act 1984 as amended 2019). </w:t>
      </w:r>
    </w:p>
    <w:p w14:paraId="1857201E" w14:textId="77777777" w:rsidR="006055F2" w:rsidRPr="006055F2" w:rsidRDefault="006055F2" w:rsidP="006055F2">
      <w:pPr>
        <w:overflowPunct/>
        <w:autoSpaceDE/>
        <w:autoSpaceDN/>
        <w:adjustRightInd/>
        <w:spacing w:before="100" w:beforeAutospacing="1" w:after="100" w:afterAutospacing="1" w:line="360" w:lineRule="auto"/>
        <w:textAlignment w:val="auto"/>
        <w:rPr>
          <w:rFonts w:asciiTheme="minorHAnsi" w:hAnsiTheme="minorHAnsi" w:cstheme="minorHAnsi"/>
          <w:color w:val="2E2E2E"/>
          <w:sz w:val="24"/>
          <w:szCs w:val="24"/>
        </w:rPr>
      </w:pPr>
      <w:r w:rsidRPr="006055F2">
        <w:rPr>
          <w:rFonts w:asciiTheme="minorHAnsi" w:hAnsiTheme="minorHAnsi" w:cstheme="minorHAnsi"/>
          <w:color w:val="2E2E2E"/>
          <w:sz w:val="24"/>
          <w:szCs w:val="24"/>
        </w:rPr>
        <w:t xml:space="preserve">Code C, 13.1 of </w:t>
      </w:r>
      <w:r w:rsidRPr="006055F2">
        <w:rPr>
          <w:rFonts w:asciiTheme="minorHAnsi" w:hAnsiTheme="minorHAnsi" w:cstheme="minorHAnsi"/>
          <w:color w:val="auto"/>
          <w:sz w:val="24"/>
          <w:szCs w:val="24"/>
        </w:rPr>
        <w:t xml:space="preserve">The </w:t>
      </w:r>
      <w:r w:rsidRPr="006055F2">
        <w:rPr>
          <w:rFonts w:asciiTheme="minorHAnsi" w:hAnsiTheme="minorHAnsi" w:cstheme="minorHAnsi"/>
          <w:color w:val="2E2E2E"/>
          <w:sz w:val="24"/>
          <w:szCs w:val="24"/>
        </w:rPr>
        <w:t xml:space="preserve">Police and Criminal Evidence Act (1984) states that chief officers of every force are responsible for ensuring that interpretation and translation services are available to safeguard </w:t>
      </w:r>
      <w:r w:rsidRPr="006055F2">
        <w:rPr>
          <w:rFonts w:asciiTheme="minorHAnsi" w:hAnsiTheme="minorHAnsi" w:cstheme="minorHAnsi"/>
          <w:color w:val="2E2E2E"/>
          <w:sz w:val="24"/>
          <w:szCs w:val="24"/>
        </w:rPr>
        <w:lastRenderedPageBreak/>
        <w:t xml:space="preserve">the fairness of proceedings. These interpretation services are independent of the police and provided at public expense . This ensures the impartiality, fairness and integrity of the investigation and further supports equality, diversity and inclusion. </w:t>
      </w:r>
    </w:p>
    <w:p w14:paraId="6177D9A4" w14:textId="77777777" w:rsidR="006055F2" w:rsidRPr="006055F2" w:rsidRDefault="006055F2" w:rsidP="006055F2">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 xml:space="preserve">Police, and the communities they serve must be able to trust each other but achieving this relies on effective, open and honest communication between officers and the public, including those who are not fluent in English. Police officers cannot perform their duties well when they cannot communicate with the people they serve. In this case, I took time to speak to both parties involved, utilising both verbal and non-verbal communication, applying simple terminology in a calm tone of voice, ensuring both parties understood the legal implications of the actions that occurred.  Calero (2005) suggested that verbal communication is one dimensional and should not be used alone but in conjunction with non verbal skills otherwise communication problems can occur.    </w:t>
      </w:r>
    </w:p>
    <w:p w14:paraId="4DE55200" w14:textId="77777777" w:rsidR="006055F2" w:rsidRPr="006055F2" w:rsidRDefault="006055F2" w:rsidP="006055F2">
      <w:pPr>
        <w:overflowPunct/>
        <w:autoSpaceDE/>
        <w:autoSpaceDN/>
        <w:adjustRightInd/>
        <w:spacing w:after="160" w:line="360" w:lineRule="auto"/>
        <w:textAlignment w:val="auto"/>
        <w:rPr>
          <w:rFonts w:asciiTheme="minorHAnsi" w:eastAsiaTheme="minorHAnsi" w:hAnsiTheme="minorHAnsi" w:cstheme="minorHAnsi"/>
          <w:color w:val="auto"/>
          <w:sz w:val="24"/>
          <w:szCs w:val="24"/>
        </w:rPr>
      </w:pPr>
      <w:r w:rsidRPr="006055F2">
        <w:rPr>
          <w:rFonts w:asciiTheme="minorHAnsi" w:eastAsiaTheme="minorHAnsi" w:hAnsiTheme="minorHAnsi" w:cstheme="minorHAnsi"/>
          <w:color w:val="auto"/>
          <w:sz w:val="24"/>
          <w:szCs w:val="24"/>
          <w:lang w:eastAsia="en-US"/>
        </w:rPr>
        <w:t xml:space="preserve">Utilising effective communication skills, both verbal and non verbal, are vital for police officers and understanding how to use these with different cultural groups can potentially influence favourable or non-favourable outcomes, both for the officer and individual involved. Paoline et al (2015) identify that officers need to form relationships with diverse citizens and need to engage professionally when policing different people, demonstrating understanding of cultural diversity. Not only this, but officers have to ensure they owe a duty of care to those they come into contact with and they should treat victims and witnesses sensitively, properly and with respect. I believe I did this in this case as I was sensitive to the potential language issues, aware of the culture of the two individuals involved and treated both with respect. </w:t>
      </w:r>
    </w:p>
    <w:p w14:paraId="7187B9A4" w14:textId="77777777" w:rsidR="006055F2" w:rsidRPr="006055F2" w:rsidRDefault="006055F2" w:rsidP="006055F2">
      <w:pPr>
        <w:shd w:val="clear" w:color="auto" w:fill="FFFFFF"/>
        <w:overflowPunct/>
        <w:autoSpaceDE/>
        <w:autoSpaceDN/>
        <w:adjustRightInd/>
        <w:spacing w:after="120" w:line="360" w:lineRule="auto"/>
        <w:jc w:val="both"/>
        <w:textAlignment w:val="auto"/>
        <w:rPr>
          <w:rFonts w:asciiTheme="minorHAnsi" w:hAnsiTheme="minorHAnsi" w:cstheme="minorHAnsi"/>
          <w:sz w:val="24"/>
          <w:szCs w:val="24"/>
        </w:rPr>
      </w:pPr>
      <w:r w:rsidRPr="006055F2">
        <w:rPr>
          <w:rFonts w:asciiTheme="minorHAnsi" w:hAnsiTheme="minorHAnsi" w:cstheme="minorHAnsi"/>
          <w:sz w:val="24"/>
          <w:szCs w:val="24"/>
        </w:rPr>
        <w:t xml:space="preserve">Fridell (2016) </w:t>
      </w:r>
      <w:r w:rsidRPr="006055F2">
        <w:rPr>
          <w:rFonts w:asciiTheme="minorHAnsi" w:hAnsiTheme="minorHAnsi" w:cstheme="minorHAnsi"/>
          <w:color w:val="auto"/>
          <w:sz w:val="24"/>
          <w:szCs w:val="24"/>
        </w:rPr>
        <w:t xml:space="preserve">argued that some police officers hold explicit prejudices toward members of minority groups, especially those who cannot speak English effectively, and the need to decrease the incidents of biased policing is an ongoing challenge. Miles-Johnson (2016a) stated that if police organizations focus on updating officer knowledge about diverse communities and increase officer training in relation to professional conduct and misconduct then police practices will become more consistent. I believe I have had training in relation to the conduct that is required of a Police Officer although when experiencing real life scenarios some of the Code of Ethics are difficult to apply.  </w:t>
      </w:r>
    </w:p>
    <w:p w14:paraId="7EE9BB24" w14:textId="77777777" w:rsidR="006055F2" w:rsidRPr="006055F2" w:rsidRDefault="006055F2" w:rsidP="006055F2">
      <w:pPr>
        <w:overflowPunct/>
        <w:autoSpaceDE/>
        <w:autoSpaceDN/>
        <w:adjustRightInd/>
        <w:spacing w:after="160" w:line="360" w:lineRule="auto"/>
        <w:textAlignment w:val="auto"/>
        <w:rPr>
          <w:rFonts w:asciiTheme="minorHAnsi" w:eastAsiaTheme="minorHAnsi" w:hAnsiTheme="minorHAnsi" w:cstheme="minorHAnsi"/>
          <w:color w:val="auto"/>
          <w:sz w:val="24"/>
          <w:szCs w:val="24"/>
        </w:rPr>
      </w:pPr>
      <w:r w:rsidRPr="006055F2">
        <w:rPr>
          <w:rFonts w:asciiTheme="minorHAnsi" w:eastAsiaTheme="minorHAnsi" w:hAnsiTheme="minorHAnsi" w:cstheme="minorHAnsi"/>
          <w:color w:val="auto"/>
          <w:sz w:val="24"/>
          <w:szCs w:val="24"/>
        </w:rPr>
        <w:t xml:space="preserve">In this incident thought was also given to the Human Rights Act (1998) in relation to both parties. Article 3 was considered as it identifies that no one shall be subjected to torture or inhuman or degrading treatment or punishment. In this case, this applies to the female in so much as the police </w:t>
      </w:r>
      <w:r w:rsidRPr="006055F2">
        <w:rPr>
          <w:rFonts w:asciiTheme="minorHAnsi" w:eastAsiaTheme="minorHAnsi" w:hAnsiTheme="minorHAnsi" w:cstheme="minorHAnsi"/>
          <w:color w:val="auto"/>
          <w:sz w:val="24"/>
          <w:szCs w:val="24"/>
        </w:rPr>
        <w:lastRenderedPageBreak/>
        <w:t>have the responsibility to protect her from violence at the hands of her husband. The police also have the responsibility to treat the male in a humane and respectful manner. In addition, Article 5 was contemplated, as it specifies that individuals have the right to liberty and security of the person. By arresting the male, the police are potentially breaching this Human Right however the Human Rights Convention allows this as it is lawfully legislated for by an Act of Parliament.  Furthermore, Article 6 had to be deemed appropriate in this case, which stipulates that everyone has the right to a fair trial. This is supported by various pieces of legislation such as Code C of the Police and Criminal Evidence Act (1998) which is a code of practice for the detention, treatment and questioning of persons by police officers. This ethos is also supported by the Criminal Procedures Investigations Act (1996) which puts a legal responsibility on police officers to be impartial and to follow all lines of enquiry whether they lead towards or away from a suspect’s guilt.</w:t>
      </w:r>
    </w:p>
    <w:p w14:paraId="67BD49F0" w14:textId="77777777" w:rsidR="006055F2" w:rsidRPr="006055F2" w:rsidRDefault="006055F2" w:rsidP="006055F2">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 xml:space="preserve">The details of the female were taken, and the incident was logged into a Public Protection Notice (PPN). This is used by police to log and signpost vulnerable/intimidated people in society. As part of the PPN, the female was asked to consent to police sharing facts of the incident and her personal details to the Domestic Abuse team and other statutory agencies such as social services, health etc, to which she did not give her consent. This abides by right 4 of the Victim’s Code (2021) to be referred to services that support victims and have services and support tailored to their needs. This female was asked a question by myself, Was there anything the police could do to assist her in feeling comfortable in giving evidence? I explained the full extent of special measures, identified within the Youth Justice and Criminal Evidence Act (1999), that could be used to help support her in giving evidence. The female could qualify for special measures due to the nature of the incident.  The Youth Justice and Criminal Evidence Act (1999) S.17 specifies that if the court is satisfied that by reason of her fear or distress the quality of evidence given by the witness is likely to be diminished then she may, with leave of the court, be granted special measures. These special measures are designed to allow the witness to give her best possible evidence.    In order to support the female victim throughout the criminal justice process, Right 6 of the Victim’s Code stipulates that information about investigation and prosecution is regularly provided to the female. This was undertaken as the female wanted to be reunited with her partner in spite of the altercation that had taken place. </w:t>
      </w:r>
    </w:p>
    <w:p w14:paraId="18096DE1" w14:textId="3CC9178C" w:rsidR="006055F2" w:rsidRPr="006055F2" w:rsidRDefault="006055F2" w:rsidP="006055F2">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 xml:space="preserve">I believe both individuals in this case were treated fairly by myself. I acted compassionately toward the female victim but also considered the male and his rights when being cautioned, arrested and </w:t>
      </w:r>
      <w:r w:rsidRPr="006055F2">
        <w:rPr>
          <w:rFonts w:asciiTheme="minorHAnsi" w:hAnsiTheme="minorHAnsi" w:cstheme="minorHAnsi"/>
          <w:color w:val="auto"/>
          <w:sz w:val="24"/>
          <w:szCs w:val="24"/>
        </w:rPr>
        <w:lastRenderedPageBreak/>
        <w:t xml:space="preserve">subsequently interviewed. I made sure I utilised appropriate communication skills so that each person was aware and clear of what was happening and why.   </w:t>
      </w:r>
    </w:p>
    <w:p w14:paraId="45334EEA" w14:textId="77777777" w:rsidR="006055F2" w:rsidRPr="006055F2" w:rsidRDefault="006055F2" w:rsidP="006055F2">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 xml:space="preserve">When carrying out their duty’s officers must ensure that they are able to communicate effectively. When someone’s first language is not English the use of communication both verbal and non verbal must be carefully considered. Additionally, there is a myriad of legislation that controls how police safeguard the public and investigate potential offences. These Acts of Parliament give police specific powers to carry out these roles but these must be undertaken ethically. An ethical approach must be utilised by officers to ensure people are treated fairly, taking into account equality, diversity, inclusion and human rights. Police Officers have to ensure they work within the legislative framework, undertake their duties in a manner that fits with the Code of Ethics and when dealing with victims of crime consider their rights as specified within the Victim’s Code.  </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777777" w:rsidR="00575A8F" w:rsidRPr="00270EEB" w:rsidRDefault="00575A8F" w:rsidP="00E6298B">
            <w:pPr>
              <w:ind w:right="107"/>
              <w:jc w:val="both"/>
              <w:rPr>
                <w:sz w:val="24"/>
                <w:szCs w:val="24"/>
              </w:rPr>
            </w:pPr>
          </w:p>
        </w:tc>
        <w:tc>
          <w:tcPr>
            <w:tcW w:w="2426" w:type="dxa"/>
            <w:shd w:val="clear" w:color="auto" w:fill="auto"/>
          </w:tcPr>
          <w:p w14:paraId="6F2EF39C" w14:textId="77777777" w:rsidR="00575A8F" w:rsidRPr="00270EEB" w:rsidRDefault="00575A8F" w:rsidP="00E6298B">
            <w:pPr>
              <w:ind w:right="107"/>
              <w:jc w:val="both"/>
              <w:rPr>
                <w:sz w:val="24"/>
                <w:szCs w:val="24"/>
              </w:rPr>
            </w:pPr>
          </w:p>
        </w:tc>
        <w:tc>
          <w:tcPr>
            <w:tcW w:w="2426"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7777777" w:rsidR="00575A8F" w:rsidRPr="00270EEB" w:rsidRDefault="00575A8F" w:rsidP="00E6298B">
            <w:pPr>
              <w:ind w:right="107"/>
              <w:jc w:val="both"/>
              <w:rPr>
                <w:sz w:val="24"/>
                <w:szCs w:val="24"/>
              </w:rPr>
            </w:pP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12B2DC3" w14:textId="77777777" w:rsidR="007A37D3" w:rsidRDefault="006D4550" w:rsidP="006055F2">
      <w:pPr>
        <w:pStyle w:val="NormalWeb"/>
        <w:spacing w:line="360" w:lineRule="auto"/>
        <w:rPr>
          <w:b/>
        </w:rPr>
      </w:pPr>
      <w:r>
        <w:rPr>
          <w:b/>
        </w:rPr>
        <w:br w:type="page"/>
      </w:r>
    </w:p>
    <w:p w14:paraId="7A31763A" w14:textId="5F8E56E2" w:rsidR="007A37D3" w:rsidRDefault="007A37D3" w:rsidP="006055F2">
      <w:pPr>
        <w:pStyle w:val="NormalWeb"/>
        <w:spacing w:line="360" w:lineRule="auto"/>
        <w:rPr>
          <w:b/>
        </w:rPr>
      </w:pPr>
      <w:r>
        <w:rPr>
          <w:b/>
        </w:rPr>
        <w:lastRenderedPageBreak/>
        <w:t>Task 1 bibliography</w:t>
      </w:r>
    </w:p>
    <w:p w14:paraId="33B5D800" w14:textId="50878621" w:rsidR="006055F2" w:rsidRPr="006055F2" w:rsidRDefault="006055F2" w:rsidP="006055F2">
      <w:pPr>
        <w:pStyle w:val="NormalWeb"/>
        <w:spacing w:line="360" w:lineRule="auto"/>
        <w:rPr>
          <w:rFonts w:asciiTheme="minorHAnsi" w:hAnsiTheme="minorHAnsi" w:cstheme="minorHAnsi"/>
        </w:rPr>
      </w:pPr>
      <w:r w:rsidRPr="006055F2">
        <w:rPr>
          <w:rFonts w:asciiTheme="minorHAnsi" w:hAnsiTheme="minorHAnsi" w:cstheme="minorHAnsi"/>
        </w:rPr>
        <w:t>Anshel MH (2000) A conceptual model of implications for coping with stressful events in police work. Criminal Justice and behaviour. Vol 27, No 3 pp375-400.</w:t>
      </w:r>
    </w:p>
    <w:p w14:paraId="622C519D"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 xml:space="preserve">Bailey AP, Hetrick SE, Rosenbaum S, Purcell R, Parker AG. (2018) Treating depression with physical activity in adolescents and young adults: a systematic review and meta-analysis of randomised controlled trials. Psychol Med.48(7):1068–83. </w:t>
      </w:r>
      <w:hyperlink r:id="rId22" w:history="1">
        <w:r w:rsidRPr="006055F2">
          <w:rPr>
            <w:rFonts w:asciiTheme="minorHAnsi" w:hAnsiTheme="minorHAnsi" w:cstheme="minorHAnsi"/>
            <w:color w:val="0000FF"/>
            <w:sz w:val="24"/>
            <w:szCs w:val="24"/>
            <w:u w:val="single"/>
          </w:rPr>
          <w:t>https://doi.org/10.1017/s0033291717002653</w:t>
        </w:r>
      </w:hyperlink>
      <w:r w:rsidRPr="006055F2">
        <w:rPr>
          <w:rFonts w:asciiTheme="minorHAnsi" w:hAnsiTheme="minorHAnsi" w:cstheme="minorHAnsi"/>
          <w:color w:val="auto"/>
          <w:sz w:val="24"/>
          <w:szCs w:val="24"/>
        </w:rPr>
        <w:t xml:space="preserve">. </w:t>
      </w:r>
    </w:p>
    <w:p w14:paraId="5943D72A"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 xml:space="preserve">Bradt J; Dileo C and Potvin (2013) </w:t>
      </w:r>
      <w:r w:rsidRPr="006055F2">
        <w:rPr>
          <w:rFonts w:asciiTheme="minorHAnsi" w:hAnsiTheme="minorHAnsi" w:cstheme="minorHAnsi"/>
          <w:kern w:val="36"/>
          <w:sz w:val="24"/>
          <w:szCs w:val="24"/>
          <w:lang w:val="en"/>
        </w:rPr>
        <w:t>Music for stress and anxiety reduction in coronary heart disease patients.Cochrane library. Accessed via</w:t>
      </w:r>
      <w:r w:rsidRPr="006055F2">
        <w:rPr>
          <w:rFonts w:asciiTheme="minorHAnsi" w:hAnsiTheme="minorHAnsi" w:cstheme="minorHAnsi"/>
          <w:b/>
          <w:bCs/>
          <w:kern w:val="36"/>
          <w:sz w:val="24"/>
          <w:szCs w:val="24"/>
          <w:lang w:val="en"/>
        </w:rPr>
        <w:t xml:space="preserve"> </w:t>
      </w:r>
      <w:hyperlink r:id="rId23" w:history="1">
        <w:r w:rsidRPr="006055F2">
          <w:rPr>
            <w:rFonts w:asciiTheme="minorHAnsi" w:eastAsiaTheme="minorHAnsi" w:hAnsiTheme="minorHAnsi" w:cstheme="minorHAnsi"/>
            <w:color w:val="0000FF"/>
            <w:sz w:val="24"/>
            <w:szCs w:val="24"/>
            <w:u w:val="single"/>
            <w:lang w:eastAsia="en-US"/>
          </w:rPr>
          <w:t>Music for stress and anxiety reduction in coronary heart disease patients - Bradt, J - 2013 | Cochrane Library</w:t>
        </w:r>
      </w:hyperlink>
      <w:r w:rsidRPr="006055F2">
        <w:rPr>
          <w:rFonts w:asciiTheme="minorHAnsi" w:eastAsiaTheme="minorHAnsi" w:hAnsiTheme="minorHAnsi" w:cstheme="minorHAnsi"/>
          <w:color w:val="auto"/>
          <w:sz w:val="24"/>
          <w:szCs w:val="24"/>
          <w:lang w:eastAsia="en-US"/>
        </w:rPr>
        <w:t>. Date accessed 6/2/23</w:t>
      </w:r>
      <w:r w:rsidRPr="006055F2">
        <w:rPr>
          <w:rFonts w:asciiTheme="minorHAnsi" w:hAnsiTheme="minorHAnsi" w:cstheme="minorHAnsi"/>
          <w:color w:val="auto"/>
          <w:sz w:val="24"/>
          <w:szCs w:val="24"/>
        </w:rPr>
        <w:t xml:space="preserve"> </w:t>
      </w:r>
    </w:p>
    <w:p w14:paraId="1AA24C03"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Chih-Yuan SL;  Goldstein  SE; Dik BJ and Rodas JM (2020) Sources of Social Support and Gender in Perceived Stress and Individual Adjustment Among Latina/o College-Attending Emerging Adults. Cultural Diversity and Ethnic Minority Psychology. Vol 26, No 1 pp 134-147.</w:t>
      </w:r>
    </w:p>
    <w:p w14:paraId="5F4ADC31"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 xml:space="preserve">Dearing CG and Paton CD (2022) Can physical activity be simplified for health benefit? New Zealand Medical Journal.135(1558)pp47-53. </w:t>
      </w:r>
    </w:p>
    <w:p w14:paraId="55EE1A1E" w14:textId="77777777" w:rsidR="006055F2" w:rsidRPr="006055F2" w:rsidRDefault="006055F2" w:rsidP="006055F2">
      <w:pPr>
        <w:keepNext/>
        <w:keepLines/>
        <w:overflowPunct/>
        <w:autoSpaceDE/>
        <w:autoSpaceDN/>
        <w:adjustRightInd/>
        <w:spacing w:line="259" w:lineRule="auto"/>
        <w:textAlignment w:val="auto"/>
        <w:outlineLvl w:val="0"/>
        <w:rPr>
          <w:rFonts w:asciiTheme="minorHAnsi" w:hAnsiTheme="minorHAnsi" w:cstheme="minorHAnsi"/>
          <w:color w:val="000000" w:themeColor="text1"/>
          <w:kern w:val="36"/>
          <w:sz w:val="24"/>
          <w:szCs w:val="24"/>
        </w:rPr>
      </w:pPr>
      <w:r w:rsidRPr="006055F2">
        <w:rPr>
          <w:rFonts w:asciiTheme="minorHAnsi" w:eastAsiaTheme="majorEastAsia" w:hAnsiTheme="minorHAnsi" w:cstheme="minorHAnsi"/>
          <w:color w:val="000000" w:themeColor="text1"/>
          <w:sz w:val="24"/>
          <w:szCs w:val="24"/>
          <w:lang w:eastAsia="en-US"/>
        </w:rPr>
        <w:t xml:space="preserve">Ekeland E, Heian F, Hagen KB.(2005)  Can exercise improve self esteem in children and young people? A systematic review of randomised controlled trials. Br J Sports Med.;39(11):792–8. </w:t>
      </w:r>
      <w:hyperlink r:id="rId24" w:history="1">
        <w:r w:rsidRPr="006055F2">
          <w:rPr>
            <w:rFonts w:asciiTheme="minorHAnsi" w:eastAsiaTheme="majorEastAsia" w:hAnsiTheme="minorHAnsi" w:cstheme="minorHAnsi"/>
            <w:color w:val="000000" w:themeColor="text1"/>
            <w:sz w:val="24"/>
            <w:szCs w:val="24"/>
            <w:u w:val="single"/>
            <w:lang w:eastAsia="en-US"/>
          </w:rPr>
          <w:t>https://doi.org/10.1136/bjsm. 2004.017707</w:t>
        </w:r>
      </w:hyperlink>
      <w:r w:rsidRPr="006055F2">
        <w:rPr>
          <w:rFonts w:asciiTheme="minorHAnsi" w:eastAsiaTheme="majorEastAsia" w:hAnsiTheme="minorHAnsi" w:cstheme="minorHAnsi"/>
          <w:color w:val="000000" w:themeColor="text1"/>
          <w:sz w:val="24"/>
          <w:szCs w:val="24"/>
          <w:lang w:eastAsia="en-US"/>
        </w:rPr>
        <w:t>.</w:t>
      </w:r>
      <w:r w:rsidRPr="006055F2">
        <w:rPr>
          <w:rFonts w:asciiTheme="minorHAnsi" w:hAnsiTheme="minorHAnsi" w:cstheme="minorHAnsi"/>
          <w:color w:val="000000" w:themeColor="text1"/>
          <w:kern w:val="36"/>
          <w:sz w:val="24"/>
          <w:szCs w:val="24"/>
        </w:rPr>
        <w:t xml:space="preserve"> </w:t>
      </w:r>
    </w:p>
    <w:p w14:paraId="2A6CD454" w14:textId="77777777" w:rsidR="006055F2" w:rsidRPr="006055F2" w:rsidRDefault="006055F2" w:rsidP="006055F2">
      <w:pPr>
        <w:keepNext/>
        <w:keepLines/>
        <w:overflowPunct/>
        <w:autoSpaceDE/>
        <w:autoSpaceDN/>
        <w:adjustRightInd/>
        <w:spacing w:line="259" w:lineRule="auto"/>
        <w:textAlignment w:val="auto"/>
        <w:outlineLvl w:val="0"/>
        <w:rPr>
          <w:rFonts w:asciiTheme="minorHAnsi" w:hAnsiTheme="minorHAnsi" w:cstheme="minorHAnsi"/>
          <w:color w:val="2E2E2E"/>
          <w:kern w:val="36"/>
          <w:sz w:val="24"/>
          <w:szCs w:val="24"/>
        </w:rPr>
      </w:pPr>
    </w:p>
    <w:p w14:paraId="2C1A75C8" w14:textId="77777777" w:rsidR="006055F2" w:rsidRPr="006055F2" w:rsidRDefault="006055F2" w:rsidP="006055F2">
      <w:pPr>
        <w:keepNext/>
        <w:keepLines/>
        <w:overflowPunct/>
        <w:autoSpaceDE/>
        <w:autoSpaceDN/>
        <w:adjustRightInd/>
        <w:spacing w:line="259" w:lineRule="auto"/>
        <w:textAlignment w:val="auto"/>
        <w:outlineLvl w:val="0"/>
        <w:rPr>
          <w:rFonts w:asciiTheme="minorHAnsi" w:eastAsiaTheme="majorEastAsia" w:hAnsiTheme="minorHAnsi" w:cstheme="minorHAnsi"/>
          <w:color w:val="000000" w:themeColor="text1"/>
          <w:sz w:val="24"/>
          <w:szCs w:val="24"/>
          <w:lang w:eastAsia="en-US"/>
        </w:rPr>
      </w:pPr>
      <w:r w:rsidRPr="006055F2">
        <w:rPr>
          <w:rFonts w:asciiTheme="minorHAnsi" w:hAnsiTheme="minorHAnsi" w:cstheme="minorHAnsi"/>
          <w:color w:val="2E2E2E"/>
          <w:sz w:val="24"/>
          <w:szCs w:val="24"/>
        </w:rPr>
        <w:t>Fluetsch,N; Levy,C and Tallon, L (2019)</w:t>
      </w:r>
      <w:r w:rsidRPr="006055F2">
        <w:rPr>
          <w:rFonts w:asciiTheme="minorHAnsi" w:hAnsiTheme="minorHAnsi" w:cstheme="minorHAnsi"/>
          <w:color w:val="2E2E2E"/>
          <w:kern w:val="36"/>
          <w:sz w:val="24"/>
          <w:szCs w:val="24"/>
        </w:rPr>
        <w:t xml:space="preserve"> The relationship of physical activity to mental health: A 2015 behavioral risk factor surveillance system data analysis. Journal of Affective Disorders. Vol 253.pp 96-101.</w:t>
      </w:r>
    </w:p>
    <w:p w14:paraId="0E253647"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000000" w:themeColor="text1"/>
          <w:sz w:val="24"/>
          <w:szCs w:val="24"/>
          <w:shd w:val="clear" w:color="auto" w:fill="FFFFFF"/>
        </w:rPr>
      </w:pPr>
      <w:r w:rsidRPr="006055F2">
        <w:rPr>
          <w:rFonts w:asciiTheme="minorHAnsi" w:hAnsiTheme="minorHAnsi" w:cstheme="minorHAnsi"/>
          <w:color w:val="000000" w:themeColor="text1"/>
          <w:sz w:val="24"/>
          <w:szCs w:val="24"/>
        </w:rPr>
        <w:t>Hamer, M., Taylor, A., &amp; Steptoe, A. (2006). The effect of acute aerobic exercise on stress related blood pressure responses: A systematic review and meta-analysis. Biological Psychology, 71, 183–190. doi:10.1016j.biopsycho.2005.04.004.</w:t>
      </w:r>
      <w:r w:rsidRPr="006055F2">
        <w:rPr>
          <w:rFonts w:asciiTheme="minorHAnsi" w:hAnsiTheme="minorHAnsi" w:cstheme="minorHAnsi"/>
          <w:color w:val="000000" w:themeColor="text1"/>
          <w:sz w:val="24"/>
          <w:szCs w:val="24"/>
          <w:shd w:val="clear" w:color="auto" w:fill="FFFFFF"/>
        </w:rPr>
        <w:t xml:space="preserve"> </w:t>
      </w:r>
    </w:p>
    <w:p w14:paraId="449FF33F"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555555"/>
          <w:sz w:val="24"/>
          <w:szCs w:val="24"/>
          <w:shd w:val="clear" w:color="auto" w:fill="FFFFFF"/>
        </w:rPr>
      </w:pPr>
      <w:r w:rsidRPr="006055F2">
        <w:rPr>
          <w:rFonts w:asciiTheme="minorHAnsi" w:hAnsiTheme="minorHAnsi" w:cstheme="minorHAnsi"/>
          <w:color w:val="000000" w:themeColor="text1"/>
          <w:sz w:val="24"/>
          <w:szCs w:val="24"/>
          <w:shd w:val="clear" w:color="auto" w:fill="FFFFFF"/>
        </w:rPr>
        <w:t xml:space="preserve">Kettunen, O., Kyröläinen, H., Santtila, M., &amp; Vasankari, T. (2014). Physical fitness and volume of leisure time physical activity relate with low stress and high mental resourses in young men. The Journal of Sports Medicine and Physical Fitness, 54 (4), 545-551. </w:t>
      </w:r>
      <w:hyperlink r:id="rId25" w:history="1">
        <w:r w:rsidRPr="006055F2">
          <w:rPr>
            <w:rFonts w:asciiTheme="minorHAnsi" w:hAnsiTheme="minorHAnsi" w:cstheme="minorHAnsi"/>
            <w:color w:val="0000FF"/>
            <w:sz w:val="24"/>
            <w:szCs w:val="24"/>
            <w:u w:val="single"/>
            <w:shd w:val="clear" w:color="auto" w:fill="FFFFFF"/>
          </w:rPr>
          <w:t>http://www.minervamedica.it/index2.t?show=R40Y2014N04A0545</w:t>
        </w:r>
      </w:hyperlink>
      <w:r w:rsidRPr="006055F2">
        <w:rPr>
          <w:rFonts w:asciiTheme="minorHAnsi" w:hAnsiTheme="minorHAnsi" w:cstheme="minorHAnsi"/>
          <w:color w:val="555555"/>
          <w:sz w:val="24"/>
          <w:szCs w:val="24"/>
          <w:shd w:val="clear" w:color="auto" w:fill="FFFFFF"/>
        </w:rPr>
        <w:t xml:space="preserve"> </w:t>
      </w:r>
    </w:p>
    <w:p w14:paraId="47438D3B"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0000FF"/>
          <w:sz w:val="24"/>
          <w:szCs w:val="24"/>
          <w:u w:val="single"/>
          <w:shd w:val="clear" w:color="auto" w:fill="FFFFFF"/>
        </w:rPr>
      </w:pPr>
      <w:r w:rsidRPr="006055F2">
        <w:rPr>
          <w:rFonts w:asciiTheme="minorHAnsi" w:hAnsiTheme="minorHAnsi" w:cstheme="minorHAnsi"/>
          <w:color w:val="555555"/>
          <w:sz w:val="24"/>
          <w:szCs w:val="24"/>
          <w:shd w:val="clear" w:color="auto" w:fill="FFFFFF"/>
        </w:rPr>
        <w:t>Krueger J. (2011). Doing things with music. Phenom Cogn Sci, 10: 1-22.</w:t>
      </w:r>
    </w:p>
    <w:p w14:paraId="058DE601"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000000" w:themeColor="text1"/>
          <w:sz w:val="24"/>
          <w:szCs w:val="24"/>
          <w:shd w:val="clear" w:color="auto" w:fill="FFFFFF"/>
        </w:rPr>
      </w:pPr>
      <w:r w:rsidRPr="006055F2">
        <w:rPr>
          <w:rFonts w:asciiTheme="minorHAnsi" w:eastAsiaTheme="minorHAnsi" w:hAnsiTheme="minorHAnsi" w:cstheme="minorHAnsi"/>
          <w:color w:val="1C1D1E"/>
          <w:sz w:val="24"/>
          <w:szCs w:val="24"/>
          <w:shd w:val="clear" w:color="auto" w:fill="FFFFFF"/>
          <w:lang w:eastAsia="en-US"/>
        </w:rPr>
        <w:t>Macht, M., Haupt, C., &amp; Ellgring, H. (2005). The perceived function of eating is changed during examination stress: A field study. </w:t>
      </w:r>
      <w:r w:rsidRPr="006055F2">
        <w:rPr>
          <w:rFonts w:asciiTheme="minorHAnsi" w:eastAsiaTheme="minorHAnsi" w:hAnsiTheme="minorHAnsi" w:cstheme="minorHAnsi"/>
          <w:i/>
          <w:iCs/>
          <w:color w:val="1C1D1E"/>
          <w:sz w:val="24"/>
          <w:szCs w:val="24"/>
          <w:shd w:val="clear" w:color="auto" w:fill="FFFFFF"/>
          <w:lang w:eastAsia="en-US"/>
        </w:rPr>
        <w:t>Eating Behaviors</w:t>
      </w:r>
      <w:r w:rsidRPr="006055F2">
        <w:rPr>
          <w:rFonts w:asciiTheme="minorHAnsi" w:eastAsiaTheme="minorHAnsi" w:hAnsiTheme="minorHAnsi" w:cstheme="minorHAnsi"/>
          <w:color w:val="1C1D1E"/>
          <w:sz w:val="24"/>
          <w:szCs w:val="24"/>
          <w:shd w:val="clear" w:color="auto" w:fill="FFFFFF"/>
          <w:lang w:eastAsia="en-US"/>
        </w:rPr>
        <w:t>, </w:t>
      </w:r>
      <w:r w:rsidRPr="006055F2">
        <w:rPr>
          <w:rFonts w:asciiTheme="minorHAnsi" w:eastAsiaTheme="minorHAnsi" w:hAnsiTheme="minorHAnsi" w:cstheme="minorHAnsi"/>
          <w:b/>
          <w:bCs/>
          <w:color w:val="1C1D1E"/>
          <w:sz w:val="24"/>
          <w:szCs w:val="24"/>
          <w:shd w:val="clear" w:color="auto" w:fill="FFFFFF"/>
          <w:lang w:eastAsia="en-US"/>
        </w:rPr>
        <w:t>6</w:t>
      </w:r>
      <w:r w:rsidRPr="006055F2">
        <w:rPr>
          <w:rFonts w:asciiTheme="minorHAnsi" w:eastAsiaTheme="minorHAnsi" w:hAnsiTheme="minorHAnsi" w:cstheme="minorHAnsi"/>
          <w:color w:val="1C1D1E"/>
          <w:sz w:val="24"/>
          <w:szCs w:val="24"/>
          <w:shd w:val="clear" w:color="auto" w:fill="FFFFFF"/>
          <w:lang w:eastAsia="en-US"/>
        </w:rPr>
        <w:t>, 109– 112. </w:t>
      </w:r>
      <w:hyperlink r:id="rId26" w:history="1">
        <w:r w:rsidRPr="006055F2">
          <w:rPr>
            <w:rFonts w:asciiTheme="minorHAnsi" w:eastAsiaTheme="minorHAnsi" w:hAnsiTheme="minorHAnsi" w:cstheme="minorHAnsi"/>
            <w:color w:val="2F7BAE"/>
            <w:sz w:val="24"/>
            <w:szCs w:val="24"/>
            <w:u w:val="single"/>
            <w:shd w:val="clear" w:color="auto" w:fill="FFFFFF"/>
            <w:lang w:eastAsia="en-US"/>
          </w:rPr>
          <w:t>https://doi.org/10.1016/j.eatbeh.2004.09.001</w:t>
        </w:r>
      </w:hyperlink>
    </w:p>
    <w:p w14:paraId="2FBD7879"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auto"/>
          <w:kern w:val="36"/>
          <w:sz w:val="24"/>
          <w:szCs w:val="24"/>
        </w:rPr>
      </w:pPr>
      <w:r w:rsidRPr="006055F2">
        <w:rPr>
          <w:rFonts w:asciiTheme="minorHAnsi" w:hAnsiTheme="minorHAnsi" w:cstheme="minorHAnsi"/>
          <w:color w:val="000000" w:themeColor="text1"/>
          <w:sz w:val="24"/>
          <w:szCs w:val="24"/>
        </w:rPr>
        <w:t xml:space="preserve">Mao N (2022) </w:t>
      </w:r>
      <w:r w:rsidRPr="006055F2">
        <w:rPr>
          <w:rFonts w:asciiTheme="minorHAnsi" w:hAnsiTheme="minorHAnsi" w:cstheme="minorHAnsi"/>
          <w:color w:val="auto"/>
          <w:kern w:val="36"/>
          <w:sz w:val="24"/>
          <w:szCs w:val="24"/>
        </w:rPr>
        <w:t xml:space="preserve">The Role of Music Therapy in the Emotional Regulation and Psychological Stress Relief of Employees in the Workplace. Journal of Healthcare Engineering. Accessed via </w:t>
      </w:r>
      <w:r w:rsidRPr="006055F2">
        <w:rPr>
          <w:rFonts w:asciiTheme="minorHAnsi" w:eastAsiaTheme="minorHAnsi" w:hAnsiTheme="minorHAnsi" w:cstheme="minorHAnsi"/>
          <w:color w:val="auto"/>
          <w:sz w:val="24"/>
          <w:szCs w:val="24"/>
        </w:rPr>
        <w:t xml:space="preserve"> </w:t>
      </w:r>
      <w:hyperlink r:id="rId27" w:history="1">
        <w:r w:rsidRPr="006055F2">
          <w:rPr>
            <w:rFonts w:asciiTheme="minorHAnsi" w:eastAsiaTheme="minorHAnsi" w:hAnsiTheme="minorHAnsi" w:cstheme="minorHAnsi"/>
            <w:color w:val="0000FF"/>
            <w:sz w:val="24"/>
            <w:szCs w:val="24"/>
            <w:u w:val="single"/>
          </w:rPr>
          <w:t xml:space="preserve">The Role of </w:t>
        </w:r>
        <w:r w:rsidRPr="006055F2">
          <w:rPr>
            <w:rFonts w:asciiTheme="minorHAnsi" w:eastAsiaTheme="minorHAnsi" w:hAnsiTheme="minorHAnsi" w:cstheme="minorHAnsi"/>
            <w:color w:val="0000FF"/>
            <w:sz w:val="24"/>
            <w:szCs w:val="24"/>
            <w:u w:val="single"/>
          </w:rPr>
          <w:lastRenderedPageBreak/>
          <w:t>Music Therapy in the Emotional Regulation and Psychological Stress Relief of Employees in the Workplace (hindawi.com)</w:t>
        </w:r>
      </w:hyperlink>
      <w:r w:rsidRPr="006055F2">
        <w:rPr>
          <w:rFonts w:asciiTheme="minorHAnsi" w:eastAsiaTheme="minorHAnsi" w:hAnsiTheme="minorHAnsi" w:cstheme="minorHAnsi"/>
          <w:color w:val="auto"/>
          <w:sz w:val="24"/>
          <w:szCs w:val="24"/>
        </w:rPr>
        <w:t>. Date a</w:t>
      </w:r>
      <w:r w:rsidRPr="006055F2">
        <w:rPr>
          <w:rFonts w:asciiTheme="minorHAnsi" w:hAnsiTheme="minorHAnsi" w:cstheme="minorHAnsi"/>
          <w:color w:val="auto"/>
          <w:kern w:val="36"/>
          <w:sz w:val="24"/>
          <w:szCs w:val="24"/>
        </w:rPr>
        <w:t xml:space="preserve">cessed 6/2/23 </w:t>
      </w:r>
    </w:p>
    <w:p w14:paraId="12C39812"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 xml:space="preserve">Maslach,C; Schaufeli,WB and Leiter,MP (2001) “Job Burnout,” Annual Review of Psychology 52, no. 1 : 397–422. </w:t>
      </w:r>
    </w:p>
    <w:p w14:paraId="74ADA368" w14:textId="77777777" w:rsidR="006055F2" w:rsidRPr="006055F2" w:rsidRDefault="006055F2" w:rsidP="006055F2">
      <w:pPr>
        <w:keepNext/>
        <w:keepLines/>
        <w:overflowPunct/>
        <w:autoSpaceDE/>
        <w:autoSpaceDN/>
        <w:adjustRightInd/>
        <w:spacing w:line="259" w:lineRule="auto"/>
        <w:textAlignment w:val="auto"/>
        <w:outlineLvl w:val="1"/>
        <w:rPr>
          <w:rFonts w:asciiTheme="minorHAnsi" w:eastAsiaTheme="majorEastAsia" w:hAnsiTheme="minorHAnsi" w:cstheme="minorHAnsi"/>
          <w:color w:val="2E2E2E"/>
          <w:sz w:val="24"/>
          <w:szCs w:val="24"/>
          <w:lang w:eastAsia="en-US"/>
        </w:rPr>
      </w:pPr>
      <w:r w:rsidRPr="006055F2">
        <w:rPr>
          <w:rFonts w:asciiTheme="minorHAnsi" w:eastAsiaTheme="majorEastAsia" w:hAnsiTheme="minorHAnsi" w:cstheme="minorHAnsi"/>
          <w:color w:val="000000" w:themeColor="text1"/>
          <w:sz w:val="24"/>
          <w:szCs w:val="24"/>
          <w:lang w:eastAsia="en-US"/>
        </w:rPr>
        <w:t>McCarty R (2016)</w:t>
      </w:r>
      <w:r w:rsidRPr="006055F2">
        <w:rPr>
          <w:rFonts w:asciiTheme="minorHAnsi" w:hAnsiTheme="minorHAnsi" w:cstheme="minorHAnsi"/>
          <w:color w:val="000000" w:themeColor="text1"/>
          <w:kern w:val="36"/>
          <w:sz w:val="24"/>
          <w:szCs w:val="24"/>
        </w:rPr>
        <w:t xml:space="preserve"> </w:t>
      </w:r>
      <w:r w:rsidRPr="006055F2">
        <w:rPr>
          <w:rFonts w:asciiTheme="minorHAnsi" w:hAnsiTheme="minorHAnsi" w:cstheme="minorHAnsi"/>
          <w:color w:val="2E2E2E"/>
          <w:kern w:val="36"/>
          <w:sz w:val="24"/>
          <w:szCs w:val="24"/>
        </w:rPr>
        <w:t xml:space="preserve">The Fight-or-Flight Response: A Cornerstone of Stress Research. </w:t>
      </w:r>
      <w:hyperlink r:id="rId28" w:tooltip="Go to Stress: Concepts, Cognition, Emotion, and Behavior on ScienceDirect" w:history="1">
        <w:r w:rsidRPr="006055F2">
          <w:rPr>
            <w:rFonts w:asciiTheme="minorHAnsi" w:hAnsiTheme="minorHAnsi" w:cstheme="minorHAnsi"/>
            <w:color w:val="2E2E2E"/>
            <w:sz w:val="24"/>
            <w:szCs w:val="24"/>
          </w:rPr>
          <w:t>Stress: Concepts, Cognition, Emotion, and Behavior</w:t>
        </w:r>
      </w:hyperlink>
      <w:r w:rsidRPr="006055F2">
        <w:rPr>
          <w:rFonts w:asciiTheme="minorHAnsi" w:hAnsiTheme="minorHAnsi" w:cstheme="minorHAnsi"/>
          <w:color w:val="2E2E2E"/>
          <w:sz w:val="24"/>
          <w:szCs w:val="24"/>
        </w:rPr>
        <w:t>. Handbook of Stress Series. Volume 1.</w:t>
      </w:r>
      <w:r w:rsidRPr="006055F2">
        <w:rPr>
          <w:rFonts w:asciiTheme="minorHAnsi" w:eastAsiaTheme="majorEastAsia" w:hAnsiTheme="minorHAnsi" w:cstheme="minorHAnsi"/>
          <w:color w:val="2E2E2E"/>
          <w:sz w:val="24"/>
          <w:szCs w:val="24"/>
          <w:lang w:eastAsia="en-US"/>
        </w:rPr>
        <w:t xml:space="preserve"> Pages 33-37</w:t>
      </w:r>
    </w:p>
    <w:p w14:paraId="4462C7D0" w14:textId="77777777" w:rsidR="006055F2" w:rsidRPr="006055F2" w:rsidRDefault="006055F2" w:rsidP="006055F2">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p>
    <w:p w14:paraId="1C985A4B" w14:textId="77777777" w:rsidR="006055F2" w:rsidRPr="006055F2" w:rsidRDefault="006055F2" w:rsidP="006055F2">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6055F2">
        <w:rPr>
          <w:rFonts w:asciiTheme="minorHAnsi" w:eastAsiaTheme="minorHAnsi" w:hAnsiTheme="minorHAnsi" w:cstheme="minorHAnsi"/>
          <w:color w:val="auto"/>
          <w:sz w:val="24"/>
          <w:szCs w:val="24"/>
          <w:lang w:eastAsia="en-US"/>
        </w:rPr>
        <w:t>MIND (2022) Managing stress and building resilience. MIND.</w:t>
      </w:r>
    </w:p>
    <w:p w14:paraId="1BCCC005"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6055F2">
        <w:rPr>
          <w:rFonts w:asciiTheme="minorHAnsi" w:eastAsiaTheme="minorHAnsi" w:hAnsiTheme="minorHAnsi" w:cstheme="minorHAnsi"/>
          <w:color w:val="1C1D1E"/>
          <w:sz w:val="24"/>
          <w:szCs w:val="24"/>
          <w:shd w:val="clear" w:color="auto" w:fill="FFFFFF"/>
          <w:lang w:eastAsia="en-US"/>
        </w:rPr>
        <w:t>O'Connor, D. B., Jones, F., Conner, M., McMillan, B., &amp; Ferguson, E. (2008). Effects of daily hassles and eating style on eating behavior. </w:t>
      </w:r>
      <w:r w:rsidRPr="006055F2">
        <w:rPr>
          <w:rFonts w:asciiTheme="minorHAnsi" w:eastAsiaTheme="minorHAnsi" w:hAnsiTheme="minorHAnsi" w:cstheme="minorHAnsi"/>
          <w:i/>
          <w:iCs/>
          <w:color w:val="1C1D1E"/>
          <w:sz w:val="24"/>
          <w:szCs w:val="24"/>
          <w:shd w:val="clear" w:color="auto" w:fill="FFFFFF"/>
          <w:lang w:eastAsia="en-US"/>
        </w:rPr>
        <w:t>Health Psychology</w:t>
      </w:r>
      <w:r w:rsidRPr="006055F2">
        <w:rPr>
          <w:rFonts w:asciiTheme="minorHAnsi" w:eastAsiaTheme="minorHAnsi" w:hAnsiTheme="minorHAnsi" w:cstheme="minorHAnsi"/>
          <w:color w:val="1C1D1E"/>
          <w:sz w:val="24"/>
          <w:szCs w:val="24"/>
          <w:shd w:val="clear" w:color="auto" w:fill="FFFFFF"/>
          <w:lang w:eastAsia="en-US"/>
        </w:rPr>
        <w:t>, </w:t>
      </w:r>
      <w:r w:rsidRPr="006055F2">
        <w:rPr>
          <w:rFonts w:asciiTheme="minorHAnsi" w:eastAsiaTheme="minorHAnsi" w:hAnsiTheme="minorHAnsi" w:cstheme="minorHAnsi"/>
          <w:b/>
          <w:bCs/>
          <w:color w:val="1C1D1E"/>
          <w:sz w:val="24"/>
          <w:szCs w:val="24"/>
          <w:shd w:val="clear" w:color="auto" w:fill="FFFFFF"/>
          <w:lang w:eastAsia="en-US"/>
        </w:rPr>
        <w:t>27</w:t>
      </w:r>
      <w:r w:rsidRPr="006055F2">
        <w:rPr>
          <w:rFonts w:asciiTheme="minorHAnsi" w:eastAsiaTheme="minorHAnsi" w:hAnsiTheme="minorHAnsi" w:cstheme="minorHAnsi"/>
          <w:color w:val="1C1D1E"/>
          <w:sz w:val="24"/>
          <w:szCs w:val="24"/>
          <w:shd w:val="clear" w:color="auto" w:fill="FFFFFF"/>
          <w:lang w:eastAsia="en-US"/>
        </w:rPr>
        <w:t>, 20– 31. </w:t>
      </w:r>
      <w:hyperlink r:id="rId29" w:history="1">
        <w:r w:rsidRPr="006055F2">
          <w:rPr>
            <w:rFonts w:asciiTheme="minorHAnsi" w:eastAsiaTheme="minorHAnsi" w:hAnsiTheme="minorHAnsi" w:cstheme="minorHAnsi"/>
            <w:color w:val="0000FF"/>
            <w:sz w:val="24"/>
            <w:szCs w:val="24"/>
            <w:u w:val="single"/>
            <w:shd w:val="clear" w:color="auto" w:fill="FFFFFF"/>
            <w:lang w:eastAsia="en-US"/>
          </w:rPr>
          <w:t>https://doi.org/10.1037/0278-6133.27.1</w:t>
        </w:r>
      </w:hyperlink>
    </w:p>
    <w:p w14:paraId="18EF5251"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555555"/>
          <w:sz w:val="24"/>
          <w:szCs w:val="24"/>
          <w:shd w:val="clear" w:color="auto" w:fill="FFFFFF"/>
        </w:rPr>
      </w:pPr>
      <w:r w:rsidRPr="006055F2">
        <w:rPr>
          <w:rFonts w:asciiTheme="minorHAnsi" w:hAnsiTheme="minorHAnsi" w:cstheme="minorHAnsi"/>
          <w:color w:val="000000" w:themeColor="text1"/>
          <w:sz w:val="24"/>
          <w:szCs w:val="24"/>
        </w:rPr>
        <w:t xml:space="preserve">Queiros, C; Passos, F; Bartolo, A; Marques, JA; Da Silve CF and Pereira A (2020). Burnout and Sress Measurement in Police Officers: Literature Review and a study with the operational Police Stress Questionnaire. Frontiers in Psychology.  </w:t>
      </w:r>
      <w:r w:rsidRPr="006055F2">
        <w:rPr>
          <w:rFonts w:asciiTheme="minorHAnsi" w:hAnsiTheme="minorHAnsi" w:cstheme="minorHAnsi"/>
          <w:color w:val="000000" w:themeColor="text1"/>
          <w:sz w:val="24"/>
          <w:szCs w:val="24"/>
          <w:shd w:val="clear" w:color="auto" w:fill="F7F7F7"/>
        </w:rPr>
        <w:t> </w:t>
      </w:r>
      <w:hyperlink r:id="rId30" w:history="1">
        <w:r w:rsidRPr="006055F2">
          <w:rPr>
            <w:rFonts w:asciiTheme="minorHAnsi" w:hAnsiTheme="minorHAnsi" w:cstheme="minorHAnsi"/>
            <w:color w:val="000000" w:themeColor="text1"/>
            <w:sz w:val="24"/>
            <w:szCs w:val="24"/>
            <w:u w:val="single"/>
            <w:shd w:val="clear" w:color="auto" w:fill="F7F7F7"/>
          </w:rPr>
          <w:t>https://doi.org/10.3389/fpsyg.2020.00587</w:t>
        </w:r>
      </w:hyperlink>
      <w:r w:rsidRPr="006055F2">
        <w:rPr>
          <w:rFonts w:asciiTheme="minorHAnsi" w:hAnsiTheme="minorHAnsi" w:cstheme="minorHAnsi"/>
          <w:color w:val="555555"/>
          <w:sz w:val="24"/>
          <w:szCs w:val="24"/>
          <w:shd w:val="clear" w:color="auto" w:fill="FFFFFF"/>
        </w:rPr>
        <w:t xml:space="preserve"> </w:t>
      </w:r>
    </w:p>
    <w:p w14:paraId="3035A061"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000000" w:themeColor="text1"/>
          <w:sz w:val="24"/>
          <w:szCs w:val="24"/>
          <w:u w:val="single"/>
          <w:shd w:val="clear" w:color="auto" w:fill="F7F7F7"/>
        </w:rPr>
      </w:pPr>
      <w:r w:rsidRPr="006055F2">
        <w:rPr>
          <w:rFonts w:asciiTheme="minorHAnsi" w:hAnsiTheme="minorHAnsi" w:cstheme="minorHAnsi"/>
          <w:color w:val="555555"/>
          <w:sz w:val="24"/>
          <w:szCs w:val="24"/>
          <w:shd w:val="clear" w:color="auto" w:fill="FFFFFF"/>
        </w:rPr>
        <w:t>Särkämö T, Tervaniemi M, Laitinen S, Forsblom A, Soinila S and Mikkonen M(2008). Music listening enhances cognitive recovery and mood after middle cerebral artery stroke. Brain. 131: 866-876.</w:t>
      </w:r>
    </w:p>
    <w:p w14:paraId="14567080"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000000" w:themeColor="text1"/>
          <w:sz w:val="24"/>
          <w:szCs w:val="24"/>
        </w:rPr>
      </w:pPr>
      <w:r w:rsidRPr="006055F2">
        <w:rPr>
          <w:rFonts w:asciiTheme="minorHAnsi" w:hAnsiTheme="minorHAnsi" w:cstheme="minorHAnsi"/>
          <w:color w:val="auto"/>
          <w:sz w:val="24"/>
          <w:szCs w:val="24"/>
        </w:rPr>
        <w:t>Schultchen D; Reichenberger, J;  Mittl T; Weh, TRM; Smyth, JM , Blechert J and Pollatos, O (2019) Bidirectional relationship of stress and affect with physical activity and healthy eating British Journal of Health Psychology. 24, 315–333.</w:t>
      </w:r>
    </w:p>
    <w:p w14:paraId="53268802"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Strahler, J., Fuchs, R., Nater, U. M., &amp; Klaperski, S. (2016). Impact of physical fitness on salivary stress markers in sedentary to low-active young to middle-aged men. Psychoneuroendocrinology, 68, 14–19. doi:10.1016/j.psyneuen.2016.02.022</w:t>
      </w:r>
    </w:p>
    <w:p w14:paraId="083CA6B2"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Thoits P (2011) Mechanisms Linking Social Ties and Support to Physical and Mental Health. Journal of Health and Social Behavior 52(2) 145–161.</w:t>
      </w:r>
    </w:p>
    <w:p w14:paraId="19D3B8B5"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 xml:space="preserve">World Health Organiation (2021)  Stress. Accessed via </w:t>
      </w:r>
      <w:hyperlink r:id="rId31" w:history="1">
        <w:r w:rsidRPr="006055F2">
          <w:rPr>
            <w:rFonts w:asciiTheme="minorHAnsi" w:hAnsiTheme="minorHAnsi" w:cstheme="minorHAnsi"/>
            <w:color w:val="0000FF"/>
            <w:sz w:val="24"/>
            <w:szCs w:val="24"/>
            <w:u w:val="single"/>
          </w:rPr>
          <w:t>Stress (who.int)</w:t>
        </w:r>
      </w:hyperlink>
      <w:r w:rsidRPr="006055F2">
        <w:rPr>
          <w:rFonts w:asciiTheme="minorHAnsi" w:hAnsiTheme="minorHAnsi" w:cstheme="minorHAnsi"/>
          <w:color w:val="auto"/>
          <w:sz w:val="24"/>
          <w:szCs w:val="24"/>
        </w:rPr>
        <w:t xml:space="preserve">. Date Accessed 5/2/23. </w:t>
      </w:r>
    </w:p>
    <w:p w14:paraId="6A61BA83" w14:textId="1CF8462D" w:rsid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6055F2">
        <w:rPr>
          <w:rFonts w:asciiTheme="minorHAnsi" w:hAnsiTheme="minorHAnsi" w:cstheme="minorHAnsi"/>
          <w:color w:val="auto"/>
          <w:sz w:val="24"/>
          <w:szCs w:val="24"/>
        </w:rPr>
        <w:t xml:space="preserve">Zarenna S ( 2017) Prevalence of stress among medical students and music to alleviate the stress International Journal of Research in Medical Sciences 5(6):2512-2515 </w:t>
      </w:r>
    </w:p>
    <w:p w14:paraId="7BA8F0FB" w14:textId="1FF7C6A8" w:rsidR="00B5278D" w:rsidRDefault="007A37D3"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Pr>
          <w:rFonts w:asciiTheme="minorHAnsi" w:hAnsiTheme="minorHAnsi" w:cstheme="minorHAnsi"/>
          <w:color w:val="auto"/>
          <w:sz w:val="24"/>
          <w:szCs w:val="24"/>
        </w:rPr>
        <w:t>Task 2 bibliography</w:t>
      </w:r>
    </w:p>
    <w:p w14:paraId="1CD84ED0"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imes New Roman" w:hAnsi="Times New Roman" w:cs="Times New Roman"/>
          <w:color w:val="auto"/>
          <w:sz w:val="24"/>
          <w:szCs w:val="24"/>
        </w:rPr>
      </w:pPr>
      <w:r w:rsidRPr="007A37D3">
        <w:rPr>
          <w:rFonts w:ascii="Times New Roman" w:hAnsi="Times New Roman" w:cs="Times New Roman"/>
          <w:color w:val="auto"/>
          <w:sz w:val="24"/>
          <w:szCs w:val="24"/>
        </w:rPr>
        <w:t xml:space="preserve">Agastra, A. (2018). A Sociological Approach to Police Officers‟ Conflict Management Tools. Open Journal for Sociological Studies, 2(2), 47–58. </w:t>
      </w:r>
    </w:p>
    <w:p w14:paraId="315441DA"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eastAsiaTheme="minorHAnsi" w:hAnsiTheme="minorHAnsi" w:cstheme="minorHAnsi"/>
          <w:color w:val="1C0856"/>
          <w:sz w:val="24"/>
          <w:szCs w:val="24"/>
          <w:shd w:val="clear" w:color="auto" w:fill="FFFFFF"/>
          <w:lang w:eastAsia="en-US"/>
        </w:rPr>
      </w:pPr>
      <w:r w:rsidRPr="007A37D3">
        <w:rPr>
          <w:rFonts w:asciiTheme="minorHAnsi" w:eastAsiaTheme="minorHAnsi" w:hAnsiTheme="minorHAnsi" w:cstheme="minorHAnsi"/>
          <w:color w:val="1C0856"/>
          <w:sz w:val="24"/>
          <w:szCs w:val="24"/>
          <w:shd w:val="clear" w:color="auto" w:fill="FFFFFF"/>
          <w:lang w:eastAsia="en-US"/>
        </w:rPr>
        <w:t>Calero H (2005) The power of Non verbal communication. How you act is more important than what you say.Silver lake Publishing. Los Angeles.</w:t>
      </w:r>
    </w:p>
    <w:p w14:paraId="086F1C32"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Bidi"/>
          <w:color w:val="auto"/>
          <w:sz w:val="22"/>
          <w:szCs w:val="22"/>
          <w:lang w:eastAsia="en-US"/>
        </w:rPr>
      </w:pPr>
      <w:r w:rsidRPr="007A37D3">
        <w:rPr>
          <w:rFonts w:asciiTheme="minorHAnsi" w:eastAsiaTheme="minorHAnsi" w:hAnsiTheme="minorHAnsi" w:cstheme="minorBidi"/>
          <w:color w:val="auto"/>
          <w:sz w:val="22"/>
          <w:szCs w:val="22"/>
          <w:lang w:eastAsia="en-US"/>
        </w:rPr>
        <w:lastRenderedPageBreak/>
        <w:t xml:space="preserve">Cambridge Dictionary 2021 accessed via </w:t>
      </w:r>
      <w:hyperlink r:id="rId32" w:history="1">
        <w:r w:rsidRPr="007A37D3">
          <w:rPr>
            <w:rFonts w:asciiTheme="minorHAnsi" w:eastAsiaTheme="minorHAnsi" w:hAnsiTheme="minorHAnsi" w:cstheme="minorBidi"/>
            <w:color w:val="0000FF"/>
            <w:sz w:val="22"/>
            <w:szCs w:val="22"/>
            <w:u w:val="single"/>
            <w:lang w:eastAsia="en-US"/>
          </w:rPr>
          <w:t>CONFLICT | English meaning - Cambridge Dictionary</w:t>
        </w:r>
      </w:hyperlink>
      <w:r w:rsidRPr="007A37D3">
        <w:rPr>
          <w:rFonts w:asciiTheme="minorHAnsi" w:eastAsiaTheme="minorHAnsi" w:hAnsiTheme="minorHAnsi" w:cstheme="minorBidi"/>
          <w:color w:val="auto"/>
          <w:sz w:val="22"/>
          <w:szCs w:val="22"/>
          <w:lang w:eastAsia="en-US"/>
        </w:rPr>
        <w:t xml:space="preserve">. Date accessed 14/3/23. </w:t>
      </w:r>
    </w:p>
    <w:p w14:paraId="29994F08"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imes New Roman" w:hAnsi="Times New Roman" w:cs="Times New Roman"/>
          <w:color w:val="auto"/>
          <w:sz w:val="24"/>
          <w:szCs w:val="24"/>
        </w:rPr>
      </w:pPr>
      <w:r w:rsidRPr="007A37D3">
        <w:rPr>
          <w:rFonts w:ascii="Times New Roman" w:hAnsi="Times New Roman" w:cs="Times New Roman"/>
          <w:color w:val="auto"/>
          <w:sz w:val="24"/>
          <w:szCs w:val="24"/>
        </w:rPr>
        <w:t>Chijoko EM , Tshababa M , Jagada, C; Tshuma, E Singende,M ; Ngwenya, T and  Musavengana C (2020). Roles of Police in Conflict Management: A Critical Review of Literature. International Journal of Research and Innovation in Social Science Volume IV, Issue XI.</w:t>
      </w:r>
    </w:p>
    <w:p w14:paraId="7979A777"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eastAsiaTheme="minorHAnsi" w:hAnsiTheme="minorHAnsi" w:cstheme="minorHAnsi"/>
          <w:color w:val="auto"/>
          <w:sz w:val="24"/>
          <w:szCs w:val="24"/>
          <w:lang w:eastAsia="en-US"/>
        </w:rPr>
      </w:pPr>
      <w:r w:rsidRPr="007A37D3">
        <w:rPr>
          <w:rFonts w:asciiTheme="minorHAnsi" w:eastAsiaTheme="minorHAnsi" w:hAnsiTheme="minorHAnsi" w:cstheme="minorHAnsi"/>
          <w:color w:val="2A2A2A"/>
          <w:sz w:val="24"/>
          <w:szCs w:val="24"/>
          <w:shd w:val="clear" w:color="auto" w:fill="FFFFFF"/>
          <w:lang w:eastAsia="en-US"/>
        </w:rPr>
        <w:t xml:space="preserve">College of Policing (2020) Conflict management using de-escalation, communication and negotiation. Accessed via </w:t>
      </w:r>
      <w:hyperlink r:id="rId33" w:history="1">
        <w:r w:rsidRPr="007A37D3">
          <w:rPr>
            <w:rFonts w:asciiTheme="minorHAnsi" w:eastAsiaTheme="minorHAnsi" w:hAnsiTheme="minorHAnsi" w:cstheme="minorHAnsi"/>
            <w:color w:val="0000FF"/>
            <w:sz w:val="24"/>
            <w:szCs w:val="24"/>
            <w:u w:val="single"/>
            <w:lang w:eastAsia="en-US"/>
          </w:rPr>
          <w:t>Conflict management using de-escalation, communication and negotiation guidelines (college.police.uk)</w:t>
        </w:r>
      </w:hyperlink>
      <w:r w:rsidRPr="007A37D3">
        <w:rPr>
          <w:rFonts w:asciiTheme="minorHAnsi" w:eastAsiaTheme="minorHAnsi" w:hAnsiTheme="minorHAnsi" w:cstheme="minorHAnsi"/>
          <w:color w:val="auto"/>
          <w:sz w:val="24"/>
          <w:szCs w:val="24"/>
          <w:lang w:eastAsia="en-US"/>
        </w:rPr>
        <w:t>. Date accessed 8/3/23</w:t>
      </w:r>
    </w:p>
    <w:p w14:paraId="4B1A7DF6"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333333"/>
          <w:sz w:val="24"/>
          <w:szCs w:val="24"/>
          <w:lang w:eastAsia="en-US"/>
        </w:rPr>
      </w:pPr>
      <w:r w:rsidRPr="007A37D3">
        <w:rPr>
          <w:rFonts w:asciiTheme="minorHAnsi" w:eastAsiaTheme="minorHAnsi" w:hAnsiTheme="minorHAnsi" w:cstheme="minorHAnsi"/>
          <w:color w:val="333333"/>
          <w:sz w:val="24"/>
          <w:szCs w:val="24"/>
          <w:lang w:eastAsia="en-US"/>
        </w:rPr>
        <w:t>De Dreu CKW Van de Vliert E (1999) </w:t>
      </w:r>
      <w:r w:rsidRPr="007A37D3">
        <w:rPr>
          <w:rFonts w:asciiTheme="minorHAnsi" w:eastAsiaTheme="minorHAnsi" w:hAnsiTheme="minorHAnsi" w:cstheme="minorHAnsi"/>
          <w:i/>
          <w:iCs/>
          <w:color w:val="333333"/>
          <w:sz w:val="24"/>
          <w:szCs w:val="24"/>
          <w:lang w:eastAsia="en-US"/>
        </w:rPr>
        <w:t>Using Conflict in Organisations</w:t>
      </w:r>
      <w:r w:rsidRPr="007A37D3">
        <w:rPr>
          <w:rFonts w:asciiTheme="minorHAnsi" w:eastAsiaTheme="minorHAnsi" w:hAnsiTheme="minorHAnsi" w:cstheme="minorHAnsi"/>
          <w:color w:val="333333"/>
          <w:sz w:val="24"/>
          <w:szCs w:val="24"/>
          <w:lang w:eastAsia="en-US"/>
        </w:rPr>
        <w:t> London </w:t>
      </w:r>
      <w:r w:rsidRPr="007A37D3">
        <w:rPr>
          <w:rFonts w:asciiTheme="minorHAnsi" w:eastAsiaTheme="minorHAnsi" w:hAnsiTheme="minorHAnsi" w:cstheme="minorHAnsi"/>
          <w:i/>
          <w:iCs/>
          <w:color w:val="333333"/>
          <w:sz w:val="24"/>
          <w:szCs w:val="24"/>
          <w:lang w:eastAsia="en-US"/>
        </w:rPr>
        <w:t>Sage</w:t>
      </w:r>
      <w:r w:rsidRPr="007A37D3">
        <w:rPr>
          <w:rFonts w:asciiTheme="minorHAnsi" w:eastAsiaTheme="minorHAnsi" w:hAnsiTheme="minorHAnsi" w:cstheme="minorHAnsi"/>
          <w:color w:val="333333"/>
          <w:sz w:val="24"/>
          <w:szCs w:val="24"/>
          <w:lang w:eastAsia="en-US"/>
        </w:rPr>
        <w:t> </w:t>
      </w:r>
    </w:p>
    <w:p w14:paraId="525F186A"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333333"/>
          <w:sz w:val="24"/>
          <w:szCs w:val="24"/>
          <w:lang w:eastAsia="en-US"/>
        </w:rPr>
      </w:pPr>
    </w:p>
    <w:p w14:paraId="25387061" w14:textId="77777777" w:rsidR="007A37D3" w:rsidRPr="007A37D3" w:rsidRDefault="007A37D3" w:rsidP="007A37D3">
      <w:pPr>
        <w:shd w:val="clear" w:color="auto" w:fill="FFFFFF"/>
        <w:overflowPunct/>
        <w:autoSpaceDE/>
        <w:autoSpaceDN/>
        <w:adjustRightInd/>
        <w:rPr>
          <w:rFonts w:ascii="Open Sans" w:hAnsi="Open Sans" w:cs="Open Sans"/>
          <w:color w:val="767676"/>
          <w:sz w:val="21"/>
          <w:szCs w:val="21"/>
        </w:rPr>
      </w:pPr>
      <w:r w:rsidRPr="007A37D3">
        <w:rPr>
          <w:rFonts w:asciiTheme="minorHAnsi" w:eastAsiaTheme="minorHAnsi" w:hAnsiTheme="minorHAnsi" w:cstheme="minorBidi"/>
          <w:color w:val="auto"/>
          <w:sz w:val="22"/>
          <w:szCs w:val="22"/>
          <w:lang w:eastAsia="en-US"/>
        </w:rPr>
        <w:t xml:space="preserve">Engel RS; McManus HD and Herold TD (2020) Does de-escalation training work? A systematic review and call for evidence in police use of force reform. Accessed via </w:t>
      </w:r>
    </w:p>
    <w:p w14:paraId="013BF2DD" w14:textId="77777777" w:rsidR="007A37D3" w:rsidRPr="007A37D3" w:rsidRDefault="007A37D3" w:rsidP="007A37D3">
      <w:pPr>
        <w:shd w:val="clear" w:color="auto" w:fill="FFFFFF"/>
        <w:overflowPunct/>
        <w:autoSpaceDE/>
        <w:autoSpaceDN/>
        <w:adjustRightInd/>
        <w:textAlignment w:val="auto"/>
        <w:rPr>
          <w:rFonts w:ascii="Open Sans" w:hAnsi="Open Sans" w:cs="Open Sans"/>
          <w:color w:val="auto"/>
          <w:sz w:val="21"/>
          <w:szCs w:val="21"/>
        </w:rPr>
      </w:pPr>
      <w:hyperlink r:id="rId34" w:history="1">
        <w:r w:rsidRPr="007A37D3">
          <w:rPr>
            <w:rFonts w:ascii="Open Sans" w:hAnsi="Open Sans" w:cs="Open Sans"/>
            <w:color w:val="auto"/>
            <w:sz w:val="21"/>
            <w:szCs w:val="21"/>
            <w:u w:val="single"/>
          </w:rPr>
          <w:t>https://doi.org/10.1111/1745-9133.12467</w:t>
        </w:r>
      </w:hyperlink>
      <w:r w:rsidRPr="007A37D3">
        <w:rPr>
          <w:rFonts w:ascii="Open Sans" w:hAnsi="Open Sans" w:cs="Open Sans"/>
          <w:color w:val="auto"/>
          <w:sz w:val="21"/>
          <w:szCs w:val="21"/>
          <w:u w:val="single"/>
        </w:rPr>
        <w:t>. Date accessed 16/3/23.</w:t>
      </w:r>
    </w:p>
    <w:p w14:paraId="73E0AF8B"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333333"/>
          <w:sz w:val="24"/>
          <w:szCs w:val="24"/>
          <w:lang w:eastAsia="en-US"/>
        </w:rPr>
      </w:pPr>
    </w:p>
    <w:p w14:paraId="0DBB6E99" w14:textId="77777777" w:rsidR="007A37D3" w:rsidRPr="007A37D3" w:rsidRDefault="007A37D3" w:rsidP="007A37D3">
      <w:pPr>
        <w:overflowPunct/>
        <w:autoSpaceDE/>
        <w:autoSpaceDN/>
        <w:adjustRightInd/>
        <w:ind w:right="75"/>
        <w:textAlignment w:val="auto"/>
        <w:rPr>
          <w:rFonts w:asciiTheme="minorHAnsi" w:hAnsiTheme="minorHAnsi" w:cstheme="minorHAnsi"/>
          <w:color w:val="10147E"/>
          <w:sz w:val="24"/>
          <w:szCs w:val="24"/>
          <w:u w:val="single"/>
        </w:rPr>
      </w:pPr>
      <w:hyperlink r:id="rId35" w:history="1">
        <w:r w:rsidRPr="007A37D3">
          <w:rPr>
            <w:rFonts w:asciiTheme="minorHAnsi" w:hAnsiTheme="minorHAnsi" w:cstheme="minorHAnsi"/>
            <w:color w:val="auto"/>
            <w:sz w:val="24"/>
            <w:szCs w:val="24"/>
          </w:rPr>
          <w:t>Euwema  MC;</w:t>
        </w:r>
        <w:r w:rsidRPr="007A37D3">
          <w:rPr>
            <w:rFonts w:asciiTheme="minorHAnsi" w:hAnsiTheme="minorHAnsi" w:cstheme="minorHAnsi"/>
            <w:color w:val="auto"/>
            <w:sz w:val="24"/>
            <w:szCs w:val="24"/>
            <w:u w:val="single"/>
          </w:rPr>
          <w:t xml:space="preserve"> </w:t>
        </w:r>
      </w:hyperlink>
      <w:r w:rsidRPr="007A37D3">
        <w:rPr>
          <w:rFonts w:asciiTheme="minorHAnsi" w:hAnsiTheme="minorHAnsi" w:cstheme="minorHAnsi"/>
          <w:color w:val="auto"/>
          <w:sz w:val="24"/>
          <w:szCs w:val="24"/>
        </w:rPr>
        <w:t xml:space="preserve">Kop N and Bakker AB (2007) </w:t>
      </w:r>
      <w:r w:rsidRPr="007A37D3">
        <w:rPr>
          <w:rFonts w:asciiTheme="minorHAnsi" w:hAnsiTheme="minorHAnsi" w:cstheme="minorHAnsi"/>
          <w:color w:val="333333"/>
          <w:kern w:val="36"/>
          <w:sz w:val="24"/>
          <w:szCs w:val="24"/>
        </w:rPr>
        <w:t xml:space="preserve">The behaviour of police officers in conflict situations: how burnout and reduced dominance contribute to better outcomes. Work and Stress. International Journal of Work, Health and Organisations. Vol 18, pp 23-38. </w:t>
      </w:r>
      <w:hyperlink r:id="rId36" w:history="1">
        <w:r w:rsidRPr="007A37D3">
          <w:rPr>
            <w:rFonts w:asciiTheme="minorHAnsi" w:hAnsiTheme="minorHAnsi" w:cstheme="minorHAnsi"/>
            <w:color w:val="10147E"/>
            <w:sz w:val="24"/>
            <w:szCs w:val="24"/>
            <w:u w:val="single"/>
          </w:rPr>
          <w:t>https://doi.org/10.1080/0267837042000209767</w:t>
        </w:r>
      </w:hyperlink>
    </w:p>
    <w:p w14:paraId="6A8E8F6A"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imes New Roman" w:hAnsi="Times New Roman" w:cs="Times New Roman"/>
          <w:color w:val="auto"/>
          <w:sz w:val="24"/>
          <w:szCs w:val="24"/>
        </w:rPr>
      </w:pPr>
      <w:r w:rsidRPr="007A37D3">
        <w:rPr>
          <w:rFonts w:ascii="Times New Roman" w:hAnsi="Times New Roman" w:cs="Times New Roman"/>
          <w:color w:val="auto"/>
          <w:sz w:val="24"/>
          <w:szCs w:val="24"/>
        </w:rPr>
        <w:t>Johnson RR and Aaron JL (2013) Adults’ Beliefs Regarding Nonverbal Cues Predictive of Violence . CRIMINAL JUSTICE AND BEHAVIOR, Vol. 40, No. 8, August 2013, 881-894.</w:t>
      </w:r>
    </w:p>
    <w:p w14:paraId="7A20B94F" w14:textId="77777777" w:rsidR="007A37D3" w:rsidRPr="007A37D3" w:rsidRDefault="007A37D3" w:rsidP="007A37D3">
      <w:pPr>
        <w:shd w:val="clear" w:color="auto" w:fill="FFFFFF"/>
        <w:overflowPunct/>
        <w:autoSpaceDE/>
        <w:autoSpaceDN/>
        <w:adjustRightInd/>
        <w:rPr>
          <w:color w:val="202122"/>
          <w:sz w:val="21"/>
          <w:szCs w:val="21"/>
        </w:rPr>
      </w:pPr>
      <w:r w:rsidRPr="007A37D3">
        <w:rPr>
          <w:color w:val="202122"/>
          <w:sz w:val="21"/>
          <w:szCs w:val="21"/>
        </w:rPr>
        <w:t>Karpman,  S (2014). </w:t>
      </w:r>
      <w:r w:rsidRPr="007A37D3">
        <w:rPr>
          <w:i/>
          <w:iCs/>
          <w:color w:val="202122"/>
          <w:sz w:val="21"/>
          <w:szCs w:val="21"/>
        </w:rPr>
        <w:t>A Game Free Life</w:t>
      </w:r>
      <w:r w:rsidRPr="007A37D3">
        <w:rPr>
          <w:color w:val="202122"/>
          <w:sz w:val="21"/>
          <w:szCs w:val="21"/>
        </w:rPr>
        <w:t>. Self published. </w:t>
      </w:r>
      <w:hyperlink r:id="rId37" w:history="1">
        <w:r w:rsidRPr="007A37D3">
          <w:rPr>
            <w:color w:val="3366CC"/>
            <w:sz w:val="21"/>
            <w:szCs w:val="21"/>
            <w:u w:val="single"/>
          </w:rPr>
          <w:t>ISBN</w:t>
        </w:r>
      </w:hyperlink>
      <w:r w:rsidRPr="007A37D3">
        <w:rPr>
          <w:color w:val="202122"/>
          <w:sz w:val="21"/>
          <w:szCs w:val="21"/>
        </w:rPr>
        <w:t> </w:t>
      </w:r>
      <w:hyperlink r:id="rId38" w:tooltip="Special:BookSources/978-0990586708" w:history="1">
        <w:r w:rsidRPr="007A37D3">
          <w:rPr>
            <w:color w:val="3366CC"/>
            <w:sz w:val="21"/>
            <w:szCs w:val="21"/>
            <w:u w:val="single"/>
          </w:rPr>
          <w:t>978-0990586708</w:t>
        </w:r>
      </w:hyperlink>
    </w:p>
    <w:p w14:paraId="547209CD" w14:textId="77777777" w:rsidR="007A37D3" w:rsidRPr="007A37D3" w:rsidRDefault="007A37D3" w:rsidP="007A37D3">
      <w:pPr>
        <w:shd w:val="clear" w:color="auto" w:fill="FFFFFF"/>
        <w:overflowPunct/>
        <w:autoSpaceDE/>
        <w:autoSpaceDN/>
        <w:adjustRightInd/>
        <w:rPr>
          <w:color w:val="202122"/>
          <w:sz w:val="21"/>
          <w:szCs w:val="21"/>
        </w:rPr>
      </w:pPr>
    </w:p>
    <w:p w14:paraId="35EEF249"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2A2A2A"/>
          <w:sz w:val="24"/>
          <w:szCs w:val="24"/>
          <w:shd w:val="clear" w:color="auto" w:fill="FFFFFF"/>
          <w:lang w:eastAsia="en-US"/>
        </w:rPr>
      </w:pPr>
      <w:bookmarkStart w:id="1" w:name="_Hlk129196016"/>
    </w:p>
    <w:p w14:paraId="2AD1BB2E"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2A2A2A"/>
          <w:sz w:val="24"/>
          <w:szCs w:val="24"/>
          <w:shd w:val="clear" w:color="auto" w:fill="FFFFFF"/>
          <w:lang w:eastAsia="en-US"/>
        </w:rPr>
      </w:pPr>
      <w:r w:rsidRPr="007A37D3">
        <w:rPr>
          <w:rFonts w:asciiTheme="minorHAnsi" w:eastAsiaTheme="minorHAnsi" w:hAnsiTheme="minorHAnsi" w:cstheme="minorHAnsi"/>
          <w:color w:val="2A2A2A"/>
          <w:sz w:val="24"/>
          <w:szCs w:val="24"/>
          <w:shd w:val="clear" w:color="auto" w:fill="FFFFFF"/>
          <w:lang w:eastAsia="en-US"/>
        </w:rPr>
        <w:t>Koerner S and Staller M (2021</w:t>
      </w:r>
      <w:bookmarkEnd w:id="1"/>
      <w:r w:rsidRPr="007A37D3">
        <w:rPr>
          <w:rFonts w:asciiTheme="minorHAnsi" w:eastAsiaTheme="minorHAnsi" w:hAnsiTheme="minorHAnsi" w:cstheme="minorHAnsi"/>
          <w:color w:val="2A2A2A"/>
          <w:sz w:val="24"/>
          <w:szCs w:val="24"/>
          <w:shd w:val="clear" w:color="auto" w:fill="FFFFFF"/>
          <w:lang w:eastAsia="en-US"/>
        </w:rPr>
        <w:t xml:space="preserve">a) Police Training Revisited—Meeting the Demands of Conflict Training in Police with an Alternative Pedagogical Approach. Policing: A journal of policy and Practice, Vol 15, Issue 2 pp 927-938. </w:t>
      </w:r>
    </w:p>
    <w:p w14:paraId="4B069353"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2A2A2A"/>
          <w:sz w:val="24"/>
          <w:szCs w:val="24"/>
          <w:shd w:val="clear" w:color="auto" w:fill="FFFFFF"/>
          <w:lang w:eastAsia="en-US"/>
        </w:rPr>
      </w:pPr>
    </w:p>
    <w:p w14:paraId="564EB928" w14:textId="77777777" w:rsidR="007A37D3" w:rsidRPr="007A37D3" w:rsidRDefault="007A37D3" w:rsidP="007A37D3">
      <w:pPr>
        <w:shd w:val="clear" w:color="auto" w:fill="FFFFFF"/>
        <w:overflowPunct/>
        <w:autoSpaceDE/>
        <w:autoSpaceDN/>
        <w:adjustRightInd/>
        <w:rPr>
          <w:rFonts w:asciiTheme="minorHAnsi" w:hAnsiTheme="minorHAnsi" w:cstheme="minorHAnsi"/>
          <w:color w:val="282828"/>
          <w:kern w:val="36"/>
          <w:sz w:val="24"/>
          <w:szCs w:val="24"/>
        </w:rPr>
      </w:pPr>
      <w:r w:rsidRPr="007A37D3">
        <w:rPr>
          <w:rFonts w:asciiTheme="minorHAnsi" w:eastAsiaTheme="minorHAnsi" w:hAnsiTheme="minorHAnsi" w:cstheme="minorHAnsi"/>
          <w:color w:val="2A2A2A"/>
          <w:sz w:val="24"/>
          <w:szCs w:val="24"/>
          <w:shd w:val="clear" w:color="auto" w:fill="FFFFFF"/>
          <w:lang w:eastAsia="en-US"/>
        </w:rPr>
        <w:t>Koerner S and Staller M (2021b)</w:t>
      </w:r>
      <w:r w:rsidRPr="007A37D3">
        <w:rPr>
          <w:rFonts w:asciiTheme="minorHAnsi" w:hAnsiTheme="minorHAnsi" w:cstheme="minorHAnsi"/>
          <w:color w:val="282828"/>
          <w:kern w:val="36"/>
          <w:sz w:val="24"/>
          <w:szCs w:val="24"/>
        </w:rPr>
        <w:t xml:space="preserve"> The Situation is Quite Different.” Perceptions of Violent Conflicts and Training Among German Police Officers. Frontiers in Education. Accessed via </w:t>
      </w:r>
      <w:hyperlink r:id="rId39" w:history="1">
        <w:r w:rsidRPr="007A37D3">
          <w:rPr>
            <w:rFonts w:asciiTheme="minorHAnsi" w:eastAsiaTheme="minorHAnsi" w:hAnsiTheme="minorHAnsi" w:cstheme="minorHAnsi"/>
            <w:color w:val="0000FF"/>
            <w:sz w:val="24"/>
            <w:szCs w:val="24"/>
            <w:u w:val="single"/>
            <w:lang w:eastAsia="en-US"/>
          </w:rPr>
          <w:t>Frontiers | “The Situation is Quite Different.” Perceptions of Violent Conflicts and Training Among German Police Officers (frontiersin.org)</w:t>
        </w:r>
      </w:hyperlink>
      <w:r w:rsidRPr="007A37D3">
        <w:rPr>
          <w:rFonts w:asciiTheme="minorHAnsi" w:eastAsiaTheme="minorHAnsi" w:hAnsiTheme="minorHAnsi" w:cstheme="minorHAnsi"/>
          <w:color w:val="auto"/>
          <w:sz w:val="24"/>
          <w:szCs w:val="24"/>
          <w:lang w:eastAsia="en-US"/>
        </w:rPr>
        <w:t>. Date Accessed 8/3/23</w:t>
      </w:r>
    </w:p>
    <w:p w14:paraId="252223DA"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2A2A2A"/>
          <w:sz w:val="24"/>
          <w:szCs w:val="24"/>
          <w:shd w:val="clear" w:color="auto" w:fill="FFFFFF"/>
          <w:lang w:eastAsia="en-US"/>
        </w:rPr>
      </w:pPr>
    </w:p>
    <w:p w14:paraId="29C62063"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Bidi"/>
          <w:color w:val="auto"/>
          <w:sz w:val="22"/>
          <w:szCs w:val="22"/>
          <w:lang w:eastAsia="en-US"/>
        </w:rPr>
      </w:pPr>
      <w:r w:rsidRPr="007A37D3">
        <w:rPr>
          <w:rFonts w:asciiTheme="minorHAnsi" w:eastAsiaTheme="minorHAnsi" w:hAnsiTheme="minorHAnsi" w:cstheme="minorBidi"/>
          <w:color w:val="auto"/>
          <w:sz w:val="22"/>
          <w:szCs w:val="22"/>
          <w:lang w:eastAsia="en-US"/>
        </w:rPr>
        <w:t>Lumumba-Kasongo, T. (2019). Contemporary Theories of Conflict and their Social and Political Implications. Peace, Security and Post-Conflict Reconstruction in the Great Lakes Region of Africa, 29–48.</w:t>
      </w:r>
    </w:p>
    <w:p w14:paraId="30D546AA"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2A2A2A"/>
          <w:sz w:val="24"/>
          <w:szCs w:val="24"/>
          <w:shd w:val="clear" w:color="auto" w:fill="FFFFFF"/>
          <w:lang w:eastAsia="en-US"/>
        </w:rPr>
      </w:pPr>
    </w:p>
    <w:p w14:paraId="0104B34A"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333333"/>
          <w:sz w:val="24"/>
          <w:szCs w:val="24"/>
          <w:shd w:val="clear" w:color="auto" w:fill="FFFFFF"/>
          <w:lang w:eastAsia="en-US"/>
        </w:rPr>
      </w:pPr>
      <w:r w:rsidRPr="007A37D3">
        <w:rPr>
          <w:rFonts w:asciiTheme="minorHAnsi" w:eastAsiaTheme="minorHAnsi" w:hAnsiTheme="minorHAnsi" w:cstheme="minorHAnsi"/>
          <w:sz w:val="22"/>
          <w:szCs w:val="22"/>
          <w:lang w:eastAsia="en-US"/>
        </w:rPr>
        <w:t xml:space="preserve">Office for National Statistics (2022) Statistics on the number of Police Assaulted in year ending March 2021, England and Wales. Accessed via </w:t>
      </w:r>
      <w:hyperlink r:id="rId40" w:history="1">
        <w:r w:rsidRPr="007A37D3">
          <w:rPr>
            <w:rFonts w:asciiTheme="minorHAnsi" w:eastAsiaTheme="minorHAnsi" w:hAnsiTheme="minorHAnsi" w:cstheme="minorBidi"/>
            <w:color w:val="0000FF"/>
            <w:sz w:val="22"/>
            <w:szCs w:val="22"/>
            <w:u w:val="single"/>
            <w:lang w:eastAsia="en-US"/>
          </w:rPr>
          <w:t>Annex: Statistics on the number of police officers assaulted in the year ending March 2021, England and Wales - GOV.UK (www.gov.uk)</w:t>
        </w:r>
      </w:hyperlink>
      <w:r w:rsidRPr="007A37D3">
        <w:rPr>
          <w:rFonts w:asciiTheme="minorHAnsi" w:eastAsiaTheme="minorHAnsi" w:hAnsiTheme="minorHAnsi" w:cstheme="minorHAnsi"/>
          <w:sz w:val="22"/>
          <w:szCs w:val="22"/>
          <w:lang w:eastAsia="en-US"/>
        </w:rPr>
        <w:t xml:space="preserve"> . </w:t>
      </w:r>
      <w:r w:rsidRPr="007A37D3">
        <w:rPr>
          <w:rFonts w:asciiTheme="minorHAnsi" w:eastAsiaTheme="minorHAnsi" w:hAnsiTheme="minorHAnsi" w:cstheme="minorHAnsi"/>
          <w:color w:val="333333"/>
          <w:sz w:val="24"/>
          <w:szCs w:val="24"/>
          <w:shd w:val="clear" w:color="auto" w:fill="FFFFFF"/>
          <w:lang w:eastAsia="en-US"/>
        </w:rPr>
        <w:t xml:space="preserve"> Date Accessed 9/3/23 </w:t>
      </w:r>
    </w:p>
    <w:p w14:paraId="2C5ED4F5"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333333"/>
          <w:sz w:val="24"/>
          <w:szCs w:val="24"/>
          <w:shd w:val="clear" w:color="auto" w:fill="FFFFFF"/>
          <w:lang w:eastAsia="en-US"/>
        </w:rPr>
      </w:pPr>
    </w:p>
    <w:p w14:paraId="4D1C81E3"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333333"/>
          <w:sz w:val="24"/>
          <w:szCs w:val="24"/>
          <w:shd w:val="clear" w:color="auto" w:fill="FFFFFF"/>
          <w:lang w:eastAsia="en-US"/>
        </w:rPr>
      </w:pPr>
    </w:p>
    <w:p w14:paraId="59AFC05C"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282828"/>
          <w:sz w:val="22"/>
          <w:szCs w:val="22"/>
          <w:shd w:val="clear" w:color="auto" w:fill="F7F7F7"/>
          <w:lang w:eastAsia="en-US"/>
        </w:rPr>
      </w:pPr>
      <w:r w:rsidRPr="007A37D3">
        <w:rPr>
          <w:rFonts w:asciiTheme="minorHAnsi" w:eastAsiaTheme="minorHAnsi" w:hAnsiTheme="minorHAnsi" w:cstheme="minorHAnsi"/>
          <w:color w:val="282828"/>
          <w:sz w:val="22"/>
          <w:szCs w:val="22"/>
          <w:shd w:val="clear" w:color="auto" w:fill="F7F7F7"/>
          <w:lang w:eastAsia="en-US"/>
        </w:rPr>
        <w:t>Road Traffic Act (1988).</w:t>
      </w:r>
      <w:r w:rsidRPr="007A37D3">
        <w:rPr>
          <w:rFonts w:asciiTheme="minorHAnsi" w:eastAsiaTheme="minorHAnsi" w:hAnsiTheme="minorHAnsi" w:cstheme="minorBidi"/>
          <w:color w:val="auto"/>
          <w:sz w:val="22"/>
          <w:szCs w:val="22"/>
          <w:lang w:eastAsia="en-US"/>
        </w:rPr>
        <w:t xml:space="preserve"> </w:t>
      </w:r>
      <w:hyperlink r:id="rId41" w:history="1">
        <w:r w:rsidRPr="007A37D3">
          <w:rPr>
            <w:rFonts w:asciiTheme="minorHAnsi" w:eastAsiaTheme="minorHAnsi" w:hAnsiTheme="minorHAnsi" w:cstheme="minorBidi"/>
            <w:color w:val="0000FF"/>
            <w:sz w:val="22"/>
            <w:szCs w:val="22"/>
            <w:u w:val="single"/>
            <w:lang w:eastAsia="en-US"/>
          </w:rPr>
          <w:t>Road Traffic Act 1988 (legislation.gov.uk)</w:t>
        </w:r>
      </w:hyperlink>
      <w:r w:rsidRPr="007A37D3">
        <w:rPr>
          <w:rFonts w:asciiTheme="minorHAnsi" w:eastAsiaTheme="minorHAnsi" w:hAnsiTheme="minorHAnsi" w:cstheme="minorBidi"/>
          <w:color w:val="auto"/>
          <w:sz w:val="22"/>
          <w:szCs w:val="22"/>
          <w:lang w:eastAsia="en-US"/>
        </w:rPr>
        <w:t xml:space="preserve">. Date Accessed 16/3/23 </w:t>
      </w:r>
    </w:p>
    <w:p w14:paraId="46737851"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282828"/>
          <w:sz w:val="22"/>
          <w:szCs w:val="22"/>
          <w:shd w:val="clear" w:color="auto" w:fill="F7F7F7"/>
          <w:lang w:eastAsia="en-US"/>
        </w:rPr>
      </w:pPr>
    </w:p>
    <w:p w14:paraId="56DB8EAC"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333333"/>
          <w:sz w:val="24"/>
          <w:szCs w:val="24"/>
          <w:shd w:val="clear" w:color="auto" w:fill="FFFFFF"/>
          <w:lang w:eastAsia="en-US"/>
        </w:rPr>
      </w:pPr>
    </w:p>
    <w:p w14:paraId="3FFD2EC2" w14:textId="77777777" w:rsidR="007A37D3" w:rsidRPr="007A37D3" w:rsidRDefault="007A37D3" w:rsidP="007A37D3">
      <w:pPr>
        <w:shd w:val="clear" w:color="auto" w:fill="FFFFFF"/>
        <w:overflowPunct/>
        <w:autoSpaceDE/>
        <w:autoSpaceDN/>
        <w:adjustRightInd/>
        <w:rPr>
          <w:rFonts w:asciiTheme="minorHAnsi" w:hAnsiTheme="minorHAnsi" w:cstheme="minorHAnsi"/>
          <w:color w:val="auto"/>
          <w:sz w:val="24"/>
          <w:szCs w:val="24"/>
        </w:rPr>
      </w:pPr>
      <w:r w:rsidRPr="007A37D3">
        <w:rPr>
          <w:rFonts w:asciiTheme="minorHAnsi" w:hAnsiTheme="minorHAnsi" w:cstheme="minorHAnsi"/>
          <w:color w:val="2A2A2A"/>
          <w:sz w:val="24"/>
          <w:szCs w:val="24"/>
        </w:rPr>
        <w:t xml:space="preserve">Renden P. G; </w:t>
      </w:r>
      <w:r w:rsidRPr="007A37D3">
        <w:rPr>
          <w:rFonts w:asciiTheme="minorHAnsi" w:hAnsiTheme="minorHAnsi" w:cstheme="minorHAnsi"/>
          <w:color w:val="2A2A2A"/>
          <w:sz w:val="24"/>
          <w:szCs w:val="24"/>
          <w:bdr w:val="none" w:sz="0" w:space="0" w:color="auto" w:frame="1"/>
          <w:shd w:val="clear" w:color="auto" w:fill="FFFFFF"/>
        </w:rPr>
        <w:t>Nieuwenhuys A; Savelsbergh G.  and Oudejans R. R.</w:t>
      </w:r>
      <w:r w:rsidRPr="007A37D3">
        <w:rPr>
          <w:rFonts w:asciiTheme="minorHAnsi" w:hAnsiTheme="minorHAnsi" w:cstheme="minorHAnsi"/>
          <w:color w:val="2A2A2A"/>
          <w:sz w:val="24"/>
          <w:szCs w:val="24"/>
          <w:shd w:val="clear" w:color="auto" w:fill="FFFFFF"/>
        </w:rPr>
        <w:t>(</w:t>
      </w:r>
      <w:r w:rsidRPr="007A37D3">
        <w:rPr>
          <w:rFonts w:asciiTheme="minorHAnsi" w:hAnsiTheme="minorHAnsi" w:cstheme="minorHAnsi"/>
          <w:color w:val="2A2A2A"/>
          <w:sz w:val="24"/>
          <w:szCs w:val="24"/>
        </w:rPr>
        <w:t>2015</w:t>
      </w:r>
      <w:r w:rsidRPr="007A37D3">
        <w:rPr>
          <w:rFonts w:asciiTheme="minorHAnsi" w:hAnsiTheme="minorHAnsi" w:cstheme="minorHAnsi"/>
          <w:color w:val="2A2A2A"/>
          <w:sz w:val="24"/>
          <w:szCs w:val="24"/>
          <w:shd w:val="clear" w:color="auto" w:fill="FFFFFF"/>
        </w:rPr>
        <w:t>).  </w:t>
      </w:r>
    </w:p>
    <w:p w14:paraId="6EF78CE2" w14:textId="77777777" w:rsidR="007A37D3" w:rsidRPr="007A37D3" w:rsidRDefault="007A37D3" w:rsidP="007A37D3">
      <w:pPr>
        <w:shd w:val="clear" w:color="auto" w:fill="FFFFFF"/>
        <w:overflowPunct/>
        <w:autoSpaceDE/>
        <w:autoSpaceDN/>
        <w:adjustRightInd/>
        <w:rPr>
          <w:rFonts w:asciiTheme="minorHAnsi" w:hAnsiTheme="minorHAnsi" w:cstheme="minorHAnsi"/>
          <w:color w:val="2A2A2A"/>
          <w:sz w:val="24"/>
          <w:szCs w:val="24"/>
        </w:rPr>
      </w:pPr>
      <w:r w:rsidRPr="007A37D3">
        <w:rPr>
          <w:rFonts w:asciiTheme="minorHAnsi" w:hAnsiTheme="minorHAnsi" w:cstheme="minorHAnsi"/>
          <w:color w:val="2A2A2A"/>
          <w:sz w:val="24"/>
          <w:szCs w:val="24"/>
        </w:rPr>
        <w:t xml:space="preserve">Dutch Police Officers' Preparation and Performance of Their Arrest and Self-Defence Skills: A Questionnaire Study. </w:t>
      </w:r>
      <w:r w:rsidRPr="007A37D3">
        <w:rPr>
          <w:rFonts w:asciiTheme="minorHAnsi" w:hAnsiTheme="minorHAnsi" w:cstheme="minorHAnsi"/>
          <w:i/>
          <w:iCs/>
          <w:color w:val="2A2A2A"/>
          <w:sz w:val="24"/>
          <w:szCs w:val="24"/>
          <w:bdr w:val="none" w:sz="0" w:space="0" w:color="auto" w:frame="1"/>
        </w:rPr>
        <w:t xml:space="preserve">Applied Ergonomics </w:t>
      </w:r>
      <w:r w:rsidRPr="007A37D3">
        <w:rPr>
          <w:rFonts w:asciiTheme="minorHAnsi" w:hAnsiTheme="minorHAnsi" w:cstheme="minorHAnsi"/>
          <w:color w:val="2A2A2A"/>
          <w:sz w:val="24"/>
          <w:szCs w:val="24"/>
        </w:rPr>
        <w:t xml:space="preserve">49, 8, 17. </w:t>
      </w:r>
      <w:hyperlink r:id="rId42" w:tgtFrame="_blank" w:history="1">
        <w:r w:rsidRPr="007A37D3">
          <w:rPr>
            <w:rFonts w:asciiTheme="minorHAnsi" w:hAnsiTheme="minorHAnsi" w:cstheme="minorHAnsi"/>
            <w:color w:val="006FB7"/>
            <w:sz w:val="24"/>
            <w:szCs w:val="24"/>
            <w:u w:val="single"/>
            <w:bdr w:val="none" w:sz="0" w:space="0" w:color="auto" w:frame="1"/>
          </w:rPr>
          <w:t>10.1016/j.apergo.2015.01.002</w:t>
        </w:r>
      </w:hyperlink>
    </w:p>
    <w:p w14:paraId="29E4B416" w14:textId="77777777" w:rsidR="007A37D3" w:rsidRPr="007A37D3" w:rsidRDefault="007A37D3" w:rsidP="007A37D3">
      <w:pPr>
        <w:shd w:val="clear" w:color="auto" w:fill="FFFFFF"/>
        <w:overflowPunct/>
        <w:autoSpaceDE/>
        <w:autoSpaceDN/>
        <w:adjustRightInd/>
        <w:rPr>
          <w:rFonts w:asciiTheme="minorHAnsi" w:hAnsiTheme="minorHAnsi" w:cstheme="minorHAnsi"/>
          <w:color w:val="2A2A2A"/>
          <w:sz w:val="24"/>
          <w:szCs w:val="24"/>
        </w:rPr>
      </w:pPr>
    </w:p>
    <w:p w14:paraId="45DD7EBE"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2A2A2A"/>
          <w:sz w:val="24"/>
          <w:szCs w:val="24"/>
          <w:shd w:val="clear" w:color="auto" w:fill="FFFFFF"/>
          <w:lang w:eastAsia="en-US"/>
        </w:rPr>
      </w:pPr>
      <w:r w:rsidRPr="007A37D3">
        <w:rPr>
          <w:rFonts w:asciiTheme="minorHAnsi" w:hAnsiTheme="minorHAnsi" w:cstheme="minorHAnsi"/>
          <w:color w:val="2A2A2A"/>
          <w:sz w:val="24"/>
          <w:szCs w:val="24"/>
        </w:rPr>
        <w:lastRenderedPageBreak/>
        <w:t xml:space="preserve">Staller M. S </w:t>
      </w:r>
      <w:r w:rsidRPr="007A37D3">
        <w:rPr>
          <w:rFonts w:asciiTheme="minorHAnsi" w:hAnsiTheme="minorHAnsi" w:cstheme="minorHAnsi"/>
          <w:color w:val="2A2A2A"/>
          <w:sz w:val="24"/>
          <w:szCs w:val="24"/>
          <w:shd w:val="clear" w:color="auto" w:fill="FFFFFF"/>
        </w:rPr>
        <w:t>(</w:t>
      </w:r>
      <w:r w:rsidRPr="007A37D3">
        <w:rPr>
          <w:rFonts w:asciiTheme="minorHAnsi" w:hAnsiTheme="minorHAnsi" w:cstheme="minorHAnsi"/>
          <w:color w:val="2A2A2A"/>
          <w:sz w:val="24"/>
          <w:szCs w:val="24"/>
        </w:rPr>
        <w:t>2020</w:t>
      </w:r>
      <w:r w:rsidRPr="007A37D3">
        <w:rPr>
          <w:rFonts w:asciiTheme="minorHAnsi" w:eastAsiaTheme="minorHAnsi" w:hAnsiTheme="minorHAnsi" w:cstheme="minorHAnsi"/>
          <w:color w:val="2A2A2A"/>
          <w:sz w:val="24"/>
          <w:szCs w:val="24"/>
          <w:shd w:val="clear" w:color="auto" w:fill="FFFFFF"/>
          <w:lang w:eastAsia="en-US"/>
        </w:rPr>
        <w:t>). </w:t>
      </w:r>
      <w:r w:rsidRPr="007A37D3">
        <w:rPr>
          <w:rFonts w:asciiTheme="minorHAnsi" w:eastAsiaTheme="minorHAnsi" w:hAnsiTheme="minorHAnsi" w:cstheme="minorHAnsi"/>
          <w:i/>
          <w:iCs/>
          <w:color w:val="2A2A2A"/>
          <w:sz w:val="24"/>
          <w:szCs w:val="24"/>
          <w:bdr w:val="none" w:sz="0" w:space="0" w:color="auto" w:frame="1"/>
          <w:shd w:val="clear" w:color="auto" w:fill="FFFFFF"/>
          <w:lang w:eastAsia="en-US"/>
        </w:rPr>
        <w:t>Optimizing Coaching in Police Training</w:t>
      </w:r>
      <w:r w:rsidRPr="007A37D3">
        <w:rPr>
          <w:rFonts w:asciiTheme="minorHAnsi" w:eastAsiaTheme="minorHAnsi" w:hAnsiTheme="minorHAnsi" w:cstheme="minorHAnsi"/>
          <w:color w:val="2A2A2A"/>
          <w:sz w:val="24"/>
          <w:szCs w:val="24"/>
          <w:shd w:val="clear" w:color="auto" w:fill="FFFFFF"/>
          <w:lang w:eastAsia="en-US"/>
        </w:rPr>
        <w:t>. Unpublished Doctoral Dissertation, Leeds Beckett University.</w:t>
      </w:r>
    </w:p>
    <w:p w14:paraId="5D541531"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2A2A2A"/>
          <w:sz w:val="24"/>
          <w:szCs w:val="24"/>
          <w:shd w:val="clear" w:color="auto" w:fill="FFFFFF"/>
          <w:lang w:eastAsia="en-US"/>
        </w:rPr>
      </w:pPr>
    </w:p>
    <w:p w14:paraId="7DBDCE4A"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2A2A2A"/>
          <w:sz w:val="24"/>
          <w:szCs w:val="24"/>
          <w:shd w:val="clear" w:color="auto" w:fill="FFFFFF"/>
          <w:lang w:eastAsia="en-US"/>
        </w:rPr>
      </w:pPr>
      <w:r w:rsidRPr="007A37D3">
        <w:rPr>
          <w:rFonts w:asciiTheme="minorHAnsi" w:eastAsiaTheme="minorHAnsi" w:hAnsiTheme="minorHAnsi" w:cstheme="minorHAnsi"/>
          <w:color w:val="333333"/>
          <w:sz w:val="24"/>
          <w:szCs w:val="24"/>
          <w:shd w:val="clear" w:color="auto" w:fill="FFFFFF"/>
          <w:lang w:eastAsia="en-US"/>
        </w:rPr>
        <w:t xml:space="preserve">The National Institute for Health and Care Excellence (NICE 2017). Violence and aggression: short-term management in mental health, health and community settings. NICE guideline [NG10]. Accessed via  </w:t>
      </w:r>
      <w:hyperlink r:id="rId43" w:history="1">
        <w:r w:rsidRPr="007A37D3">
          <w:rPr>
            <w:rFonts w:asciiTheme="minorHAnsi" w:eastAsiaTheme="minorHAnsi" w:hAnsiTheme="minorHAnsi" w:cstheme="minorHAnsi"/>
            <w:color w:val="0000FF"/>
            <w:sz w:val="24"/>
            <w:szCs w:val="24"/>
            <w:u w:val="single"/>
            <w:shd w:val="clear" w:color="auto" w:fill="FFFFFF"/>
            <w:lang w:eastAsia="en-US"/>
          </w:rPr>
          <w:t>https://www.nice.org.uk/guidance/ng10</w:t>
        </w:r>
      </w:hyperlink>
      <w:r w:rsidRPr="007A37D3">
        <w:rPr>
          <w:rFonts w:asciiTheme="minorHAnsi" w:eastAsiaTheme="minorHAnsi" w:hAnsiTheme="minorHAnsi" w:cstheme="minorHAnsi"/>
          <w:color w:val="333333"/>
          <w:sz w:val="24"/>
          <w:szCs w:val="24"/>
          <w:shd w:val="clear" w:color="auto" w:fill="FFFFFF"/>
          <w:lang w:eastAsia="en-US"/>
        </w:rPr>
        <w:t xml:space="preserve">. Date accessed  9/3/23   </w:t>
      </w:r>
    </w:p>
    <w:p w14:paraId="759FF6BF" w14:textId="77777777" w:rsidR="007A37D3" w:rsidRPr="007A37D3" w:rsidRDefault="007A37D3" w:rsidP="007A37D3">
      <w:pPr>
        <w:overflowPunct/>
        <w:autoSpaceDE/>
        <w:autoSpaceDN/>
        <w:adjustRightInd/>
        <w:ind w:right="75"/>
        <w:textAlignment w:val="auto"/>
        <w:rPr>
          <w:rFonts w:asciiTheme="minorHAnsi" w:hAnsiTheme="minorHAnsi" w:cstheme="minorHAnsi"/>
          <w:color w:val="333333"/>
          <w:sz w:val="24"/>
          <w:szCs w:val="24"/>
        </w:rPr>
      </w:pPr>
    </w:p>
    <w:p w14:paraId="14CA05FC"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333333"/>
          <w:sz w:val="24"/>
          <w:szCs w:val="24"/>
          <w:lang w:eastAsia="en-US"/>
        </w:rPr>
      </w:pPr>
    </w:p>
    <w:p w14:paraId="25544D1F"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HAnsi"/>
          <w:color w:val="333333"/>
          <w:sz w:val="24"/>
          <w:szCs w:val="24"/>
          <w:lang w:eastAsia="en-US"/>
        </w:rPr>
      </w:pPr>
      <w:r w:rsidRPr="007A37D3">
        <w:rPr>
          <w:rFonts w:asciiTheme="minorHAnsi" w:eastAsiaTheme="minorHAnsi" w:hAnsiTheme="minorHAnsi" w:cstheme="minorHAnsi"/>
          <w:color w:val="282828"/>
          <w:sz w:val="24"/>
          <w:szCs w:val="24"/>
          <w:shd w:val="clear" w:color="auto" w:fill="F7F7F7"/>
          <w:lang w:eastAsia="en-US"/>
        </w:rPr>
        <w:t>Todak, N., and James, L. (2018). A Systematic Social Observation Study of Police De-escalation Tactics. </w:t>
      </w:r>
      <w:r w:rsidRPr="007A37D3">
        <w:rPr>
          <w:rFonts w:asciiTheme="minorHAnsi" w:eastAsiaTheme="minorHAnsi" w:hAnsiTheme="minorHAnsi" w:cstheme="minorHAnsi"/>
          <w:i/>
          <w:iCs/>
          <w:color w:val="282828"/>
          <w:sz w:val="24"/>
          <w:szCs w:val="24"/>
          <w:shd w:val="clear" w:color="auto" w:fill="F7F7F7"/>
          <w:lang w:eastAsia="en-US"/>
        </w:rPr>
        <w:t>Police Q.</w:t>
      </w:r>
      <w:r w:rsidRPr="007A37D3">
        <w:rPr>
          <w:rFonts w:asciiTheme="minorHAnsi" w:eastAsiaTheme="minorHAnsi" w:hAnsiTheme="minorHAnsi" w:cstheme="minorHAnsi"/>
          <w:color w:val="282828"/>
          <w:sz w:val="24"/>
          <w:szCs w:val="24"/>
          <w:shd w:val="clear" w:color="auto" w:fill="F7F7F7"/>
          <w:lang w:eastAsia="en-US"/>
        </w:rPr>
        <w:t> 21 (Nr. 2), 509–543. doi:10.1177/1098611118784007</w:t>
      </w:r>
    </w:p>
    <w:p w14:paraId="2E1F570F" w14:textId="77777777" w:rsidR="007A37D3" w:rsidRPr="007A37D3" w:rsidRDefault="007A37D3" w:rsidP="007A37D3">
      <w:pPr>
        <w:shd w:val="clear" w:color="auto" w:fill="FFFFFF"/>
        <w:overflowPunct/>
        <w:autoSpaceDE/>
        <w:autoSpaceDN/>
        <w:adjustRightInd/>
        <w:rPr>
          <w:rFonts w:ascii="Open Sans" w:eastAsiaTheme="minorHAnsi" w:hAnsi="Open Sans" w:cs="Open Sans"/>
          <w:color w:val="333333"/>
          <w:sz w:val="22"/>
          <w:szCs w:val="22"/>
          <w:lang w:eastAsia="en-US"/>
        </w:rPr>
      </w:pPr>
    </w:p>
    <w:p w14:paraId="035BA827"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Bidi"/>
          <w:color w:val="auto"/>
          <w:sz w:val="22"/>
          <w:szCs w:val="22"/>
          <w:lang w:eastAsia="en-US"/>
        </w:rPr>
      </w:pPr>
      <w:r w:rsidRPr="007A37D3">
        <w:rPr>
          <w:rFonts w:asciiTheme="minorHAnsi" w:eastAsiaTheme="minorHAnsi" w:hAnsiTheme="minorHAnsi" w:cstheme="minorHAnsi"/>
          <w:color w:val="2A2A2A"/>
          <w:sz w:val="24"/>
          <w:szCs w:val="24"/>
          <w:shd w:val="clear" w:color="auto" w:fill="FFFFFF"/>
          <w:lang w:eastAsia="en-US"/>
        </w:rPr>
        <w:t xml:space="preserve">Verna VK (1998) Conflict Management </w:t>
      </w:r>
      <w:r w:rsidRPr="007A37D3">
        <w:rPr>
          <w:rFonts w:asciiTheme="minorHAnsi" w:eastAsiaTheme="minorHAnsi" w:hAnsiTheme="minorHAnsi" w:cstheme="minorBidi"/>
          <w:color w:val="auto"/>
          <w:sz w:val="22"/>
          <w:szCs w:val="22"/>
          <w:lang w:eastAsia="en-US"/>
        </w:rPr>
        <w:t>From The Project Management Institute Project Management Handbook.</w:t>
      </w:r>
    </w:p>
    <w:p w14:paraId="6E4EA181" w14:textId="77777777" w:rsidR="007A37D3" w:rsidRPr="007A37D3" w:rsidRDefault="007A37D3" w:rsidP="007A37D3">
      <w:pPr>
        <w:shd w:val="clear" w:color="auto" w:fill="FFFFFF"/>
        <w:overflowPunct/>
        <w:autoSpaceDE/>
        <w:autoSpaceDN/>
        <w:adjustRightInd/>
        <w:rPr>
          <w:rFonts w:asciiTheme="minorHAnsi" w:eastAsiaTheme="minorHAnsi" w:hAnsiTheme="minorHAnsi" w:cstheme="minorBidi"/>
          <w:color w:val="auto"/>
          <w:sz w:val="22"/>
          <w:szCs w:val="22"/>
          <w:lang w:eastAsia="en-US"/>
        </w:rPr>
      </w:pPr>
    </w:p>
    <w:p w14:paraId="7F8CD10D" w14:textId="1D289E34" w:rsidR="007A37D3" w:rsidRDefault="007A37D3"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Pr>
          <w:rFonts w:asciiTheme="minorHAnsi" w:hAnsiTheme="minorHAnsi" w:cstheme="minorHAnsi"/>
          <w:color w:val="auto"/>
          <w:sz w:val="24"/>
          <w:szCs w:val="24"/>
        </w:rPr>
        <w:t>Task 3 bibliography</w:t>
      </w:r>
    </w:p>
    <w:p w14:paraId="183F8C62"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 xml:space="preserve">Ajayi CE, Chantler K and Radford L (2021) The role of cultural beliefs, norms and practices in Nigerian womens experiences of sexual abuse and violence . Sage  </w:t>
      </w:r>
    </w:p>
    <w:p w14:paraId="58F94213"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Calero H (2005) The power of Non verbal communication. How you act is more important than what you say.Silver lake Publishing. Los Angeles.</w:t>
      </w:r>
    </w:p>
    <w:p w14:paraId="6D68AEC3"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College of Policing (2014) Code of Ethics. A Code of Practice for the Principles and Standards of Professional Behaviour for the Policing Profession of England and Wales. Accessed via code_of_ethics.pdf (college.police.uk). Date Accessed 1/3/23.</w:t>
      </w:r>
    </w:p>
    <w:p w14:paraId="64056334"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Criminal Procedures Investigations Act (1996) Accessed via Criminal Procedure and Investigations Act 1996 (legislation.gov.uk). Date Accessed 3/3/23</w:t>
      </w:r>
    </w:p>
    <w:p w14:paraId="3DBB9F2D"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Domestic Abuse Act (2021) Accessed via Domestic Abuse Act 2021 (legislation.gov.uk), Date Accessed 1/3/23</w:t>
      </w:r>
    </w:p>
    <w:p w14:paraId="61D660A8"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Fernandez M (2006) Cultural Beliefs and Domestic Violence. Annals of the New York Academy of Sciences.volume 1087,issue 1.pp xi-xv.</w:t>
      </w:r>
    </w:p>
    <w:p w14:paraId="7846E8AA"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p>
    <w:p w14:paraId="5358C794"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Fridell, L. (2016). Producing bias-free policing: A science-based approach. New York, NY: Springer</w:t>
      </w:r>
    </w:p>
    <w:p w14:paraId="0FED627E"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Human Rights Act (1998) Accessed via Human Rights Act 1998 (legislation.gov.uk). Date accessed 1/3/23</w:t>
      </w:r>
    </w:p>
    <w:p w14:paraId="20E83A91"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Jackson, J., et al., (2012) Why do people comply with the law? Legitimacy and the influence of legal institutions. British Journal of Criminology, 52 (6), 1051–1071.</w:t>
      </w:r>
    </w:p>
    <w:p w14:paraId="081B8866"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Miles-Johnson, T. (2016a). Perceptions of group value: How Australian transgender people view policing. Policing and Society, 26, 605-626. doi:10.1080/10439463.2014.996563</w:t>
      </w:r>
    </w:p>
    <w:p w14:paraId="234C5B9E"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lastRenderedPageBreak/>
        <w:t>Miles-Johnson, T (2019) Policing Diverse People: How Occupational Attitudes and Background Characteristics Shape Police Recruits’ Perceptions. SAGE Open  DOI: 10.1177/2158244019865362 journals.sagepub.com/home/sgo</w:t>
      </w:r>
    </w:p>
    <w:p w14:paraId="43637678"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 xml:space="preserve">Neyroud P (2008) Chapter 25 Policing and Ethics cited in Newburn T (2008) Handbook of Policing. Willan Publishing. Devon. </w:t>
      </w:r>
    </w:p>
    <w:p w14:paraId="59C4AAAA"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Office for National Statistics. (2014). Ethnicity and national identity in England and Wales 2011. http://www.ons.gov.uk/ons/dcp171776_290558.pdf</w:t>
      </w:r>
    </w:p>
    <w:p w14:paraId="68D42A20"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Office for National Statistics. (2021). Domestic abuse in England and Wales overview: November 2021. Accessed via https://www.ons.gov.uk/peoplepopulationandcommunity/crimeandjustice/bulletins/domesticabuseinenglandandwalesoverview/november2021. Date Accessed 1/3/23</w:t>
      </w:r>
    </w:p>
    <w:p w14:paraId="2E60FCD2"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Police and Criminal Evidence Act (1984) Accessed via  Police and Criminal Evidence Act 1984 (legislation.gov.uk). Date Accessed 3/3/23</w:t>
      </w:r>
    </w:p>
    <w:p w14:paraId="59CFCD0B"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 xml:space="preserve">Paoline, E. A., Terrill, W., &amp; Rossler, M. T. (2015). Higher education, college degree major, and police occupational attitudes. Journal of Criminal Justice Education, 26, 49-73. </w:t>
      </w:r>
    </w:p>
    <w:p w14:paraId="13FA0726"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Saus, E.-R., Johnsen, B. H., Eid, J., Riisem, P. K., Andersen, R., &amp; Thayer, J. F. (2006). The effect on brief situational awareness training in a police shooting simulator: An experimental study. Military Psychology, 18, 3–21. https://doi.org/10.1207/s15327876mp1803s_2</w:t>
      </w:r>
    </w:p>
    <w:p w14:paraId="79F102B6"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Smeaton E. (2013). Running from hate to what you think is love: The relationship between running away and child sexual exploitation. Barnardos.</w:t>
      </w:r>
    </w:p>
    <w:p w14:paraId="2E01EC04"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The Code of Practice for Victims of Crime in England and Wales (Victim’s Code 2021) Accessed via Code of Practice for Victims of Crime in England and Wales (Victim's Code) - GOV.UK (www.gov.uk) . Date accessed 1/3/23</w:t>
      </w:r>
    </w:p>
    <w:p w14:paraId="1AC81E83"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 xml:space="preserve">Trosborg A (2010) Pragmatics across Languages and Cultures. De Gryter. </w:t>
      </w:r>
    </w:p>
    <w:p w14:paraId="0A473EE4" w14:textId="77777777" w:rsidR="007A37D3" w:rsidRP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Uwe EA; Ekuri E and Asuquo PN (2007) African women and vulnerability to HIV?AIDS: Implications for female related cultural practice. International Quarterly of Community Health Education. 27, 87-94.</w:t>
      </w:r>
    </w:p>
    <w:p w14:paraId="3A49F394" w14:textId="6A446640" w:rsidR="007A37D3" w:rsidRDefault="007A37D3" w:rsidP="007A37D3">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r w:rsidRPr="007A37D3">
        <w:rPr>
          <w:rFonts w:asciiTheme="minorHAnsi" w:hAnsiTheme="minorHAnsi" w:cstheme="minorHAnsi"/>
          <w:color w:val="auto"/>
          <w:sz w:val="24"/>
          <w:szCs w:val="24"/>
        </w:rPr>
        <w:t>Youth Justice and Criminal Evidence Act (1999) Accessed via Youth Justice and Criminal Evidence Act 1999 (legislation.gov.uk). Date accessed 1/3/23.</w:t>
      </w:r>
    </w:p>
    <w:p w14:paraId="76675DA1" w14:textId="77777777" w:rsidR="006055F2" w:rsidRPr="006055F2" w:rsidRDefault="006055F2" w:rsidP="006055F2">
      <w:pPr>
        <w:overflowPunct/>
        <w:autoSpaceDE/>
        <w:autoSpaceDN/>
        <w:adjustRightInd/>
        <w:spacing w:before="100" w:beforeAutospacing="1" w:after="100" w:afterAutospacing="1" w:line="360" w:lineRule="atLeast"/>
        <w:textAlignment w:val="auto"/>
        <w:rPr>
          <w:rFonts w:asciiTheme="minorHAnsi" w:hAnsiTheme="minorHAnsi" w:cstheme="minorHAnsi"/>
          <w:color w:val="auto"/>
          <w:sz w:val="24"/>
          <w:szCs w:val="24"/>
        </w:rPr>
      </w:pPr>
    </w:p>
    <w:p w14:paraId="250CF227" w14:textId="423D2DB9"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32F1E8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7A37D3">
        <w:rPr>
          <w:rFonts w:eastAsia="Arial"/>
          <w:color w:val="000000" w:themeColor="text1"/>
          <w:sz w:val="24"/>
          <w:szCs w:val="24"/>
          <w:highlight w:val="yellow"/>
        </w:rPr>
        <w:t>Callum Jones</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0198B0F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7A37D3">
        <w:rPr>
          <w:rFonts w:eastAsia="Arial"/>
          <w:color w:val="000000" w:themeColor="text1"/>
          <w:sz w:val="24"/>
          <w:szCs w:val="24"/>
          <w:highlight w:val="yellow"/>
        </w:rPr>
        <w:t>20/03/2022</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93438460">
    <w:abstractNumId w:val="38"/>
  </w:num>
  <w:num w:numId="2" w16cid:durableId="1861695063">
    <w:abstractNumId w:val="31"/>
  </w:num>
  <w:num w:numId="3" w16cid:durableId="886599172">
    <w:abstractNumId w:val="23"/>
  </w:num>
  <w:num w:numId="4" w16cid:durableId="1126196755">
    <w:abstractNumId w:val="1"/>
    <w:lvlOverride w:ilvl="0">
      <w:lvl w:ilvl="0">
        <w:start w:val="1"/>
        <w:numFmt w:val="bullet"/>
        <w:lvlText w:val=""/>
        <w:lvlJc w:val="left"/>
        <w:pPr>
          <w:ind w:left="720" w:hanging="360"/>
        </w:pPr>
        <w:rPr>
          <w:rFonts w:ascii="Symbol" w:hAnsi="Symbol" w:hint="default"/>
        </w:rPr>
      </w:lvl>
    </w:lvlOverride>
  </w:num>
  <w:num w:numId="5" w16cid:durableId="1690763781">
    <w:abstractNumId w:val="21"/>
  </w:num>
  <w:num w:numId="6" w16cid:durableId="262810500">
    <w:abstractNumId w:val="45"/>
  </w:num>
  <w:num w:numId="7" w16cid:durableId="588536816">
    <w:abstractNumId w:val="47"/>
  </w:num>
  <w:num w:numId="8" w16cid:durableId="1154905566">
    <w:abstractNumId w:val="34"/>
  </w:num>
  <w:num w:numId="9" w16cid:durableId="31808681">
    <w:abstractNumId w:val="32"/>
  </w:num>
  <w:num w:numId="10" w16cid:durableId="1659721487">
    <w:abstractNumId w:val="28"/>
  </w:num>
  <w:num w:numId="11" w16cid:durableId="1975746507">
    <w:abstractNumId w:val="29"/>
  </w:num>
  <w:num w:numId="12" w16cid:durableId="563100687">
    <w:abstractNumId w:val="9"/>
  </w:num>
  <w:num w:numId="13" w16cid:durableId="475267553">
    <w:abstractNumId w:val="33"/>
  </w:num>
  <w:num w:numId="14" w16cid:durableId="466626734">
    <w:abstractNumId w:val="16"/>
  </w:num>
  <w:num w:numId="15" w16cid:durableId="304241513">
    <w:abstractNumId w:val="15"/>
  </w:num>
  <w:num w:numId="16" w16cid:durableId="1803382128">
    <w:abstractNumId w:val="26"/>
  </w:num>
  <w:num w:numId="17" w16cid:durableId="1461606155">
    <w:abstractNumId w:val="7"/>
  </w:num>
  <w:num w:numId="18" w16cid:durableId="2066835197">
    <w:abstractNumId w:val="25"/>
  </w:num>
  <w:num w:numId="19" w16cid:durableId="182208698">
    <w:abstractNumId w:val="14"/>
  </w:num>
  <w:num w:numId="20" w16cid:durableId="662196556">
    <w:abstractNumId w:val="12"/>
  </w:num>
  <w:num w:numId="21" w16cid:durableId="49946704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84149955">
    <w:abstractNumId w:val="22"/>
  </w:num>
  <w:num w:numId="23" w16cid:durableId="290328603">
    <w:abstractNumId w:val="17"/>
  </w:num>
  <w:num w:numId="24" w16cid:durableId="263196160">
    <w:abstractNumId w:val="13"/>
  </w:num>
  <w:num w:numId="25" w16cid:durableId="401952402">
    <w:abstractNumId w:val="10"/>
  </w:num>
  <w:num w:numId="26" w16cid:durableId="2011790378">
    <w:abstractNumId w:val="27"/>
  </w:num>
  <w:num w:numId="27" w16cid:durableId="1428697515">
    <w:abstractNumId w:val="18"/>
  </w:num>
  <w:num w:numId="28" w16cid:durableId="139883428">
    <w:abstractNumId w:val="41"/>
  </w:num>
  <w:num w:numId="29" w16cid:durableId="1673334987">
    <w:abstractNumId w:val="35"/>
  </w:num>
  <w:num w:numId="30" w16cid:durableId="78526271">
    <w:abstractNumId w:val="40"/>
  </w:num>
  <w:num w:numId="31" w16cid:durableId="123281520">
    <w:abstractNumId w:val="19"/>
  </w:num>
  <w:num w:numId="32" w16cid:durableId="96484738">
    <w:abstractNumId w:val="43"/>
  </w:num>
  <w:num w:numId="33" w16cid:durableId="1798067890">
    <w:abstractNumId w:val="30"/>
  </w:num>
  <w:num w:numId="34" w16cid:durableId="1270432971">
    <w:abstractNumId w:val="11"/>
  </w:num>
  <w:num w:numId="35" w16cid:durableId="375088725">
    <w:abstractNumId w:val="44"/>
  </w:num>
  <w:num w:numId="36" w16cid:durableId="673190532">
    <w:abstractNumId w:val="39"/>
  </w:num>
  <w:num w:numId="37" w16cid:durableId="1415010474">
    <w:abstractNumId w:val="4"/>
  </w:num>
  <w:num w:numId="38" w16cid:durableId="1326518944">
    <w:abstractNumId w:val="46"/>
  </w:num>
  <w:num w:numId="39" w16cid:durableId="1692761287">
    <w:abstractNumId w:val="42"/>
  </w:num>
  <w:num w:numId="40" w16cid:durableId="437724218">
    <w:abstractNumId w:val="36"/>
  </w:num>
  <w:num w:numId="41" w16cid:durableId="1200320014">
    <w:abstractNumId w:val="37"/>
  </w:num>
  <w:num w:numId="42" w16cid:durableId="1945305283">
    <w:abstractNumId w:val="3"/>
  </w:num>
  <w:num w:numId="43" w16cid:durableId="332801705">
    <w:abstractNumId w:val="5"/>
  </w:num>
  <w:num w:numId="44" w16cid:durableId="772087569">
    <w:abstractNumId w:val="24"/>
  </w:num>
  <w:num w:numId="45" w16cid:durableId="225265036">
    <w:abstractNumId w:val="6"/>
  </w:num>
  <w:num w:numId="46" w16cid:durableId="697439070">
    <w:abstractNumId w:val="2"/>
  </w:num>
  <w:num w:numId="47" w16cid:durableId="1143039868">
    <w:abstractNumId w:val="0"/>
  </w:num>
  <w:num w:numId="48" w16cid:durableId="1300377992">
    <w:abstractNumId w:val="20"/>
  </w:num>
  <w:num w:numId="49" w16cid:durableId="906303723">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55F2"/>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A37D3"/>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E66"/>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278D"/>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A77D2"/>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6055F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6055F2"/>
    <w:rPr>
      <w:i/>
      <w:iCs/>
    </w:rPr>
  </w:style>
  <w:style w:type="paragraph" w:customStyle="1" w:styleId="xmsonormal">
    <w:name w:val="x_msonormal"/>
    <w:basedOn w:val="Normal"/>
    <w:rsid w:val="006055F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doi.org/10.1016/j.eatbeh.2004.09.001" TargetMode="External"/><Relationship Id="rId39" Type="http://schemas.openxmlformats.org/officeDocument/2006/relationships/hyperlink" Target="https://www.frontiersin.org/articles/10.3389/feduc.2021.777040/full" TargetMode="External"/><Relationship Id="rId21" Type="http://schemas.openxmlformats.org/officeDocument/2006/relationships/footer" Target="footer3.xml"/><Relationship Id="rId34" Type="http://schemas.openxmlformats.org/officeDocument/2006/relationships/hyperlink" Target="https://doi.org/10.1111/1745-9133.12467" TargetMode="External"/><Relationship Id="rId42" Type="http://schemas.openxmlformats.org/officeDocument/2006/relationships/hyperlink" Target="https://doi.org/10.1016/j.apergo.2015.01.002"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1.xml"/><Relationship Id="rId29" Type="http://schemas.openxmlformats.org/officeDocument/2006/relationships/hyperlink" Target="https://doi.org/10.1037/0278-6133.27.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36/bjsm.%202004.017707" TargetMode="External"/><Relationship Id="rId32" Type="http://schemas.openxmlformats.org/officeDocument/2006/relationships/hyperlink" Target="https://dictionary.cambridge.org/dictionary/english/conflict" TargetMode="External"/><Relationship Id="rId37" Type="http://schemas.openxmlformats.org/officeDocument/2006/relationships/hyperlink" Target="https://en.wikipedia.org/wiki/ISBN_(identifier)" TargetMode="External"/><Relationship Id="rId40"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bpspsychub.onlinelibrary.wiley.com/doi/full/10.1111/bjhp.12355" TargetMode="External"/><Relationship Id="rId23" Type="http://schemas.openxmlformats.org/officeDocument/2006/relationships/hyperlink" Target="https://www.cochranelibrary.com/cdsr/doi/10.1002/14651858.CD006577.pub3/full" TargetMode="External"/><Relationship Id="rId28" Type="http://schemas.openxmlformats.org/officeDocument/2006/relationships/hyperlink" Target="https://www.sciencedirect.com/science/book/9780128009512" TargetMode="External"/><Relationship Id="rId36" Type="http://schemas.openxmlformats.org/officeDocument/2006/relationships/hyperlink" Target="https://doi.org/10.1080/0267837042000209767"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who.int/news-room/questions-and-answers/item/stress"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pspsychub.onlinelibrary.wiley.com/doi/full/10.1111/bjhp.12355" TargetMode="External"/><Relationship Id="rId22" Type="http://schemas.openxmlformats.org/officeDocument/2006/relationships/hyperlink" Target="https://doi.org/10.1017/s0033291717002653" TargetMode="External"/><Relationship Id="rId27" Type="http://schemas.openxmlformats.org/officeDocument/2006/relationships/hyperlink" Target="https://www.hindawi.com/journals/jhe/2022/4260904/" TargetMode="External"/><Relationship Id="rId30" Type="http://schemas.openxmlformats.org/officeDocument/2006/relationships/hyperlink" Target="https://doi.org/10.3389/fpsyg.2020.00587" TargetMode="External"/><Relationship Id="rId35" Type="http://schemas.openxmlformats.org/officeDocument/2006/relationships/hyperlink" Target="https://www.tandfonline.com/author/Euwema%2C+Martin+C" TargetMode="External"/><Relationship Id="rId43" Type="http://schemas.openxmlformats.org/officeDocument/2006/relationships/hyperlink" Target="https://www.nice.org.uk/guidance/ng10"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www.minervamedica.it/index2.t?show=R40Y2014N04A0545" TargetMode="External"/><Relationship Id="rId33" Type="http://schemas.openxmlformats.org/officeDocument/2006/relationships/hyperlink" Target="https://assets.college.police.uk/s3fs-public/2020-09/Conflict-management-guidelines.pdf" TargetMode="External"/><Relationship Id="rId38" Type="http://schemas.openxmlformats.org/officeDocument/2006/relationships/hyperlink" Target="https://en.wikipedia.org/wiki/Special:BookSources/978-0990586708" TargetMode="External"/><Relationship Id="rId46" Type="http://schemas.microsoft.com/office/2020/10/relationships/intelligence" Target="intelligence2.xml"/><Relationship Id="rId20" Type="http://schemas.openxmlformats.org/officeDocument/2006/relationships/header" Target="header3.xml"/><Relationship Id="rId41" Type="http://schemas.openxmlformats.org/officeDocument/2006/relationships/hyperlink" Target="https://www.legislation.gov.uk/ukpga/1988/5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8541</Words>
  <Characters>48688</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Jones,Callum swp8306</cp:lastModifiedBy>
  <cp:revision>2</cp:revision>
  <cp:lastPrinted>2019-08-13T11:47:00Z</cp:lastPrinted>
  <dcterms:created xsi:type="dcterms:W3CDTF">2023-03-19T23:58:00Z</dcterms:created>
  <dcterms:modified xsi:type="dcterms:W3CDTF">2023-03-19T23:58:00Z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2023-01-29T12:13:29Z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e82515bc-e4b0-4dcf-ba7d-1dda754f601d</vt:lpwstr>
  </property>
  <property fmtid="{D5CDD505-2E9C-101B-9397-08002B2CF9AE}" pid="9" name="MSIP_Label_66cf8fe5-b7b7-4df7-b38d-1c61ac2f6639_ContentBits">
    <vt:lpwstr>0</vt:lpwstr>
  </property>
</Properties>
</file>