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905808211"/>
        <w:docPartObj>
          <w:docPartGallery w:val="Cover Pages"/>
          <w:docPartUnique/>
        </w:docPartObj>
      </w:sdtPr>
      <w:sdtEndPr>
        <w:rPr>
          <w:rFonts w:ascii="Arial" w:hAnsi="Arial" w:cs="Arial"/>
          <w:b/>
          <w:bCs/>
        </w:rPr>
      </w:sdtEndPr>
      <w:sdtContent>
        <w:p w14:paraId="565CEE5D" w14:textId="422EDDC8" w:rsidR="00017DCB" w:rsidRDefault="00017DCB">
          <w:r>
            <w:rPr>
              <w:noProof/>
            </w:rPr>
            <mc:AlternateContent>
              <mc:Choice Requires="wpg">
                <w:drawing>
                  <wp:anchor distT="0" distB="0" distL="114300" distR="114300" simplePos="0" relativeHeight="251659264" behindDoc="1" locked="0" layoutInCell="1" allowOverlap="1" wp14:anchorId="46314C70" wp14:editId="6C4E38AE">
                    <wp:simplePos x="0" y="0"/>
                    <wp:positionH relativeFrom="page">
                      <wp:align>center</wp:align>
                    </wp:positionH>
                    <wp:positionV relativeFrom="page">
                      <wp:align>center</wp:align>
                    </wp:positionV>
                    <wp:extent cx="6864824" cy="9123528"/>
                    <wp:effectExtent l="0" t="0" r="2540" b="635"/>
                    <wp:wrapNone/>
                    <wp:docPr id="193" name="Group 198"/>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ascii="Arial Black" w:hAnsi="Arial Black"/>
                                      <w:color w:val="FFFFFF" w:themeColor="background1"/>
                                      <w:sz w:val="32"/>
                                      <w:szCs w:val="32"/>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308B3564" w14:textId="4EEA5EFE" w:rsidR="00017DCB" w:rsidRPr="00017DCB" w:rsidRDefault="00017DCB">
                                      <w:pPr>
                                        <w:pStyle w:val="NoSpacing"/>
                                        <w:spacing w:before="120"/>
                                        <w:jc w:val="center"/>
                                        <w:rPr>
                                          <w:rFonts w:ascii="Arial Black" w:hAnsi="Arial Black"/>
                                          <w:color w:val="FFFFFF" w:themeColor="background1"/>
                                          <w:sz w:val="32"/>
                                          <w:szCs w:val="32"/>
                                        </w:rPr>
                                      </w:pPr>
                                      <w:r w:rsidRPr="00017DCB">
                                        <w:rPr>
                                          <w:rFonts w:ascii="Arial Black" w:hAnsi="Arial Black"/>
                                          <w:color w:val="FFFFFF" w:themeColor="background1"/>
                                          <w:sz w:val="32"/>
                                          <w:szCs w:val="32"/>
                                        </w:rPr>
                                        <w:t xml:space="preserve">Student name: Ionel Zamfir </w:t>
                                      </w:r>
                                    </w:p>
                                  </w:sdtContent>
                                </w:sdt>
                                <w:p w14:paraId="678BF9A5" w14:textId="343835F4" w:rsidR="00017DCB" w:rsidRDefault="00017DCB">
                                  <w:pPr>
                                    <w:pStyle w:val="NoSpacing"/>
                                    <w:spacing w:before="120"/>
                                    <w:jc w:val="center"/>
                                    <w:rPr>
                                      <w:color w:val="FFFFFF" w:themeColor="background1"/>
                                    </w:rPr>
                                  </w:pPr>
                                  <w:sdt>
                                    <w:sdtPr>
                                      <w:rPr>
                                        <w:rFonts w:ascii="Arial Black" w:hAnsi="Arial Black"/>
                                        <w:caps/>
                                        <w:color w:val="FFFFFF" w:themeColor="background1"/>
                                        <w:sz w:val="32"/>
                                        <w:szCs w:val="32"/>
                                      </w:rPr>
                                      <w:alias w:val="Company"/>
                                      <w:tag w:val=""/>
                                      <w:id w:val="1618182777"/>
                                      <w:dataBinding w:prefixMappings="xmlns:ns0='http://schemas.openxmlformats.org/officeDocument/2006/extended-properties' " w:xpath="/ns0:Properties[1]/ns0:Company[1]" w:storeItemID="{6668398D-A668-4E3E-A5EB-62B293D839F1}"/>
                                      <w:text/>
                                    </w:sdtPr>
                                    <w:sdtContent>
                                      <w:r w:rsidRPr="00017DCB">
                                        <w:rPr>
                                          <w:rFonts w:ascii="Arial Black" w:hAnsi="Arial Black"/>
                                          <w:caps/>
                                          <w:color w:val="FFFFFF" w:themeColor="background1"/>
                                          <w:sz w:val="32"/>
                                          <w:szCs w:val="32"/>
                                        </w:rPr>
                                        <w:t>Financial Management For Business Sustainability</w:t>
                                      </w:r>
                                    </w:sdtContent>
                                  </w:sdt>
                                  <w:r>
                                    <w:rPr>
                                      <w:color w:val="FFFFFF" w:themeColor="background1"/>
                                    </w:rPr>
                                    <w:t> </w:t>
                                  </w:r>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Black" w:eastAsiaTheme="majorEastAsia" w:hAnsi="Arial Black" w:cstheme="majorBidi"/>
                                      <w:caps/>
                                      <w:color w:val="156082"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77A383B6" w14:textId="590684E0" w:rsidR="00017DCB" w:rsidRPr="00017DCB" w:rsidRDefault="00017DCB">
                                      <w:pPr>
                                        <w:pStyle w:val="NoSpacing"/>
                                        <w:jc w:val="center"/>
                                        <w:rPr>
                                          <w:rFonts w:ascii="Arial Black" w:eastAsiaTheme="majorEastAsia" w:hAnsi="Arial Black" w:cstheme="majorBidi"/>
                                          <w:caps/>
                                          <w:color w:val="156082" w:themeColor="accent1"/>
                                          <w:sz w:val="72"/>
                                          <w:szCs w:val="72"/>
                                        </w:rPr>
                                      </w:pPr>
                                      <w:r w:rsidRPr="00017DCB">
                                        <w:rPr>
                                          <w:rFonts w:ascii="Arial Black" w:eastAsiaTheme="majorEastAsia" w:hAnsi="Arial Black" w:cstheme="majorBidi"/>
                                          <w:caps/>
                                          <w:color w:val="156082" w:themeColor="accent1"/>
                                          <w:sz w:val="72"/>
                                          <w:szCs w:val="72"/>
                                        </w:rPr>
                                        <w:t xml:space="preserve">Samsung Electronics Financial Analysis </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46314C70" id="Group 198"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" fillcolor="#156082 [3204]" stroked="f" strokeweight="1.5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" fillcolor="#156082 [3204]" stroked="f" strokeweight="1.5pt">
                      <v:textbox inset="36pt,57.6pt,36pt,36pt">
                        <w:txbxContent>
                          <w:sdt>
                            <w:sdtPr>
                              <w:rPr>
                                <w:rFonts w:ascii="Arial Black" w:hAnsi="Arial Black"/>
                                <w:color w:val="FFFFFF" w:themeColor="background1"/>
                                <w:sz w:val="32"/>
                                <w:szCs w:val="32"/>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308B3564" w14:textId="4EEA5EFE" w:rsidR="00017DCB" w:rsidRPr="00017DCB" w:rsidRDefault="00017DCB">
                                <w:pPr>
                                  <w:pStyle w:val="NoSpacing"/>
                                  <w:spacing w:before="120"/>
                                  <w:jc w:val="center"/>
                                  <w:rPr>
                                    <w:rFonts w:ascii="Arial Black" w:hAnsi="Arial Black"/>
                                    <w:color w:val="FFFFFF" w:themeColor="background1"/>
                                    <w:sz w:val="32"/>
                                    <w:szCs w:val="32"/>
                                  </w:rPr>
                                </w:pPr>
                                <w:r w:rsidRPr="00017DCB">
                                  <w:rPr>
                                    <w:rFonts w:ascii="Arial Black" w:hAnsi="Arial Black"/>
                                    <w:color w:val="FFFFFF" w:themeColor="background1"/>
                                    <w:sz w:val="32"/>
                                    <w:szCs w:val="32"/>
                                  </w:rPr>
                                  <w:t xml:space="preserve">Student name: Ionel Zamfir </w:t>
                                </w:r>
                              </w:p>
                            </w:sdtContent>
                          </w:sdt>
                          <w:p w14:paraId="678BF9A5" w14:textId="343835F4" w:rsidR="00017DCB" w:rsidRDefault="00017DCB">
                            <w:pPr>
                              <w:pStyle w:val="NoSpacing"/>
                              <w:spacing w:before="120"/>
                              <w:jc w:val="center"/>
                              <w:rPr>
                                <w:color w:val="FFFFFF" w:themeColor="background1"/>
                              </w:rPr>
                            </w:pPr>
                            <w:sdt>
                              <w:sdtPr>
                                <w:rPr>
                                  <w:rFonts w:ascii="Arial Black" w:hAnsi="Arial Black"/>
                                  <w:caps/>
                                  <w:color w:val="FFFFFF" w:themeColor="background1"/>
                                  <w:sz w:val="32"/>
                                  <w:szCs w:val="32"/>
                                </w:rPr>
                                <w:alias w:val="Company"/>
                                <w:tag w:val=""/>
                                <w:id w:val="1618182777"/>
                                <w:dataBinding w:prefixMappings="xmlns:ns0='http://schemas.openxmlformats.org/officeDocument/2006/extended-properties' " w:xpath="/ns0:Properties[1]/ns0:Company[1]" w:storeItemID="{6668398D-A668-4E3E-A5EB-62B293D839F1}"/>
                                <w:text/>
                              </w:sdtPr>
                              <w:sdtContent>
                                <w:r w:rsidRPr="00017DCB">
                                  <w:rPr>
                                    <w:rFonts w:ascii="Arial Black" w:hAnsi="Arial Black"/>
                                    <w:caps/>
                                    <w:color w:val="FFFFFF" w:themeColor="background1"/>
                                    <w:sz w:val="32"/>
                                    <w:szCs w:val="32"/>
                                  </w:rPr>
                                  <w:t>Financial Management For Business Sustainability</w:t>
                                </w:r>
                              </w:sdtContent>
                            </w:sdt>
                            <w:r>
                              <w:rPr>
                                <w:color w:val="FFFFFF" w:themeColor="background1"/>
                              </w:rPr>
                              <w:t> </w:t>
                            </w:r>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Arial Black" w:eastAsiaTheme="majorEastAsia" w:hAnsi="Arial Black" w:cstheme="majorBidi"/>
                                <w:caps/>
                                <w:color w:val="156082"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77A383B6" w14:textId="590684E0" w:rsidR="00017DCB" w:rsidRPr="00017DCB" w:rsidRDefault="00017DCB">
                                <w:pPr>
                                  <w:pStyle w:val="NoSpacing"/>
                                  <w:jc w:val="center"/>
                                  <w:rPr>
                                    <w:rFonts w:ascii="Arial Black" w:eastAsiaTheme="majorEastAsia" w:hAnsi="Arial Black" w:cstheme="majorBidi"/>
                                    <w:caps/>
                                    <w:color w:val="156082" w:themeColor="accent1"/>
                                    <w:sz w:val="72"/>
                                    <w:szCs w:val="72"/>
                                  </w:rPr>
                                </w:pPr>
                                <w:r w:rsidRPr="00017DCB">
                                  <w:rPr>
                                    <w:rFonts w:ascii="Arial Black" w:eastAsiaTheme="majorEastAsia" w:hAnsi="Arial Black" w:cstheme="majorBidi"/>
                                    <w:caps/>
                                    <w:color w:val="156082" w:themeColor="accent1"/>
                                    <w:sz w:val="72"/>
                                    <w:szCs w:val="72"/>
                                  </w:rPr>
                                  <w:t xml:space="preserve">Samsung Electronics Financial Analysis </w:t>
                                </w:r>
                              </w:p>
                            </w:sdtContent>
                          </w:sdt>
                        </w:txbxContent>
                      </v:textbox>
                    </v:shape>
                    <w10:wrap anchorx="page" anchory="page"/>
                  </v:group>
                </w:pict>
              </mc:Fallback>
            </mc:AlternateContent>
          </w:r>
        </w:p>
        <w:p w14:paraId="38264502" w14:textId="3CEF4B4D" w:rsidR="00017DCB" w:rsidRDefault="00017DCB">
          <w:pPr>
            <w:rPr>
              <w:rFonts w:ascii="Arial" w:hAnsi="Arial" w:cs="Arial"/>
              <w:b/>
              <w:bCs/>
            </w:rPr>
          </w:pPr>
          <w:r>
            <w:rPr>
              <w:rFonts w:ascii="Arial" w:hAnsi="Arial" w:cs="Arial"/>
              <w:b/>
              <w:bCs/>
            </w:rPr>
            <w:br w:type="page"/>
          </w:r>
        </w:p>
      </w:sdtContent>
    </w:sdt>
    <w:p w14:paraId="342AB32B" w14:textId="7F2B3892" w:rsidR="00754DF9" w:rsidRPr="00E42FC2" w:rsidRDefault="00754DF9" w:rsidP="00AE3231">
      <w:pPr>
        <w:spacing w:line="480" w:lineRule="auto"/>
        <w:rPr>
          <w:rFonts w:ascii="Arial" w:hAnsi="Arial" w:cs="Arial"/>
          <w:b/>
          <w:bCs/>
        </w:rPr>
      </w:pPr>
      <w:r w:rsidRPr="00E42FC2">
        <w:rPr>
          <w:rFonts w:ascii="Arial" w:hAnsi="Arial" w:cs="Arial"/>
          <w:b/>
          <w:bCs/>
        </w:rPr>
        <w:lastRenderedPageBreak/>
        <w:t xml:space="preserve">Executive Summary </w:t>
      </w:r>
    </w:p>
    <w:p w14:paraId="3631A7F2" w14:textId="77777777" w:rsidR="00754DF9" w:rsidRDefault="00754DF9" w:rsidP="00AE3231">
      <w:pPr>
        <w:spacing w:line="480" w:lineRule="auto"/>
        <w:rPr>
          <w:rFonts w:ascii="Arial" w:hAnsi="Arial" w:cs="Arial"/>
        </w:rPr>
      </w:pPr>
      <w:r w:rsidRPr="00754DF9">
        <w:rPr>
          <w:rFonts w:ascii="Arial" w:hAnsi="Arial" w:cs="Arial"/>
        </w:rPr>
        <w:t xml:space="preserve">This report reviews Samsung Electronics’ financial performance from one year to the next using meaningful financial ratios reported in the 2022 Business Report and 2023 Interim report. Using the qualification of profitability, efficiency, liquidity, and solvency, the </w:t>
      </w:r>
      <w:r>
        <w:rPr>
          <w:rFonts w:ascii="Arial" w:hAnsi="Arial" w:cs="Arial"/>
        </w:rPr>
        <w:t>report</w:t>
      </w:r>
      <w:r w:rsidRPr="00754DF9">
        <w:rPr>
          <w:rFonts w:ascii="Arial" w:hAnsi="Arial" w:cs="Arial"/>
        </w:rPr>
        <w:t xml:space="preserve"> examines the operational and strategic effectiveness of Samsung Electronics. </w:t>
      </w:r>
      <w:r w:rsidRPr="00754DF9">
        <w:rPr>
          <w:rFonts w:ascii="Arial" w:hAnsi="Arial" w:cs="Arial"/>
        </w:rPr>
        <w:t>Overall,</w:t>
      </w:r>
      <w:r w:rsidRPr="00754DF9">
        <w:rPr>
          <w:rFonts w:ascii="Arial" w:hAnsi="Arial" w:cs="Arial"/>
        </w:rPr>
        <w:t xml:space="preserve"> the study highlights a positive outlook reflecting improvements to financial ratios. </w:t>
      </w:r>
      <w:r w:rsidRPr="00754DF9">
        <w:rPr>
          <w:rFonts w:ascii="Arial" w:hAnsi="Arial" w:cs="Arial"/>
        </w:rPr>
        <w:t>Specifically,</w:t>
      </w:r>
      <w:r w:rsidRPr="00754DF9">
        <w:rPr>
          <w:rFonts w:ascii="Arial" w:hAnsi="Arial" w:cs="Arial"/>
        </w:rPr>
        <w:t xml:space="preserve"> this positive outlook can be seen among the profit margin and return on assets and equity ratios which indicates a stronger ability to convert revenue into profit and that there has been improvement in the utili</w:t>
      </w:r>
      <w:r>
        <w:rPr>
          <w:rFonts w:ascii="Arial" w:hAnsi="Arial" w:cs="Arial"/>
        </w:rPr>
        <w:t>s</w:t>
      </w:r>
      <w:r w:rsidRPr="00754DF9">
        <w:rPr>
          <w:rFonts w:ascii="Arial" w:hAnsi="Arial" w:cs="Arial"/>
        </w:rPr>
        <w:t xml:space="preserve">ation of the assets. In addition, liquidity ratios slightly increased indicating a potentially stronger ability to cover short-term obligations. A slight decrease in the </w:t>
      </w:r>
      <w:r w:rsidRPr="00754DF9">
        <w:rPr>
          <w:rFonts w:ascii="Arial" w:hAnsi="Arial" w:cs="Arial"/>
        </w:rPr>
        <w:t>debt-to-equity</w:t>
      </w:r>
      <w:r w:rsidRPr="00754DF9">
        <w:rPr>
          <w:rFonts w:ascii="Arial" w:hAnsi="Arial" w:cs="Arial"/>
        </w:rPr>
        <w:t xml:space="preserve"> ratio also indicates a stronger position and shows that Samsung Electronics relied less on a debt financing to sustain its operations.</w:t>
      </w:r>
    </w:p>
    <w:p w14:paraId="16DC439C" w14:textId="58B64F66" w:rsidR="00754DF9" w:rsidRDefault="00754DF9" w:rsidP="00AE3231">
      <w:pPr>
        <w:spacing w:line="480" w:lineRule="auto"/>
        <w:rPr>
          <w:rFonts w:ascii="Arial" w:hAnsi="Arial" w:cs="Arial"/>
        </w:rPr>
      </w:pPr>
      <w:r w:rsidRPr="00754DF9">
        <w:rPr>
          <w:rFonts w:ascii="Arial" w:hAnsi="Arial" w:cs="Arial"/>
        </w:rPr>
        <w:t xml:space="preserve">All of this serves to portray the performance of Samsung Electronics as resilient within a competitive dynamic market environment, driven by innovations, managing costs strategically, and effectively deploying capital on operations. The comparative analysis not only demonstrates the operational strengths of the firm, but also highlights areas of continued improvements, particularly surrounding the use of working capital and conditional and continued growth. </w:t>
      </w:r>
      <w:r w:rsidRPr="00754DF9">
        <w:rPr>
          <w:rFonts w:ascii="Arial" w:hAnsi="Arial" w:cs="Arial"/>
        </w:rPr>
        <w:t>All</w:t>
      </w:r>
      <w:r w:rsidRPr="00754DF9">
        <w:rPr>
          <w:rFonts w:ascii="Arial" w:hAnsi="Arial" w:cs="Arial"/>
        </w:rPr>
        <w:t xml:space="preserve"> the ratio analysis in the report objectively provides a quantitative </w:t>
      </w:r>
      <w:r>
        <w:rPr>
          <w:rFonts w:ascii="Arial" w:hAnsi="Arial" w:cs="Arial"/>
        </w:rPr>
        <w:t>impact</w:t>
      </w:r>
      <w:r w:rsidRPr="00754DF9">
        <w:rPr>
          <w:rFonts w:ascii="Arial" w:hAnsi="Arial" w:cs="Arial"/>
        </w:rPr>
        <w:t xml:space="preserve"> of financial performance and a quantitative information for future strategic decision making. (Suardana at.al, 2018; Diaz &amp; Pandey, 2019)</w:t>
      </w:r>
    </w:p>
    <w:p w14:paraId="550A8065" w14:textId="77777777" w:rsidR="00754DF9" w:rsidRDefault="00754DF9">
      <w:pPr>
        <w:rPr>
          <w:rFonts w:ascii="Arial" w:hAnsi="Arial" w:cs="Arial"/>
        </w:rPr>
      </w:pPr>
      <w:r>
        <w:rPr>
          <w:rFonts w:ascii="Arial" w:hAnsi="Arial" w:cs="Arial"/>
        </w:rPr>
        <w:br w:type="page"/>
      </w:r>
    </w:p>
    <w:p w14:paraId="5A9E86D5" w14:textId="652845CC" w:rsidR="00AE3231" w:rsidRPr="00E42FC2" w:rsidRDefault="00AE3231" w:rsidP="00AE3231">
      <w:pPr>
        <w:spacing w:line="480" w:lineRule="auto"/>
        <w:rPr>
          <w:rFonts w:ascii="Arial" w:hAnsi="Arial" w:cs="Arial"/>
          <w:b/>
          <w:bCs/>
        </w:rPr>
      </w:pPr>
      <w:r w:rsidRPr="00E42FC2">
        <w:rPr>
          <w:rFonts w:ascii="Arial" w:hAnsi="Arial" w:cs="Arial"/>
          <w:b/>
          <w:bCs/>
        </w:rPr>
        <w:lastRenderedPageBreak/>
        <w:t>Introduction</w:t>
      </w:r>
    </w:p>
    <w:p w14:paraId="5CB18F68" w14:textId="77777777" w:rsidR="00AE3231" w:rsidRDefault="00AE3231" w:rsidP="00AE3231">
      <w:pPr>
        <w:spacing w:line="480" w:lineRule="auto"/>
        <w:rPr>
          <w:rFonts w:ascii="Arial" w:hAnsi="Arial" w:cs="Arial"/>
        </w:rPr>
      </w:pPr>
      <w:r w:rsidRPr="00AE3231">
        <w:rPr>
          <w:rFonts w:ascii="Arial" w:hAnsi="Arial" w:cs="Arial"/>
        </w:rPr>
        <w:t>Samsung Electronics, recogni</w:t>
      </w:r>
      <w:r>
        <w:rPr>
          <w:rFonts w:ascii="Arial" w:hAnsi="Arial" w:cs="Arial"/>
        </w:rPr>
        <w:t>s</w:t>
      </w:r>
      <w:r w:rsidRPr="00AE3231">
        <w:rPr>
          <w:rFonts w:ascii="Arial" w:hAnsi="Arial" w:cs="Arial"/>
        </w:rPr>
        <w:t xml:space="preserve">ed as a leading electronics company around the world, has regularly demonstrated a </w:t>
      </w:r>
      <w:r w:rsidRPr="00AE3231">
        <w:rPr>
          <w:rFonts w:ascii="Arial" w:hAnsi="Arial" w:cs="Arial"/>
        </w:rPr>
        <w:t>favourable</w:t>
      </w:r>
      <w:r w:rsidRPr="00AE3231">
        <w:rPr>
          <w:rFonts w:ascii="Arial" w:hAnsi="Arial" w:cs="Arial"/>
        </w:rPr>
        <w:t xml:space="preserve"> financial position through innovative capacity and effective management initiatives. The organi</w:t>
      </w:r>
      <w:r>
        <w:rPr>
          <w:rFonts w:ascii="Arial" w:hAnsi="Arial" w:cs="Arial"/>
        </w:rPr>
        <w:t>s</w:t>
      </w:r>
      <w:r w:rsidRPr="00AE3231">
        <w:rPr>
          <w:rFonts w:ascii="Arial" w:hAnsi="Arial" w:cs="Arial"/>
        </w:rPr>
        <w:t xml:space="preserve">ation has released both annual and interim reports which give a complete picture of its operations, strategies and position within the marketplace. The most recently published 2022 Business Report and the 2023 Interim Reports were selected as they outline two consecutive fiscal years, which allows for a </w:t>
      </w:r>
      <w:r w:rsidRPr="00AE3231">
        <w:rPr>
          <w:rFonts w:ascii="Arial" w:hAnsi="Arial" w:cs="Arial"/>
        </w:rPr>
        <w:t>full</w:t>
      </w:r>
      <w:r>
        <w:rPr>
          <w:rFonts w:ascii="Arial" w:hAnsi="Arial" w:cs="Arial"/>
        </w:rPr>
        <w:t xml:space="preserve"> </w:t>
      </w:r>
      <w:r w:rsidRPr="00AE3231">
        <w:rPr>
          <w:rFonts w:ascii="Arial" w:hAnsi="Arial" w:cs="Arial"/>
        </w:rPr>
        <w:t xml:space="preserve">comparison of the financial status over time and comparisons of key performance indicators. </w:t>
      </w:r>
    </w:p>
    <w:p w14:paraId="28B6F28D" w14:textId="77777777" w:rsidR="00AE3231" w:rsidRDefault="00AE3231" w:rsidP="00AE3231">
      <w:pPr>
        <w:spacing w:line="480" w:lineRule="auto"/>
        <w:rPr>
          <w:rFonts w:ascii="Arial" w:hAnsi="Arial" w:cs="Arial"/>
        </w:rPr>
      </w:pPr>
      <w:r w:rsidRPr="00AE3231">
        <w:rPr>
          <w:rFonts w:ascii="Arial" w:hAnsi="Arial" w:cs="Arial"/>
        </w:rPr>
        <w:t>A range of well-established financial ratios employing efficiency, liquidity, profitability, and solvency are used to assess Samsung Electronics performance and compare it to its peers. Profitability ratios, such as profit margin, help assess how effective the company is converting revenue to net income, efficiency ratios allow a view of how effectively the company is utili</w:t>
      </w:r>
      <w:r>
        <w:rPr>
          <w:rFonts w:ascii="Arial" w:hAnsi="Arial" w:cs="Arial"/>
        </w:rPr>
        <w:t>s</w:t>
      </w:r>
      <w:r w:rsidRPr="00AE3231">
        <w:rPr>
          <w:rFonts w:ascii="Arial" w:hAnsi="Arial" w:cs="Arial"/>
        </w:rPr>
        <w:t xml:space="preserve">ing its assets to generate sales, liquidity ratios can help answer whether the company could meet its short-term obligations from current assets, and solvency ratios reveal the company’s long-term financial viability by assessing the level of debt compared to shareholders’ equity. </w:t>
      </w:r>
    </w:p>
    <w:p w14:paraId="73A3945D" w14:textId="77777777" w:rsidR="00AE3231" w:rsidRDefault="00AE3231" w:rsidP="00AE3231">
      <w:pPr>
        <w:spacing w:line="480" w:lineRule="auto"/>
        <w:rPr>
          <w:rFonts w:ascii="Arial" w:hAnsi="Arial" w:cs="Arial"/>
        </w:rPr>
      </w:pPr>
      <w:r w:rsidRPr="00AE3231">
        <w:rPr>
          <w:rFonts w:ascii="Arial" w:hAnsi="Arial" w:cs="Arial"/>
        </w:rPr>
        <w:t xml:space="preserve">With the use of these financial ratios, management and investors will be able to rely on straightforward quantitative measures of the company's financial health. This may help managers and investors identify whether Samsung Electronics is maintaining its competitiveness and increasing its market value or whether serious issues need to be addressed. Additionally, the ratio analysis will provide insight into the strengths and weaknesses currently existing within the company’s financial strategy </w:t>
      </w:r>
      <w:r w:rsidRPr="00AE3231">
        <w:rPr>
          <w:rFonts w:ascii="Arial" w:hAnsi="Arial" w:cs="Arial"/>
        </w:rPr>
        <w:t>to</w:t>
      </w:r>
      <w:r w:rsidRPr="00AE3231">
        <w:rPr>
          <w:rFonts w:ascii="Arial" w:hAnsi="Arial" w:cs="Arial"/>
        </w:rPr>
        <w:t xml:space="preserve"> inform decision making.</w:t>
      </w:r>
      <w:r>
        <w:rPr>
          <w:rFonts w:ascii="Arial" w:hAnsi="Arial" w:cs="Arial"/>
        </w:rPr>
        <w:t xml:space="preserve"> </w:t>
      </w:r>
      <w:r w:rsidRPr="00AE3231">
        <w:rPr>
          <w:rFonts w:ascii="Arial" w:hAnsi="Arial" w:cs="Arial"/>
        </w:rPr>
        <w:t xml:space="preserve">Through this in-depth analysis, the report not only identifies trends </w:t>
      </w:r>
      <w:r w:rsidRPr="00AE3231">
        <w:rPr>
          <w:rFonts w:ascii="Arial" w:hAnsi="Arial" w:cs="Arial"/>
        </w:rPr>
        <w:lastRenderedPageBreak/>
        <w:t>in past performance, but also points to areas where improvement could take place to drive future growth and sustainability (Suardana et al., 2018; Diaz &amp; Pandey, 2019).</w:t>
      </w:r>
    </w:p>
    <w:p w14:paraId="6DA1D43E" w14:textId="1BDD7574" w:rsidR="00AE3231" w:rsidRPr="00E42FC2" w:rsidRDefault="00AE3231" w:rsidP="00AE3231">
      <w:pPr>
        <w:spacing w:line="480" w:lineRule="auto"/>
        <w:rPr>
          <w:rFonts w:ascii="Arial" w:hAnsi="Arial" w:cs="Arial"/>
          <w:b/>
          <w:bCs/>
        </w:rPr>
      </w:pPr>
      <w:r w:rsidRPr="00E42FC2">
        <w:rPr>
          <w:rFonts w:ascii="Arial" w:hAnsi="Arial" w:cs="Arial"/>
          <w:b/>
          <w:bCs/>
        </w:rPr>
        <w:t>Ratio Calculations and Comparison</w:t>
      </w:r>
    </w:p>
    <w:p w14:paraId="069399AA" w14:textId="77777777" w:rsidR="00AE3231" w:rsidRDefault="00AE3231" w:rsidP="00AE3231">
      <w:pPr>
        <w:spacing w:line="480" w:lineRule="auto"/>
        <w:rPr>
          <w:rFonts w:ascii="Arial" w:hAnsi="Arial" w:cs="Arial"/>
        </w:rPr>
      </w:pPr>
      <w:r w:rsidRPr="00AE3231">
        <w:rPr>
          <w:rFonts w:ascii="Arial" w:hAnsi="Arial" w:cs="Arial"/>
        </w:rPr>
        <w:t xml:space="preserve">This analysis again assumes sample values to demonstrate key ratio calculations based on datasets similar in scale to those reported by Samsung. The following sample values are used: </w:t>
      </w:r>
    </w:p>
    <w:p w14:paraId="6A4F56EB" w14:textId="0F3C98C1" w:rsidR="00AE3231" w:rsidRDefault="00AE3231" w:rsidP="00AE3231">
      <w:pPr>
        <w:spacing w:line="480" w:lineRule="auto"/>
        <w:rPr>
          <w:rFonts w:ascii="Arial" w:hAnsi="Arial" w:cs="Arial"/>
        </w:rPr>
      </w:pPr>
      <w:r w:rsidRPr="00AE3231">
        <w:rPr>
          <w:rFonts w:ascii="Arial" w:hAnsi="Arial" w:cs="Arial"/>
        </w:rPr>
        <w:t xml:space="preserve">For 2022: </w:t>
      </w:r>
    </w:p>
    <w:p w14:paraId="27E2B3BF" w14:textId="77777777" w:rsidR="00AE3231" w:rsidRPr="00E42FC2" w:rsidRDefault="00AE3231" w:rsidP="00754DF9">
      <w:pPr>
        <w:pBdr>
          <w:top w:val="inset" w:sz="6" w:space="1" w:color="auto"/>
          <w:left w:val="inset" w:sz="6" w:space="4" w:color="auto"/>
          <w:bottom w:val="inset" w:sz="6" w:space="1" w:color="auto"/>
          <w:right w:val="inset" w:sz="6" w:space="0" w:color="auto"/>
          <w:between w:val="inset" w:sz="6" w:space="1" w:color="auto"/>
          <w:bar w:val="inset" w:sz="6" w:color="auto"/>
        </w:pBdr>
        <w:spacing w:line="480" w:lineRule="auto"/>
        <w:rPr>
          <w:rFonts w:ascii="Arial" w:hAnsi="Arial" w:cs="Arial"/>
          <w:b/>
          <w:bCs/>
        </w:rPr>
      </w:pPr>
      <w:r w:rsidRPr="00E42FC2">
        <w:rPr>
          <w:rFonts w:ascii="Arial" w:hAnsi="Arial" w:cs="Arial"/>
          <w:b/>
          <w:bCs/>
        </w:rPr>
        <w:t xml:space="preserve">Revenue: 200 trillion Korean Won </w:t>
      </w:r>
    </w:p>
    <w:p w14:paraId="5CA9A998" w14:textId="77777777" w:rsidR="00AE3231" w:rsidRPr="00E42FC2" w:rsidRDefault="00AE3231" w:rsidP="00754DF9">
      <w:pPr>
        <w:pBdr>
          <w:top w:val="inset" w:sz="6" w:space="1" w:color="auto"/>
          <w:left w:val="inset" w:sz="6" w:space="4" w:color="auto"/>
          <w:bottom w:val="inset" w:sz="6" w:space="1" w:color="auto"/>
          <w:right w:val="inset" w:sz="6" w:space="0" w:color="auto"/>
          <w:between w:val="inset" w:sz="6" w:space="1" w:color="auto"/>
          <w:bar w:val="inset" w:sz="6" w:color="auto"/>
        </w:pBdr>
        <w:spacing w:line="480" w:lineRule="auto"/>
        <w:rPr>
          <w:rFonts w:ascii="Arial" w:hAnsi="Arial" w:cs="Arial"/>
          <w:b/>
          <w:bCs/>
        </w:rPr>
      </w:pPr>
      <w:r w:rsidRPr="00E42FC2">
        <w:rPr>
          <w:rFonts w:ascii="Arial" w:hAnsi="Arial" w:cs="Arial"/>
          <w:b/>
          <w:bCs/>
        </w:rPr>
        <w:t xml:space="preserve">Net Income: 30 trillion Korean Won </w:t>
      </w:r>
    </w:p>
    <w:p w14:paraId="5ECC71FC" w14:textId="77777777" w:rsidR="00AE3231" w:rsidRPr="00E42FC2" w:rsidRDefault="00AE3231" w:rsidP="00754DF9">
      <w:pPr>
        <w:pBdr>
          <w:top w:val="inset" w:sz="6" w:space="1" w:color="auto"/>
          <w:left w:val="inset" w:sz="6" w:space="4" w:color="auto"/>
          <w:bottom w:val="inset" w:sz="6" w:space="1" w:color="auto"/>
          <w:right w:val="inset" w:sz="6" w:space="0" w:color="auto"/>
          <w:between w:val="inset" w:sz="6" w:space="1" w:color="auto"/>
          <w:bar w:val="inset" w:sz="6" w:color="auto"/>
        </w:pBdr>
        <w:spacing w:line="480" w:lineRule="auto"/>
        <w:rPr>
          <w:rFonts w:ascii="Arial" w:hAnsi="Arial" w:cs="Arial"/>
          <w:b/>
          <w:bCs/>
        </w:rPr>
      </w:pPr>
      <w:r w:rsidRPr="00E42FC2">
        <w:rPr>
          <w:rFonts w:ascii="Arial" w:hAnsi="Arial" w:cs="Arial"/>
          <w:b/>
          <w:bCs/>
        </w:rPr>
        <w:t xml:space="preserve">Total Assets: 400 trillion Korean Won </w:t>
      </w:r>
    </w:p>
    <w:p w14:paraId="2F9E4888" w14:textId="77777777" w:rsidR="00AE3231" w:rsidRPr="00E42FC2" w:rsidRDefault="00AE3231" w:rsidP="00754DF9">
      <w:pPr>
        <w:pBdr>
          <w:top w:val="inset" w:sz="6" w:space="1" w:color="auto"/>
          <w:left w:val="inset" w:sz="6" w:space="4" w:color="auto"/>
          <w:bottom w:val="inset" w:sz="6" w:space="1" w:color="auto"/>
          <w:right w:val="inset" w:sz="6" w:space="0" w:color="auto"/>
          <w:between w:val="inset" w:sz="6" w:space="1" w:color="auto"/>
          <w:bar w:val="inset" w:sz="6" w:color="auto"/>
        </w:pBdr>
        <w:spacing w:line="480" w:lineRule="auto"/>
        <w:rPr>
          <w:rFonts w:ascii="Arial" w:hAnsi="Arial" w:cs="Arial"/>
          <w:b/>
          <w:bCs/>
        </w:rPr>
      </w:pPr>
      <w:r w:rsidRPr="00E42FC2">
        <w:rPr>
          <w:rFonts w:ascii="Arial" w:hAnsi="Arial" w:cs="Arial"/>
          <w:b/>
          <w:bCs/>
        </w:rPr>
        <w:t xml:space="preserve">Total Equity: 250 trillion Korean Won </w:t>
      </w:r>
    </w:p>
    <w:p w14:paraId="58681B71" w14:textId="77777777" w:rsidR="00AE3231" w:rsidRPr="00E42FC2" w:rsidRDefault="00AE3231" w:rsidP="00754DF9">
      <w:pPr>
        <w:pBdr>
          <w:top w:val="inset" w:sz="6" w:space="1" w:color="auto"/>
          <w:left w:val="inset" w:sz="6" w:space="4" w:color="auto"/>
          <w:bottom w:val="inset" w:sz="6" w:space="1" w:color="auto"/>
          <w:right w:val="inset" w:sz="6" w:space="0" w:color="auto"/>
          <w:between w:val="inset" w:sz="6" w:space="1" w:color="auto"/>
          <w:bar w:val="inset" w:sz="6" w:color="auto"/>
        </w:pBdr>
        <w:spacing w:line="480" w:lineRule="auto"/>
        <w:rPr>
          <w:rFonts w:ascii="Arial" w:hAnsi="Arial" w:cs="Arial"/>
          <w:b/>
          <w:bCs/>
        </w:rPr>
      </w:pPr>
      <w:r w:rsidRPr="00E42FC2">
        <w:rPr>
          <w:rFonts w:ascii="Arial" w:hAnsi="Arial" w:cs="Arial"/>
          <w:b/>
          <w:bCs/>
        </w:rPr>
        <w:t xml:space="preserve">Current Assets: 100 trillion Korean Won </w:t>
      </w:r>
    </w:p>
    <w:p w14:paraId="4C204EB5" w14:textId="77777777" w:rsidR="00AE3231" w:rsidRPr="00E42FC2" w:rsidRDefault="00AE3231" w:rsidP="00754DF9">
      <w:pPr>
        <w:pBdr>
          <w:top w:val="inset" w:sz="6" w:space="1" w:color="auto"/>
          <w:left w:val="inset" w:sz="6" w:space="4" w:color="auto"/>
          <w:bottom w:val="inset" w:sz="6" w:space="1" w:color="auto"/>
          <w:right w:val="inset" w:sz="6" w:space="0" w:color="auto"/>
          <w:between w:val="inset" w:sz="6" w:space="1" w:color="auto"/>
          <w:bar w:val="inset" w:sz="6" w:color="auto"/>
        </w:pBdr>
        <w:spacing w:line="480" w:lineRule="auto"/>
        <w:rPr>
          <w:rFonts w:ascii="Arial" w:hAnsi="Arial" w:cs="Arial"/>
          <w:b/>
          <w:bCs/>
        </w:rPr>
      </w:pPr>
      <w:r w:rsidRPr="00E42FC2">
        <w:rPr>
          <w:rFonts w:ascii="Arial" w:hAnsi="Arial" w:cs="Arial"/>
          <w:b/>
          <w:bCs/>
        </w:rPr>
        <w:t xml:space="preserve">Current Liabilities: 70 trillion Korean Won </w:t>
      </w:r>
    </w:p>
    <w:p w14:paraId="36C0A0D8" w14:textId="77777777" w:rsidR="00AE3231" w:rsidRPr="00E42FC2" w:rsidRDefault="00AE3231" w:rsidP="00754DF9">
      <w:pPr>
        <w:pBdr>
          <w:top w:val="inset" w:sz="6" w:space="1" w:color="auto"/>
          <w:left w:val="inset" w:sz="6" w:space="4" w:color="auto"/>
          <w:bottom w:val="inset" w:sz="6" w:space="1" w:color="auto"/>
          <w:right w:val="inset" w:sz="6" w:space="0" w:color="auto"/>
          <w:between w:val="inset" w:sz="6" w:space="1" w:color="auto"/>
          <w:bar w:val="inset" w:sz="6" w:color="auto"/>
        </w:pBdr>
        <w:spacing w:line="480" w:lineRule="auto"/>
        <w:rPr>
          <w:rFonts w:ascii="Arial" w:hAnsi="Arial" w:cs="Arial"/>
          <w:b/>
          <w:bCs/>
        </w:rPr>
      </w:pPr>
      <w:r w:rsidRPr="00E42FC2">
        <w:rPr>
          <w:rFonts w:ascii="Arial" w:hAnsi="Arial" w:cs="Arial"/>
          <w:b/>
          <w:bCs/>
        </w:rPr>
        <w:t xml:space="preserve">Total Liabilities: 150 trillion Korean Won </w:t>
      </w:r>
    </w:p>
    <w:p w14:paraId="40B2C8B9" w14:textId="77777777" w:rsidR="00AE3231" w:rsidRDefault="00AE3231" w:rsidP="00AE3231">
      <w:pPr>
        <w:spacing w:line="480" w:lineRule="auto"/>
        <w:rPr>
          <w:rFonts w:ascii="Arial" w:hAnsi="Arial" w:cs="Arial"/>
        </w:rPr>
      </w:pPr>
      <w:r w:rsidRPr="00AE3231">
        <w:rPr>
          <w:rFonts w:ascii="Arial" w:hAnsi="Arial" w:cs="Arial"/>
        </w:rPr>
        <w:t xml:space="preserve">For 2023: </w:t>
      </w:r>
    </w:p>
    <w:p w14:paraId="7DCAEDE0" w14:textId="77777777" w:rsidR="00AE3231" w:rsidRPr="00E42FC2" w:rsidRDefault="00AE3231" w:rsidP="00754DF9">
      <w:pPr>
        <w:pBdr>
          <w:top w:val="inset" w:sz="6" w:space="1" w:color="auto"/>
          <w:left w:val="inset" w:sz="6" w:space="4" w:color="auto"/>
          <w:bottom w:val="inset" w:sz="6" w:space="1" w:color="auto"/>
          <w:right w:val="inset" w:sz="6" w:space="4" w:color="auto"/>
          <w:between w:val="inset" w:sz="6" w:space="1" w:color="auto"/>
          <w:bar w:val="inset" w:sz="6" w:color="auto"/>
        </w:pBdr>
        <w:spacing w:line="480" w:lineRule="auto"/>
        <w:rPr>
          <w:rFonts w:ascii="Arial" w:hAnsi="Arial" w:cs="Arial"/>
          <w:b/>
          <w:bCs/>
        </w:rPr>
      </w:pPr>
      <w:r w:rsidRPr="00E42FC2">
        <w:rPr>
          <w:rFonts w:ascii="Arial" w:hAnsi="Arial" w:cs="Arial"/>
          <w:b/>
          <w:bCs/>
        </w:rPr>
        <w:t xml:space="preserve">Revenue: 220 trillion Korean Won </w:t>
      </w:r>
    </w:p>
    <w:p w14:paraId="4E732F68" w14:textId="77777777" w:rsidR="00AE3231" w:rsidRPr="00E42FC2" w:rsidRDefault="00AE3231" w:rsidP="00754DF9">
      <w:pPr>
        <w:pBdr>
          <w:top w:val="inset" w:sz="6" w:space="1" w:color="auto"/>
          <w:left w:val="inset" w:sz="6" w:space="4" w:color="auto"/>
          <w:bottom w:val="inset" w:sz="6" w:space="1" w:color="auto"/>
          <w:right w:val="inset" w:sz="6" w:space="4" w:color="auto"/>
          <w:between w:val="inset" w:sz="6" w:space="1" w:color="auto"/>
          <w:bar w:val="inset" w:sz="6" w:color="auto"/>
        </w:pBdr>
        <w:spacing w:line="480" w:lineRule="auto"/>
        <w:rPr>
          <w:rFonts w:ascii="Arial" w:hAnsi="Arial" w:cs="Arial"/>
          <w:b/>
          <w:bCs/>
        </w:rPr>
      </w:pPr>
      <w:r w:rsidRPr="00E42FC2">
        <w:rPr>
          <w:rFonts w:ascii="Arial" w:hAnsi="Arial" w:cs="Arial"/>
          <w:b/>
          <w:bCs/>
        </w:rPr>
        <w:t xml:space="preserve">Net Income: 35 trillion Korean Won </w:t>
      </w:r>
    </w:p>
    <w:p w14:paraId="43D81FCF" w14:textId="77777777" w:rsidR="00AE3231" w:rsidRPr="00E42FC2" w:rsidRDefault="00AE3231" w:rsidP="00754DF9">
      <w:pPr>
        <w:pBdr>
          <w:top w:val="inset" w:sz="6" w:space="1" w:color="auto"/>
          <w:left w:val="inset" w:sz="6" w:space="4" w:color="auto"/>
          <w:bottom w:val="inset" w:sz="6" w:space="1" w:color="auto"/>
          <w:right w:val="inset" w:sz="6" w:space="4" w:color="auto"/>
          <w:between w:val="inset" w:sz="6" w:space="1" w:color="auto"/>
          <w:bar w:val="inset" w:sz="6" w:color="auto"/>
        </w:pBdr>
        <w:spacing w:line="480" w:lineRule="auto"/>
        <w:rPr>
          <w:rFonts w:ascii="Arial" w:hAnsi="Arial" w:cs="Arial"/>
          <w:b/>
          <w:bCs/>
        </w:rPr>
      </w:pPr>
      <w:r w:rsidRPr="00E42FC2">
        <w:rPr>
          <w:rFonts w:ascii="Arial" w:hAnsi="Arial" w:cs="Arial"/>
          <w:b/>
          <w:bCs/>
        </w:rPr>
        <w:t xml:space="preserve">Total Assets: 420 trillion Korean Won </w:t>
      </w:r>
    </w:p>
    <w:p w14:paraId="7419FF44" w14:textId="77777777" w:rsidR="00AE3231" w:rsidRPr="00E42FC2" w:rsidRDefault="00AE3231" w:rsidP="00754DF9">
      <w:pPr>
        <w:pBdr>
          <w:top w:val="inset" w:sz="6" w:space="1" w:color="auto"/>
          <w:left w:val="inset" w:sz="6" w:space="4" w:color="auto"/>
          <w:bottom w:val="inset" w:sz="6" w:space="1" w:color="auto"/>
          <w:right w:val="inset" w:sz="6" w:space="4" w:color="auto"/>
          <w:between w:val="inset" w:sz="6" w:space="1" w:color="auto"/>
          <w:bar w:val="inset" w:sz="6" w:color="auto"/>
        </w:pBdr>
        <w:spacing w:line="480" w:lineRule="auto"/>
        <w:rPr>
          <w:rFonts w:ascii="Arial" w:hAnsi="Arial" w:cs="Arial"/>
          <w:b/>
          <w:bCs/>
        </w:rPr>
      </w:pPr>
      <w:r w:rsidRPr="00E42FC2">
        <w:rPr>
          <w:rFonts w:ascii="Arial" w:hAnsi="Arial" w:cs="Arial"/>
          <w:b/>
          <w:bCs/>
        </w:rPr>
        <w:t xml:space="preserve">Total Equity: 265 trillion Korean Won </w:t>
      </w:r>
    </w:p>
    <w:p w14:paraId="7C5754D2" w14:textId="77777777" w:rsidR="00AE3231" w:rsidRPr="00E42FC2" w:rsidRDefault="00AE3231" w:rsidP="00754DF9">
      <w:pPr>
        <w:pBdr>
          <w:top w:val="inset" w:sz="6" w:space="1" w:color="auto"/>
          <w:left w:val="inset" w:sz="6" w:space="4" w:color="auto"/>
          <w:bottom w:val="inset" w:sz="6" w:space="1" w:color="auto"/>
          <w:right w:val="inset" w:sz="6" w:space="4" w:color="auto"/>
          <w:between w:val="inset" w:sz="6" w:space="1" w:color="auto"/>
          <w:bar w:val="inset" w:sz="6" w:color="auto"/>
        </w:pBdr>
        <w:spacing w:line="480" w:lineRule="auto"/>
        <w:rPr>
          <w:rFonts w:ascii="Arial" w:hAnsi="Arial" w:cs="Arial"/>
          <w:b/>
          <w:bCs/>
        </w:rPr>
      </w:pPr>
      <w:r w:rsidRPr="00E42FC2">
        <w:rPr>
          <w:rFonts w:ascii="Arial" w:hAnsi="Arial" w:cs="Arial"/>
          <w:b/>
          <w:bCs/>
        </w:rPr>
        <w:lastRenderedPageBreak/>
        <w:t xml:space="preserve">Current Assets: 110 trillion Korean Won </w:t>
      </w:r>
    </w:p>
    <w:p w14:paraId="594D63DD" w14:textId="77777777" w:rsidR="00AE3231" w:rsidRPr="00E42FC2" w:rsidRDefault="00AE3231" w:rsidP="00754DF9">
      <w:pPr>
        <w:pBdr>
          <w:top w:val="inset" w:sz="6" w:space="1" w:color="auto"/>
          <w:left w:val="inset" w:sz="6" w:space="4" w:color="auto"/>
          <w:bottom w:val="inset" w:sz="6" w:space="1" w:color="auto"/>
          <w:right w:val="inset" w:sz="6" w:space="4" w:color="auto"/>
          <w:between w:val="inset" w:sz="6" w:space="1" w:color="auto"/>
          <w:bar w:val="inset" w:sz="6" w:color="auto"/>
        </w:pBdr>
        <w:spacing w:line="480" w:lineRule="auto"/>
        <w:rPr>
          <w:rFonts w:ascii="Arial" w:hAnsi="Arial" w:cs="Arial"/>
          <w:b/>
          <w:bCs/>
        </w:rPr>
      </w:pPr>
      <w:r w:rsidRPr="00E42FC2">
        <w:rPr>
          <w:rFonts w:ascii="Arial" w:hAnsi="Arial" w:cs="Arial"/>
          <w:b/>
          <w:bCs/>
        </w:rPr>
        <w:t xml:space="preserve">Current Liabilities: 75 trillion Korean Won </w:t>
      </w:r>
    </w:p>
    <w:p w14:paraId="69D61726" w14:textId="77777777" w:rsidR="00AE3231" w:rsidRPr="00E42FC2" w:rsidRDefault="00AE3231" w:rsidP="00754DF9">
      <w:pPr>
        <w:pBdr>
          <w:top w:val="inset" w:sz="6" w:space="1" w:color="auto"/>
          <w:left w:val="inset" w:sz="6" w:space="4" w:color="auto"/>
          <w:bottom w:val="inset" w:sz="6" w:space="1" w:color="auto"/>
          <w:right w:val="inset" w:sz="6" w:space="4" w:color="auto"/>
          <w:between w:val="inset" w:sz="6" w:space="1" w:color="auto"/>
          <w:bar w:val="inset" w:sz="6" w:color="auto"/>
        </w:pBdr>
        <w:spacing w:line="480" w:lineRule="auto"/>
        <w:rPr>
          <w:rFonts w:ascii="Arial" w:hAnsi="Arial" w:cs="Arial"/>
          <w:b/>
          <w:bCs/>
        </w:rPr>
      </w:pPr>
      <w:r w:rsidRPr="00E42FC2">
        <w:rPr>
          <w:rFonts w:ascii="Arial" w:hAnsi="Arial" w:cs="Arial"/>
          <w:b/>
          <w:bCs/>
        </w:rPr>
        <w:t>Total Liabilities: 155 trillion Korean Won.</w:t>
      </w:r>
    </w:p>
    <w:p w14:paraId="75C49443" w14:textId="77777777" w:rsidR="00AE3231" w:rsidRPr="00E42FC2" w:rsidRDefault="00AE3231" w:rsidP="00AE3231">
      <w:pPr>
        <w:spacing w:line="480" w:lineRule="auto"/>
        <w:rPr>
          <w:rFonts w:ascii="Arial" w:hAnsi="Arial" w:cs="Arial"/>
          <w:b/>
          <w:bCs/>
        </w:rPr>
      </w:pPr>
      <w:r w:rsidRPr="00E42FC2">
        <w:rPr>
          <w:rFonts w:ascii="Arial" w:hAnsi="Arial" w:cs="Arial"/>
          <w:b/>
          <w:bCs/>
        </w:rPr>
        <w:t>Calculations of Key Ratios</w:t>
      </w:r>
    </w:p>
    <w:p w14:paraId="6E9E6071" w14:textId="77777777" w:rsidR="00AE3231" w:rsidRDefault="00AE3231" w:rsidP="00AE3231">
      <w:pPr>
        <w:spacing w:line="480" w:lineRule="auto"/>
        <w:rPr>
          <w:rFonts w:ascii="Arial" w:hAnsi="Arial" w:cs="Arial"/>
        </w:rPr>
      </w:pPr>
      <w:r w:rsidRPr="00AE3231">
        <w:rPr>
          <w:rFonts w:ascii="Arial" w:hAnsi="Arial" w:cs="Arial"/>
        </w:rPr>
        <w:t xml:space="preserve">The ratios have been calculated using the traditional formulas. </w:t>
      </w:r>
    </w:p>
    <w:p w14:paraId="49377593" w14:textId="77777777" w:rsidR="00AE3231" w:rsidRPr="00E42FC2" w:rsidRDefault="00AE3231" w:rsidP="00AE3231">
      <w:pPr>
        <w:spacing w:line="480" w:lineRule="auto"/>
        <w:rPr>
          <w:rFonts w:ascii="Arial" w:hAnsi="Arial" w:cs="Arial"/>
          <w:b/>
          <w:bCs/>
        </w:rPr>
      </w:pPr>
      <w:r w:rsidRPr="00E42FC2">
        <w:rPr>
          <w:rFonts w:ascii="Arial" w:hAnsi="Arial" w:cs="Arial"/>
          <w:b/>
          <w:bCs/>
        </w:rPr>
        <w:t>Profit Margin</w:t>
      </w:r>
    </w:p>
    <w:p w14:paraId="5B676977" w14:textId="05E2A633" w:rsidR="00AE3231" w:rsidRPr="00E42FC2" w:rsidRDefault="00AE3231" w:rsidP="00E42FC2">
      <w:pPr>
        <w:spacing w:line="480" w:lineRule="auto"/>
        <w:jc w:val="center"/>
        <w:rPr>
          <w:rFonts w:ascii="Arial" w:hAnsi="Arial" w:cs="Arial"/>
          <w:b/>
          <w:bCs/>
        </w:rPr>
      </w:pPr>
      <w:r w:rsidRPr="00E42FC2">
        <w:rPr>
          <w:rFonts w:ascii="Arial" w:hAnsi="Arial" w:cs="Arial"/>
          <w:b/>
          <w:bCs/>
        </w:rPr>
        <w:t>Profit Margin= Net Income</w:t>
      </w:r>
      <w:r w:rsidRPr="00E42FC2">
        <w:rPr>
          <w:rFonts w:ascii="Arial" w:hAnsi="Arial" w:cs="Arial"/>
          <w:b/>
          <w:bCs/>
        </w:rPr>
        <w:t xml:space="preserve"> /</w:t>
      </w:r>
      <w:r w:rsidRPr="00E42FC2">
        <w:rPr>
          <w:rFonts w:ascii="Arial" w:hAnsi="Arial" w:cs="Arial"/>
          <w:b/>
          <w:bCs/>
        </w:rPr>
        <w:t xml:space="preserve"> Revenue</w:t>
      </w:r>
      <w:r w:rsidRPr="00E42FC2">
        <w:rPr>
          <w:rFonts w:ascii="Arial" w:hAnsi="Arial" w:cs="Arial"/>
          <w:b/>
          <w:bCs/>
        </w:rPr>
        <w:t xml:space="preserve"> x</w:t>
      </w:r>
      <w:r w:rsidRPr="00E42FC2">
        <w:rPr>
          <w:rFonts w:ascii="Arial" w:hAnsi="Arial" w:cs="Arial"/>
          <w:b/>
          <w:bCs/>
        </w:rPr>
        <w:t>100</w:t>
      </w:r>
    </w:p>
    <w:p w14:paraId="0320DF57" w14:textId="1613FA52" w:rsidR="00AE3231" w:rsidRDefault="00AE3231" w:rsidP="00AE3231">
      <w:pPr>
        <w:spacing w:line="480" w:lineRule="auto"/>
        <w:rPr>
          <w:rFonts w:ascii="Arial" w:hAnsi="Arial" w:cs="Arial"/>
        </w:rPr>
      </w:pPr>
      <w:r w:rsidRPr="00AE3231">
        <w:rPr>
          <w:rFonts w:ascii="Arial" w:hAnsi="Arial" w:cs="Arial"/>
        </w:rPr>
        <w:t>2022:</w:t>
      </w:r>
      <w:r>
        <w:rPr>
          <w:rFonts w:ascii="Arial" w:hAnsi="Arial" w:cs="Arial"/>
        </w:rPr>
        <w:t xml:space="preserve"> </w:t>
      </w:r>
      <w:r w:rsidRPr="00AE3231">
        <w:rPr>
          <w:rFonts w:ascii="Arial" w:hAnsi="Arial" w:cs="Arial"/>
        </w:rPr>
        <w:t>30</w:t>
      </w:r>
      <w:r>
        <w:rPr>
          <w:rFonts w:ascii="Arial" w:hAnsi="Arial" w:cs="Arial"/>
        </w:rPr>
        <w:t xml:space="preserve"> / </w:t>
      </w:r>
      <w:r w:rsidR="002A2292">
        <w:rPr>
          <w:rFonts w:ascii="Arial" w:hAnsi="Arial" w:cs="Arial"/>
        </w:rPr>
        <w:t xml:space="preserve">200 x </w:t>
      </w:r>
      <w:r w:rsidRPr="00AE3231">
        <w:rPr>
          <w:rFonts w:ascii="Arial" w:hAnsi="Arial" w:cs="Arial"/>
        </w:rPr>
        <w:t>100</w:t>
      </w:r>
      <w:r w:rsidR="002A2292">
        <w:rPr>
          <w:rFonts w:ascii="Arial" w:hAnsi="Arial" w:cs="Arial"/>
        </w:rPr>
        <w:t xml:space="preserve"> </w:t>
      </w:r>
      <w:r w:rsidRPr="00AE3231">
        <w:rPr>
          <w:rFonts w:ascii="Arial" w:hAnsi="Arial" w:cs="Arial"/>
        </w:rPr>
        <w:t>=</w:t>
      </w:r>
      <w:r w:rsidR="002A2292">
        <w:rPr>
          <w:rFonts w:ascii="Arial" w:hAnsi="Arial" w:cs="Arial"/>
        </w:rPr>
        <w:t xml:space="preserve"> </w:t>
      </w:r>
      <w:r w:rsidRPr="00AE3231">
        <w:rPr>
          <w:rFonts w:ascii="Arial" w:hAnsi="Arial" w:cs="Arial"/>
        </w:rPr>
        <w:t>15%</w:t>
      </w:r>
    </w:p>
    <w:p w14:paraId="47053254" w14:textId="28763CF1" w:rsidR="002A2292" w:rsidRDefault="00AE3231" w:rsidP="00AE3231">
      <w:pPr>
        <w:spacing w:line="480" w:lineRule="auto"/>
        <w:rPr>
          <w:rFonts w:ascii="Arial" w:hAnsi="Arial" w:cs="Arial"/>
        </w:rPr>
      </w:pPr>
      <w:r w:rsidRPr="00AE3231">
        <w:rPr>
          <w:rFonts w:ascii="Arial" w:hAnsi="Arial" w:cs="Arial"/>
        </w:rPr>
        <w:t>2023:</w:t>
      </w:r>
      <w:r w:rsidR="002A2292">
        <w:rPr>
          <w:rFonts w:ascii="Arial" w:hAnsi="Arial" w:cs="Arial"/>
        </w:rPr>
        <w:t xml:space="preserve"> </w:t>
      </w:r>
      <w:r w:rsidRPr="00AE3231">
        <w:rPr>
          <w:rFonts w:ascii="Arial" w:hAnsi="Arial" w:cs="Arial"/>
        </w:rPr>
        <w:t>35</w:t>
      </w:r>
      <w:r w:rsidR="002A2292">
        <w:rPr>
          <w:rFonts w:ascii="Arial" w:hAnsi="Arial" w:cs="Arial"/>
        </w:rPr>
        <w:t xml:space="preserve"> / 220 x </w:t>
      </w:r>
      <w:r w:rsidRPr="00AE3231">
        <w:rPr>
          <w:rFonts w:ascii="Arial" w:hAnsi="Arial" w:cs="Arial"/>
        </w:rPr>
        <w:t>100</w:t>
      </w:r>
      <w:r w:rsidR="002A2292">
        <w:rPr>
          <w:rFonts w:ascii="Arial" w:hAnsi="Arial" w:cs="Arial"/>
        </w:rPr>
        <w:t xml:space="preserve"> = </w:t>
      </w:r>
      <w:r w:rsidRPr="00AE3231">
        <w:rPr>
          <w:rFonts w:ascii="Arial" w:hAnsi="Arial" w:cs="Arial"/>
        </w:rPr>
        <w:t>15.9%</w:t>
      </w:r>
    </w:p>
    <w:p w14:paraId="116BFF21" w14:textId="77777777" w:rsidR="002A2292" w:rsidRPr="00E42FC2" w:rsidRDefault="00AE3231" w:rsidP="00AE3231">
      <w:pPr>
        <w:spacing w:line="480" w:lineRule="auto"/>
        <w:rPr>
          <w:rFonts w:ascii="Arial" w:hAnsi="Arial" w:cs="Arial"/>
          <w:b/>
          <w:bCs/>
        </w:rPr>
      </w:pPr>
      <w:r w:rsidRPr="00E42FC2">
        <w:rPr>
          <w:rFonts w:ascii="Arial" w:hAnsi="Arial" w:cs="Arial"/>
          <w:b/>
          <w:bCs/>
        </w:rPr>
        <w:t xml:space="preserve">Return on Assets (ROA) </w:t>
      </w:r>
    </w:p>
    <w:p w14:paraId="3747E398" w14:textId="4DD32342" w:rsidR="002A2292" w:rsidRPr="00E42FC2" w:rsidRDefault="00AE3231" w:rsidP="00E42FC2">
      <w:pPr>
        <w:spacing w:line="480" w:lineRule="auto"/>
        <w:jc w:val="center"/>
        <w:rPr>
          <w:rFonts w:ascii="Arial" w:hAnsi="Arial" w:cs="Arial"/>
          <w:b/>
          <w:bCs/>
        </w:rPr>
      </w:pPr>
      <w:r w:rsidRPr="00E42FC2">
        <w:rPr>
          <w:rFonts w:ascii="Arial" w:hAnsi="Arial" w:cs="Arial"/>
          <w:b/>
          <w:bCs/>
        </w:rPr>
        <w:t>ROA = Net Income</w:t>
      </w:r>
      <w:r w:rsidR="002A2292" w:rsidRPr="00E42FC2">
        <w:rPr>
          <w:rFonts w:ascii="Arial" w:hAnsi="Arial" w:cs="Arial"/>
          <w:b/>
          <w:bCs/>
        </w:rPr>
        <w:t xml:space="preserve"> / </w:t>
      </w:r>
      <w:r w:rsidRPr="00E42FC2">
        <w:rPr>
          <w:rFonts w:ascii="Arial" w:hAnsi="Arial" w:cs="Arial"/>
          <w:b/>
          <w:bCs/>
        </w:rPr>
        <w:t>Total Assets</w:t>
      </w:r>
      <w:r w:rsidR="002A2292" w:rsidRPr="00E42FC2">
        <w:rPr>
          <w:rFonts w:ascii="Arial" w:hAnsi="Arial" w:cs="Arial"/>
          <w:b/>
          <w:bCs/>
        </w:rPr>
        <w:t xml:space="preserve"> x </w:t>
      </w:r>
      <w:r w:rsidRPr="00E42FC2">
        <w:rPr>
          <w:rFonts w:ascii="Arial" w:hAnsi="Arial" w:cs="Arial"/>
          <w:b/>
          <w:bCs/>
        </w:rPr>
        <w:t>100</w:t>
      </w:r>
    </w:p>
    <w:p w14:paraId="2A95998E" w14:textId="77777777" w:rsidR="002A2292" w:rsidRDefault="00AE3231" w:rsidP="00AE3231">
      <w:pPr>
        <w:spacing w:line="480" w:lineRule="auto"/>
        <w:rPr>
          <w:rFonts w:ascii="Arial" w:hAnsi="Arial" w:cs="Arial"/>
        </w:rPr>
      </w:pPr>
      <w:r w:rsidRPr="00AE3231">
        <w:rPr>
          <w:rFonts w:ascii="Arial" w:hAnsi="Arial" w:cs="Arial"/>
        </w:rPr>
        <w:t>2022: 30</w:t>
      </w:r>
      <w:r w:rsidR="002A2292">
        <w:rPr>
          <w:rFonts w:ascii="Arial" w:hAnsi="Arial" w:cs="Arial"/>
        </w:rPr>
        <w:t xml:space="preserve"> / </w:t>
      </w:r>
      <w:r w:rsidRPr="00AE3231">
        <w:rPr>
          <w:rFonts w:ascii="Arial" w:hAnsi="Arial" w:cs="Arial"/>
        </w:rPr>
        <w:t>400</w:t>
      </w:r>
      <w:r w:rsidR="002A2292">
        <w:rPr>
          <w:rFonts w:ascii="Arial" w:hAnsi="Arial" w:cs="Arial"/>
        </w:rPr>
        <w:t xml:space="preserve"> </w:t>
      </w:r>
      <w:r w:rsidRPr="00AE3231">
        <w:rPr>
          <w:rFonts w:ascii="Arial" w:hAnsi="Arial" w:cs="Arial"/>
        </w:rPr>
        <w:t>×100</w:t>
      </w:r>
      <w:r w:rsidR="002A2292">
        <w:rPr>
          <w:rFonts w:ascii="Arial" w:hAnsi="Arial" w:cs="Arial"/>
        </w:rPr>
        <w:t xml:space="preserve"> </w:t>
      </w:r>
      <w:r w:rsidRPr="00AE3231">
        <w:rPr>
          <w:rFonts w:ascii="Arial" w:hAnsi="Arial" w:cs="Arial"/>
        </w:rPr>
        <w:t>=</w:t>
      </w:r>
      <w:r w:rsidR="002A2292">
        <w:rPr>
          <w:rFonts w:ascii="Arial" w:hAnsi="Arial" w:cs="Arial"/>
        </w:rPr>
        <w:t xml:space="preserve"> </w:t>
      </w:r>
      <w:r w:rsidRPr="00AE3231">
        <w:rPr>
          <w:rFonts w:ascii="Arial" w:hAnsi="Arial" w:cs="Arial"/>
        </w:rPr>
        <w:t xml:space="preserve">7.5% </w:t>
      </w:r>
    </w:p>
    <w:p w14:paraId="120E80C5" w14:textId="77777777" w:rsidR="002A2292" w:rsidRDefault="00AE3231" w:rsidP="00AE3231">
      <w:pPr>
        <w:spacing w:line="480" w:lineRule="auto"/>
        <w:rPr>
          <w:rFonts w:ascii="Arial" w:hAnsi="Arial" w:cs="Arial"/>
        </w:rPr>
      </w:pPr>
      <w:r w:rsidRPr="00AE3231">
        <w:rPr>
          <w:rFonts w:ascii="Arial" w:hAnsi="Arial" w:cs="Arial"/>
        </w:rPr>
        <w:t>2023: 35</w:t>
      </w:r>
      <w:r w:rsidR="002A2292">
        <w:rPr>
          <w:rFonts w:ascii="Arial" w:hAnsi="Arial" w:cs="Arial"/>
        </w:rPr>
        <w:t xml:space="preserve"> / </w:t>
      </w:r>
      <w:r w:rsidRPr="00AE3231">
        <w:rPr>
          <w:rFonts w:ascii="Arial" w:hAnsi="Arial" w:cs="Arial"/>
        </w:rPr>
        <w:t>420</w:t>
      </w:r>
      <w:r w:rsidR="002A2292">
        <w:rPr>
          <w:rFonts w:ascii="Arial" w:hAnsi="Arial" w:cs="Arial"/>
        </w:rPr>
        <w:t xml:space="preserve"> </w:t>
      </w:r>
      <w:r w:rsidRPr="00AE3231">
        <w:rPr>
          <w:rFonts w:ascii="Arial" w:hAnsi="Arial" w:cs="Arial"/>
        </w:rPr>
        <w:t>×</w:t>
      </w:r>
      <w:r w:rsidR="002A2292">
        <w:rPr>
          <w:rFonts w:ascii="Arial" w:hAnsi="Arial" w:cs="Arial"/>
        </w:rPr>
        <w:t xml:space="preserve"> </w:t>
      </w:r>
      <w:r w:rsidRPr="00AE3231">
        <w:rPr>
          <w:rFonts w:ascii="Arial" w:hAnsi="Arial" w:cs="Arial"/>
        </w:rPr>
        <w:t>100</w:t>
      </w:r>
      <w:r w:rsidR="002A2292">
        <w:rPr>
          <w:rFonts w:ascii="Arial" w:hAnsi="Arial" w:cs="Arial"/>
        </w:rPr>
        <w:t xml:space="preserve"> = </w:t>
      </w:r>
      <w:r w:rsidRPr="00AE3231">
        <w:rPr>
          <w:rFonts w:ascii="Arial" w:hAnsi="Arial" w:cs="Arial"/>
        </w:rPr>
        <w:t>8.33%</w:t>
      </w:r>
    </w:p>
    <w:p w14:paraId="6BCEAB3D" w14:textId="77777777" w:rsidR="002A2292" w:rsidRPr="00E42FC2" w:rsidRDefault="00AE3231" w:rsidP="00AE3231">
      <w:pPr>
        <w:spacing w:line="480" w:lineRule="auto"/>
        <w:rPr>
          <w:rFonts w:ascii="Arial" w:hAnsi="Arial" w:cs="Arial"/>
          <w:b/>
          <w:bCs/>
        </w:rPr>
      </w:pPr>
      <w:r w:rsidRPr="00E42FC2">
        <w:rPr>
          <w:rFonts w:ascii="Arial" w:hAnsi="Arial" w:cs="Arial"/>
          <w:b/>
          <w:bCs/>
        </w:rPr>
        <w:t>Return on Equity (ROE)</w:t>
      </w:r>
    </w:p>
    <w:p w14:paraId="632054F4" w14:textId="77777777" w:rsidR="002A2292" w:rsidRPr="00E42FC2" w:rsidRDefault="00AE3231" w:rsidP="00E42FC2">
      <w:pPr>
        <w:spacing w:line="480" w:lineRule="auto"/>
        <w:jc w:val="center"/>
        <w:rPr>
          <w:rFonts w:ascii="Arial" w:hAnsi="Arial" w:cs="Arial"/>
          <w:b/>
          <w:bCs/>
        </w:rPr>
      </w:pPr>
      <w:r w:rsidRPr="00E42FC2">
        <w:rPr>
          <w:rFonts w:ascii="Arial" w:hAnsi="Arial" w:cs="Arial"/>
          <w:b/>
          <w:bCs/>
        </w:rPr>
        <w:t xml:space="preserve">ROE = Net Income </w:t>
      </w:r>
      <w:r w:rsidR="002A2292" w:rsidRPr="00E42FC2">
        <w:rPr>
          <w:rFonts w:ascii="Arial" w:hAnsi="Arial" w:cs="Arial"/>
          <w:b/>
          <w:bCs/>
        </w:rPr>
        <w:t xml:space="preserve">/ </w:t>
      </w:r>
      <w:r w:rsidRPr="00E42FC2">
        <w:rPr>
          <w:rFonts w:ascii="Arial" w:hAnsi="Arial" w:cs="Arial"/>
          <w:b/>
          <w:bCs/>
        </w:rPr>
        <w:t>Total Equity</w:t>
      </w:r>
      <w:r w:rsidR="002A2292" w:rsidRPr="00E42FC2">
        <w:rPr>
          <w:rFonts w:ascii="Arial" w:hAnsi="Arial" w:cs="Arial"/>
          <w:b/>
          <w:bCs/>
        </w:rPr>
        <w:t xml:space="preserve"> x </w:t>
      </w:r>
      <w:r w:rsidRPr="00E42FC2">
        <w:rPr>
          <w:rFonts w:ascii="Arial" w:hAnsi="Arial" w:cs="Arial"/>
          <w:b/>
          <w:bCs/>
        </w:rPr>
        <w:t>100</w:t>
      </w:r>
    </w:p>
    <w:p w14:paraId="24F68F2B" w14:textId="5D7A3490" w:rsidR="002A2292" w:rsidRDefault="002A2292" w:rsidP="00AE3231">
      <w:pPr>
        <w:spacing w:line="480" w:lineRule="auto"/>
        <w:rPr>
          <w:rFonts w:ascii="Arial" w:hAnsi="Arial" w:cs="Arial"/>
        </w:rPr>
      </w:pPr>
      <w:r w:rsidRPr="00AE3231">
        <w:rPr>
          <w:rFonts w:ascii="Arial" w:hAnsi="Arial" w:cs="Arial"/>
        </w:rPr>
        <w:t>2022:</w:t>
      </w:r>
      <w:r w:rsidR="00AE3231" w:rsidRPr="00AE3231">
        <w:rPr>
          <w:rFonts w:ascii="Arial" w:hAnsi="Arial" w:cs="Arial"/>
        </w:rPr>
        <w:t xml:space="preserve"> 30</w:t>
      </w:r>
      <w:r>
        <w:rPr>
          <w:rFonts w:ascii="Arial" w:hAnsi="Arial" w:cs="Arial"/>
        </w:rPr>
        <w:t xml:space="preserve"> / </w:t>
      </w:r>
      <w:r w:rsidR="00AE3231" w:rsidRPr="00AE3231">
        <w:rPr>
          <w:rFonts w:ascii="Arial" w:hAnsi="Arial" w:cs="Arial"/>
        </w:rPr>
        <w:t xml:space="preserve">250 </w:t>
      </w:r>
      <w:r>
        <w:rPr>
          <w:rFonts w:ascii="Arial" w:hAnsi="Arial" w:cs="Arial"/>
        </w:rPr>
        <w:t xml:space="preserve">x </w:t>
      </w:r>
      <w:r w:rsidR="00AE3231" w:rsidRPr="00AE3231">
        <w:rPr>
          <w:rFonts w:ascii="Arial" w:hAnsi="Arial" w:cs="Arial"/>
        </w:rPr>
        <w:t>100</w:t>
      </w:r>
      <w:r>
        <w:rPr>
          <w:rFonts w:ascii="Arial" w:hAnsi="Arial" w:cs="Arial"/>
        </w:rPr>
        <w:t xml:space="preserve"> </w:t>
      </w:r>
      <w:r w:rsidR="00AE3231" w:rsidRPr="00AE3231">
        <w:rPr>
          <w:rFonts w:ascii="Arial" w:hAnsi="Arial" w:cs="Arial"/>
        </w:rPr>
        <w:t>=</w:t>
      </w:r>
      <w:r>
        <w:rPr>
          <w:rFonts w:ascii="Arial" w:hAnsi="Arial" w:cs="Arial"/>
        </w:rPr>
        <w:t xml:space="preserve"> </w:t>
      </w:r>
      <w:r w:rsidR="00AE3231" w:rsidRPr="00AE3231">
        <w:rPr>
          <w:rFonts w:ascii="Arial" w:hAnsi="Arial" w:cs="Arial"/>
        </w:rPr>
        <w:t>12%</w:t>
      </w:r>
    </w:p>
    <w:p w14:paraId="1629B1AB" w14:textId="77777777" w:rsidR="002A2292" w:rsidRDefault="00AE3231" w:rsidP="00AE3231">
      <w:pPr>
        <w:spacing w:line="480" w:lineRule="auto"/>
        <w:rPr>
          <w:rFonts w:ascii="Arial" w:hAnsi="Arial" w:cs="Arial"/>
        </w:rPr>
      </w:pPr>
      <w:r w:rsidRPr="00AE3231">
        <w:rPr>
          <w:rFonts w:ascii="Arial" w:hAnsi="Arial" w:cs="Arial"/>
        </w:rPr>
        <w:t>2023: 35</w:t>
      </w:r>
      <w:r w:rsidR="002A2292">
        <w:rPr>
          <w:rFonts w:ascii="Arial" w:hAnsi="Arial" w:cs="Arial"/>
        </w:rPr>
        <w:t xml:space="preserve"> / </w:t>
      </w:r>
      <w:r w:rsidRPr="00AE3231">
        <w:rPr>
          <w:rFonts w:ascii="Arial" w:hAnsi="Arial" w:cs="Arial"/>
        </w:rPr>
        <w:t>265</w:t>
      </w:r>
      <w:r w:rsidR="002A2292">
        <w:rPr>
          <w:rFonts w:ascii="Arial" w:hAnsi="Arial" w:cs="Arial"/>
        </w:rPr>
        <w:t xml:space="preserve"> x </w:t>
      </w:r>
      <w:r w:rsidRPr="00AE3231">
        <w:rPr>
          <w:rFonts w:ascii="Arial" w:hAnsi="Arial" w:cs="Arial"/>
        </w:rPr>
        <w:t>100</w:t>
      </w:r>
      <w:r w:rsidR="002A2292">
        <w:rPr>
          <w:rFonts w:ascii="Arial" w:hAnsi="Arial" w:cs="Arial"/>
        </w:rPr>
        <w:t xml:space="preserve"> = </w:t>
      </w:r>
      <w:r w:rsidRPr="00AE3231">
        <w:rPr>
          <w:rFonts w:ascii="Arial" w:hAnsi="Arial" w:cs="Arial"/>
        </w:rPr>
        <w:t>13.21%</w:t>
      </w:r>
    </w:p>
    <w:p w14:paraId="66AB2C2B" w14:textId="77777777" w:rsidR="002A2292" w:rsidRPr="00E42FC2" w:rsidRDefault="00AE3231" w:rsidP="00AE3231">
      <w:pPr>
        <w:spacing w:line="480" w:lineRule="auto"/>
        <w:rPr>
          <w:rFonts w:ascii="Arial" w:hAnsi="Arial" w:cs="Arial"/>
          <w:b/>
          <w:bCs/>
        </w:rPr>
      </w:pPr>
      <w:r w:rsidRPr="00E42FC2">
        <w:rPr>
          <w:rFonts w:ascii="Arial" w:hAnsi="Arial" w:cs="Arial"/>
          <w:b/>
          <w:bCs/>
        </w:rPr>
        <w:t>Current Ratio</w:t>
      </w:r>
    </w:p>
    <w:p w14:paraId="549AB060" w14:textId="77777777" w:rsidR="002A2292" w:rsidRPr="00E42FC2" w:rsidRDefault="00AE3231" w:rsidP="00E42FC2">
      <w:pPr>
        <w:spacing w:line="480" w:lineRule="auto"/>
        <w:jc w:val="center"/>
        <w:rPr>
          <w:rFonts w:ascii="Arial" w:hAnsi="Arial" w:cs="Arial"/>
          <w:b/>
          <w:bCs/>
        </w:rPr>
      </w:pPr>
      <w:r w:rsidRPr="00E42FC2">
        <w:rPr>
          <w:rFonts w:ascii="Arial" w:hAnsi="Arial" w:cs="Arial"/>
          <w:b/>
          <w:bCs/>
        </w:rPr>
        <w:t>Current Ratio</w:t>
      </w:r>
      <w:r w:rsidR="002A2292" w:rsidRPr="00E42FC2">
        <w:rPr>
          <w:rFonts w:ascii="Arial" w:hAnsi="Arial" w:cs="Arial"/>
          <w:b/>
          <w:bCs/>
        </w:rPr>
        <w:t xml:space="preserve"> </w:t>
      </w:r>
      <w:r w:rsidRPr="00E42FC2">
        <w:rPr>
          <w:rFonts w:ascii="Arial" w:hAnsi="Arial" w:cs="Arial"/>
          <w:b/>
          <w:bCs/>
        </w:rPr>
        <w:t xml:space="preserve">= Current Assets </w:t>
      </w:r>
      <w:r w:rsidR="002A2292" w:rsidRPr="00E42FC2">
        <w:rPr>
          <w:rFonts w:ascii="Arial" w:hAnsi="Arial" w:cs="Arial"/>
          <w:b/>
          <w:bCs/>
        </w:rPr>
        <w:t>/</w:t>
      </w:r>
      <w:r w:rsidRPr="00E42FC2">
        <w:rPr>
          <w:rFonts w:ascii="Arial" w:hAnsi="Arial" w:cs="Arial"/>
          <w:b/>
          <w:bCs/>
        </w:rPr>
        <w:t xml:space="preserve"> Current Liabilities</w:t>
      </w:r>
    </w:p>
    <w:p w14:paraId="5338DEB2" w14:textId="77777777" w:rsidR="002A2292" w:rsidRDefault="00AE3231" w:rsidP="00AE3231">
      <w:pPr>
        <w:spacing w:line="480" w:lineRule="auto"/>
        <w:rPr>
          <w:rFonts w:ascii="Arial" w:hAnsi="Arial" w:cs="Arial"/>
        </w:rPr>
      </w:pPr>
      <w:r w:rsidRPr="00AE3231">
        <w:rPr>
          <w:rFonts w:ascii="Arial" w:hAnsi="Arial" w:cs="Arial"/>
        </w:rPr>
        <w:lastRenderedPageBreak/>
        <w:t>2022: 100</w:t>
      </w:r>
      <w:r w:rsidR="002A2292">
        <w:rPr>
          <w:rFonts w:ascii="Arial" w:hAnsi="Arial" w:cs="Arial"/>
        </w:rPr>
        <w:t xml:space="preserve"> / </w:t>
      </w:r>
      <w:r w:rsidRPr="00AE3231">
        <w:rPr>
          <w:rFonts w:ascii="Arial" w:hAnsi="Arial" w:cs="Arial"/>
        </w:rPr>
        <w:t>70</w:t>
      </w:r>
      <w:r w:rsidR="002A2292">
        <w:rPr>
          <w:rFonts w:ascii="Arial" w:hAnsi="Arial" w:cs="Arial"/>
        </w:rPr>
        <w:t xml:space="preserve"> = </w:t>
      </w:r>
      <w:r w:rsidRPr="00AE3231">
        <w:rPr>
          <w:rFonts w:ascii="Arial" w:hAnsi="Arial" w:cs="Arial"/>
        </w:rPr>
        <w:t xml:space="preserve">1.43 </w:t>
      </w:r>
    </w:p>
    <w:p w14:paraId="1ACBA31D" w14:textId="77777777" w:rsidR="002A2292" w:rsidRDefault="00AE3231" w:rsidP="00AE3231">
      <w:pPr>
        <w:spacing w:line="480" w:lineRule="auto"/>
        <w:rPr>
          <w:rFonts w:ascii="Arial" w:hAnsi="Arial" w:cs="Arial"/>
        </w:rPr>
      </w:pPr>
      <w:r w:rsidRPr="00AE3231">
        <w:rPr>
          <w:rFonts w:ascii="Arial" w:hAnsi="Arial" w:cs="Arial"/>
        </w:rPr>
        <w:t>2023: 110</w:t>
      </w:r>
      <w:r w:rsidR="002A2292">
        <w:rPr>
          <w:rFonts w:ascii="Arial" w:hAnsi="Arial" w:cs="Arial"/>
        </w:rPr>
        <w:t xml:space="preserve"> / </w:t>
      </w:r>
      <w:r w:rsidRPr="00AE3231">
        <w:rPr>
          <w:rFonts w:ascii="Arial" w:hAnsi="Arial" w:cs="Arial"/>
        </w:rPr>
        <w:t>75</w:t>
      </w:r>
      <w:r w:rsidR="002A2292">
        <w:rPr>
          <w:rFonts w:ascii="Arial" w:hAnsi="Arial" w:cs="Arial"/>
        </w:rPr>
        <w:t xml:space="preserve"> = </w:t>
      </w:r>
      <w:r w:rsidRPr="00AE3231">
        <w:rPr>
          <w:rFonts w:ascii="Arial" w:hAnsi="Arial" w:cs="Arial"/>
        </w:rPr>
        <w:t>1.47</w:t>
      </w:r>
    </w:p>
    <w:p w14:paraId="198F76FD" w14:textId="77777777" w:rsidR="002A2292" w:rsidRPr="00E42FC2" w:rsidRDefault="00AE3231" w:rsidP="00AE3231">
      <w:pPr>
        <w:spacing w:line="480" w:lineRule="auto"/>
        <w:rPr>
          <w:rFonts w:ascii="Arial" w:hAnsi="Arial" w:cs="Arial"/>
        </w:rPr>
      </w:pPr>
      <w:r w:rsidRPr="00E42FC2">
        <w:rPr>
          <w:rFonts w:ascii="Arial" w:hAnsi="Arial" w:cs="Arial"/>
        </w:rPr>
        <w:t xml:space="preserve">Debt-to- Equity Ratio </w:t>
      </w:r>
    </w:p>
    <w:p w14:paraId="566D7ACF" w14:textId="7BA2B1E0" w:rsidR="002A2292" w:rsidRPr="00E42FC2" w:rsidRDefault="00AE3231" w:rsidP="00E42FC2">
      <w:pPr>
        <w:spacing w:line="480" w:lineRule="auto"/>
        <w:jc w:val="center"/>
        <w:rPr>
          <w:rFonts w:ascii="Arial" w:hAnsi="Arial" w:cs="Arial"/>
        </w:rPr>
      </w:pPr>
      <w:r w:rsidRPr="00E42FC2">
        <w:rPr>
          <w:rFonts w:ascii="Arial" w:hAnsi="Arial" w:cs="Arial"/>
        </w:rPr>
        <w:t>Debt-to-Equity</w:t>
      </w:r>
      <w:r w:rsidR="002A2292" w:rsidRPr="00E42FC2">
        <w:rPr>
          <w:rFonts w:ascii="Arial" w:hAnsi="Arial" w:cs="Arial"/>
        </w:rPr>
        <w:t xml:space="preserve"> </w:t>
      </w:r>
      <w:r w:rsidRPr="00E42FC2">
        <w:rPr>
          <w:rFonts w:ascii="Arial" w:hAnsi="Arial" w:cs="Arial"/>
        </w:rPr>
        <w:t xml:space="preserve">= Total Liabilities </w:t>
      </w:r>
      <w:r w:rsidR="002A2292" w:rsidRPr="00E42FC2">
        <w:rPr>
          <w:rFonts w:ascii="Arial" w:hAnsi="Arial" w:cs="Arial"/>
        </w:rPr>
        <w:t xml:space="preserve">/ </w:t>
      </w:r>
      <w:r w:rsidRPr="00E42FC2">
        <w:rPr>
          <w:rFonts w:ascii="Arial" w:hAnsi="Arial" w:cs="Arial"/>
        </w:rPr>
        <w:t>Total Equity</w:t>
      </w:r>
    </w:p>
    <w:p w14:paraId="5F43C458" w14:textId="77777777" w:rsidR="002A2292" w:rsidRDefault="00AE3231" w:rsidP="00AE3231">
      <w:pPr>
        <w:spacing w:line="480" w:lineRule="auto"/>
        <w:rPr>
          <w:rFonts w:ascii="Arial" w:hAnsi="Arial" w:cs="Arial"/>
        </w:rPr>
      </w:pPr>
      <w:r w:rsidRPr="00AE3231">
        <w:rPr>
          <w:rFonts w:ascii="Arial" w:hAnsi="Arial" w:cs="Arial"/>
        </w:rPr>
        <w:t>2022: 150</w:t>
      </w:r>
      <w:r w:rsidR="002A2292">
        <w:rPr>
          <w:rFonts w:ascii="Arial" w:hAnsi="Arial" w:cs="Arial"/>
        </w:rPr>
        <w:t xml:space="preserve"> / </w:t>
      </w:r>
      <w:r w:rsidRPr="00AE3231">
        <w:rPr>
          <w:rFonts w:ascii="Arial" w:hAnsi="Arial" w:cs="Arial"/>
        </w:rPr>
        <w:t>250</w:t>
      </w:r>
      <w:r w:rsidR="002A2292">
        <w:rPr>
          <w:rFonts w:ascii="Arial" w:hAnsi="Arial" w:cs="Arial"/>
        </w:rPr>
        <w:t xml:space="preserve"> </w:t>
      </w:r>
      <w:r w:rsidRPr="00AE3231">
        <w:rPr>
          <w:rFonts w:ascii="Arial" w:hAnsi="Arial" w:cs="Arial"/>
        </w:rPr>
        <w:t>=</w:t>
      </w:r>
      <w:r w:rsidR="002A2292">
        <w:rPr>
          <w:rFonts w:ascii="Arial" w:hAnsi="Arial" w:cs="Arial"/>
        </w:rPr>
        <w:t xml:space="preserve"> </w:t>
      </w:r>
      <w:r w:rsidRPr="00AE3231">
        <w:rPr>
          <w:rFonts w:ascii="Arial" w:hAnsi="Arial" w:cs="Arial"/>
        </w:rPr>
        <w:t>0.6</w:t>
      </w:r>
      <w:r w:rsidR="002A2292">
        <w:rPr>
          <w:rFonts w:ascii="Arial" w:hAnsi="Arial" w:cs="Arial"/>
        </w:rPr>
        <w:t xml:space="preserve"> </w:t>
      </w:r>
    </w:p>
    <w:p w14:paraId="4EA242EB" w14:textId="77777777" w:rsidR="002A2292" w:rsidRDefault="00AE3231" w:rsidP="00AE3231">
      <w:pPr>
        <w:spacing w:line="480" w:lineRule="auto"/>
        <w:rPr>
          <w:rFonts w:ascii="Arial" w:hAnsi="Arial" w:cs="Arial"/>
        </w:rPr>
      </w:pPr>
      <w:r w:rsidRPr="00AE3231">
        <w:rPr>
          <w:rFonts w:ascii="Arial" w:hAnsi="Arial" w:cs="Arial"/>
        </w:rPr>
        <w:t>2023: 155</w:t>
      </w:r>
      <w:r w:rsidR="002A2292">
        <w:rPr>
          <w:rFonts w:ascii="Arial" w:hAnsi="Arial" w:cs="Arial"/>
        </w:rPr>
        <w:t xml:space="preserve"> / </w:t>
      </w:r>
      <w:r w:rsidRPr="00AE3231">
        <w:rPr>
          <w:rFonts w:ascii="Arial" w:hAnsi="Arial" w:cs="Arial"/>
        </w:rPr>
        <w:t>265</w:t>
      </w:r>
      <w:r w:rsidR="002A2292">
        <w:rPr>
          <w:rFonts w:ascii="Arial" w:hAnsi="Arial" w:cs="Arial"/>
        </w:rPr>
        <w:t xml:space="preserve"> = </w:t>
      </w:r>
      <w:r w:rsidRPr="00AE3231">
        <w:rPr>
          <w:rFonts w:ascii="Arial" w:hAnsi="Arial" w:cs="Arial"/>
        </w:rPr>
        <w:t>0.585</w:t>
      </w:r>
    </w:p>
    <w:p w14:paraId="034AA3A2" w14:textId="77777777" w:rsidR="002A2292" w:rsidRPr="00E42FC2" w:rsidRDefault="00AE3231" w:rsidP="00AE3231">
      <w:pPr>
        <w:spacing w:line="480" w:lineRule="auto"/>
        <w:rPr>
          <w:rFonts w:ascii="Arial" w:hAnsi="Arial" w:cs="Arial"/>
          <w:b/>
          <w:bCs/>
        </w:rPr>
      </w:pPr>
      <w:r w:rsidRPr="00E42FC2">
        <w:rPr>
          <w:rFonts w:ascii="Arial" w:hAnsi="Arial" w:cs="Arial"/>
          <w:b/>
          <w:bCs/>
        </w:rPr>
        <w:t xml:space="preserve">Comparative </w:t>
      </w:r>
      <w:r w:rsidR="002A2292" w:rsidRPr="00E42FC2">
        <w:rPr>
          <w:rFonts w:ascii="Arial" w:hAnsi="Arial" w:cs="Arial"/>
          <w:b/>
          <w:bCs/>
        </w:rPr>
        <w:t>Analysis</w:t>
      </w:r>
    </w:p>
    <w:p w14:paraId="6C1C0378" w14:textId="77777777" w:rsidR="002A2292" w:rsidRDefault="00AE3231" w:rsidP="00AE3231">
      <w:pPr>
        <w:spacing w:line="480" w:lineRule="auto"/>
        <w:rPr>
          <w:rFonts w:ascii="Arial" w:hAnsi="Arial" w:cs="Arial"/>
        </w:rPr>
      </w:pPr>
      <w:r w:rsidRPr="00AE3231">
        <w:rPr>
          <w:rFonts w:ascii="Arial" w:hAnsi="Arial" w:cs="Arial"/>
        </w:rPr>
        <w:t>Profitability: Samsung’s profit margin improved from 15% in 2022 to just under 15.9% in 2023. This means that Samsung has become more efficient converting revenues into net income (Omair et al., 2014</w:t>
      </w:r>
      <w:r w:rsidR="002A2292">
        <w:rPr>
          <w:rFonts w:ascii="Arial" w:hAnsi="Arial" w:cs="Arial"/>
        </w:rPr>
        <w:t>).</w:t>
      </w:r>
    </w:p>
    <w:p w14:paraId="01DD1E0B" w14:textId="77777777" w:rsidR="009C3430" w:rsidRPr="00E42FC2" w:rsidRDefault="00AE3231" w:rsidP="00E42FC2">
      <w:pPr>
        <w:pStyle w:val="ListParagraph"/>
        <w:numPr>
          <w:ilvl w:val="0"/>
          <w:numId w:val="1"/>
        </w:numPr>
        <w:spacing w:line="480" w:lineRule="auto"/>
        <w:rPr>
          <w:rFonts w:ascii="Arial" w:hAnsi="Arial" w:cs="Arial"/>
        </w:rPr>
      </w:pPr>
      <w:r w:rsidRPr="00E42FC2">
        <w:rPr>
          <w:rFonts w:ascii="Arial" w:hAnsi="Arial" w:cs="Arial"/>
        </w:rPr>
        <w:t>Asset Utilization: The ROA rose from 7.5% to 8.33%, indicating Samsung's capability of generating more income from its asset base in 2023 (Suardana et al., 2018).</w:t>
      </w:r>
    </w:p>
    <w:p w14:paraId="269AA749" w14:textId="77777777" w:rsidR="009C3430" w:rsidRPr="00E42FC2" w:rsidRDefault="00AE3231" w:rsidP="00E42FC2">
      <w:pPr>
        <w:pStyle w:val="ListParagraph"/>
        <w:numPr>
          <w:ilvl w:val="0"/>
          <w:numId w:val="1"/>
        </w:numPr>
        <w:spacing w:line="480" w:lineRule="auto"/>
        <w:rPr>
          <w:rFonts w:ascii="Arial" w:hAnsi="Arial" w:cs="Arial"/>
        </w:rPr>
      </w:pPr>
      <w:r w:rsidRPr="00E42FC2">
        <w:rPr>
          <w:rFonts w:ascii="Arial" w:hAnsi="Arial" w:cs="Arial"/>
        </w:rPr>
        <w:t>Equity Returns: Additionally, profitability has improved through the ROE improvement from 12% to 13.21%, demonstrating effective utili</w:t>
      </w:r>
      <w:r w:rsidR="009C3430" w:rsidRPr="00E42FC2">
        <w:rPr>
          <w:rFonts w:ascii="Arial" w:hAnsi="Arial" w:cs="Arial"/>
        </w:rPr>
        <w:t>s</w:t>
      </w:r>
      <w:r w:rsidRPr="00E42FC2">
        <w:rPr>
          <w:rFonts w:ascii="Arial" w:hAnsi="Arial" w:cs="Arial"/>
        </w:rPr>
        <w:t>ation of the company's shareholders' equity (</w:t>
      </w:r>
      <w:proofErr w:type="spellStart"/>
      <w:r w:rsidRPr="00E42FC2">
        <w:rPr>
          <w:rFonts w:ascii="Arial" w:hAnsi="Arial" w:cs="Arial"/>
        </w:rPr>
        <w:t>Telan</w:t>
      </w:r>
      <w:proofErr w:type="spellEnd"/>
      <w:r w:rsidRPr="00E42FC2">
        <w:rPr>
          <w:rFonts w:ascii="Arial" w:hAnsi="Arial" w:cs="Arial"/>
        </w:rPr>
        <w:t xml:space="preserve"> &amp; </w:t>
      </w:r>
      <w:proofErr w:type="spellStart"/>
      <w:r w:rsidRPr="00E42FC2">
        <w:rPr>
          <w:rFonts w:ascii="Arial" w:hAnsi="Arial" w:cs="Arial"/>
        </w:rPr>
        <w:t>Nobanee</w:t>
      </w:r>
      <w:proofErr w:type="spellEnd"/>
      <w:r w:rsidRPr="00E42FC2">
        <w:rPr>
          <w:rFonts w:ascii="Arial" w:hAnsi="Arial" w:cs="Arial"/>
        </w:rPr>
        <w:t>).</w:t>
      </w:r>
    </w:p>
    <w:p w14:paraId="0FBB2460" w14:textId="77777777" w:rsidR="009C3430" w:rsidRPr="00E42FC2" w:rsidRDefault="00AE3231" w:rsidP="00E42FC2">
      <w:pPr>
        <w:pStyle w:val="ListParagraph"/>
        <w:numPr>
          <w:ilvl w:val="0"/>
          <w:numId w:val="1"/>
        </w:numPr>
        <w:spacing w:line="480" w:lineRule="auto"/>
        <w:rPr>
          <w:rFonts w:ascii="Arial" w:hAnsi="Arial" w:cs="Arial"/>
        </w:rPr>
      </w:pPr>
      <w:r w:rsidRPr="00E42FC2">
        <w:rPr>
          <w:rFonts w:ascii="Arial" w:hAnsi="Arial" w:cs="Arial"/>
        </w:rPr>
        <w:t xml:space="preserve">Liquidity: The increase in the current ratio from 1.43 to 1.47 demonstrates a slight increase in Samsung's management of short–term asset–to–liability ratio (Thuy &amp; </w:t>
      </w:r>
      <w:proofErr w:type="spellStart"/>
      <w:r w:rsidRPr="00E42FC2">
        <w:rPr>
          <w:rFonts w:ascii="Arial" w:hAnsi="Arial" w:cs="Arial"/>
        </w:rPr>
        <w:t>Klymova</w:t>
      </w:r>
      <w:proofErr w:type="spellEnd"/>
      <w:r w:rsidRPr="00E42FC2">
        <w:rPr>
          <w:rFonts w:ascii="Arial" w:hAnsi="Arial" w:cs="Arial"/>
        </w:rPr>
        <w:t>, 2022).</w:t>
      </w:r>
    </w:p>
    <w:p w14:paraId="36653458" w14:textId="77777777" w:rsidR="009C3430" w:rsidRPr="00E42FC2" w:rsidRDefault="00AE3231" w:rsidP="00E42FC2">
      <w:pPr>
        <w:pStyle w:val="ListParagraph"/>
        <w:numPr>
          <w:ilvl w:val="0"/>
          <w:numId w:val="1"/>
        </w:numPr>
        <w:spacing w:line="480" w:lineRule="auto"/>
        <w:rPr>
          <w:rFonts w:ascii="Arial" w:hAnsi="Arial" w:cs="Arial"/>
        </w:rPr>
      </w:pPr>
      <w:r w:rsidRPr="00E42FC2">
        <w:rPr>
          <w:rFonts w:ascii="Arial" w:hAnsi="Arial" w:cs="Arial"/>
        </w:rPr>
        <w:t xml:space="preserve">Solvency: The decreased debt equity ratio with a decrease from 0.6 to approximately 0.585 indicates that Samsung leaned slightly more heavily on the debt versus equity capital financing, which is </w:t>
      </w:r>
      <w:r w:rsidR="009C3430" w:rsidRPr="00E42FC2">
        <w:rPr>
          <w:rFonts w:ascii="Arial" w:hAnsi="Arial" w:cs="Arial"/>
        </w:rPr>
        <w:t>favourable</w:t>
      </w:r>
      <w:r w:rsidRPr="00E42FC2">
        <w:rPr>
          <w:rFonts w:ascii="Arial" w:hAnsi="Arial" w:cs="Arial"/>
        </w:rPr>
        <w:t xml:space="preserve"> support for the company's stability (Rasheed &amp; Abbas, 2012).</w:t>
      </w:r>
    </w:p>
    <w:p w14:paraId="0B2CC03A" w14:textId="6BCF8957" w:rsidR="009C3430" w:rsidRPr="00E42FC2" w:rsidRDefault="00AE3231" w:rsidP="00AE3231">
      <w:pPr>
        <w:spacing w:line="480" w:lineRule="auto"/>
        <w:rPr>
          <w:rFonts w:ascii="Arial" w:hAnsi="Arial" w:cs="Arial"/>
          <w:b/>
          <w:bCs/>
        </w:rPr>
      </w:pPr>
      <w:r w:rsidRPr="00E42FC2">
        <w:rPr>
          <w:rFonts w:ascii="Arial" w:hAnsi="Arial" w:cs="Arial"/>
          <w:b/>
          <w:bCs/>
        </w:rPr>
        <w:lastRenderedPageBreak/>
        <w:t>Rationale for Year–Over–Year Improvements</w:t>
      </w:r>
    </w:p>
    <w:p w14:paraId="73DB507A" w14:textId="09ABE159" w:rsidR="009C3430" w:rsidRDefault="00AE3231" w:rsidP="00AE3231">
      <w:pPr>
        <w:spacing w:line="480" w:lineRule="auto"/>
        <w:rPr>
          <w:rFonts w:ascii="Arial" w:hAnsi="Arial" w:cs="Arial"/>
        </w:rPr>
      </w:pPr>
      <w:r w:rsidRPr="00AE3231">
        <w:rPr>
          <w:rFonts w:ascii="Arial" w:hAnsi="Arial" w:cs="Arial"/>
        </w:rPr>
        <w:t xml:space="preserve">The efficiency improvements in profitability, efficiency, and solvency performance relates to </w:t>
      </w:r>
      <w:r w:rsidR="009C3430" w:rsidRPr="00AE3231">
        <w:rPr>
          <w:rFonts w:ascii="Arial" w:hAnsi="Arial" w:cs="Arial"/>
        </w:rPr>
        <w:t>several</w:t>
      </w:r>
      <w:r w:rsidRPr="00AE3231">
        <w:rPr>
          <w:rFonts w:ascii="Arial" w:hAnsi="Arial" w:cs="Arial"/>
        </w:rPr>
        <w:t xml:space="preserve"> internal </w:t>
      </w:r>
      <w:r w:rsidR="009C3430">
        <w:rPr>
          <w:rFonts w:ascii="Arial" w:hAnsi="Arial" w:cs="Arial"/>
        </w:rPr>
        <w:t xml:space="preserve">and </w:t>
      </w:r>
      <w:r w:rsidRPr="00AE3231">
        <w:rPr>
          <w:rFonts w:ascii="Arial" w:hAnsi="Arial" w:cs="Arial"/>
        </w:rPr>
        <w:t>external factors:</w:t>
      </w:r>
    </w:p>
    <w:p w14:paraId="3D7FA247" w14:textId="77777777" w:rsidR="009C3430" w:rsidRPr="00E42FC2" w:rsidRDefault="00AE3231" w:rsidP="00E42FC2">
      <w:pPr>
        <w:pStyle w:val="ListParagraph"/>
        <w:numPr>
          <w:ilvl w:val="0"/>
          <w:numId w:val="2"/>
        </w:numPr>
        <w:spacing w:line="480" w:lineRule="auto"/>
        <w:rPr>
          <w:rFonts w:ascii="Arial" w:hAnsi="Arial" w:cs="Arial"/>
        </w:rPr>
      </w:pPr>
      <w:r w:rsidRPr="00E42FC2">
        <w:rPr>
          <w:rFonts w:ascii="Arial" w:hAnsi="Arial" w:cs="Arial"/>
        </w:rPr>
        <w:t>Increased Revenues and Cost Management:</w:t>
      </w:r>
      <w:r w:rsidR="009C3430" w:rsidRPr="00E42FC2">
        <w:rPr>
          <w:rFonts w:ascii="Arial" w:hAnsi="Arial" w:cs="Arial"/>
        </w:rPr>
        <w:t xml:space="preserve"> </w:t>
      </w:r>
      <w:r w:rsidRPr="00E42FC2">
        <w:rPr>
          <w:rFonts w:ascii="Arial" w:hAnsi="Arial" w:cs="Arial"/>
        </w:rPr>
        <w:t xml:space="preserve">Samsung sustained its product innovation particularly in the high growth areas of smartphone and semiconductor technology which has partially contributed to the increased revenues. Overhead costs management may also have helped to improve net income margins (Parveen et al., 2024; </w:t>
      </w:r>
      <w:proofErr w:type="spellStart"/>
      <w:r w:rsidRPr="00E42FC2">
        <w:rPr>
          <w:rFonts w:ascii="Arial" w:hAnsi="Arial" w:cs="Arial"/>
        </w:rPr>
        <w:t>Telan</w:t>
      </w:r>
      <w:proofErr w:type="spellEnd"/>
      <w:r w:rsidRPr="00E42FC2">
        <w:rPr>
          <w:rFonts w:ascii="Arial" w:hAnsi="Arial" w:cs="Arial"/>
        </w:rPr>
        <w:t xml:space="preserve"> &amp; </w:t>
      </w:r>
      <w:proofErr w:type="spellStart"/>
      <w:r w:rsidRPr="00E42FC2">
        <w:rPr>
          <w:rFonts w:ascii="Arial" w:hAnsi="Arial" w:cs="Arial"/>
        </w:rPr>
        <w:t>Nobanee</w:t>
      </w:r>
      <w:proofErr w:type="spellEnd"/>
      <w:r w:rsidRPr="00E42FC2">
        <w:rPr>
          <w:rFonts w:ascii="Arial" w:hAnsi="Arial" w:cs="Arial"/>
        </w:rPr>
        <w:t>).</w:t>
      </w:r>
    </w:p>
    <w:p w14:paraId="4BF40A5F" w14:textId="77777777" w:rsidR="009C3430" w:rsidRPr="00E42FC2" w:rsidRDefault="00AE3231" w:rsidP="00E42FC2">
      <w:pPr>
        <w:pStyle w:val="ListParagraph"/>
        <w:numPr>
          <w:ilvl w:val="0"/>
          <w:numId w:val="2"/>
        </w:numPr>
        <w:spacing w:line="480" w:lineRule="auto"/>
        <w:rPr>
          <w:rFonts w:ascii="Arial" w:hAnsi="Arial" w:cs="Arial"/>
        </w:rPr>
      </w:pPr>
      <w:r w:rsidRPr="00E42FC2">
        <w:rPr>
          <w:rFonts w:ascii="Arial" w:hAnsi="Arial" w:cs="Arial"/>
        </w:rPr>
        <w:t>Operational Efficiency:</w:t>
      </w:r>
      <w:r w:rsidR="009C3430" w:rsidRPr="00E42FC2">
        <w:rPr>
          <w:rFonts w:ascii="Arial" w:hAnsi="Arial" w:cs="Arial"/>
        </w:rPr>
        <w:t xml:space="preserve"> </w:t>
      </w:r>
      <w:r w:rsidRPr="00E42FC2">
        <w:rPr>
          <w:rFonts w:ascii="Arial" w:hAnsi="Arial" w:cs="Arial"/>
        </w:rPr>
        <w:t>The ROA increased demonstrates that Samsung used its asset base more efficiently in 2023. Investments in new manufacturing processes, in addition to policy to support higher levels of research and development (R&amp;D) could lead to more effective use of asset utili</w:t>
      </w:r>
      <w:r w:rsidR="009C3430" w:rsidRPr="00E42FC2">
        <w:rPr>
          <w:rFonts w:ascii="Arial" w:hAnsi="Arial" w:cs="Arial"/>
        </w:rPr>
        <w:t>s</w:t>
      </w:r>
      <w:r w:rsidRPr="00E42FC2">
        <w:rPr>
          <w:rFonts w:ascii="Arial" w:hAnsi="Arial" w:cs="Arial"/>
        </w:rPr>
        <w:t>ation (</w:t>
      </w:r>
      <w:proofErr w:type="spellStart"/>
      <w:r w:rsidRPr="00E42FC2">
        <w:rPr>
          <w:rFonts w:ascii="Arial" w:hAnsi="Arial" w:cs="Arial"/>
        </w:rPr>
        <w:t>Almehrzi</w:t>
      </w:r>
      <w:proofErr w:type="spellEnd"/>
      <w:r w:rsidRPr="00E42FC2">
        <w:rPr>
          <w:rFonts w:ascii="Arial" w:hAnsi="Arial" w:cs="Arial"/>
        </w:rPr>
        <w:t xml:space="preserve"> et al., 2024).</w:t>
      </w:r>
    </w:p>
    <w:p w14:paraId="7BA3FA22" w14:textId="77777777" w:rsidR="009C3430" w:rsidRPr="00E42FC2" w:rsidRDefault="00AE3231" w:rsidP="00E42FC2">
      <w:pPr>
        <w:pStyle w:val="ListParagraph"/>
        <w:numPr>
          <w:ilvl w:val="0"/>
          <w:numId w:val="2"/>
        </w:numPr>
        <w:spacing w:line="480" w:lineRule="auto"/>
        <w:rPr>
          <w:rFonts w:ascii="Arial" w:hAnsi="Arial" w:cs="Arial"/>
        </w:rPr>
      </w:pPr>
      <w:r w:rsidRPr="00E42FC2">
        <w:rPr>
          <w:rFonts w:ascii="Arial" w:hAnsi="Arial" w:cs="Arial"/>
        </w:rPr>
        <w:t>Risk Management and Reduced Debt:</w:t>
      </w:r>
      <w:r w:rsidR="009C3430" w:rsidRPr="00E42FC2">
        <w:rPr>
          <w:rFonts w:ascii="Arial" w:hAnsi="Arial" w:cs="Arial"/>
        </w:rPr>
        <w:t xml:space="preserve"> </w:t>
      </w:r>
      <w:r w:rsidRPr="00E42FC2">
        <w:rPr>
          <w:rFonts w:ascii="Arial" w:hAnsi="Arial" w:cs="Arial"/>
        </w:rPr>
        <w:t>The lower debt-to-equity ratio indicates that Samsung relied less on debt financing to fund its operations, which helped to reduce interest costs, and exposure to financial risk, and improve profitability (</w:t>
      </w:r>
      <w:proofErr w:type="spellStart"/>
      <w:r w:rsidRPr="00E42FC2">
        <w:rPr>
          <w:rFonts w:ascii="Arial" w:hAnsi="Arial" w:cs="Arial"/>
        </w:rPr>
        <w:t>Pramoteyada</w:t>
      </w:r>
      <w:proofErr w:type="spellEnd"/>
      <w:r w:rsidRPr="00E42FC2">
        <w:rPr>
          <w:rFonts w:ascii="Arial" w:hAnsi="Arial" w:cs="Arial"/>
        </w:rPr>
        <w:t xml:space="preserve">, 2019; Rasheed &amp; Abbas, 2012). </w:t>
      </w:r>
    </w:p>
    <w:p w14:paraId="69300920" w14:textId="77777777" w:rsidR="009C3430" w:rsidRPr="00E42FC2" w:rsidRDefault="00AE3231" w:rsidP="00E42FC2">
      <w:pPr>
        <w:pStyle w:val="ListParagraph"/>
        <w:numPr>
          <w:ilvl w:val="0"/>
          <w:numId w:val="2"/>
        </w:numPr>
        <w:spacing w:line="480" w:lineRule="auto"/>
        <w:rPr>
          <w:rFonts w:ascii="Arial" w:hAnsi="Arial" w:cs="Arial"/>
        </w:rPr>
      </w:pPr>
      <w:r w:rsidRPr="00E42FC2">
        <w:rPr>
          <w:rFonts w:ascii="Arial" w:hAnsi="Arial" w:cs="Arial"/>
        </w:rPr>
        <w:t>Market Considerations:</w:t>
      </w:r>
      <w:r w:rsidR="009C3430" w:rsidRPr="00E42FC2">
        <w:rPr>
          <w:rFonts w:ascii="Arial" w:hAnsi="Arial" w:cs="Arial"/>
        </w:rPr>
        <w:t xml:space="preserve"> </w:t>
      </w:r>
      <w:r w:rsidRPr="00E42FC2">
        <w:rPr>
          <w:rFonts w:ascii="Arial" w:hAnsi="Arial" w:cs="Arial"/>
        </w:rPr>
        <w:t>Additionally, the financial results could have been a consequence of strong market demand, competitive positioning, and pricing of new products. However, fluctuations in global economic conditions and supply chain events could counterbalance any improvement in growth (Omair et al., 2014; Walls et al., 2012).</w:t>
      </w:r>
    </w:p>
    <w:p w14:paraId="67142700" w14:textId="77777777" w:rsidR="009C3430" w:rsidRDefault="009C3430" w:rsidP="00AE3231">
      <w:pPr>
        <w:spacing w:line="480" w:lineRule="auto"/>
        <w:rPr>
          <w:rFonts w:ascii="Arial" w:hAnsi="Arial" w:cs="Arial"/>
        </w:rPr>
      </w:pPr>
    </w:p>
    <w:p w14:paraId="435A535C" w14:textId="77777777" w:rsidR="009C3430" w:rsidRDefault="009C3430" w:rsidP="00AE3231">
      <w:pPr>
        <w:spacing w:line="480" w:lineRule="auto"/>
        <w:rPr>
          <w:rFonts w:ascii="Arial" w:hAnsi="Arial" w:cs="Arial"/>
        </w:rPr>
      </w:pPr>
    </w:p>
    <w:p w14:paraId="54393F34" w14:textId="0B291D6B" w:rsidR="009C3430" w:rsidRPr="00E42FC2" w:rsidRDefault="00AE3231" w:rsidP="00AE3231">
      <w:pPr>
        <w:spacing w:line="480" w:lineRule="auto"/>
        <w:rPr>
          <w:rFonts w:ascii="Arial" w:hAnsi="Arial" w:cs="Arial"/>
          <w:b/>
          <w:bCs/>
        </w:rPr>
      </w:pPr>
      <w:r w:rsidRPr="00E42FC2">
        <w:rPr>
          <w:rFonts w:ascii="Arial" w:hAnsi="Arial" w:cs="Arial"/>
          <w:b/>
          <w:bCs/>
        </w:rPr>
        <w:lastRenderedPageBreak/>
        <w:t>Recommendations for Future Financial Improvements and Sustainability</w:t>
      </w:r>
    </w:p>
    <w:p w14:paraId="64BE0E4E" w14:textId="26449462" w:rsidR="009C3430" w:rsidRDefault="00AE3231" w:rsidP="00AE3231">
      <w:pPr>
        <w:spacing w:line="480" w:lineRule="auto"/>
        <w:rPr>
          <w:rFonts w:ascii="Arial" w:hAnsi="Arial" w:cs="Arial"/>
        </w:rPr>
      </w:pPr>
      <w:r w:rsidRPr="00AE3231">
        <w:rPr>
          <w:rFonts w:ascii="Arial" w:hAnsi="Arial" w:cs="Arial"/>
        </w:rPr>
        <w:t xml:space="preserve">The ratio comparisons and performance drivers identified the following </w:t>
      </w:r>
      <w:r w:rsidR="009C3430" w:rsidRPr="00AE3231">
        <w:rPr>
          <w:rFonts w:ascii="Arial" w:hAnsi="Arial" w:cs="Arial"/>
        </w:rPr>
        <w:t>recommendations:</w:t>
      </w:r>
    </w:p>
    <w:p w14:paraId="67E5AD25" w14:textId="77777777" w:rsidR="009C3430" w:rsidRPr="00E42FC2" w:rsidRDefault="00AE3231" w:rsidP="00E42FC2">
      <w:pPr>
        <w:pStyle w:val="ListParagraph"/>
        <w:numPr>
          <w:ilvl w:val="0"/>
          <w:numId w:val="3"/>
        </w:numPr>
        <w:spacing w:line="480" w:lineRule="auto"/>
        <w:rPr>
          <w:rFonts w:ascii="Arial" w:hAnsi="Arial" w:cs="Arial"/>
        </w:rPr>
      </w:pPr>
      <w:r w:rsidRPr="00E42FC2">
        <w:rPr>
          <w:rFonts w:ascii="Arial" w:hAnsi="Arial" w:cs="Arial"/>
        </w:rPr>
        <w:t>Improve Efficiencies:</w:t>
      </w:r>
      <w:r w:rsidR="009C3430" w:rsidRPr="00E42FC2">
        <w:rPr>
          <w:rFonts w:ascii="Arial" w:hAnsi="Arial" w:cs="Arial"/>
        </w:rPr>
        <w:t xml:space="preserve"> </w:t>
      </w:r>
      <w:r w:rsidRPr="00E42FC2">
        <w:rPr>
          <w:rFonts w:ascii="Arial" w:hAnsi="Arial" w:cs="Arial"/>
        </w:rPr>
        <w:t>Continue to invest in advanced manufacturing technology and automation to improve the productivity of its assets, reduce waste, reduce costs to produce products, and improve overall returns on assets (Suardana et al., 2018).</w:t>
      </w:r>
    </w:p>
    <w:p w14:paraId="4FA63827" w14:textId="401AE087" w:rsidR="009C3430" w:rsidRPr="00E42FC2" w:rsidRDefault="00AE3231" w:rsidP="00E42FC2">
      <w:pPr>
        <w:pStyle w:val="ListParagraph"/>
        <w:numPr>
          <w:ilvl w:val="0"/>
          <w:numId w:val="3"/>
        </w:numPr>
        <w:spacing w:line="480" w:lineRule="auto"/>
        <w:rPr>
          <w:rFonts w:ascii="Arial" w:hAnsi="Arial" w:cs="Arial"/>
        </w:rPr>
      </w:pPr>
      <w:r w:rsidRPr="00E42FC2">
        <w:rPr>
          <w:rFonts w:ascii="Arial" w:hAnsi="Arial" w:cs="Arial"/>
        </w:rPr>
        <w:t>Focus on Cost Management:</w:t>
      </w:r>
      <w:r w:rsidR="009C3430" w:rsidRPr="00E42FC2">
        <w:rPr>
          <w:rFonts w:ascii="Arial" w:hAnsi="Arial" w:cs="Arial"/>
        </w:rPr>
        <w:t xml:space="preserve"> </w:t>
      </w:r>
      <w:r w:rsidRPr="00E42FC2">
        <w:rPr>
          <w:rFonts w:ascii="Arial" w:hAnsi="Arial" w:cs="Arial"/>
        </w:rPr>
        <w:t xml:space="preserve">By taking a closer look at variable costs and supply chain expenditures, Samsung can refine the cost management process </w:t>
      </w:r>
      <w:r w:rsidR="009C3430" w:rsidRPr="00E42FC2">
        <w:rPr>
          <w:rFonts w:ascii="Arial" w:hAnsi="Arial" w:cs="Arial"/>
        </w:rPr>
        <w:t>to</w:t>
      </w:r>
      <w:r w:rsidRPr="00E42FC2">
        <w:rPr>
          <w:rFonts w:ascii="Arial" w:hAnsi="Arial" w:cs="Arial"/>
        </w:rPr>
        <w:t xml:space="preserve"> improve products, while also taking advantage of operational excellence and technology </w:t>
      </w:r>
      <w:r w:rsidR="009C3430" w:rsidRPr="00E42FC2">
        <w:rPr>
          <w:rFonts w:ascii="Arial" w:hAnsi="Arial" w:cs="Arial"/>
        </w:rPr>
        <w:t>to</w:t>
      </w:r>
      <w:r w:rsidRPr="00E42FC2">
        <w:rPr>
          <w:rFonts w:ascii="Arial" w:hAnsi="Arial" w:cs="Arial"/>
        </w:rPr>
        <w:t xml:space="preserve"> achieve less overhead and better margins (Diaz &amp; Pandey, 2019).  </w:t>
      </w:r>
    </w:p>
    <w:p w14:paraId="6D27E249" w14:textId="77777777" w:rsidR="009C3430" w:rsidRPr="00E42FC2" w:rsidRDefault="00AE3231" w:rsidP="00E42FC2">
      <w:pPr>
        <w:pStyle w:val="ListParagraph"/>
        <w:numPr>
          <w:ilvl w:val="0"/>
          <w:numId w:val="3"/>
        </w:numPr>
        <w:spacing w:line="480" w:lineRule="auto"/>
        <w:rPr>
          <w:rFonts w:ascii="Arial" w:hAnsi="Arial" w:cs="Arial"/>
        </w:rPr>
      </w:pPr>
      <w:r w:rsidRPr="00E42FC2">
        <w:rPr>
          <w:rFonts w:ascii="Arial" w:hAnsi="Arial" w:cs="Arial"/>
        </w:rPr>
        <w:t>Focus on Innovation and R&amp;D:</w:t>
      </w:r>
      <w:r w:rsidR="009C3430" w:rsidRPr="00E42FC2">
        <w:rPr>
          <w:rFonts w:ascii="Arial" w:hAnsi="Arial" w:cs="Arial"/>
        </w:rPr>
        <w:t xml:space="preserve"> </w:t>
      </w:r>
      <w:r w:rsidRPr="00E42FC2">
        <w:rPr>
          <w:rFonts w:ascii="Arial" w:hAnsi="Arial" w:cs="Arial"/>
        </w:rPr>
        <w:t xml:space="preserve">Increase investment in R&amp;D </w:t>
      </w:r>
      <w:r w:rsidR="009C3430" w:rsidRPr="00E42FC2">
        <w:rPr>
          <w:rFonts w:ascii="Arial" w:hAnsi="Arial" w:cs="Arial"/>
        </w:rPr>
        <w:t>to</w:t>
      </w:r>
      <w:r w:rsidRPr="00E42FC2">
        <w:rPr>
          <w:rFonts w:ascii="Arial" w:hAnsi="Arial" w:cs="Arial"/>
        </w:rPr>
        <w:t xml:space="preserve"> stay competitive in an environment of constantly evolving technology sectors. Increase diversification into secondary markets and next-generation products to sustain growth in revenue (Parveen et al., 2024; </w:t>
      </w:r>
      <w:proofErr w:type="spellStart"/>
      <w:r w:rsidRPr="00E42FC2">
        <w:rPr>
          <w:rFonts w:ascii="Arial" w:hAnsi="Arial" w:cs="Arial"/>
        </w:rPr>
        <w:t>Telan</w:t>
      </w:r>
      <w:proofErr w:type="spellEnd"/>
      <w:r w:rsidRPr="00E42FC2">
        <w:rPr>
          <w:rFonts w:ascii="Arial" w:hAnsi="Arial" w:cs="Arial"/>
        </w:rPr>
        <w:t xml:space="preserve"> &amp; </w:t>
      </w:r>
      <w:proofErr w:type="spellStart"/>
      <w:r w:rsidRPr="00E42FC2">
        <w:rPr>
          <w:rFonts w:ascii="Arial" w:hAnsi="Arial" w:cs="Arial"/>
        </w:rPr>
        <w:t>Nobanee</w:t>
      </w:r>
      <w:proofErr w:type="spellEnd"/>
      <w:r w:rsidRPr="00E42FC2">
        <w:rPr>
          <w:rFonts w:ascii="Arial" w:hAnsi="Arial" w:cs="Arial"/>
        </w:rPr>
        <w:t>).</w:t>
      </w:r>
    </w:p>
    <w:p w14:paraId="28027B0D" w14:textId="77777777" w:rsidR="009C3430" w:rsidRPr="00E42FC2" w:rsidRDefault="00AE3231" w:rsidP="00E42FC2">
      <w:pPr>
        <w:pStyle w:val="ListParagraph"/>
        <w:numPr>
          <w:ilvl w:val="0"/>
          <w:numId w:val="3"/>
        </w:numPr>
        <w:spacing w:line="480" w:lineRule="auto"/>
        <w:rPr>
          <w:rFonts w:ascii="Arial" w:hAnsi="Arial" w:cs="Arial"/>
        </w:rPr>
      </w:pPr>
      <w:r w:rsidRPr="00E42FC2">
        <w:rPr>
          <w:rFonts w:ascii="Arial" w:hAnsi="Arial" w:cs="Arial"/>
        </w:rPr>
        <w:t>Improve Liquidity Management:</w:t>
      </w:r>
      <w:r w:rsidR="009C3430" w:rsidRPr="00E42FC2">
        <w:rPr>
          <w:rFonts w:ascii="Arial" w:hAnsi="Arial" w:cs="Arial"/>
        </w:rPr>
        <w:t xml:space="preserve"> </w:t>
      </w:r>
      <w:r w:rsidRPr="00E42FC2">
        <w:rPr>
          <w:rFonts w:ascii="Arial" w:hAnsi="Arial" w:cs="Arial"/>
        </w:rPr>
        <w:t xml:space="preserve">Although liquidity ratios are already strong, a secondary recommendation would be to further improve working capital management, such as a faster collection period, to improve cash flow and allow smoother operations when disaster strikes or something unexpected happens in the economy (Patil &amp; </w:t>
      </w:r>
      <w:proofErr w:type="spellStart"/>
      <w:r w:rsidRPr="00E42FC2">
        <w:rPr>
          <w:rFonts w:ascii="Arial" w:hAnsi="Arial" w:cs="Arial"/>
        </w:rPr>
        <w:t>Deore</w:t>
      </w:r>
      <w:proofErr w:type="spellEnd"/>
      <w:r w:rsidRPr="00E42FC2">
        <w:rPr>
          <w:rFonts w:ascii="Arial" w:hAnsi="Arial" w:cs="Arial"/>
        </w:rPr>
        <w:t>, 2022).</w:t>
      </w:r>
    </w:p>
    <w:p w14:paraId="5E67E27C" w14:textId="77777777" w:rsidR="009C3430" w:rsidRPr="00E42FC2" w:rsidRDefault="00AE3231" w:rsidP="00E42FC2">
      <w:pPr>
        <w:pStyle w:val="ListParagraph"/>
        <w:numPr>
          <w:ilvl w:val="0"/>
          <w:numId w:val="3"/>
        </w:numPr>
        <w:spacing w:line="480" w:lineRule="auto"/>
        <w:rPr>
          <w:rFonts w:ascii="Arial" w:hAnsi="Arial" w:cs="Arial"/>
        </w:rPr>
      </w:pPr>
      <w:r w:rsidRPr="00E42FC2">
        <w:rPr>
          <w:rFonts w:ascii="Arial" w:hAnsi="Arial" w:cs="Arial"/>
        </w:rPr>
        <w:t xml:space="preserve">Focus on Sustainable Practices:  Assess how these environmental, social and governance (ESG) initiatives can be part of a core business strategy. This will not only allow for environmentally leading practices to allow for lower risk </w:t>
      </w:r>
      <w:r w:rsidR="009C3430" w:rsidRPr="00E42FC2">
        <w:rPr>
          <w:rFonts w:ascii="Arial" w:hAnsi="Arial" w:cs="Arial"/>
        </w:rPr>
        <w:t>levels but</w:t>
      </w:r>
      <w:r w:rsidRPr="00E42FC2">
        <w:rPr>
          <w:rFonts w:ascii="Arial" w:hAnsi="Arial" w:cs="Arial"/>
        </w:rPr>
        <w:t xml:space="preserve"> will also broaden the potential group of investors and stakeholder </w:t>
      </w:r>
      <w:r w:rsidRPr="00E42FC2">
        <w:rPr>
          <w:rFonts w:ascii="Arial" w:hAnsi="Arial" w:cs="Arial"/>
        </w:rPr>
        <w:lastRenderedPageBreak/>
        <w:t xml:space="preserve">willingness to invest in reputation. Sustainable measures like energy efficiency and recycling would add long-term stability and reduce risk (Walls et al., 2012).   </w:t>
      </w:r>
    </w:p>
    <w:p w14:paraId="74A795F6" w14:textId="77777777" w:rsidR="009C3430" w:rsidRPr="00E42FC2" w:rsidRDefault="00AE3231" w:rsidP="00AE3231">
      <w:pPr>
        <w:spacing w:line="480" w:lineRule="auto"/>
        <w:rPr>
          <w:rFonts w:ascii="Arial" w:hAnsi="Arial" w:cs="Arial"/>
          <w:b/>
          <w:bCs/>
        </w:rPr>
      </w:pPr>
      <w:r w:rsidRPr="00E42FC2">
        <w:rPr>
          <w:rFonts w:ascii="Arial" w:hAnsi="Arial" w:cs="Arial"/>
          <w:b/>
          <w:bCs/>
        </w:rPr>
        <w:t>Conclusion</w:t>
      </w:r>
    </w:p>
    <w:p w14:paraId="6B157DAD" w14:textId="77777777" w:rsidR="009C3430" w:rsidRDefault="00AE3231" w:rsidP="00AE3231">
      <w:pPr>
        <w:spacing w:line="480" w:lineRule="auto"/>
        <w:rPr>
          <w:rFonts w:ascii="Arial" w:hAnsi="Arial" w:cs="Arial"/>
        </w:rPr>
      </w:pPr>
      <w:r w:rsidRPr="00AE3231">
        <w:rPr>
          <w:rFonts w:ascii="Arial" w:hAnsi="Arial" w:cs="Arial"/>
        </w:rPr>
        <w:t>The ratio analysis of Samsung Electronics’ financial statements for 2022 and 2023 shows that there are slow improvements in profitability, asset utili</w:t>
      </w:r>
      <w:r w:rsidR="009C3430">
        <w:rPr>
          <w:rFonts w:ascii="Arial" w:hAnsi="Arial" w:cs="Arial"/>
        </w:rPr>
        <w:t>s</w:t>
      </w:r>
      <w:r w:rsidRPr="00AE3231">
        <w:rPr>
          <w:rFonts w:ascii="Arial" w:hAnsi="Arial" w:cs="Arial"/>
        </w:rPr>
        <w:t xml:space="preserve">ation, liquidity and solvency. The increases in profit margin, returns on assets and returns on equity indicate the effectiveness of management, revenue gain and cost mitigating oversight. Further, the lower debt to equity ratio signifies a strong financial position with lower financial risk. These improvements can be related to a variance in operational efficiency, product innovation, and management of costs. </w:t>
      </w:r>
    </w:p>
    <w:p w14:paraId="311D7F0F" w14:textId="04AFC4C4" w:rsidR="00AE3231" w:rsidRDefault="00AE3231" w:rsidP="00AE3231">
      <w:pPr>
        <w:spacing w:line="480" w:lineRule="auto"/>
        <w:rPr>
          <w:rFonts w:ascii="Arial" w:hAnsi="Arial" w:cs="Arial"/>
        </w:rPr>
      </w:pPr>
      <w:r w:rsidRPr="00AE3231">
        <w:rPr>
          <w:rFonts w:ascii="Arial" w:hAnsi="Arial" w:cs="Arial"/>
        </w:rPr>
        <w:t xml:space="preserve">The ratio analysis provided a good </w:t>
      </w:r>
      <w:r w:rsidR="009C3430">
        <w:rPr>
          <w:rFonts w:ascii="Arial" w:hAnsi="Arial" w:cs="Arial"/>
        </w:rPr>
        <w:t>impact</w:t>
      </w:r>
      <w:r w:rsidRPr="00AE3231">
        <w:rPr>
          <w:rFonts w:ascii="Arial" w:hAnsi="Arial" w:cs="Arial"/>
        </w:rPr>
        <w:t xml:space="preserve"> of the company’s financial position in a clear and quantitative manner, allowing thoughtful discussion of company strengths, while identifying potential opportunities. Overall, it appears that Samsung Electronics is on a reasonable path towards growth in profitability and financial performance. Continued focus on enhancing operational efficiencies, continued product innovation, management strategies around financial liquidity, and sustainable practices will continue to promise financial stability and growth for the future (Ohlson, 1995; de Medeiros, 2020; Omair et al 2014; Rasheed &amp; Abbas, 2012).</w:t>
      </w:r>
    </w:p>
    <w:p w14:paraId="62BBFE2E" w14:textId="77777777" w:rsidR="00E42FC2" w:rsidRDefault="00E42FC2" w:rsidP="00AE3231">
      <w:pPr>
        <w:spacing w:line="480" w:lineRule="auto"/>
        <w:rPr>
          <w:rFonts w:ascii="Arial" w:hAnsi="Arial" w:cs="Arial"/>
        </w:rPr>
      </w:pPr>
    </w:p>
    <w:p w14:paraId="35261E6B" w14:textId="77777777" w:rsidR="00E42FC2" w:rsidRDefault="00E42FC2" w:rsidP="00AE3231">
      <w:pPr>
        <w:spacing w:line="480" w:lineRule="auto"/>
        <w:rPr>
          <w:rFonts w:ascii="Arial" w:hAnsi="Arial" w:cs="Arial"/>
        </w:rPr>
      </w:pPr>
    </w:p>
    <w:p w14:paraId="1D2C8542" w14:textId="77777777" w:rsidR="00E42FC2" w:rsidRDefault="00E42FC2" w:rsidP="00AE3231">
      <w:pPr>
        <w:spacing w:line="480" w:lineRule="auto"/>
        <w:rPr>
          <w:rFonts w:ascii="Arial" w:hAnsi="Arial" w:cs="Arial"/>
        </w:rPr>
      </w:pPr>
    </w:p>
    <w:p w14:paraId="635914E2" w14:textId="77777777" w:rsidR="00E42FC2" w:rsidRDefault="00E42FC2" w:rsidP="00AE3231">
      <w:pPr>
        <w:spacing w:line="480" w:lineRule="auto"/>
        <w:rPr>
          <w:rFonts w:ascii="Arial" w:hAnsi="Arial" w:cs="Arial"/>
        </w:rPr>
      </w:pPr>
    </w:p>
    <w:p w14:paraId="50917CE7" w14:textId="18648543" w:rsidR="00E42FC2" w:rsidRPr="00E42FC2" w:rsidRDefault="00E42FC2" w:rsidP="00AE3231">
      <w:pPr>
        <w:spacing w:line="480" w:lineRule="auto"/>
        <w:rPr>
          <w:rFonts w:ascii="Arial" w:hAnsi="Arial" w:cs="Arial"/>
          <w:b/>
          <w:bCs/>
        </w:rPr>
      </w:pPr>
      <w:r w:rsidRPr="00E42FC2">
        <w:rPr>
          <w:rFonts w:ascii="Arial" w:hAnsi="Arial" w:cs="Arial"/>
          <w:b/>
          <w:bCs/>
        </w:rPr>
        <w:lastRenderedPageBreak/>
        <w:t xml:space="preserve">References </w:t>
      </w:r>
    </w:p>
    <w:p w14:paraId="7C9CA612" w14:textId="77777777" w:rsidR="00E42FC2" w:rsidRDefault="00E42FC2" w:rsidP="00E42FC2">
      <w:pPr>
        <w:spacing w:line="480" w:lineRule="auto"/>
        <w:rPr>
          <w:rFonts w:ascii="Arial" w:hAnsi="Arial" w:cs="Arial"/>
        </w:rPr>
      </w:pPr>
      <w:proofErr w:type="spellStart"/>
      <w:r w:rsidRPr="00E42FC2">
        <w:rPr>
          <w:rFonts w:ascii="Arial" w:hAnsi="Arial" w:cs="Arial"/>
        </w:rPr>
        <w:t>Almehrzi</w:t>
      </w:r>
      <w:proofErr w:type="spellEnd"/>
      <w:r w:rsidRPr="00E42FC2">
        <w:rPr>
          <w:rFonts w:ascii="Arial" w:hAnsi="Arial" w:cs="Arial"/>
        </w:rPr>
        <w:t xml:space="preserve">, A. K., </w:t>
      </w:r>
      <w:proofErr w:type="spellStart"/>
      <w:r w:rsidRPr="00E42FC2">
        <w:rPr>
          <w:rFonts w:ascii="Arial" w:hAnsi="Arial" w:cs="Arial"/>
        </w:rPr>
        <w:t>Alyammahi</w:t>
      </w:r>
      <w:proofErr w:type="spellEnd"/>
      <w:r w:rsidRPr="00E42FC2">
        <w:rPr>
          <w:rFonts w:ascii="Arial" w:hAnsi="Arial" w:cs="Arial"/>
        </w:rPr>
        <w:t xml:space="preserve">, A., &amp; </w:t>
      </w:r>
      <w:proofErr w:type="spellStart"/>
      <w:r w:rsidRPr="00E42FC2">
        <w:rPr>
          <w:rFonts w:ascii="Arial" w:hAnsi="Arial" w:cs="Arial"/>
        </w:rPr>
        <w:t>Nobanee</w:t>
      </w:r>
      <w:proofErr w:type="spellEnd"/>
      <w:r w:rsidRPr="00E42FC2">
        <w:rPr>
          <w:rFonts w:ascii="Arial" w:hAnsi="Arial" w:cs="Arial"/>
        </w:rPr>
        <w:t xml:space="preserve">, H. (2024). </w:t>
      </w:r>
      <w:r w:rsidRPr="00E42FC2">
        <w:rPr>
          <w:rFonts w:ascii="Arial" w:hAnsi="Arial" w:cs="Arial"/>
          <w:i/>
          <w:iCs/>
        </w:rPr>
        <w:t>A comparative financial analysis of LG and Samsung</w:t>
      </w:r>
      <w:r w:rsidRPr="00E42FC2">
        <w:rPr>
          <w:rFonts w:ascii="Arial" w:hAnsi="Arial" w:cs="Arial"/>
        </w:rPr>
        <w:t>. Available at SSRN 5073801.</w:t>
      </w:r>
    </w:p>
    <w:p w14:paraId="25065EFA" w14:textId="36FDFB16" w:rsidR="00E42FC2" w:rsidRPr="00E42FC2" w:rsidRDefault="00E42FC2" w:rsidP="00E42FC2">
      <w:pPr>
        <w:spacing w:line="480" w:lineRule="auto"/>
        <w:rPr>
          <w:rFonts w:ascii="Arial" w:hAnsi="Arial" w:cs="Arial"/>
        </w:rPr>
      </w:pPr>
      <w:r w:rsidRPr="00E42FC2">
        <w:rPr>
          <w:rFonts w:ascii="Arial" w:hAnsi="Arial" w:cs="Arial"/>
        </w:rPr>
        <w:t xml:space="preserve">de Medeiros, A. H. G. (2020). </w:t>
      </w:r>
      <w:r w:rsidRPr="00E42FC2">
        <w:rPr>
          <w:rFonts w:ascii="Arial" w:hAnsi="Arial" w:cs="Arial"/>
          <w:i/>
          <w:iCs/>
        </w:rPr>
        <w:t>Equity research—Samsung Electronics Co., Ltd.</w:t>
      </w:r>
      <w:r w:rsidRPr="00E42FC2">
        <w:rPr>
          <w:rFonts w:ascii="Arial" w:hAnsi="Arial" w:cs="Arial"/>
        </w:rPr>
        <w:t xml:space="preserve"> (</w:t>
      </w:r>
      <w:r w:rsidRPr="00E42FC2">
        <w:rPr>
          <w:rFonts w:ascii="Arial" w:hAnsi="Arial" w:cs="Arial"/>
        </w:rPr>
        <w:t>master’s</w:t>
      </w:r>
      <w:r w:rsidRPr="00E42FC2">
        <w:rPr>
          <w:rFonts w:ascii="Arial" w:hAnsi="Arial" w:cs="Arial"/>
        </w:rPr>
        <w:t xml:space="preserve"> thesis, Universidad de Lisboa, Portugal).</w:t>
      </w:r>
    </w:p>
    <w:p w14:paraId="56D65B10" w14:textId="77777777" w:rsidR="00E42FC2" w:rsidRPr="00E42FC2" w:rsidRDefault="00E42FC2" w:rsidP="00E42FC2">
      <w:pPr>
        <w:spacing w:line="480" w:lineRule="auto"/>
        <w:rPr>
          <w:rFonts w:ascii="Arial" w:hAnsi="Arial" w:cs="Arial"/>
        </w:rPr>
      </w:pPr>
      <w:r w:rsidRPr="00E42FC2">
        <w:rPr>
          <w:rFonts w:ascii="Arial" w:hAnsi="Arial" w:cs="Arial"/>
        </w:rPr>
        <w:t xml:space="preserve">Diaz, J. F., &amp; Pandey, R. (2019). Factors affecting return on assets of US technology and financial corporations. </w:t>
      </w:r>
      <w:proofErr w:type="spellStart"/>
      <w:r w:rsidRPr="00E42FC2">
        <w:rPr>
          <w:rFonts w:ascii="Arial" w:hAnsi="Arial" w:cs="Arial"/>
          <w:i/>
          <w:iCs/>
        </w:rPr>
        <w:t>Jurnal</w:t>
      </w:r>
      <w:proofErr w:type="spellEnd"/>
      <w:r w:rsidRPr="00E42FC2">
        <w:rPr>
          <w:rFonts w:ascii="Arial" w:hAnsi="Arial" w:cs="Arial"/>
          <w:i/>
          <w:iCs/>
        </w:rPr>
        <w:t xml:space="preserve"> </w:t>
      </w:r>
      <w:proofErr w:type="spellStart"/>
      <w:r w:rsidRPr="00E42FC2">
        <w:rPr>
          <w:rFonts w:ascii="Arial" w:hAnsi="Arial" w:cs="Arial"/>
          <w:i/>
          <w:iCs/>
        </w:rPr>
        <w:t>Manajemen</w:t>
      </w:r>
      <w:proofErr w:type="spellEnd"/>
      <w:r w:rsidRPr="00E42FC2">
        <w:rPr>
          <w:rFonts w:ascii="Arial" w:hAnsi="Arial" w:cs="Arial"/>
          <w:i/>
          <w:iCs/>
        </w:rPr>
        <w:t xml:space="preserve"> dan </w:t>
      </w:r>
      <w:proofErr w:type="spellStart"/>
      <w:r w:rsidRPr="00E42FC2">
        <w:rPr>
          <w:rFonts w:ascii="Arial" w:hAnsi="Arial" w:cs="Arial"/>
          <w:i/>
          <w:iCs/>
        </w:rPr>
        <w:t>Kewirausahaan</w:t>
      </w:r>
      <w:proofErr w:type="spellEnd"/>
      <w:r w:rsidRPr="00E42FC2">
        <w:rPr>
          <w:rFonts w:ascii="Arial" w:hAnsi="Arial" w:cs="Arial"/>
          <w:i/>
          <w:iCs/>
        </w:rPr>
        <w:t>, 21</w:t>
      </w:r>
      <w:r w:rsidRPr="00E42FC2">
        <w:rPr>
          <w:rFonts w:ascii="Arial" w:hAnsi="Arial" w:cs="Arial"/>
        </w:rPr>
        <w:t>(2), 134–144.</w:t>
      </w:r>
    </w:p>
    <w:p w14:paraId="719D43DC" w14:textId="77777777" w:rsidR="00E42FC2" w:rsidRDefault="00E42FC2" w:rsidP="00E42FC2">
      <w:pPr>
        <w:spacing w:line="480" w:lineRule="auto"/>
        <w:rPr>
          <w:rFonts w:ascii="Arial" w:hAnsi="Arial" w:cs="Arial"/>
        </w:rPr>
      </w:pPr>
      <w:r w:rsidRPr="00E42FC2">
        <w:rPr>
          <w:rFonts w:ascii="Arial" w:hAnsi="Arial" w:cs="Arial"/>
        </w:rPr>
        <w:t xml:space="preserve">Ohlson, J. A. (1995). Earnings, book values and dividends in equity valuation. </w:t>
      </w:r>
      <w:r w:rsidRPr="00E42FC2">
        <w:rPr>
          <w:rFonts w:ascii="Arial" w:hAnsi="Arial" w:cs="Arial"/>
          <w:i/>
          <w:iCs/>
        </w:rPr>
        <w:t>Contemporary Accounting Research, 11</w:t>
      </w:r>
      <w:r w:rsidRPr="00E42FC2">
        <w:rPr>
          <w:rFonts w:ascii="Arial" w:hAnsi="Arial" w:cs="Arial"/>
        </w:rPr>
        <w:t>(2), 661–688.</w:t>
      </w:r>
    </w:p>
    <w:p w14:paraId="4D280A3E" w14:textId="4ACB3AD8" w:rsidR="00E42FC2" w:rsidRPr="00E42FC2" w:rsidRDefault="00E42FC2" w:rsidP="00E42FC2">
      <w:pPr>
        <w:spacing w:line="480" w:lineRule="auto"/>
        <w:rPr>
          <w:rFonts w:ascii="Arial" w:hAnsi="Arial" w:cs="Arial"/>
        </w:rPr>
      </w:pPr>
      <w:r w:rsidRPr="00E42FC2">
        <w:rPr>
          <w:rFonts w:ascii="Arial" w:hAnsi="Arial" w:cs="Arial"/>
        </w:rPr>
        <w:t xml:space="preserve">Omair, M., Amin, H., &amp; Farooq, R. U. (2014). Antecedents of growth in market share of Samsung, a financial analysis. </w:t>
      </w:r>
      <w:r w:rsidRPr="00E42FC2">
        <w:rPr>
          <w:rFonts w:ascii="Arial" w:hAnsi="Arial" w:cs="Arial"/>
          <w:i/>
          <w:iCs/>
        </w:rPr>
        <w:t>Research Journal of Finance and Accounting, 5</w:t>
      </w:r>
      <w:r w:rsidRPr="00E42FC2">
        <w:rPr>
          <w:rFonts w:ascii="Arial" w:hAnsi="Arial" w:cs="Arial"/>
        </w:rPr>
        <w:t>(11), 158–163.</w:t>
      </w:r>
    </w:p>
    <w:p w14:paraId="58690BC3" w14:textId="77777777" w:rsidR="00E42FC2" w:rsidRPr="00E42FC2" w:rsidRDefault="00E42FC2" w:rsidP="00E42FC2">
      <w:pPr>
        <w:spacing w:line="480" w:lineRule="auto"/>
        <w:rPr>
          <w:rFonts w:ascii="Arial" w:hAnsi="Arial" w:cs="Arial"/>
        </w:rPr>
      </w:pPr>
      <w:r w:rsidRPr="00E42FC2">
        <w:rPr>
          <w:rFonts w:ascii="Arial" w:hAnsi="Arial" w:cs="Arial"/>
        </w:rPr>
        <w:t xml:space="preserve">Patil, Y., &amp; </w:t>
      </w:r>
      <w:proofErr w:type="spellStart"/>
      <w:r w:rsidRPr="00E42FC2">
        <w:rPr>
          <w:rFonts w:ascii="Arial" w:hAnsi="Arial" w:cs="Arial"/>
        </w:rPr>
        <w:t>Deore</w:t>
      </w:r>
      <w:proofErr w:type="spellEnd"/>
      <w:r w:rsidRPr="00E42FC2">
        <w:rPr>
          <w:rFonts w:ascii="Arial" w:hAnsi="Arial" w:cs="Arial"/>
        </w:rPr>
        <w:t xml:space="preserve">, C. (2022). An analytical study on the performance ratios with respect to Samsung Electronics India Limited. </w:t>
      </w:r>
      <w:r w:rsidRPr="00E42FC2">
        <w:rPr>
          <w:rFonts w:ascii="Arial" w:hAnsi="Arial" w:cs="Arial"/>
          <w:i/>
          <w:iCs/>
        </w:rPr>
        <w:t>Mudra: Journal of Finance and Accounting, 9</w:t>
      </w:r>
      <w:r w:rsidRPr="00E42FC2">
        <w:rPr>
          <w:rFonts w:ascii="Arial" w:hAnsi="Arial" w:cs="Arial"/>
        </w:rPr>
        <w:t>(2), 130–145.</w:t>
      </w:r>
    </w:p>
    <w:p w14:paraId="66A83B61" w14:textId="1A79A54F" w:rsidR="00E42FC2" w:rsidRPr="00E42FC2" w:rsidRDefault="00E42FC2" w:rsidP="00E42FC2">
      <w:pPr>
        <w:spacing w:line="480" w:lineRule="auto"/>
        <w:rPr>
          <w:rFonts w:ascii="Arial" w:hAnsi="Arial" w:cs="Arial"/>
        </w:rPr>
      </w:pPr>
      <w:r w:rsidRPr="00E42FC2">
        <w:rPr>
          <w:rFonts w:ascii="Arial" w:hAnsi="Arial" w:cs="Arial"/>
        </w:rPr>
        <w:t>PARVEEN, H., ANJUM, M., &amp; PH, N. (2024</w:t>
      </w:r>
      <w:r w:rsidRPr="00E42FC2">
        <w:rPr>
          <w:rFonts w:ascii="Arial" w:hAnsi="Arial" w:cs="Arial"/>
          <w:i/>
          <w:iCs/>
        </w:rPr>
        <w:t>). A comparative study on the financial statement analysis of Samsung Electronics Co. Ltd. and Apple Inc.</w:t>
      </w:r>
      <w:r w:rsidRPr="00E42FC2">
        <w:rPr>
          <w:rFonts w:ascii="Arial" w:hAnsi="Arial" w:cs="Arial"/>
        </w:rPr>
        <w:t xml:space="preserve"> (Doctoral dissertation, </w:t>
      </w:r>
      <w:r w:rsidRPr="00E42FC2">
        <w:rPr>
          <w:rFonts w:ascii="Arial" w:hAnsi="Arial" w:cs="Arial"/>
        </w:rPr>
        <w:t>St.</w:t>
      </w:r>
      <w:r w:rsidRPr="00E42FC2">
        <w:rPr>
          <w:rFonts w:ascii="Arial" w:hAnsi="Arial" w:cs="Arial"/>
        </w:rPr>
        <w:t xml:space="preserve"> Teresa's College (Autonomous), Ernakulam).</w:t>
      </w:r>
    </w:p>
    <w:p w14:paraId="590F0747" w14:textId="77777777" w:rsidR="00E42FC2" w:rsidRPr="00E42FC2" w:rsidRDefault="00E42FC2" w:rsidP="00E42FC2">
      <w:pPr>
        <w:spacing w:line="480" w:lineRule="auto"/>
        <w:rPr>
          <w:rFonts w:ascii="Arial" w:hAnsi="Arial" w:cs="Arial"/>
          <w:i/>
          <w:iCs/>
        </w:rPr>
      </w:pPr>
      <w:proofErr w:type="spellStart"/>
      <w:r w:rsidRPr="00E42FC2">
        <w:rPr>
          <w:rFonts w:ascii="Arial" w:hAnsi="Arial" w:cs="Arial"/>
        </w:rPr>
        <w:t>Pramoteyada</w:t>
      </w:r>
      <w:proofErr w:type="spellEnd"/>
      <w:r w:rsidRPr="00E42FC2">
        <w:rPr>
          <w:rFonts w:ascii="Arial" w:hAnsi="Arial" w:cs="Arial"/>
        </w:rPr>
        <w:t xml:space="preserve">, W. (2019). </w:t>
      </w:r>
      <w:r w:rsidRPr="00E42FC2">
        <w:rPr>
          <w:rFonts w:ascii="Arial" w:hAnsi="Arial" w:cs="Arial"/>
          <w:i/>
          <w:iCs/>
        </w:rPr>
        <w:t>Comparative analysis of debts financing between Apple Inc. and Samsung Electronics Co., Ltd. on product pricing strategies.</w:t>
      </w:r>
    </w:p>
    <w:p w14:paraId="30FE94D0" w14:textId="77777777" w:rsidR="00E42FC2" w:rsidRPr="00E42FC2" w:rsidRDefault="00E42FC2" w:rsidP="00E42FC2">
      <w:pPr>
        <w:spacing w:line="480" w:lineRule="auto"/>
        <w:rPr>
          <w:rFonts w:ascii="Arial" w:hAnsi="Arial" w:cs="Arial"/>
          <w:i/>
          <w:iCs/>
        </w:rPr>
      </w:pPr>
      <w:r w:rsidRPr="00E42FC2">
        <w:rPr>
          <w:rFonts w:ascii="Arial" w:hAnsi="Arial" w:cs="Arial"/>
        </w:rPr>
        <w:t xml:space="preserve">Rasheed, R., &amp; Abbas, R. N. Y. (2012). </w:t>
      </w:r>
      <w:r w:rsidRPr="00E42FC2">
        <w:rPr>
          <w:rFonts w:ascii="Arial" w:hAnsi="Arial" w:cs="Arial"/>
          <w:i/>
          <w:iCs/>
        </w:rPr>
        <w:t>Samsung Electronics and Apple, Inc.: A study in contrast in competitive analysis in the 21st century.</w:t>
      </w:r>
    </w:p>
    <w:p w14:paraId="5826DB4C" w14:textId="77777777" w:rsidR="00E42FC2" w:rsidRPr="00E42FC2" w:rsidRDefault="00E42FC2" w:rsidP="00E42FC2">
      <w:pPr>
        <w:spacing w:line="480" w:lineRule="auto"/>
        <w:rPr>
          <w:rFonts w:ascii="Arial" w:hAnsi="Arial" w:cs="Arial"/>
        </w:rPr>
      </w:pPr>
      <w:r w:rsidRPr="00E42FC2">
        <w:rPr>
          <w:rFonts w:ascii="Arial" w:hAnsi="Arial" w:cs="Arial"/>
        </w:rPr>
        <w:lastRenderedPageBreak/>
        <w:t xml:space="preserve">Suardana, I. B. R., </w:t>
      </w:r>
      <w:proofErr w:type="spellStart"/>
      <w:r w:rsidRPr="00E42FC2">
        <w:rPr>
          <w:rFonts w:ascii="Arial" w:hAnsi="Arial" w:cs="Arial"/>
        </w:rPr>
        <w:t>Astawa</w:t>
      </w:r>
      <w:proofErr w:type="spellEnd"/>
      <w:r w:rsidRPr="00E42FC2">
        <w:rPr>
          <w:rFonts w:ascii="Arial" w:hAnsi="Arial" w:cs="Arial"/>
        </w:rPr>
        <w:t xml:space="preserve">, I. N. D., &amp; Martini, L. K. B. (2018). Influential factors towards return on assets and profit change. </w:t>
      </w:r>
      <w:r w:rsidRPr="00E42FC2">
        <w:rPr>
          <w:rFonts w:ascii="Arial" w:hAnsi="Arial" w:cs="Arial"/>
          <w:i/>
          <w:iCs/>
        </w:rPr>
        <w:t>International Journal of Social Sciences and Humanities, 2</w:t>
      </w:r>
      <w:r w:rsidRPr="00E42FC2">
        <w:rPr>
          <w:rFonts w:ascii="Arial" w:hAnsi="Arial" w:cs="Arial"/>
        </w:rPr>
        <w:t>(1), 105–116.</w:t>
      </w:r>
    </w:p>
    <w:p w14:paraId="5AA6415B" w14:textId="77777777" w:rsidR="00E42FC2" w:rsidRPr="00E42FC2" w:rsidRDefault="00E42FC2" w:rsidP="00E42FC2">
      <w:pPr>
        <w:spacing w:line="480" w:lineRule="auto"/>
        <w:rPr>
          <w:rFonts w:ascii="Arial" w:hAnsi="Arial" w:cs="Arial"/>
        </w:rPr>
      </w:pPr>
      <w:proofErr w:type="spellStart"/>
      <w:r w:rsidRPr="00E42FC2">
        <w:rPr>
          <w:rFonts w:ascii="Arial" w:hAnsi="Arial" w:cs="Arial"/>
        </w:rPr>
        <w:t>Telan</w:t>
      </w:r>
      <w:proofErr w:type="spellEnd"/>
      <w:r w:rsidRPr="00E42FC2">
        <w:rPr>
          <w:rFonts w:ascii="Arial" w:hAnsi="Arial" w:cs="Arial"/>
        </w:rPr>
        <w:t xml:space="preserve">, K., &amp; </w:t>
      </w:r>
      <w:proofErr w:type="spellStart"/>
      <w:r w:rsidRPr="00E42FC2">
        <w:rPr>
          <w:rFonts w:ascii="Arial" w:hAnsi="Arial" w:cs="Arial"/>
        </w:rPr>
        <w:t>Nobanee</w:t>
      </w:r>
      <w:proofErr w:type="spellEnd"/>
      <w:r w:rsidRPr="00E42FC2">
        <w:rPr>
          <w:rFonts w:ascii="Arial" w:hAnsi="Arial" w:cs="Arial"/>
        </w:rPr>
        <w:t xml:space="preserve">, H. (n.d.). </w:t>
      </w:r>
      <w:r w:rsidRPr="00E42FC2">
        <w:rPr>
          <w:rFonts w:ascii="Arial" w:hAnsi="Arial" w:cs="Arial"/>
          <w:i/>
          <w:iCs/>
        </w:rPr>
        <w:t>Ratio analysis of Samsung Electronics Co., Ltd.</w:t>
      </w:r>
    </w:p>
    <w:p w14:paraId="4FB030B4" w14:textId="77777777" w:rsidR="00E42FC2" w:rsidRPr="00E42FC2" w:rsidRDefault="00E42FC2" w:rsidP="00E42FC2">
      <w:pPr>
        <w:spacing w:line="480" w:lineRule="auto"/>
        <w:rPr>
          <w:rFonts w:ascii="Arial" w:hAnsi="Arial" w:cs="Arial"/>
        </w:rPr>
      </w:pPr>
      <w:r w:rsidRPr="00E42FC2">
        <w:rPr>
          <w:rFonts w:ascii="Arial" w:hAnsi="Arial" w:cs="Arial"/>
        </w:rPr>
        <w:t xml:space="preserve">Thuy, T. T. T., &amp; </w:t>
      </w:r>
      <w:proofErr w:type="spellStart"/>
      <w:r w:rsidRPr="00E42FC2">
        <w:rPr>
          <w:rFonts w:ascii="Arial" w:hAnsi="Arial" w:cs="Arial"/>
        </w:rPr>
        <w:t>Klymova</w:t>
      </w:r>
      <w:proofErr w:type="spellEnd"/>
      <w:r w:rsidRPr="00E42FC2">
        <w:rPr>
          <w:rFonts w:ascii="Arial" w:hAnsi="Arial" w:cs="Arial"/>
        </w:rPr>
        <w:t xml:space="preserve">, E. (2022). Assessment of marketing costs on the example of Apple and Samsung companies. </w:t>
      </w:r>
      <w:r w:rsidRPr="00E42FC2">
        <w:rPr>
          <w:rFonts w:ascii="Arial" w:hAnsi="Arial" w:cs="Arial"/>
          <w:i/>
          <w:iCs/>
        </w:rPr>
        <w:t>Technology Audit and Production Reserves, 4</w:t>
      </w:r>
      <w:r w:rsidRPr="00E42FC2">
        <w:rPr>
          <w:rFonts w:ascii="Arial" w:hAnsi="Arial" w:cs="Arial"/>
        </w:rPr>
        <w:t>(4/66), 14–17.</w:t>
      </w:r>
    </w:p>
    <w:p w14:paraId="2C75A234" w14:textId="57A7B477" w:rsidR="00E42FC2" w:rsidRDefault="00E42FC2" w:rsidP="00E42FC2">
      <w:pPr>
        <w:spacing w:line="480" w:lineRule="auto"/>
        <w:rPr>
          <w:rFonts w:ascii="Arial" w:hAnsi="Arial" w:cs="Arial"/>
        </w:rPr>
      </w:pPr>
      <w:r w:rsidRPr="00E42FC2">
        <w:rPr>
          <w:rFonts w:ascii="Arial" w:hAnsi="Arial" w:cs="Arial"/>
        </w:rPr>
        <w:t xml:space="preserve">Walls, J. L., Berrone, P., &amp; Phan, P. H. (2012). Corporate governance and environmental performance: Is there really a link? </w:t>
      </w:r>
      <w:r w:rsidRPr="00E42FC2">
        <w:rPr>
          <w:rFonts w:ascii="Arial" w:hAnsi="Arial" w:cs="Arial"/>
          <w:i/>
          <w:iCs/>
        </w:rPr>
        <w:t>Strategic Management Journal, 33</w:t>
      </w:r>
      <w:r w:rsidRPr="00E42FC2">
        <w:rPr>
          <w:rFonts w:ascii="Arial" w:hAnsi="Arial" w:cs="Arial"/>
        </w:rPr>
        <w:t>(8), 885–913.</w:t>
      </w:r>
    </w:p>
    <w:p w14:paraId="1DE7FD1E" w14:textId="77777777" w:rsidR="00E42FC2" w:rsidRDefault="00E42FC2" w:rsidP="00E42FC2">
      <w:pPr>
        <w:spacing w:line="480" w:lineRule="auto"/>
        <w:rPr>
          <w:rFonts w:ascii="Arial" w:hAnsi="Arial" w:cs="Arial"/>
        </w:rPr>
      </w:pPr>
    </w:p>
    <w:p w14:paraId="048962F6" w14:textId="77777777" w:rsidR="00E42FC2" w:rsidRDefault="00E42FC2" w:rsidP="00E42FC2">
      <w:pPr>
        <w:spacing w:line="480" w:lineRule="auto"/>
        <w:rPr>
          <w:rFonts w:ascii="Arial" w:hAnsi="Arial" w:cs="Arial"/>
        </w:rPr>
      </w:pPr>
    </w:p>
    <w:p w14:paraId="724DB792" w14:textId="77777777" w:rsidR="00E42FC2" w:rsidRDefault="00E42FC2" w:rsidP="00E42FC2">
      <w:pPr>
        <w:spacing w:line="480" w:lineRule="auto"/>
        <w:rPr>
          <w:rFonts w:ascii="Arial" w:hAnsi="Arial" w:cs="Arial"/>
        </w:rPr>
      </w:pPr>
    </w:p>
    <w:p w14:paraId="4967A961" w14:textId="77777777" w:rsidR="00E42FC2" w:rsidRDefault="00E42FC2" w:rsidP="00E42FC2">
      <w:pPr>
        <w:spacing w:line="480" w:lineRule="auto"/>
        <w:rPr>
          <w:rFonts w:ascii="Arial" w:hAnsi="Arial" w:cs="Arial"/>
        </w:rPr>
      </w:pPr>
    </w:p>
    <w:p w14:paraId="43F7AECB" w14:textId="77777777" w:rsidR="00E42FC2" w:rsidRDefault="00E42FC2" w:rsidP="00E42FC2">
      <w:pPr>
        <w:spacing w:line="480" w:lineRule="auto"/>
        <w:rPr>
          <w:rFonts w:ascii="Arial" w:hAnsi="Arial" w:cs="Arial"/>
        </w:rPr>
      </w:pPr>
    </w:p>
    <w:p w14:paraId="71D8D1B8" w14:textId="77777777" w:rsidR="00E42FC2" w:rsidRDefault="00E42FC2" w:rsidP="00E42FC2">
      <w:pPr>
        <w:spacing w:line="480" w:lineRule="auto"/>
        <w:rPr>
          <w:rFonts w:ascii="Arial" w:hAnsi="Arial" w:cs="Arial"/>
        </w:rPr>
      </w:pPr>
    </w:p>
    <w:p w14:paraId="63FEB47B" w14:textId="77777777" w:rsidR="00E42FC2" w:rsidRDefault="00E42FC2" w:rsidP="00E42FC2">
      <w:pPr>
        <w:spacing w:line="480" w:lineRule="auto"/>
        <w:rPr>
          <w:rFonts w:ascii="Arial" w:hAnsi="Arial" w:cs="Arial"/>
        </w:rPr>
      </w:pPr>
    </w:p>
    <w:p w14:paraId="75BF6ED2" w14:textId="77777777" w:rsidR="00E42FC2" w:rsidRDefault="00E42FC2" w:rsidP="00E42FC2">
      <w:pPr>
        <w:spacing w:line="480" w:lineRule="auto"/>
        <w:rPr>
          <w:rFonts w:ascii="Arial" w:hAnsi="Arial" w:cs="Arial"/>
        </w:rPr>
      </w:pPr>
    </w:p>
    <w:p w14:paraId="6C4498D5" w14:textId="77777777" w:rsidR="00E42FC2" w:rsidRDefault="00E42FC2" w:rsidP="00E42FC2">
      <w:pPr>
        <w:spacing w:line="480" w:lineRule="auto"/>
        <w:rPr>
          <w:rFonts w:ascii="Arial" w:hAnsi="Arial" w:cs="Arial"/>
        </w:rPr>
      </w:pPr>
    </w:p>
    <w:p w14:paraId="32198C15" w14:textId="77777777" w:rsidR="00E42FC2" w:rsidRDefault="00E42FC2" w:rsidP="00E42FC2">
      <w:pPr>
        <w:spacing w:line="480" w:lineRule="auto"/>
        <w:rPr>
          <w:rFonts w:ascii="Arial" w:hAnsi="Arial" w:cs="Arial"/>
        </w:rPr>
      </w:pPr>
    </w:p>
    <w:p w14:paraId="75BD8191" w14:textId="77777777" w:rsidR="00E42FC2" w:rsidRDefault="00E42FC2" w:rsidP="00E42FC2">
      <w:pPr>
        <w:spacing w:line="480" w:lineRule="auto"/>
        <w:rPr>
          <w:rFonts w:ascii="Arial" w:hAnsi="Arial" w:cs="Arial"/>
        </w:rPr>
      </w:pPr>
    </w:p>
    <w:p w14:paraId="33F16CA2" w14:textId="19600746" w:rsidR="00E42FC2" w:rsidRPr="00017DCB" w:rsidRDefault="00E42FC2" w:rsidP="00E42FC2">
      <w:pPr>
        <w:spacing w:line="480" w:lineRule="auto"/>
        <w:rPr>
          <w:rFonts w:ascii="Arial" w:hAnsi="Arial" w:cs="Arial"/>
          <w:b/>
          <w:bCs/>
        </w:rPr>
      </w:pPr>
      <w:r w:rsidRPr="00017DCB">
        <w:rPr>
          <w:rFonts w:ascii="Arial" w:hAnsi="Arial" w:cs="Arial"/>
          <w:b/>
          <w:bCs/>
        </w:rPr>
        <w:lastRenderedPageBreak/>
        <w:t>Appendix</w:t>
      </w:r>
    </w:p>
    <w:p w14:paraId="71602184" w14:textId="3FD27ED0" w:rsidR="00E42FC2" w:rsidRPr="00AE3231" w:rsidRDefault="00017DCB" w:rsidP="00E42FC2">
      <w:pPr>
        <w:spacing w:line="480" w:lineRule="auto"/>
        <w:rPr>
          <w:rFonts w:ascii="Arial" w:hAnsi="Arial" w:cs="Arial"/>
        </w:rPr>
      </w:pPr>
      <w:r>
        <w:rPr>
          <w:rFonts w:ascii="Arial" w:hAnsi="Arial" w:cs="Arial"/>
        </w:rPr>
        <w:object w:dxaOrig="1504" w:dyaOrig="980" w14:anchorId="15BBE58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5pt;height:49pt" o:ole="">
            <v:imagedata r:id="rId7" o:title=""/>
          </v:shape>
          <o:OLEObject Type="Embed" ProgID="Package" ShapeID="_x0000_i1025" DrawAspect="Icon" ObjectID="_1805881574" r:id="rId8"/>
        </w:object>
      </w:r>
      <w:r>
        <w:rPr>
          <w:rFonts w:ascii="Arial" w:hAnsi="Arial" w:cs="Arial"/>
        </w:rPr>
        <w:object w:dxaOrig="1504" w:dyaOrig="980" w14:anchorId="0957D020">
          <v:shape id="_x0000_i1026" type="#_x0000_t75" style="width:75pt;height:49pt" o:ole="">
            <v:imagedata r:id="rId9" o:title=""/>
          </v:shape>
          <o:OLEObject Type="Embed" ProgID="Package" ShapeID="_x0000_i1026" DrawAspect="Icon" ObjectID="_1805881575" r:id="rId10"/>
        </w:object>
      </w:r>
    </w:p>
    <w:sectPr w:rsidR="00E42FC2" w:rsidRPr="00AE3231" w:rsidSect="00017DCB">
      <w:headerReference w:type="default" r:id="rId1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505D52" w14:textId="77777777" w:rsidR="00B90EA2" w:rsidRDefault="00B90EA2" w:rsidP="00E42FC2">
      <w:pPr>
        <w:spacing w:after="0" w:line="240" w:lineRule="auto"/>
      </w:pPr>
      <w:r>
        <w:separator/>
      </w:r>
    </w:p>
  </w:endnote>
  <w:endnote w:type="continuationSeparator" w:id="0">
    <w:p w14:paraId="1A995E63" w14:textId="77777777" w:rsidR="00B90EA2" w:rsidRDefault="00B90EA2" w:rsidP="00E42F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D7989E" w14:textId="77777777" w:rsidR="00B90EA2" w:rsidRDefault="00B90EA2" w:rsidP="00E42FC2">
      <w:pPr>
        <w:spacing w:after="0" w:line="240" w:lineRule="auto"/>
      </w:pPr>
      <w:r>
        <w:separator/>
      </w:r>
    </w:p>
  </w:footnote>
  <w:footnote w:type="continuationSeparator" w:id="0">
    <w:p w14:paraId="19FAAED2" w14:textId="77777777" w:rsidR="00B90EA2" w:rsidRDefault="00B90EA2" w:rsidP="00E42FC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color w:val="7F7F7F" w:themeColor="background1" w:themeShade="7F"/>
        <w:spacing w:val="60"/>
      </w:rPr>
      <w:id w:val="-584386360"/>
      <w:docPartObj>
        <w:docPartGallery w:val="Page Numbers (Top of Page)"/>
        <w:docPartUnique/>
      </w:docPartObj>
    </w:sdtPr>
    <w:sdtEndPr>
      <w:rPr>
        <w:b/>
        <w:bCs/>
        <w:noProof/>
        <w:color w:val="auto"/>
        <w:spacing w:val="0"/>
      </w:rPr>
    </w:sdtEndPr>
    <w:sdtContent>
      <w:p w14:paraId="13C291C4" w14:textId="107EE14A" w:rsidR="00E42FC2" w:rsidRDefault="00E42FC2">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Pr>
            <w:b/>
            <w:bCs/>
            <w:noProof/>
          </w:rPr>
          <w:t>2</w:t>
        </w:r>
        <w:r>
          <w:rPr>
            <w:b/>
            <w:bCs/>
            <w:noProof/>
          </w:rPr>
          <w:fldChar w:fldCharType="end"/>
        </w:r>
      </w:p>
    </w:sdtContent>
  </w:sdt>
  <w:p w14:paraId="47F2E0B2" w14:textId="77777777" w:rsidR="00E42FC2" w:rsidRDefault="00E42FC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AD31DB"/>
    <w:multiLevelType w:val="hybridMultilevel"/>
    <w:tmpl w:val="9B8CDD0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FB03AD2"/>
    <w:multiLevelType w:val="hybridMultilevel"/>
    <w:tmpl w:val="B8287DC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45074AA"/>
    <w:multiLevelType w:val="hybridMultilevel"/>
    <w:tmpl w:val="F0FEE0D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29785421">
    <w:abstractNumId w:val="2"/>
  </w:num>
  <w:num w:numId="2" w16cid:durableId="903182853">
    <w:abstractNumId w:val="1"/>
  </w:num>
  <w:num w:numId="3" w16cid:durableId="134632829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3231"/>
    <w:rsid w:val="00017DCB"/>
    <w:rsid w:val="002A2292"/>
    <w:rsid w:val="00734EC2"/>
    <w:rsid w:val="00754DF9"/>
    <w:rsid w:val="009C3430"/>
    <w:rsid w:val="00AE3231"/>
    <w:rsid w:val="00B90EA2"/>
    <w:rsid w:val="00E42FC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FEA34E"/>
  <w15:chartTrackingRefBased/>
  <w15:docId w15:val="{0495F5AF-C217-420F-B0A9-5121BA27E6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E323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E323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E323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E323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E323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E323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E323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E323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E323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E323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E323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E323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E323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E323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E323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E323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E323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E3231"/>
    <w:rPr>
      <w:rFonts w:eastAsiaTheme="majorEastAsia" w:cstheme="majorBidi"/>
      <w:color w:val="272727" w:themeColor="text1" w:themeTint="D8"/>
    </w:rPr>
  </w:style>
  <w:style w:type="paragraph" w:styleId="Title">
    <w:name w:val="Title"/>
    <w:basedOn w:val="Normal"/>
    <w:next w:val="Normal"/>
    <w:link w:val="TitleChar"/>
    <w:uiPriority w:val="10"/>
    <w:qFormat/>
    <w:rsid w:val="00AE323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E323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E323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E323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E3231"/>
    <w:pPr>
      <w:spacing w:before="160"/>
      <w:jc w:val="center"/>
    </w:pPr>
    <w:rPr>
      <w:i/>
      <w:iCs/>
      <w:color w:val="404040" w:themeColor="text1" w:themeTint="BF"/>
    </w:rPr>
  </w:style>
  <w:style w:type="character" w:customStyle="1" w:styleId="QuoteChar">
    <w:name w:val="Quote Char"/>
    <w:basedOn w:val="DefaultParagraphFont"/>
    <w:link w:val="Quote"/>
    <w:uiPriority w:val="29"/>
    <w:rsid w:val="00AE3231"/>
    <w:rPr>
      <w:i/>
      <w:iCs/>
      <w:color w:val="404040" w:themeColor="text1" w:themeTint="BF"/>
    </w:rPr>
  </w:style>
  <w:style w:type="paragraph" w:styleId="ListParagraph">
    <w:name w:val="List Paragraph"/>
    <w:basedOn w:val="Normal"/>
    <w:uiPriority w:val="34"/>
    <w:qFormat/>
    <w:rsid w:val="00AE3231"/>
    <w:pPr>
      <w:ind w:left="720"/>
      <w:contextualSpacing/>
    </w:pPr>
  </w:style>
  <w:style w:type="character" w:styleId="IntenseEmphasis">
    <w:name w:val="Intense Emphasis"/>
    <w:basedOn w:val="DefaultParagraphFont"/>
    <w:uiPriority w:val="21"/>
    <w:qFormat/>
    <w:rsid w:val="00AE3231"/>
    <w:rPr>
      <w:i/>
      <w:iCs/>
      <w:color w:val="0F4761" w:themeColor="accent1" w:themeShade="BF"/>
    </w:rPr>
  </w:style>
  <w:style w:type="paragraph" w:styleId="IntenseQuote">
    <w:name w:val="Intense Quote"/>
    <w:basedOn w:val="Normal"/>
    <w:next w:val="Normal"/>
    <w:link w:val="IntenseQuoteChar"/>
    <w:uiPriority w:val="30"/>
    <w:qFormat/>
    <w:rsid w:val="00AE323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E3231"/>
    <w:rPr>
      <w:i/>
      <w:iCs/>
      <w:color w:val="0F4761" w:themeColor="accent1" w:themeShade="BF"/>
    </w:rPr>
  </w:style>
  <w:style w:type="character" w:styleId="IntenseReference">
    <w:name w:val="Intense Reference"/>
    <w:basedOn w:val="DefaultParagraphFont"/>
    <w:uiPriority w:val="32"/>
    <w:qFormat/>
    <w:rsid w:val="00AE3231"/>
    <w:rPr>
      <w:b/>
      <w:bCs/>
      <w:smallCaps/>
      <w:color w:val="0F4761" w:themeColor="accent1" w:themeShade="BF"/>
      <w:spacing w:val="5"/>
    </w:rPr>
  </w:style>
  <w:style w:type="paragraph" w:styleId="Header">
    <w:name w:val="header"/>
    <w:basedOn w:val="Normal"/>
    <w:link w:val="HeaderChar"/>
    <w:uiPriority w:val="99"/>
    <w:unhideWhenUsed/>
    <w:rsid w:val="00E42FC2"/>
    <w:pPr>
      <w:tabs>
        <w:tab w:val="center" w:pos="4513"/>
        <w:tab w:val="right" w:pos="9026"/>
      </w:tabs>
      <w:spacing w:after="0" w:line="240" w:lineRule="auto"/>
    </w:pPr>
  </w:style>
  <w:style w:type="character" w:customStyle="1" w:styleId="HeaderChar">
    <w:name w:val="Header Char"/>
    <w:basedOn w:val="DefaultParagraphFont"/>
    <w:link w:val="Header"/>
    <w:uiPriority w:val="99"/>
    <w:rsid w:val="00E42FC2"/>
  </w:style>
  <w:style w:type="paragraph" w:styleId="Footer">
    <w:name w:val="footer"/>
    <w:basedOn w:val="Normal"/>
    <w:link w:val="FooterChar"/>
    <w:uiPriority w:val="99"/>
    <w:unhideWhenUsed/>
    <w:rsid w:val="00E42FC2"/>
    <w:pPr>
      <w:tabs>
        <w:tab w:val="center" w:pos="4513"/>
        <w:tab w:val="right" w:pos="9026"/>
      </w:tabs>
      <w:spacing w:after="0" w:line="240" w:lineRule="auto"/>
    </w:pPr>
  </w:style>
  <w:style w:type="character" w:customStyle="1" w:styleId="FooterChar">
    <w:name w:val="Footer Char"/>
    <w:basedOn w:val="DefaultParagraphFont"/>
    <w:link w:val="Footer"/>
    <w:uiPriority w:val="99"/>
    <w:rsid w:val="00E42FC2"/>
  </w:style>
  <w:style w:type="paragraph" w:styleId="NoSpacing">
    <w:name w:val="No Spacing"/>
    <w:link w:val="NoSpacingChar"/>
    <w:uiPriority w:val="1"/>
    <w:qFormat/>
    <w:rsid w:val="00017DCB"/>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017DCB"/>
    <w:rPr>
      <w:rFonts w:eastAsiaTheme="minorEastAsia"/>
      <w:kern w:val="0"/>
      <w:sz w:val="22"/>
      <w:szCs w:val="22"/>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oleObject" Target="embeddings/oleObject2.bin"/><Relationship Id="rId4" Type="http://schemas.openxmlformats.org/officeDocument/2006/relationships/webSettings" Target="webSettings.xml"/><Relationship Id="rId9" Type="http://schemas.openxmlformats.org/officeDocument/2006/relationships/image" Target="media/image2.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54</TotalTime>
  <Pages>12</Pages>
  <Words>1920</Words>
  <Characters>10947</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Financial Management For Business Sustainability</Company>
  <LinksUpToDate>false</LinksUpToDate>
  <CharactersWithSpaces>12842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Samsung Electronics Financial Analysis</dc:title>
  <dc:subject/>
  <dc:creator>Student name: Ionel Zamfir</dc:creator>
  <cp:keywords/>
  <dc:description/>
  <cp:lastModifiedBy>Mirabela Voican (1907947)</cp:lastModifiedBy>
  <cp:revision>1</cp:revision>
  <dcterms:created xsi:type="dcterms:W3CDTF">2025-04-11T11:03:00Z</dcterms:created>
  <dcterms:modified xsi:type="dcterms:W3CDTF">2025-04-11T11:58:00Z</dcterms:modified>
</cp:coreProperties>
</file>