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E7A2D" w14:textId="259796CB" w:rsidR="009271D5" w:rsidRDefault="00E76FA2" w:rsidP="0083383E">
      <w:pPr>
        <w:ind w:hanging="630"/>
        <w:jc w:val="center"/>
        <w:rPr>
          <w:b/>
          <w:bCs/>
          <w:sz w:val="24"/>
          <w:szCs w:val="24"/>
          <w:u w:val="single"/>
        </w:rPr>
      </w:pPr>
      <w:r w:rsidRPr="00233B81">
        <w:rPr>
          <w:noProof/>
          <w:sz w:val="24"/>
          <w:szCs w:val="24"/>
        </w:rPr>
        <w:drawing>
          <wp:inline distT="0" distB="0" distL="0" distR="0" wp14:anchorId="4380AE4F" wp14:editId="4CD875BF">
            <wp:extent cx="5948843" cy="6309360"/>
            <wp:effectExtent l="0" t="0" r="0" b="0"/>
            <wp:docPr id="1118383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83005" name=""/>
                    <pic:cNvPicPr/>
                  </pic:nvPicPr>
                  <pic:blipFill>
                    <a:blip r:embed="rId7"/>
                    <a:stretch>
                      <a:fillRect/>
                    </a:stretch>
                  </pic:blipFill>
                  <pic:spPr>
                    <a:xfrm>
                      <a:off x="0" y="0"/>
                      <a:ext cx="5955045" cy="6315938"/>
                    </a:xfrm>
                    <a:prstGeom prst="rect">
                      <a:avLst/>
                    </a:prstGeom>
                  </pic:spPr>
                </pic:pic>
              </a:graphicData>
            </a:graphic>
          </wp:inline>
        </w:drawing>
      </w:r>
    </w:p>
    <w:p w14:paraId="2D26EB4D" w14:textId="77777777" w:rsidR="009271D5" w:rsidRDefault="009271D5" w:rsidP="00096F03">
      <w:pPr>
        <w:jc w:val="center"/>
        <w:rPr>
          <w:b/>
          <w:bCs/>
          <w:sz w:val="24"/>
          <w:szCs w:val="24"/>
          <w:u w:val="single"/>
        </w:rPr>
      </w:pPr>
    </w:p>
    <w:p w14:paraId="159C592D" w14:textId="77777777" w:rsidR="009271D5" w:rsidRDefault="009271D5" w:rsidP="00096F03">
      <w:pPr>
        <w:jc w:val="center"/>
        <w:rPr>
          <w:b/>
          <w:bCs/>
          <w:sz w:val="24"/>
          <w:szCs w:val="24"/>
          <w:u w:val="single"/>
        </w:rPr>
      </w:pPr>
    </w:p>
    <w:p w14:paraId="23EBD6A0" w14:textId="77777777" w:rsidR="009271D5" w:rsidRDefault="009271D5" w:rsidP="00096F03">
      <w:pPr>
        <w:jc w:val="center"/>
        <w:rPr>
          <w:b/>
          <w:bCs/>
          <w:sz w:val="24"/>
          <w:szCs w:val="24"/>
          <w:u w:val="single"/>
        </w:rPr>
      </w:pPr>
    </w:p>
    <w:p w14:paraId="1B91485F" w14:textId="77777777" w:rsidR="0083383E" w:rsidRDefault="0083383E" w:rsidP="00096F03">
      <w:pPr>
        <w:jc w:val="center"/>
        <w:rPr>
          <w:b/>
          <w:bCs/>
          <w:sz w:val="24"/>
          <w:szCs w:val="24"/>
          <w:u w:val="single"/>
        </w:rPr>
      </w:pPr>
    </w:p>
    <w:p w14:paraId="7542460D" w14:textId="77777777" w:rsidR="0083383E" w:rsidRDefault="0083383E" w:rsidP="00096F03">
      <w:pPr>
        <w:jc w:val="center"/>
        <w:rPr>
          <w:b/>
          <w:bCs/>
          <w:sz w:val="24"/>
          <w:szCs w:val="24"/>
          <w:u w:val="single"/>
        </w:rPr>
      </w:pPr>
    </w:p>
    <w:p w14:paraId="5C6D0205" w14:textId="77777777" w:rsidR="0083383E" w:rsidRDefault="0083383E" w:rsidP="00096F03">
      <w:pPr>
        <w:jc w:val="center"/>
        <w:rPr>
          <w:b/>
          <w:bCs/>
          <w:sz w:val="24"/>
          <w:szCs w:val="24"/>
          <w:u w:val="single"/>
        </w:rPr>
      </w:pPr>
    </w:p>
    <w:p w14:paraId="0E748BA3" w14:textId="77777777" w:rsidR="00233B81" w:rsidRDefault="00233B81" w:rsidP="00096F03">
      <w:pPr>
        <w:jc w:val="center"/>
        <w:rPr>
          <w:b/>
          <w:bCs/>
          <w:sz w:val="24"/>
          <w:szCs w:val="24"/>
          <w:u w:val="single"/>
        </w:rPr>
      </w:pPr>
    </w:p>
    <w:p w14:paraId="3904BC92" w14:textId="77777777" w:rsidR="00233B81" w:rsidRDefault="00233B81" w:rsidP="00096F03">
      <w:pPr>
        <w:jc w:val="center"/>
        <w:rPr>
          <w:b/>
          <w:bCs/>
          <w:sz w:val="24"/>
          <w:szCs w:val="24"/>
          <w:u w:val="single"/>
        </w:rPr>
      </w:pPr>
    </w:p>
    <w:p w14:paraId="7DC346DD" w14:textId="77777777" w:rsidR="0083383E" w:rsidRDefault="0083383E" w:rsidP="00096F03">
      <w:pPr>
        <w:jc w:val="center"/>
        <w:rPr>
          <w:b/>
          <w:bCs/>
          <w:sz w:val="24"/>
          <w:szCs w:val="24"/>
          <w:u w:val="single"/>
        </w:rPr>
      </w:pPr>
    </w:p>
    <w:p w14:paraId="14C9A7F7" w14:textId="2315AEB1" w:rsidR="00DA2A05" w:rsidRDefault="0044363C" w:rsidP="00096F03">
      <w:pPr>
        <w:jc w:val="center"/>
        <w:rPr>
          <w:b/>
          <w:iCs/>
          <w:u w:val="single"/>
        </w:rPr>
      </w:pPr>
      <w:r>
        <w:rPr>
          <w:b/>
          <w:iCs/>
          <w:u w:val="single"/>
        </w:rPr>
        <w:lastRenderedPageBreak/>
        <w:t>TITLE: DISCOUNT FOR LACK OF MARKETABILITY IN HONG KONG</w:t>
      </w:r>
    </w:p>
    <w:p w14:paraId="63A7A99B" w14:textId="77777777" w:rsidR="00133E52" w:rsidRDefault="00133E52" w:rsidP="00096F03">
      <w:pPr>
        <w:jc w:val="center"/>
        <w:rPr>
          <w:b/>
          <w:iCs/>
          <w:u w:val="single"/>
        </w:rPr>
      </w:pPr>
    </w:p>
    <w:p w14:paraId="01C9BD78" w14:textId="0E2DE8E1" w:rsidR="00170738" w:rsidRPr="008B1F7F" w:rsidRDefault="008B1F7F" w:rsidP="00096F03">
      <w:pPr>
        <w:jc w:val="center"/>
        <w:rPr>
          <w:b/>
          <w:iCs/>
        </w:rPr>
      </w:pPr>
      <w:r w:rsidRPr="008B1F7F">
        <w:rPr>
          <w:b/>
          <w:iCs/>
        </w:rPr>
        <w:t>ABSTRACT</w:t>
      </w:r>
    </w:p>
    <w:p w14:paraId="15D39288" w14:textId="7F4B8F5B" w:rsidR="00B643ED" w:rsidRDefault="00E527FB" w:rsidP="008B1F7F">
      <w:pPr>
        <w:jc w:val="both"/>
        <w:rPr>
          <w:sz w:val="24"/>
          <w:szCs w:val="24"/>
        </w:rPr>
      </w:pPr>
      <w:r w:rsidRPr="00E527FB">
        <w:rPr>
          <w:sz w:val="24"/>
          <w:szCs w:val="24"/>
        </w:rPr>
        <w:t>Discount for Lack of Marketability</w:t>
      </w:r>
      <w:r w:rsidR="00FB1325">
        <w:rPr>
          <w:sz w:val="24"/>
          <w:szCs w:val="24"/>
        </w:rPr>
        <w:t xml:space="preserve"> (</w:t>
      </w:r>
      <w:r w:rsidR="00991846">
        <w:rPr>
          <w:sz w:val="24"/>
          <w:szCs w:val="24"/>
        </w:rPr>
        <w:t>the “</w:t>
      </w:r>
      <w:r w:rsidR="00FB1325">
        <w:rPr>
          <w:sz w:val="24"/>
          <w:szCs w:val="24"/>
        </w:rPr>
        <w:t>DLO</w:t>
      </w:r>
      <w:r w:rsidR="00991846">
        <w:rPr>
          <w:sz w:val="24"/>
          <w:szCs w:val="24"/>
        </w:rPr>
        <w:t>M”)</w:t>
      </w:r>
      <w:r w:rsidRPr="00E527FB">
        <w:rPr>
          <w:sz w:val="24"/>
          <w:szCs w:val="24"/>
        </w:rPr>
        <w:t xml:space="preserve">, </w:t>
      </w:r>
      <w:r>
        <w:rPr>
          <w:sz w:val="24"/>
          <w:szCs w:val="24"/>
        </w:rPr>
        <w:t>“a</w:t>
      </w:r>
      <w:r w:rsidR="00AC1134" w:rsidRPr="00AC1134">
        <w:rPr>
          <w:sz w:val="24"/>
          <w:szCs w:val="24"/>
        </w:rPr>
        <w:t>n amount or percentage deducted from the value of an ownership interest to</w:t>
      </w:r>
      <w:r>
        <w:rPr>
          <w:sz w:val="24"/>
          <w:szCs w:val="24"/>
        </w:rPr>
        <w:t xml:space="preserve"> </w:t>
      </w:r>
      <w:r w:rsidR="00AC1134" w:rsidRPr="00AC1134">
        <w:rPr>
          <w:sz w:val="24"/>
          <w:szCs w:val="24"/>
        </w:rPr>
        <w:t>reflect the relative absence of marketability</w:t>
      </w:r>
      <w:r>
        <w:rPr>
          <w:sz w:val="24"/>
          <w:szCs w:val="24"/>
        </w:rPr>
        <w:t>”</w:t>
      </w:r>
      <w:r w:rsidR="00F245F3">
        <w:rPr>
          <w:sz w:val="24"/>
          <w:szCs w:val="24"/>
        </w:rPr>
        <w:t xml:space="preserve"> according to International Valuation Standard (2024)</w:t>
      </w:r>
      <w:r>
        <w:rPr>
          <w:sz w:val="24"/>
          <w:szCs w:val="24"/>
        </w:rPr>
        <w:t>,</w:t>
      </w:r>
      <w:r w:rsidR="002960F1">
        <w:rPr>
          <w:sz w:val="24"/>
          <w:szCs w:val="24"/>
        </w:rPr>
        <w:t xml:space="preserve"> </w:t>
      </w:r>
      <w:r w:rsidR="00FE6972" w:rsidRPr="00FE6972">
        <w:rPr>
          <w:sz w:val="24"/>
          <w:szCs w:val="24"/>
        </w:rPr>
        <w:t xml:space="preserve">is used by most valuation practitioners when valuing the shares of private-owned companies. </w:t>
      </w:r>
      <w:r w:rsidR="00260352">
        <w:rPr>
          <w:sz w:val="24"/>
          <w:szCs w:val="24"/>
        </w:rPr>
        <w:t>International Valuation Standard</w:t>
      </w:r>
      <w:r w:rsidR="00367667">
        <w:rPr>
          <w:sz w:val="24"/>
          <w:szCs w:val="24"/>
        </w:rPr>
        <w:t xml:space="preserve"> (2024) states that “</w:t>
      </w:r>
      <w:r w:rsidR="00367667" w:rsidRPr="00367667">
        <w:rPr>
          <w:sz w:val="24"/>
          <w:szCs w:val="24"/>
        </w:rPr>
        <w:t xml:space="preserve">Discounts for Lack of Marketability (DLOM) should be applied when the </w:t>
      </w:r>
      <w:proofErr w:type="spellStart"/>
      <w:r w:rsidR="00367667" w:rsidRPr="00367667">
        <w:rPr>
          <w:sz w:val="24"/>
          <w:szCs w:val="24"/>
        </w:rPr>
        <w:t>comparables</w:t>
      </w:r>
      <w:proofErr w:type="spellEnd"/>
      <w:r w:rsidR="00367667" w:rsidRPr="00367667">
        <w:rPr>
          <w:sz w:val="24"/>
          <w:szCs w:val="24"/>
        </w:rPr>
        <w:t xml:space="preserve"> are deemed to have superior marketability to the subject asset.</w:t>
      </w:r>
      <w:r w:rsidR="00367667">
        <w:rPr>
          <w:sz w:val="24"/>
          <w:szCs w:val="24"/>
        </w:rPr>
        <w:t xml:space="preserve">” </w:t>
      </w:r>
      <w:r w:rsidR="001570AF">
        <w:rPr>
          <w:sz w:val="24"/>
          <w:szCs w:val="24"/>
        </w:rPr>
        <w:t xml:space="preserve">RICS </w:t>
      </w:r>
      <w:r w:rsidR="0032660A">
        <w:rPr>
          <w:sz w:val="24"/>
          <w:szCs w:val="24"/>
        </w:rPr>
        <w:t>(2024) also request that a</w:t>
      </w:r>
      <w:r w:rsidR="00B643ED" w:rsidRPr="00B643ED">
        <w:rPr>
          <w:sz w:val="24"/>
          <w:szCs w:val="24"/>
        </w:rPr>
        <w:t xml:space="preserve"> valuer should analyse and make adjustments for any material differences between the comparable transactions and the subject asset including differences related to marketability characteristics of the comparable and the subject asset.</w:t>
      </w:r>
    </w:p>
    <w:p w14:paraId="08C41ECD" w14:textId="77777777" w:rsidR="00260352" w:rsidRDefault="00260352" w:rsidP="008B1F7F">
      <w:pPr>
        <w:jc w:val="both"/>
        <w:rPr>
          <w:sz w:val="24"/>
          <w:szCs w:val="24"/>
        </w:rPr>
      </w:pPr>
    </w:p>
    <w:p w14:paraId="117BB646" w14:textId="5907B277" w:rsidR="0017557A" w:rsidRDefault="00F6401E" w:rsidP="008B1F7F">
      <w:pPr>
        <w:jc w:val="both"/>
        <w:rPr>
          <w:sz w:val="24"/>
          <w:szCs w:val="24"/>
        </w:rPr>
      </w:pPr>
      <w:r>
        <w:rPr>
          <w:sz w:val="24"/>
          <w:szCs w:val="24"/>
        </w:rPr>
        <w:t xml:space="preserve">Although DLOM is also widely used by different professionals including lawyers, accountants, </w:t>
      </w:r>
      <w:r w:rsidRPr="00E50FE2">
        <w:rPr>
          <w:sz w:val="24"/>
          <w:szCs w:val="24"/>
        </w:rPr>
        <w:t>actuar</w:t>
      </w:r>
      <w:r>
        <w:rPr>
          <w:sz w:val="24"/>
          <w:szCs w:val="24"/>
        </w:rPr>
        <w:t>y in their daily working</w:t>
      </w:r>
      <w:r w:rsidR="0032660A">
        <w:rPr>
          <w:sz w:val="24"/>
          <w:szCs w:val="24"/>
        </w:rPr>
        <w:t>,</w:t>
      </w:r>
      <w:r w:rsidR="00E7616B">
        <w:rPr>
          <w:sz w:val="24"/>
          <w:szCs w:val="24"/>
        </w:rPr>
        <w:t xml:space="preserve"> </w:t>
      </w:r>
      <w:r w:rsidR="008561A5">
        <w:rPr>
          <w:sz w:val="24"/>
          <w:szCs w:val="24"/>
        </w:rPr>
        <w:t>t</w:t>
      </w:r>
      <w:r w:rsidR="0017557A">
        <w:rPr>
          <w:sz w:val="24"/>
          <w:szCs w:val="24"/>
        </w:rPr>
        <w:t xml:space="preserve">here is no </w:t>
      </w:r>
      <w:r w:rsidR="00974557">
        <w:rPr>
          <w:sz w:val="24"/>
          <w:szCs w:val="24"/>
        </w:rPr>
        <w:t>comprehensive or well-recognised study</w:t>
      </w:r>
      <w:r w:rsidR="00987AF6">
        <w:rPr>
          <w:sz w:val="24"/>
          <w:szCs w:val="24"/>
        </w:rPr>
        <w:t xml:space="preserve"> conclude </w:t>
      </w:r>
      <w:r w:rsidR="00E4342D">
        <w:rPr>
          <w:sz w:val="24"/>
          <w:szCs w:val="24"/>
        </w:rPr>
        <w:t xml:space="preserve">the DLOM </w:t>
      </w:r>
      <w:r w:rsidR="006053A9">
        <w:rPr>
          <w:sz w:val="24"/>
          <w:szCs w:val="24"/>
        </w:rPr>
        <w:t>for</w:t>
      </w:r>
      <w:r w:rsidR="00E4342D">
        <w:rPr>
          <w:sz w:val="24"/>
          <w:szCs w:val="24"/>
        </w:rPr>
        <w:t xml:space="preserve"> </w:t>
      </w:r>
      <w:r w:rsidR="004B46EE">
        <w:rPr>
          <w:sz w:val="24"/>
          <w:szCs w:val="24"/>
        </w:rPr>
        <w:t xml:space="preserve">the </w:t>
      </w:r>
      <w:r w:rsidR="00E4342D">
        <w:rPr>
          <w:sz w:val="24"/>
          <w:szCs w:val="24"/>
        </w:rPr>
        <w:t xml:space="preserve">Hong Kong </w:t>
      </w:r>
      <w:r w:rsidR="006053A9">
        <w:rPr>
          <w:sz w:val="24"/>
          <w:szCs w:val="24"/>
        </w:rPr>
        <w:t>m</w:t>
      </w:r>
      <w:r w:rsidR="00E4342D">
        <w:rPr>
          <w:sz w:val="24"/>
          <w:szCs w:val="24"/>
        </w:rPr>
        <w:t>arket</w:t>
      </w:r>
      <w:r w:rsidR="00495629">
        <w:rPr>
          <w:sz w:val="24"/>
          <w:szCs w:val="24"/>
        </w:rPr>
        <w:t>. A</w:t>
      </w:r>
      <w:r w:rsidR="00E4342D">
        <w:rPr>
          <w:sz w:val="24"/>
          <w:szCs w:val="24"/>
        </w:rPr>
        <w:t>ll professional</w:t>
      </w:r>
      <w:r w:rsidR="00B038E7">
        <w:rPr>
          <w:sz w:val="24"/>
          <w:szCs w:val="24"/>
        </w:rPr>
        <w:t xml:space="preserve">s in Hong Kong </w:t>
      </w:r>
      <w:r w:rsidR="00E64CBB">
        <w:rPr>
          <w:sz w:val="24"/>
          <w:szCs w:val="24"/>
        </w:rPr>
        <w:t xml:space="preserve">have no choice but </w:t>
      </w:r>
      <w:r w:rsidR="00B038E7">
        <w:rPr>
          <w:sz w:val="24"/>
          <w:szCs w:val="24"/>
        </w:rPr>
        <w:t xml:space="preserve">have been using the DLOM data and result </w:t>
      </w:r>
      <w:r w:rsidR="00495629">
        <w:rPr>
          <w:sz w:val="24"/>
          <w:szCs w:val="24"/>
        </w:rPr>
        <w:t xml:space="preserve">of studies </w:t>
      </w:r>
      <w:r w:rsidR="00B038E7">
        <w:rPr>
          <w:sz w:val="24"/>
          <w:szCs w:val="24"/>
        </w:rPr>
        <w:t>from USA</w:t>
      </w:r>
      <w:r w:rsidR="008F0FD8">
        <w:rPr>
          <w:sz w:val="24"/>
          <w:szCs w:val="24"/>
        </w:rPr>
        <w:t>.</w:t>
      </w:r>
      <w:r w:rsidR="000B3359">
        <w:rPr>
          <w:sz w:val="24"/>
          <w:szCs w:val="24"/>
        </w:rPr>
        <w:t xml:space="preserve"> </w:t>
      </w:r>
      <w:r w:rsidR="00E74D09">
        <w:rPr>
          <w:sz w:val="24"/>
          <w:szCs w:val="24"/>
        </w:rPr>
        <w:t xml:space="preserve">In fact, </w:t>
      </w:r>
      <w:r w:rsidR="00F456FB">
        <w:rPr>
          <w:sz w:val="24"/>
          <w:szCs w:val="24"/>
        </w:rPr>
        <w:t xml:space="preserve">many </w:t>
      </w:r>
      <w:r w:rsidR="00872F70">
        <w:rPr>
          <w:sz w:val="24"/>
          <w:szCs w:val="24"/>
        </w:rPr>
        <w:t xml:space="preserve">parameters behind the DLOM </w:t>
      </w:r>
      <w:r w:rsidR="00DA7475">
        <w:rPr>
          <w:sz w:val="24"/>
          <w:szCs w:val="24"/>
        </w:rPr>
        <w:t xml:space="preserve">calculation and </w:t>
      </w:r>
      <w:r w:rsidR="00872F70">
        <w:rPr>
          <w:sz w:val="24"/>
          <w:szCs w:val="24"/>
        </w:rPr>
        <w:t>result including economy, government policy, investment environmen</w:t>
      </w:r>
      <w:r w:rsidR="00EA0126">
        <w:rPr>
          <w:sz w:val="24"/>
          <w:szCs w:val="24"/>
        </w:rPr>
        <w:t>t</w:t>
      </w:r>
      <w:r w:rsidR="00872F70">
        <w:rPr>
          <w:sz w:val="24"/>
          <w:szCs w:val="24"/>
        </w:rPr>
        <w:t xml:space="preserve"> </w:t>
      </w:r>
      <w:r w:rsidR="00DA7475">
        <w:rPr>
          <w:sz w:val="24"/>
          <w:szCs w:val="24"/>
        </w:rPr>
        <w:t>are</w:t>
      </w:r>
      <w:r w:rsidR="00872F70">
        <w:rPr>
          <w:sz w:val="24"/>
          <w:szCs w:val="24"/>
        </w:rPr>
        <w:t xml:space="preserve"> </w:t>
      </w:r>
      <w:r w:rsidR="00F456FB">
        <w:rPr>
          <w:sz w:val="24"/>
          <w:szCs w:val="24"/>
        </w:rPr>
        <w:t xml:space="preserve">different between USA and Hong Kong. </w:t>
      </w:r>
      <w:r w:rsidR="00D95542">
        <w:rPr>
          <w:sz w:val="24"/>
          <w:szCs w:val="24"/>
        </w:rPr>
        <w:t>I</w:t>
      </w:r>
      <w:r w:rsidR="00E74D09">
        <w:rPr>
          <w:sz w:val="24"/>
          <w:szCs w:val="24"/>
        </w:rPr>
        <w:t xml:space="preserve">t is inappropriate for Hong Kong </w:t>
      </w:r>
      <w:r w:rsidR="00971B9A">
        <w:rPr>
          <w:sz w:val="24"/>
          <w:szCs w:val="24"/>
        </w:rPr>
        <w:t xml:space="preserve">market to </w:t>
      </w:r>
      <w:r w:rsidR="008166D9">
        <w:rPr>
          <w:sz w:val="24"/>
          <w:szCs w:val="24"/>
        </w:rPr>
        <w:t xml:space="preserve">directly </w:t>
      </w:r>
      <w:r w:rsidR="00E74D09">
        <w:rPr>
          <w:sz w:val="24"/>
          <w:szCs w:val="24"/>
        </w:rPr>
        <w:t xml:space="preserve">adopt the DLOM result from USA </w:t>
      </w:r>
      <w:r w:rsidR="007113E7">
        <w:rPr>
          <w:sz w:val="24"/>
          <w:szCs w:val="24"/>
        </w:rPr>
        <w:t>market</w:t>
      </w:r>
      <w:r w:rsidR="00BE7FBB">
        <w:rPr>
          <w:sz w:val="24"/>
          <w:szCs w:val="24"/>
        </w:rPr>
        <w:t>.</w:t>
      </w:r>
      <w:r w:rsidR="00D95542">
        <w:rPr>
          <w:sz w:val="24"/>
          <w:szCs w:val="24"/>
        </w:rPr>
        <w:t xml:space="preserve"> </w:t>
      </w:r>
      <w:r w:rsidR="00EE1ECF">
        <w:rPr>
          <w:sz w:val="24"/>
          <w:szCs w:val="24"/>
        </w:rPr>
        <w:t xml:space="preserve">In order to provide an appropriate </w:t>
      </w:r>
      <w:r w:rsidR="00606A95">
        <w:rPr>
          <w:sz w:val="24"/>
          <w:szCs w:val="24"/>
        </w:rPr>
        <w:t xml:space="preserve">and accurate </w:t>
      </w:r>
      <w:r w:rsidR="000543FD">
        <w:rPr>
          <w:sz w:val="24"/>
          <w:szCs w:val="24"/>
        </w:rPr>
        <w:t xml:space="preserve">resources of </w:t>
      </w:r>
      <w:r w:rsidR="00D95542">
        <w:rPr>
          <w:sz w:val="24"/>
          <w:szCs w:val="24"/>
        </w:rPr>
        <w:t xml:space="preserve">DLOM </w:t>
      </w:r>
      <w:r w:rsidR="00606A95">
        <w:rPr>
          <w:sz w:val="24"/>
          <w:szCs w:val="24"/>
        </w:rPr>
        <w:t xml:space="preserve">data </w:t>
      </w:r>
      <w:r w:rsidR="000543FD">
        <w:rPr>
          <w:sz w:val="24"/>
          <w:szCs w:val="24"/>
        </w:rPr>
        <w:t xml:space="preserve">and result </w:t>
      </w:r>
      <w:r w:rsidR="00EE1ECF">
        <w:rPr>
          <w:sz w:val="24"/>
          <w:szCs w:val="24"/>
        </w:rPr>
        <w:t>for dail</w:t>
      </w:r>
      <w:r w:rsidR="00804ADA">
        <w:rPr>
          <w:sz w:val="24"/>
          <w:szCs w:val="24"/>
        </w:rPr>
        <w:t xml:space="preserve">y use by </w:t>
      </w:r>
      <w:r w:rsidR="00606A95">
        <w:rPr>
          <w:sz w:val="24"/>
          <w:szCs w:val="24"/>
        </w:rPr>
        <w:t>different industries</w:t>
      </w:r>
      <w:r w:rsidR="00DC0D03">
        <w:rPr>
          <w:sz w:val="24"/>
          <w:szCs w:val="24"/>
        </w:rPr>
        <w:t xml:space="preserve"> in Hong Kong</w:t>
      </w:r>
      <w:r w:rsidR="00804ADA">
        <w:rPr>
          <w:sz w:val="24"/>
          <w:szCs w:val="24"/>
        </w:rPr>
        <w:t xml:space="preserve">, here is a </w:t>
      </w:r>
      <w:r w:rsidR="00C540E9">
        <w:rPr>
          <w:sz w:val="24"/>
          <w:szCs w:val="24"/>
        </w:rPr>
        <w:t xml:space="preserve">absolute </w:t>
      </w:r>
      <w:r w:rsidR="00804ADA">
        <w:rPr>
          <w:sz w:val="24"/>
          <w:szCs w:val="24"/>
        </w:rPr>
        <w:t>need to conduct a comprehensive DLOM stu</w:t>
      </w:r>
      <w:r w:rsidR="001D270F">
        <w:rPr>
          <w:sz w:val="24"/>
          <w:szCs w:val="24"/>
        </w:rPr>
        <w:t xml:space="preserve">dy </w:t>
      </w:r>
      <w:r w:rsidR="00385CDC">
        <w:rPr>
          <w:sz w:val="24"/>
          <w:szCs w:val="24"/>
        </w:rPr>
        <w:t xml:space="preserve">purely </w:t>
      </w:r>
      <w:r w:rsidR="001D270F">
        <w:rPr>
          <w:sz w:val="24"/>
          <w:szCs w:val="24"/>
        </w:rPr>
        <w:t>using Hong Kong data.</w:t>
      </w:r>
      <w:r w:rsidR="00136766">
        <w:rPr>
          <w:sz w:val="24"/>
          <w:szCs w:val="24"/>
        </w:rPr>
        <w:t xml:space="preserve"> </w:t>
      </w:r>
    </w:p>
    <w:p w14:paraId="7A78BB57" w14:textId="77777777" w:rsidR="005F22C2" w:rsidRDefault="005F22C2" w:rsidP="008B1F7F">
      <w:pPr>
        <w:jc w:val="both"/>
        <w:rPr>
          <w:sz w:val="24"/>
          <w:szCs w:val="24"/>
        </w:rPr>
      </w:pPr>
    </w:p>
    <w:p w14:paraId="17E519BE" w14:textId="0537F277" w:rsidR="00B06F2C" w:rsidRPr="00B06F2C" w:rsidRDefault="005F22C2" w:rsidP="008B1F7F">
      <w:pPr>
        <w:jc w:val="both"/>
        <w:rPr>
          <w:sz w:val="24"/>
          <w:szCs w:val="24"/>
        </w:rPr>
      </w:pPr>
      <w:r>
        <w:rPr>
          <w:sz w:val="24"/>
          <w:szCs w:val="24"/>
        </w:rPr>
        <w:t>Empirical studies of DLOM mainly come from USA or Europe in past several decades.</w:t>
      </w:r>
      <w:r w:rsidR="00D210B2">
        <w:rPr>
          <w:sz w:val="24"/>
          <w:szCs w:val="24"/>
        </w:rPr>
        <w:t xml:space="preserve"> </w:t>
      </w:r>
      <w:r w:rsidR="009535B9">
        <w:rPr>
          <w:sz w:val="24"/>
          <w:szCs w:val="24"/>
        </w:rPr>
        <w:t>We</w:t>
      </w:r>
      <w:r w:rsidR="00644873">
        <w:rPr>
          <w:sz w:val="24"/>
          <w:szCs w:val="24"/>
        </w:rPr>
        <w:t xml:space="preserve"> </w:t>
      </w:r>
      <w:r w:rsidR="00A6448F">
        <w:rPr>
          <w:sz w:val="24"/>
          <w:szCs w:val="24"/>
        </w:rPr>
        <w:t xml:space="preserve">demonstrated and </w:t>
      </w:r>
      <w:r w:rsidR="00644873">
        <w:rPr>
          <w:sz w:val="24"/>
          <w:szCs w:val="24"/>
        </w:rPr>
        <w:t xml:space="preserve">analysed </w:t>
      </w:r>
      <w:r w:rsidR="007D67AB">
        <w:rPr>
          <w:sz w:val="24"/>
          <w:szCs w:val="24"/>
        </w:rPr>
        <w:t xml:space="preserve">many </w:t>
      </w:r>
      <w:r w:rsidR="00405F7E">
        <w:rPr>
          <w:sz w:val="24"/>
          <w:szCs w:val="24"/>
        </w:rPr>
        <w:t xml:space="preserve">empirical </w:t>
      </w:r>
      <w:r w:rsidR="007D67AB">
        <w:rPr>
          <w:sz w:val="24"/>
          <w:szCs w:val="24"/>
        </w:rPr>
        <w:t>studies</w:t>
      </w:r>
      <w:r w:rsidR="00D8248D">
        <w:rPr>
          <w:sz w:val="24"/>
          <w:szCs w:val="24"/>
        </w:rPr>
        <w:t xml:space="preserve"> in </w:t>
      </w:r>
      <w:r w:rsidR="0064194F">
        <w:rPr>
          <w:sz w:val="24"/>
          <w:szCs w:val="24"/>
        </w:rPr>
        <w:t xml:space="preserve">the </w:t>
      </w:r>
      <w:r w:rsidR="00DE5493">
        <w:rPr>
          <w:sz w:val="24"/>
          <w:szCs w:val="24"/>
        </w:rPr>
        <w:t xml:space="preserve">section of </w:t>
      </w:r>
      <w:r w:rsidR="0064194F">
        <w:rPr>
          <w:sz w:val="24"/>
          <w:szCs w:val="24"/>
        </w:rPr>
        <w:t>literature Review in our thesis</w:t>
      </w:r>
      <w:r w:rsidR="00481C3C">
        <w:rPr>
          <w:sz w:val="24"/>
          <w:szCs w:val="24"/>
        </w:rPr>
        <w:t xml:space="preserve"> including both Qualitative and Quantitative Approach.</w:t>
      </w:r>
      <w:r w:rsidR="00824BD2">
        <w:rPr>
          <w:sz w:val="24"/>
          <w:szCs w:val="24"/>
        </w:rPr>
        <w:t xml:space="preserve"> </w:t>
      </w:r>
      <w:r w:rsidR="00134131">
        <w:rPr>
          <w:sz w:val="24"/>
          <w:szCs w:val="24"/>
        </w:rPr>
        <w:t xml:space="preserve">We </w:t>
      </w:r>
      <w:r w:rsidR="00B06E61">
        <w:rPr>
          <w:sz w:val="24"/>
          <w:szCs w:val="24"/>
        </w:rPr>
        <w:t xml:space="preserve">found </w:t>
      </w:r>
      <w:r w:rsidR="00BB3075">
        <w:rPr>
          <w:sz w:val="24"/>
          <w:szCs w:val="24"/>
        </w:rPr>
        <w:t xml:space="preserve">that </w:t>
      </w:r>
      <w:r w:rsidR="00B06E61">
        <w:rPr>
          <w:sz w:val="24"/>
          <w:szCs w:val="24"/>
        </w:rPr>
        <w:t>there are many weakness of the</w:t>
      </w:r>
      <w:r w:rsidR="00824BD2">
        <w:rPr>
          <w:sz w:val="24"/>
          <w:szCs w:val="24"/>
        </w:rPr>
        <w:t xml:space="preserve"> </w:t>
      </w:r>
      <w:r w:rsidR="00824BD2" w:rsidRPr="00F82781">
        <w:rPr>
          <w:b/>
          <w:bCs/>
          <w:sz w:val="24"/>
          <w:szCs w:val="24"/>
          <w:lang w:val="en-US"/>
        </w:rPr>
        <w:t>Pre-IPO Method</w:t>
      </w:r>
      <w:r w:rsidR="002A62C2">
        <w:rPr>
          <w:sz w:val="24"/>
          <w:szCs w:val="24"/>
          <w:lang w:val="en-US"/>
        </w:rPr>
        <w:t xml:space="preserve"> </w:t>
      </w:r>
      <w:r w:rsidR="002A62C2">
        <w:rPr>
          <w:sz w:val="24"/>
          <w:szCs w:val="24"/>
        </w:rPr>
        <w:t>under Qualitative Approach</w:t>
      </w:r>
      <w:r w:rsidR="003807EF">
        <w:rPr>
          <w:sz w:val="24"/>
          <w:szCs w:val="24"/>
        </w:rPr>
        <w:t>.</w:t>
      </w:r>
      <w:r w:rsidR="00E11E21">
        <w:rPr>
          <w:sz w:val="24"/>
          <w:szCs w:val="24"/>
        </w:rPr>
        <w:t xml:space="preserve"> </w:t>
      </w:r>
      <w:r w:rsidR="00281B30" w:rsidRPr="00650D22">
        <w:rPr>
          <w:sz w:val="24"/>
          <w:szCs w:val="24"/>
        </w:rPr>
        <w:t xml:space="preserve">Z. Christopher Mercer, et al. (2011) </w:t>
      </w:r>
      <w:r w:rsidR="00E11E21" w:rsidRPr="003C4A1F">
        <w:rPr>
          <w:sz w:val="24"/>
          <w:szCs w:val="24"/>
        </w:rPr>
        <w:t xml:space="preserve">states that the period of time between a </w:t>
      </w:r>
      <w:r w:rsidR="00E11E21">
        <w:rPr>
          <w:sz w:val="24"/>
          <w:szCs w:val="24"/>
        </w:rPr>
        <w:t>P</w:t>
      </w:r>
      <w:r w:rsidR="00E11E21" w:rsidRPr="003C4A1F">
        <w:rPr>
          <w:sz w:val="24"/>
          <w:szCs w:val="24"/>
        </w:rPr>
        <w:t>re-IPO transaction and a public offering is frequently too long.</w:t>
      </w:r>
      <w:r w:rsidR="00C45C68">
        <w:rPr>
          <w:sz w:val="24"/>
          <w:szCs w:val="24"/>
        </w:rPr>
        <w:t xml:space="preserve"> </w:t>
      </w:r>
      <w:r w:rsidR="00F128E6">
        <w:rPr>
          <w:sz w:val="24"/>
          <w:szCs w:val="24"/>
        </w:rPr>
        <w:t xml:space="preserve">Moreover, </w:t>
      </w:r>
      <w:r w:rsidR="00455ACE" w:rsidRPr="00650D22">
        <w:rPr>
          <w:sz w:val="24"/>
          <w:szCs w:val="24"/>
        </w:rPr>
        <w:t xml:space="preserve">Z. Christopher Mercer, et al. (2011) </w:t>
      </w:r>
      <w:r w:rsidR="00F128E6">
        <w:rPr>
          <w:sz w:val="24"/>
          <w:szCs w:val="24"/>
        </w:rPr>
        <w:t xml:space="preserve">also </w:t>
      </w:r>
      <w:r w:rsidR="00F128E6" w:rsidRPr="003C4A1F">
        <w:rPr>
          <w:sz w:val="24"/>
          <w:szCs w:val="24"/>
        </w:rPr>
        <w:t xml:space="preserve">states that </w:t>
      </w:r>
      <w:r w:rsidR="00F128E6" w:rsidRPr="00C45C68">
        <w:rPr>
          <w:sz w:val="24"/>
          <w:szCs w:val="24"/>
        </w:rPr>
        <w:t>Pre-IPO deals are typically underpriced in order to attract a full subscription.</w:t>
      </w:r>
      <w:r w:rsidR="00B85163">
        <w:rPr>
          <w:sz w:val="24"/>
          <w:szCs w:val="24"/>
        </w:rPr>
        <w:t xml:space="preserve"> Therefore the </w:t>
      </w:r>
      <w:r w:rsidR="00B85163" w:rsidRPr="003C7488">
        <w:rPr>
          <w:sz w:val="24"/>
          <w:szCs w:val="24"/>
          <w:lang w:val="en-US"/>
        </w:rPr>
        <w:t>Pre-IPO</w:t>
      </w:r>
      <w:r w:rsidR="00B85163">
        <w:rPr>
          <w:sz w:val="24"/>
          <w:szCs w:val="24"/>
          <w:lang w:val="en-US"/>
        </w:rPr>
        <w:t xml:space="preserve"> Method is excluded in our thesis.</w:t>
      </w:r>
      <w:r w:rsidR="00614977">
        <w:rPr>
          <w:sz w:val="24"/>
          <w:szCs w:val="24"/>
          <w:lang w:val="en-US"/>
        </w:rPr>
        <w:t xml:space="preserve"> We also found that there are many weakness of the </w:t>
      </w:r>
      <w:r w:rsidR="00614977" w:rsidRPr="00F82781">
        <w:rPr>
          <w:b/>
          <w:bCs/>
          <w:sz w:val="24"/>
          <w:szCs w:val="24"/>
          <w:lang w:val="en-US"/>
        </w:rPr>
        <w:t xml:space="preserve">Restricted </w:t>
      </w:r>
      <w:r w:rsidR="00B430B0" w:rsidRPr="00F82781">
        <w:rPr>
          <w:b/>
          <w:bCs/>
          <w:sz w:val="24"/>
          <w:szCs w:val="24"/>
          <w:lang w:val="en-US"/>
        </w:rPr>
        <w:t>Stock Method</w:t>
      </w:r>
      <w:r w:rsidR="004113F0">
        <w:rPr>
          <w:sz w:val="24"/>
          <w:szCs w:val="24"/>
          <w:lang w:val="en-US"/>
        </w:rPr>
        <w:t xml:space="preserve"> including </w:t>
      </w:r>
      <w:r w:rsidR="004113F0">
        <w:rPr>
          <w:sz w:val="24"/>
          <w:szCs w:val="24"/>
        </w:rPr>
        <w:t>the</w:t>
      </w:r>
      <w:r w:rsidR="004113F0" w:rsidRPr="003C4A1F">
        <w:rPr>
          <w:sz w:val="24"/>
          <w:szCs w:val="24"/>
        </w:rPr>
        <w:t xml:space="preserve"> </w:t>
      </w:r>
      <w:r w:rsidR="004113F0">
        <w:rPr>
          <w:sz w:val="24"/>
          <w:szCs w:val="24"/>
        </w:rPr>
        <w:t>l</w:t>
      </w:r>
      <w:r w:rsidR="004113F0" w:rsidRPr="003C4A1F">
        <w:rPr>
          <w:sz w:val="24"/>
          <w:szCs w:val="24"/>
        </w:rPr>
        <w:t>ack of current market data</w:t>
      </w:r>
      <w:r w:rsidR="008E080B">
        <w:rPr>
          <w:sz w:val="24"/>
          <w:szCs w:val="24"/>
        </w:rPr>
        <w:t xml:space="preserve"> and the</w:t>
      </w:r>
      <w:r w:rsidR="004113F0" w:rsidRPr="003C4A1F">
        <w:rPr>
          <w:sz w:val="24"/>
          <w:szCs w:val="24"/>
        </w:rPr>
        <w:t xml:space="preserve"> risky issuer characteristics</w:t>
      </w:r>
      <w:r w:rsidR="008E080B">
        <w:rPr>
          <w:sz w:val="24"/>
          <w:szCs w:val="24"/>
        </w:rPr>
        <w:t>. T</w:t>
      </w:r>
      <w:r w:rsidR="00186CA6">
        <w:rPr>
          <w:sz w:val="24"/>
          <w:szCs w:val="24"/>
        </w:rPr>
        <w:t xml:space="preserve">herefore </w:t>
      </w:r>
      <w:r w:rsidR="008E080B">
        <w:rPr>
          <w:sz w:val="24"/>
          <w:szCs w:val="24"/>
          <w:lang w:val="en-US"/>
        </w:rPr>
        <w:t xml:space="preserve">the Restricted Stock Method is </w:t>
      </w:r>
      <w:r w:rsidR="00186CA6">
        <w:rPr>
          <w:sz w:val="24"/>
          <w:szCs w:val="24"/>
        </w:rPr>
        <w:t>excluded in our</w:t>
      </w:r>
      <w:r w:rsidR="00E83FA3">
        <w:rPr>
          <w:sz w:val="24"/>
          <w:szCs w:val="24"/>
        </w:rPr>
        <w:t xml:space="preserve"> thesis. </w:t>
      </w:r>
      <w:r w:rsidR="009D0AB8">
        <w:rPr>
          <w:sz w:val="24"/>
          <w:szCs w:val="24"/>
        </w:rPr>
        <w:t xml:space="preserve">Regarding the </w:t>
      </w:r>
      <w:r w:rsidR="009D0AB8" w:rsidRPr="007C7F80">
        <w:rPr>
          <w:b/>
          <w:bCs/>
          <w:sz w:val="24"/>
          <w:szCs w:val="24"/>
        </w:rPr>
        <w:t>Option Pricing Model</w:t>
      </w:r>
      <w:r w:rsidR="009D0AB8">
        <w:rPr>
          <w:sz w:val="24"/>
          <w:szCs w:val="24"/>
        </w:rPr>
        <w:t xml:space="preserve"> under Quantitative Approach,</w:t>
      </w:r>
      <w:r w:rsidR="00BF7DD8">
        <w:rPr>
          <w:sz w:val="24"/>
          <w:szCs w:val="24"/>
        </w:rPr>
        <w:t xml:space="preserve"> the </w:t>
      </w:r>
      <w:r w:rsidR="00BF7DD8" w:rsidRPr="00BF7DD8">
        <w:rPr>
          <w:sz w:val="24"/>
          <w:szCs w:val="24"/>
        </w:rPr>
        <w:t>main drawback is their inability to account for the qualitative aspects of illiquidity. Furthermore, a large number of option pricing models fail to accurately represent the financial benefits of holding the actual liquidity option. Furthermore, detractors contend that these models are less applicable to privately owned businesses since they do not provide ways to hedge the price risk of nonmarketable investments.</w:t>
      </w:r>
      <w:r w:rsidR="008160A7">
        <w:rPr>
          <w:sz w:val="24"/>
          <w:szCs w:val="24"/>
        </w:rPr>
        <w:t xml:space="preserve"> </w:t>
      </w:r>
      <w:r w:rsidR="009D0AB8" w:rsidRPr="008160A7">
        <w:rPr>
          <w:sz w:val="24"/>
          <w:szCs w:val="24"/>
        </w:rPr>
        <w:t xml:space="preserve"> Therefore, Option Pricing Model is not adopted in our thesis.</w:t>
      </w:r>
      <w:r w:rsidR="007C7F80">
        <w:rPr>
          <w:sz w:val="24"/>
          <w:szCs w:val="24"/>
        </w:rPr>
        <w:t xml:space="preserve"> </w:t>
      </w:r>
      <w:r w:rsidR="00461C19" w:rsidRPr="00B06F2C">
        <w:rPr>
          <w:sz w:val="24"/>
          <w:szCs w:val="24"/>
        </w:rPr>
        <w:t xml:space="preserve">Regarding the </w:t>
      </w:r>
      <w:r w:rsidR="00B06F2C" w:rsidRPr="007C7F80">
        <w:rPr>
          <w:b/>
          <w:bCs/>
          <w:sz w:val="24"/>
          <w:szCs w:val="24"/>
        </w:rPr>
        <w:t>Shareholder Cash Flow Adjustment Model</w:t>
      </w:r>
      <w:r w:rsidR="00B06F2C">
        <w:rPr>
          <w:sz w:val="24"/>
          <w:szCs w:val="24"/>
        </w:rPr>
        <w:t xml:space="preserve"> under Quantitative Approach, m</w:t>
      </w:r>
      <w:r w:rsidR="00B06F2C" w:rsidRPr="008D4BFC">
        <w:rPr>
          <w:sz w:val="24"/>
          <w:szCs w:val="24"/>
        </w:rPr>
        <w:t>any intricate assumptions</w:t>
      </w:r>
      <w:r w:rsidR="003C23F3">
        <w:rPr>
          <w:sz w:val="24"/>
          <w:szCs w:val="24"/>
        </w:rPr>
        <w:t xml:space="preserve"> including </w:t>
      </w:r>
      <w:r w:rsidR="003C23F3" w:rsidRPr="00A078A2">
        <w:rPr>
          <w:sz w:val="24"/>
          <w:szCs w:val="24"/>
        </w:rPr>
        <w:t>expect</w:t>
      </w:r>
      <w:r w:rsidR="003C23F3">
        <w:rPr>
          <w:sz w:val="24"/>
          <w:szCs w:val="24"/>
        </w:rPr>
        <w:t>ed</w:t>
      </w:r>
      <w:r w:rsidR="003C23F3" w:rsidRPr="00A078A2">
        <w:rPr>
          <w:sz w:val="24"/>
          <w:szCs w:val="24"/>
        </w:rPr>
        <w:t xml:space="preserve"> cash flows, </w:t>
      </w:r>
      <w:r w:rsidR="00E3185A">
        <w:rPr>
          <w:sz w:val="24"/>
          <w:szCs w:val="24"/>
        </w:rPr>
        <w:t xml:space="preserve">dividend, </w:t>
      </w:r>
      <w:r w:rsidR="003C23F3" w:rsidRPr="00A078A2">
        <w:rPr>
          <w:sz w:val="24"/>
          <w:szCs w:val="24"/>
        </w:rPr>
        <w:t xml:space="preserve">risk, </w:t>
      </w:r>
      <w:r w:rsidR="00E3185A">
        <w:rPr>
          <w:sz w:val="24"/>
          <w:szCs w:val="24"/>
        </w:rPr>
        <w:t>long</w:t>
      </w:r>
      <w:r w:rsidR="00DC139C">
        <w:rPr>
          <w:sz w:val="24"/>
          <w:szCs w:val="24"/>
        </w:rPr>
        <w:t>-term growth rate</w:t>
      </w:r>
      <w:r w:rsidR="00B06F2C" w:rsidRPr="008D4BFC">
        <w:rPr>
          <w:sz w:val="24"/>
          <w:szCs w:val="24"/>
        </w:rPr>
        <w:t xml:space="preserve"> must be made in order to arrive</w:t>
      </w:r>
      <w:r w:rsidR="00E43B8F">
        <w:rPr>
          <w:sz w:val="24"/>
          <w:szCs w:val="24"/>
        </w:rPr>
        <w:t xml:space="preserve"> the DLO</w:t>
      </w:r>
      <w:r w:rsidR="005E7B9C">
        <w:rPr>
          <w:sz w:val="24"/>
          <w:szCs w:val="24"/>
        </w:rPr>
        <w:t>M which substantial lower the credibi</w:t>
      </w:r>
      <w:r w:rsidR="00394164">
        <w:rPr>
          <w:sz w:val="24"/>
          <w:szCs w:val="24"/>
        </w:rPr>
        <w:t>lity of the model. Therefore, it is also excluded in out thesis.</w:t>
      </w:r>
    </w:p>
    <w:p w14:paraId="29686506" w14:textId="77777777" w:rsidR="00284C7F" w:rsidRDefault="00284C7F" w:rsidP="008B1F7F">
      <w:pPr>
        <w:jc w:val="both"/>
        <w:rPr>
          <w:sz w:val="24"/>
          <w:szCs w:val="24"/>
        </w:rPr>
      </w:pPr>
    </w:p>
    <w:p w14:paraId="1E3BCCB1" w14:textId="1C1D95C2" w:rsidR="005F22C2" w:rsidRDefault="00C80495" w:rsidP="008B1F7F">
      <w:pPr>
        <w:jc w:val="both"/>
        <w:rPr>
          <w:sz w:val="24"/>
          <w:szCs w:val="24"/>
        </w:rPr>
      </w:pPr>
      <w:r w:rsidRPr="002249A7">
        <w:rPr>
          <w:b/>
          <w:bCs/>
          <w:sz w:val="24"/>
          <w:szCs w:val="24"/>
        </w:rPr>
        <w:t>Acquisition Method</w:t>
      </w:r>
      <w:r w:rsidRPr="00C80495">
        <w:rPr>
          <w:sz w:val="24"/>
          <w:szCs w:val="24"/>
        </w:rPr>
        <w:t xml:space="preserve"> </w:t>
      </w:r>
      <w:r>
        <w:rPr>
          <w:sz w:val="24"/>
          <w:szCs w:val="24"/>
        </w:rPr>
        <w:t>under Quantitative Approach</w:t>
      </w:r>
      <w:r w:rsidRPr="00C80495">
        <w:rPr>
          <w:sz w:val="24"/>
          <w:szCs w:val="24"/>
        </w:rPr>
        <w:t xml:space="preserve"> </w:t>
      </w:r>
      <w:r w:rsidR="00892100">
        <w:rPr>
          <w:sz w:val="24"/>
          <w:szCs w:val="24"/>
        </w:rPr>
        <w:t>is</w:t>
      </w:r>
      <w:r w:rsidRPr="00C80495">
        <w:rPr>
          <w:sz w:val="24"/>
          <w:szCs w:val="24"/>
        </w:rPr>
        <w:t xml:space="preserve"> </w:t>
      </w:r>
      <w:r w:rsidR="005D50B5">
        <w:rPr>
          <w:sz w:val="24"/>
          <w:szCs w:val="24"/>
        </w:rPr>
        <w:t xml:space="preserve">widely </w:t>
      </w:r>
      <w:r>
        <w:rPr>
          <w:sz w:val="24"/>
          <w:szCs w:val="24"/>
        </w:rPr>
        <w:t>used</w:t>
      </w:r>
      <w:r w:rsidRPr="00C80495">
        <w:rPr>
          <w:sz w:val="24"/>
          <w:szCs w:val="24"/>
        </w:rPr>
        <w:t xml:space="preserve"> </w:t>
      </w:r>
      <w:r w:rsidR="005D50B5">
        <w:rPr>
          <w:sz w:val="24"/>
          <w:szCs w:val="24"/>
        </w:rPr>
        <w:t xml:space="preserve">by analyst </w:t>
      </w:r>
      <w:r w:rsidRPr="00C80495">
        <w:rPr>
          <w:sz w:val="24"/>
          <w:szCs w:val="24"/>
        </w:rPr>
        <w:t xml:space="preserve">to assist in supporting a DLOM, while others </w:t>
      </w:r>
      <w:r w:rsidR="005D50B5">
        <w:rPr>
          <w:sz w:val="24"/>
          <w:szCs w:val="24"/>
        </w:rPr>
        <w:t xml:space="preserve">always </w:t>
      </w:r>
      <w:r w:rsidRPr="00C80495">
        <w:rPr>
          <w:sz w:val="24"/>
          <w:szCs w:val="24"/>
        </w:rPr>
        <w:t>use the analyses in the selection and adjustment of market multiples in the market</w:t>
      </w:r>
      <w:r w:rsidR="00431236">
        <w:rPr>
          <w:sz w:val="24"/>
          <w:szCs w:val="24"/>
        </w:rPr>
        <w:t xml:space="preserve"> </w:t>
      </w:r>
      <w:r w:rsidRPr="00C80495">
        <w:rPr>
          <w:sz w:val="24"/>
          <w:szCs w:val="24"/>
        </w:rPr>
        <w:t>approach</w:t>
      </w:r>
      <w:r w:rsidR="00431236">
        <w:rPr>
          <w:sz w:val="24"/>
          <w:szCs w:val="24"/>
        </w:rPr>
        <w:t xml:space="preserve"> in valuation.</w:t>
      </w:r>
      <w:r w:rsidR="008E0F3B" w:rsidRPr="008E0F3B">
        <w:rPr>
          <w:sz w:val="24"/>
          <w:szCs w:val="24"/>
        </w:rPr>
        <w:t xml:space="preserve"> </w:t>
      </w:r>
      <w:r w:rsidR="008E0F3B">
        <w:rPr>
          <w:sz w:val="24"/>
          <w:szCs w:val="24"/>
        </w:rPr>
        <w:t>Therefore, Acquisition Method is adopted in out thesis.</w:t>
      </w:r>
      <w:r w:rsidR="00A367EC">
        <w:rPr>
          <w:sz w:val="24"/>
          <w:szCs w:val="24"/>
        </w:rPr>
        <w:t xml:space="preserve"> </w:t>
      </w:r>
      <w:r w:rsidR="000543EA">
        <w:rPr>
          <w:sz w:val="24"/>
          <w:szCs w:val="24"/>
        </w:rPr>
        <w:t xml:space="preserve">In the Acquisition Method, we will </w:t>
      </w:r>
      <w:r w:rsidR="00800B58">
        <w:rPr>
          <w:sz w:val="24"/>
          <w:szCs w:val="24"/>
        </w:rPr>
        <w:t>analyse all transactions data publicly available in the Hong Kong Stock Exchange</w:t>
      </w:r>
      <w:r w:rsidR="00D8701C">
        <w:rPr>
          <w:sz w:val="24"/>
          <w:szCs w:val="24"/>
        </w:rPr>
        <w:t xml:space="preserve"> in past five years</w:t>
      </w:r>
      <w:r w:rsidR="005D2C29">
        <w:rPr>
          <w:sz w:val="24"/>
          <w:szCs w:val="24"/>
        </w:rPr>
        <w:t xml:space="preserve"> to conclude both the average and median DLOM in </w:t>
      </w:r>
      <w:r w:rsidR="00860FF0">
        <w:rPr>
          <w:sz w:val="24"/>
          <w:szCs w:val="24"/>
        </w:rPr>
        <w:t>Hong Kong market.</w:t>
      </w:r>
      <w:r w:rsidR="0089656C">
        <w:rPr>
          <w:sz w:val="24"/>
          <w:szCs w:val="24"/>
        </w:rPr>
        <w:t xml:space="preserve"> </w:t>
      </w:r>
      <w:r w:rsidR="00DA18AA">
        <w:rPr>
          <w:sz w:val="24"/>
          <w:szCs w:val="24"/>
        </w:rPr>
        <w:t xml:space="preserve">In order to </w:t>
      </w:r>
      <w:r w:rsidR="00CE328C">
        <w:rPr>
          <w:sz w:val="24"/>
          <w:szCs w:val="24"/>
        </w:rPr>
        <w:t xml:space="preserve">obtain appropriate samples, we </w:t>
      </w:r>
      <w:r w:rsidR="00AB72CD">
        <w:rPr>
          <w:sz w:val="24"/>
          <w:szCs w:val="24"/>
        </w:rPr>
        <w:t xml:space="preserve">only selected </w:t>
      </w:r>
      <w:r w:rsidR="00624DBF">
        <w:rPr>
          <w:sz w:val="24"/>
          <w:szCs w:val="24"/>
        </w:rPr>
        <w:t xml:space="preserve">transactions amount </w:t>
      </w:r>
      <w:r w:rsidR="00B66F92">
        <w:rPr>
          <w:sz w:val="24"/>
          <w:szCs w:val="24"/>
        </w:rPr>
        <w:t>between HKD</w:t>
      </w:r>
      <w:r w:rsidR="00FB78EF">
        <w:rPr>
          <w:sz w:val="24"/>
          <w:szCs w:val="24"/>
        </w:rPr>
        <w:t xml:space="preserve"> </w:t>
      </w:r>
      <w:r w:rsidR="004538DA">
        <w:rPr>
          <w:sz w:val="24"/>
          <w:szCs w:val="24"/>
        </w:rPr>
        <w:t xml:space="preserve">50 million and HKD </w:t>
      </w:r>
      <w:r w:rsidR="008A2C85">
        <w:rPr>
          <w:sz w:val="24"/>
          <w:szCs w:val="24"/>
        </w:rPr>
        <w:t xml:space="preserve">500 million. </w:t>
      </w:r>
      <w:r w:rsidR="008A2C85" w:rsidRPr="008A2C85">
        <w:rPr>
          <w:sz w:val="24"/>
          <w:szCs w:val="24"/>
        </w:rPr>
        <w:t xml:space="preserve">The </w:t>
      </w:r>
      <w:r w:rsidR="008A2C85">
        <w:rPr>
          <w:sz w:val="24"/>
          <w:szCs w:val="24"/>
        </w:rPr>
        <w:t>transactions</w:t>
      </w:r>
      <w:r w:rsidR="008A2C85" w:rsidRPr="008A2C85">
        <w:rPr>
          <w:sz w:val="24"/>
          <w:szCs w:val="24"/>
        </w:rPr>
        <w:t xml:space="preserve"> that are lacking financial information such as the</w:t>
      </w:r>
      <w:r w:rsidR="008A2C85">
        <w:rPr>
          <w:sz w:val="24"/>
          <w:szCs w:val="24"/>
        </w:rPr>
        <w:t xml:space="preserve"> </w:t>
      </w:r>
      <w:r w:rsidR="008A2C85" w:rsidRPr="008A2C85">
        <w:rPr>
          <w:sz w:val="24"/>
          <w:szCs w:val="24"/>
        </w:rPr>
        <w:t>EV/EBITDA</w:t>
      </w:r>
      <w:r w:rsidR="00817C95">
        <w:rPr>
          <w:sz w:val="24"/>
          <w:szCs w:val="24"/>
        </w:rPr>
        <w:t xml:space="preserve">, EV/Sales, EV/NAV </w:t>
      </w:r>
      <w:r w:rsidR="008A2C85" w:rsidRPr="008A2C85">
        <w:rPr>
          <w:sz w:val="24"/>
          <w:szCs w:val="24"/>
        </w:rPr>
        <w:t>multiple</w:t>
      </w:r>
      <w:r w:rsidR="00817C95">
        <w:rPr>
          <w:sz w:val="24"/>
          <w:szCs w:val="24"/>
        </w:rPr>
        <w:t>s</w:t>
      </w:r>
      <w:r w:rsidR="008A2C85" w:rsidRPr="008A2C85">
        <w:rPr>
          <w:sz w:val="24"/>
          <w:szCs w:val="24"/>
        </w:rPr>
        <w:t xml:space="preserve"> are being removed</w:t>
      </w:r>
      <w:r w:rsidR="00474979">
        <w:rPr>
          <w:sz w:val="24"/>
          <w:szCs w:val="24"/>
        </w:rPr>
        <w:t>.</w:t>
      </w:r>
      <w:r w:rsidR="00284C7F">
        <w:rPr>
          <w:sz w:val="24"/>
          <w:szCs w:val="24"/>
        </w:rPr>
        <w:t xml:space="preserve"> </w:t>
      </w:r>
      <w:r w:rsidR="0089656C">
        <w:rPr>
          <w:sz w:val="24"/>
          <w:szCs w:val="24"/>
        </w:rPr>
        <w:t xml:space="preserve">We will also apply regression model to further analysis </w:t>
      </w:r>
      <w:r w:rsidR="000E1E3E">
        <w:rPr>
          <w:sz w:val="24"/>
          <w:szCs w:val="24"/>
        </w:rPr>
        <w:t>the findings and the result.</w:t>
      </w:r>
      <w:r w:rsidR="00975EA6">
        <w:rPr>
          <w:sz w:val="24"/>
          <w:szCs w:val="24"/>
        </w:rPr>
        <w:t xml:space="preserve"> </w:t>
      </w:r>
      <w:r w:rsidR="00983ED0">
        <w:rPr>
          <w:sz w:val="24"/>
          <w:szCs w:val="24"/>
        </w:rPr>
        <w:t xml:space="preserve">However, Acquisition Method only analysis past data which demonstrate only a historical result which could not provide ample insight </w:t>
      </w:r>
      <w:r w:rsidR="00E122DB">
        <w:rPr>
          <w:sz w:val="24"/>
          <w:szCs w:val="24"/>
        </w:rPr>
        <w:t>of</w:t>
      </w:r>
      <w:r w:rsidR="00983ED0">
        <w:rPr>
          <w:sz w:val="24"/>
          <w:szCs w:val="24"/>
        </w:rPr>
        <w:t xml:space="preserve"> the current or even the future forecast. Therefore, we decided to adopt a </w:t>
      </w:r>
      <w:r w:rsidR="00983ED0" w:rsidRPr="002249A7">
        <w:rPr>
          <w:b/>
          <w:bCs/>
          <w:sz w:val="24"/>
          <w:szCs w:val="24"/>
        </w:rPr>
        <w:t>Survey Method</w:t>
      </w:r>
      <w:r w:rsidR="00983ED0">
        <w:rPr>
          <w:sz w:val="24"/>
          <w:szCs w:val="24"/>
        </w:rPr>
        <w:t xml:space="preserve"> under Qualitative Approached together with the Acquisition Method. </w:t>
      </w:r>
      <w:r w:rsidR="00975EA6">
        <w:rPr>
          <w:sz w:val="24"/>
          <w:szCs w:val="24"/>
        </w:rPr>
        <w:t xml:space="preserve">In the Survey Method, </w:t>
      </w:r>
      <w:r w:rsidR="00C17C2A">
        <w:rPr>
          <w:sz w:val="24"/>
          <w:szCs w:val="24"/>
        </w:rPr>
        <w:t xml:space="preserve">although the </w:t>
      </w:r>
      <w:r w:rsidR="00C17C2A" w:rsidRPr="000150C1">
        <w:rPr>
          <w:b/>
          <w:bCs/>
          <w:sz w:val="24"/>
          <w:szCs w:val="24"/>
        </w:rPr>
        <w:t>limitation</w:t>
      </w:r>
      <w:r w:rsidR="00C17C2A">
        <w:rPr>
          <w:sz w:val="24"/>
          <w:szCs w:val="24"/>
        </w:rPr>
        <w:t xml:space="preserve"> that limited past survey are available for reference, </w:t>
      </w:r>
      <w:r w:rsidR="001C0FFF">
        <w:rPr>
          <w:sz w:val="24"/>
          <w:szCs w:val="24"/>
        </w:rPr>
        <w:t xml:space="preserve">we consulted </w:t>
      </w:r>
      <w:r w:rsidR="00936A70">
        <w:rPr>
          <w:sz w:val="24"/>
          <w:szCs w:val="24"/>
        </w:rPr>
        <w:t>many</w:t>
      </w:r>
      <w:r w:rsidR="001C0FFF">
        <w:rPr>
          <w:sz w:val="24"/>
          <w:szCs w:val="24"/>
        </w:rPr>
        <w:t xml:space="preserve"> </w:t>
      </w:r>
      <w:r w:rsidR="00B06CA0">
        <w:rPr>
          <w:sz w:val="24"/>
          <w:szCs w:val="24"/>
        </w:rPr>
        <w:t xml:space="preserve">professionals in Hong Kong </w:t>
      </w:r>
      <w:r w:rsidR="00936A70">
        <w:rPr>
          <w:sz w:val="24"/>
          <w:szCs w:val="24"/>
        </w:rPr>
        <w:t>who</w:t>
      </w:r>
      <w:r w:rsidR="00B06CA0">
        <w:rPr>
          <w:sz w:val="24"/>
          <w:szCs w:val="24"/>
        </w:rPr>
        <w:t xml:space="preserve"> frequently using the DLOM </w:t>
      </w:r>
      <w:r w:rsidR="00936A70">
        <w:rPr>
          <w:sz w:val="24"/>
          <w:szCs w:val="24"/>
        </w:rPr>
        <w:t xml:space="preserve">data from USA and </w:t>
      </w:r>
      <w:r w:rsidR="0091410F">
        <w:rPr>
          <w:sz w:val="24"/>
          <w:szCs w:val="24"/>
        </w:rPr>
        <w:t>design</w:t>
      </w:r>
      <w:r w:rsidR="00936A70">
        <w:rPr>
          <w:sz w:val="24"/>
          <w:szCs w:val="24"/>
        </w:rPr>
        <w:t>ed appr</w:t>
      </w:r>
      <w:r w:rsidR="0091410F">
        <w:rPr>
          <w:sz w:val="24"/>
          <w:szCs w:val="24"/>
        </w:rPr>
        <w:t xml:space="preserve">opriate </w:t>
      </w:r>
      <w:r w:rsidR="0048548D">
        <w:rPr>
          <w:sz w:val="24"/>
          <w:szCs w:val="24"/>
        </w:rPr>
        <w:t>questions in our survey</w:t>
      </w:r>
      <w:r w:rsidR="00A81176">
        <w:rPr>
          <w:sz w:val="24"/>
          <w:szCs w:val="24"/>
        </w:rPr>
        <w:t xml:space="preserve"> to </w:t>
      </w:r>
      <w:r w:rsidR="00F7554D">
        <w:rPr>
          <w:sz w:val="24"/>
          <w:szCs w:val="24"/>
        </w:rPr>
        <w:t xml:space="preserve">collect and </w:t>
      </w:r>
      <w:r w:rsidR="00A81176">
        <w:rPr>
          <w:sz w:val="24"/>
          <w:szCs w:val="24"/>
        </w:rPr>
        <w:t xml:space="preserve">summarise </w:t>
      </w:r>
      <w:r w:rsidR="00A876D5">
        <w:rPr>
          <w:sz w:val="24"/>
          <w:szCs w:val="24"/>
        </w:rPr>
        <w:t xml:space="preserve">the oversight and </w:t>
      </w:r>
      <w:r w:rsidR="00A81176">
        <w:rPr>
          <w:sz w:val="24"/>
          <w:szCs w:val="24"/>
        </w:rPr>
        <w:t>exp</w:t>
      </w:r>
      <w:r w:rsidR="00A876D5">
        <w:rPr>
          <w:sz w:val="24"/>
          <w:szCs w:val="24"/>
        </w:rPr>
        <w:t>ectation of DLOM in Hong Kong.</w:t>
      </w:r>
      <w:r w:rsidR="00E77315">
        <w:rPr>
          <w:sz w:val="24"/>
          <w:szCs w:val="24"/>
        </w:rPr>
        <w:t xml:space="preserve"> We send </w:t>
      </w:r>
      <w:r w:rsidR="00A1226B">
        <w:rPr>
          <w:sz w:val="24"/>
          <w:szCs w:val="24"/>
        </w:rPr>
        <w:t xml:space="preserve">the survey to </w:t>
      </w:r>
      <w:r w:rsidR="003278B3">
        <w:rPr>
          <w:sz w:val="24"/>
          <w:szCs w:val="24"/>
        </w:rPr>
        <w:t>5</w:t>
      </w:r>
      <w:r w:rsidR="00A1226B">
        <w:rPr>
          <w:sz w:val="24"/>
          <w:szCs w:val="24"/>
        </w:rPr>
        <w:t>0 professionals including Chief Executive Officer</w:t>
      </w:r>
      <w:r w:rsidR="006325B1">
        <w:rPr>
          <w:sz w:val="24"/>
          <w:szCs w:val="24"/>
        </w:rPr>
        <w:t>s</w:t>
      </w:r>
      <w:r w:rsidR="00A1226B">
        <w:rPr>
          <w:sz w:val="24"/>
          <w:szCs w:val="24"/>
        </w:rPr>
        <w:t xml:space="preserve"> and Chief Financial Officer</w:t>
      </w:r>
      <w:r w:rsidR="006325B1">
        <w:rPr>
          <w:sz w:val="24"/>
          <w:szCs w:val="24"/>
        </w:rPr>
        <w:t>s of both listed and non-listed companies based in Hong Kong.</w:t>
      </w:r>
      <w:r w:rsidR="005663ED">
        <w:rPr>
          <w:sz w:val="24"/>
          <w:szCs w:val="24"/>
        </w:rPr>
        <w:t xml:space="preserve"> The Hypothesis is that the </w:t>
      </w:r>
      <w:r w:rsidR="00641309">
        <w:rPr>
          <w:sz w:val="24"/>
          <w:szCs w:val="24"/>
        </w:rPr>
        <w:t xml:space="preserve">result of </w:t>
      </w:r>
      <w:r w:rsidR="0091325D">
        <w:rPr>
          <w:sz w:val="24"/>
          <w:szCs w:val="24"/>
        </w:rPr>
        <w:t xml:space="preserve">Acquisition Method and </w:t>
      </w:r>
      <w:r w:rsidR="00641309">
        <w:rPr>
          <w:sz w:val="24"/>
          <w:szCs w:val="24"/>
        </w:rPr>
        <w:t xml:space="preserve">Survey </w:t>
      </w:r>
      <w:r w:rsidR="0091325D">
        <w:rPr>
          <w:sz w:val="24"/>
          <w:szCs w:val="24"/>
        </w:rPr>
        <w:t xml:space="preserve">Method we done is close enough to </w:t>
      </w:r>
      <w:r w:rsidR="0027607C">
        <w:rPr>
          <w:sz w:val="24"/>
          <w:szCs w:val="24"/>
        </w:rPr>
        <w:t>provide</w:t>
      </w:r>
      <w:r w:rsidR="007B5C77">
        <w:rPr>
          <w:sz w:val="24"/>
          <w:szCs w:val="24"/>
        </w:rPr>
        <w:t xml:space="preserve"> a solid conclusion</w:t>
      </w:r>
      <w:r w:rsidR="00BB6321">
        <w:rPr>
          <w:sz w:val="24"/>
          <w:szCs w:val="24"/>
        </w:rPr>
        <w:t xml:space="preserve">. As the </w:t>
      </w:r>
      <w:r w:rsidR="006233CE">
        <w:rPr>
          <w:sz w:val="24"/>
          <w:szCs w:val="24"/>
        </w:rPr>
        <w:t xml:space="preserve">result from Survey Method reflect expectation </w:t>
      </w:r>
      <w:r w:rsidR="00C577AB">
        <w:rPr>
          <w:sz w:val="24"/>
          <w:szCs w:val="24"/>
        </w:rPr>
        <w:t xml:space="preserve">and acceptation form </w:t>
      </w:r>
      <w:r w:rsidR="00E601BF">
        <w:rPr>
          <w:sz w:val="24"/>
          <w:szCs w:val="24"/>
        </w:rPr>
        <w:t>interviewee, a similar result between</w:t>
      </w:r>
      <w:r w:rsidR="00764461">
        <w:rPr>
          <w:sz w:val="24"/>
          <w:szCs w:val="24"/>
        </w:rPr>
        <w:t xml:space="preserve"> Acquisition Method</w:t>
      </w:r>
      <w:r w:rsidR="00764461" w:rsidRPr="00764461">
        <w:rPr>
          <w:sz w:val="24"/>
          <w:szCs w:val="24"/>
        </w:rPr>
        <w:t xml:space="preserve"> </w:t>
      </w:r>
      <w:r w:rsidR="00764461">
        <w:rPr>
          <w:sz w:val="24"/>
          <w:szCs w:val="24"/>
        </w:rPr>
        <w:t xml:space="preserve">and Survey Method also increase the acceptation </w:t>
      </w:r>
      <w:r w:rsidR="006A2891">
        <w:rPr>
          <w:sz w:val="24"/>
          <w:szCs w:val="24"/>
        </w:rPr>
        <w:t>of our Acquisition Method by professionals in Hong Kong.</w:t>
      </w:r>
    </w:p>
    <w:p w14:paraId="423624F8" w14:textId="77777777" w:rsidR="00E67773" w:rsidRDefault="00E67773" w:rsidP="008B1F7F">
      <w:pPr>
        <w:jc w:val="both"/>
        <w:rPr>
          <w:lang w:eastAsia="en-US"/>
        </w:rPr>
      </w:pPr>
    </w:p>
    <w:p w14:paraId="0AE6AEB0" w14:textId="7F039E02" w:rsidR="0017557A" w:rsidRDefault="00E67773" w:rsidP="008B1F7F">
      <w:pPr>
        <w:jc w:val="both"/>
        <w:rPr>
          <w:sz w:val="24"/>
          <w:szCs w:val="24"/>
        </w:rPr>
      </w:pPr>
      <w:r w:rsidRPr="00AC28B4">
        <w:rPr>
          <w:b/>
          <w:bCs/>
          <w:lang w:eastAsia="en-US"/>
        </w:rPr>
        <w:t>K</w:t>
      </w:r>
      <w:r w:rsidR="00804747" w:rsidRPr="00AC28B4">
        <w:rPr>
          <w:b/>
          <w:bCs/>
          <w:lang w:eastAsia="en-US"/>
        </w:rPr>
        <w:t>eywords</w:t>
      </w:r>
      <w:r w:rsidRPr="00AC28B4">
        <w:rPr>
          <w:b/>
          <w:bCs/>
          <w:lang w:eastAsia="en-US"/>
        </w:rPr>
        <w:t>:</w:t>
      </w:r>
      <w:r>
        <w:rPr>
          <w:lang w:eastAsia="en-US"/>
        </w:rPr>
        <w:t xml:space="preserve"> </w:t>
      </w:r>
      <w:r w:rsidR="00D93962">
        <w:rPr>
          <w:lang w:eastAsia="en-US"/>
        </w:rPr>
        <w:t xml:space="preserve">Acquisition Method, </w:t>
      </w:r>
      <w:r w:rsidRPr="00E527FB">
        <w:rPr>
          <w:sz w:val="24"/>
          <w:szCs w:val="24"/>
        </w:rPr>
        <w:t>Discount for Lack of Marketability</w:t>
      </w:r>
      <w:r>
        <w:rPr>
          <w:lang w:eastAsia="en-US"/>
        </w:rPr>
        <w:t xml:space="preserve">, </w:t>
      </w:r>
      <w:r w:rsidR="00CC2AEE">
        <w:rPr>
          <w:lang w:eastAsia="en-US"/>
        </w:rPr>
        <w:t>F</w:t>
      </w:r>
      <w:r w:rsidR="007347FB">
        <w:rPr>
          <w:lang w:eastAsia="en-US"/>
        </w:rPr>
        <w:t xml:space="preserve">air Value, </w:t>
      </w:r>
      <w:r w:rsidR="003B5E45">
        <w:rPr>
          <w:lang w:eastAsia="en-US"/>
        </w:rPr>
        <w:t>Liquidity</w:t>
      </w:r>
      <w:r w:rsidR="00EB74DE">
        <w:rPr>
          <w:lang w:eastAsia="en-US"/>
        </w:rPr>
        <w:t xml:space="preserve"> Discount</w:t>
      </w:r>
      <w:r w:rsidR="003B5E45">
        <w:rPr>
          <w:lang w:eastAsia="en-US"/>
        </w:rPr>
        <w:t xml:space="preserve">, </w:t>
      </w:r>
      <w:r w:rsidR="00EB738A">
        <w:rPr>
          <w:lang w:eastAsia="en-US"/>
        </w:rPr>
        <w:t xml:space="preserve">Survey Method, </w:t>
      </w:r>
      <w:r w:rsidR="00F67648">
        <w:rPr>
          <w:lang w:eastAsia="en-US"/>
        </w:rPr>
        <w:t>Valuation</w:t>
      </w:r>
      <w:r w:rsidR="00E40A2D">
        <w:rPr>
          <w:lang w:eastAsia="en-US"/>
        </w:rPr>
        <w:t>.</w:t>
      </w:r>
    </w:p>
    <w:p w14:paraId="1A4FB61D" w14:textId="77777777" w:rsidR="00DE4843" w:rsidRDefault="00DE4843" w:rsidP="008B1F7F">
      <w:pPr>
        <w:jc w:val="both"/>
        <w:rPr>
          <w:sz w:val="24"/>
          <w:szCs w:val="24"/>
        </w:rPr>
      </w:pPr>
    </w:p>
    <w:p w14:paraId="6EB32A84" w14:textId="77777777" w:rsidR="008B1F7F" w:rsidRPr="00AC1134" w:rsidRDefault="008B1F7F" w:rsidP="008B1F7F">
      <w:pPr>
        <w:jc w:val="both"/>
        <w:rPr>
          <w:sz w:val="24"/>
          <w:szCs w:val="24"/>
        </w:rPr>
      </w:pPr>
    </w:p>
    <w:p w14:paraId="4DA2066A" w14:textId="39514880" w:rsidR="00170738" w:rsidRPr="008B1F7F" w:rsidRDefault="008B1F7F" w:rsidP="008B1F7F">
      <w:pPr>
        <w:jc w:val="center"/>
        <w:rPr>
          <w:b/>
          <w:bCs/>
        </w:rPr>
      </w:pPr>
      <w:r w:rsidRPr="008B1F7F">
        <w:rPr>
          <w:b/>
          <w:bCs/>
        </w:rPr>
        <w:t>LITERATURE REVIEW</w:t>
      </w:r>
    </w:p>
    <w:p w14:paraId="0E5D9B32" w14:textId="77777777" w:rsidR="00804747" w:rsidRDefault="00804747" w:rsidP="008B1F7F">
      <w:pPr>
        <w:jc w:val="both"/>
        <w:rPr>
          <w:b/>
          <w:bCs/>
          <w:sz w:val="24"/>
          <w:szCs w:val="24"/>
          <w:u w:val="single"/>
        </w:rPr>
      </w:pPr>
    </w:p>
    <w:p w14:paraId="38A50C28" w14:textId="45D7B14B" w:rsidR="00BA4329" w:rsidRPr="00E45E23" w:rsidRDefault="00BA4329" w:rsidP="008B1F7F">
      <w:pPr>
        <w:jc w:val="both"/>
        <w:rPr>
          <w:sz w:val="24"/>
          <w:szCs w:val="24"/>
        </w:rPr>
      </w:pPr>
      <w:r w:rsidRPr="00E45E23">
        <w:rPr>
          <w:sz w:val="24"/>
          <w:szCs w:val="24"/>
        </w:rPr>
        <w:t xml:space="preserve">Both </w:t>
      </w:r>
      <w:r w:rsidRPr="00E45E23">
        <w:rPr>
          <w:b/>
          <w:bCs/>
          <w:sz w:val="24"/>
          <w:szCs w:val="24"/>
        </w:rPr>
        <w:t>Qualitative</w:t>
      </w:r>
      <w:r w:rsidRPr="00E45E23">
        <w:rPr>
          <w:sz w:val="24"/>
          <w:szCs w:val="24"/>
        </w:rPr>
        <w:t xml:space="preserve"> </w:t>
      </w:r>
      <w:r w:rsidRPr="00E45E23">
        <w:rPr>
          <w:b/>
          <w:bCs/>
          <w:sz w:val="24"/>
          <w:szCs w:val="24"/>
        </w:rPr>
        <w:t>Method</w:t>
      </w:r>
      <w:r w:rsidRPr="00E45E23">
        <w:rPr>
          <w:sz w:val="24"/>
          <w:szCs w:val="24"/>
        </w:rPr>
        <w:t xml:space="preserve"> and </w:t>
      </w:r>
      <w:r w:rsidRPr="00E45E23">
        <w:rPr>
          <w:b/>
          <w:bCs/>
          <w:sz w:val="24"/>
          <w:szCs w:val="24"/>
        </w:rPr>
        <w:t>Quantitative</w:t>
      </w:r>
      <w:r w:rsidRPr="00E45E23">
        <w:rPr>
          <w:sz w:val="24"/>
          <w:szCs w:val="24"/>
        </w:rPr>
        <w:t xml:space="preserve"> </w:t>
      </w:r>
      <w:r w:rsidRPr="00E45E23">
        <w:rPr>
          <w:b/>
          <w:bCs/>
          <w:sz w:val="24"/>
          <w:szCs w:val="24"/>
        </w:rPr>
        <w:t>Method</w:t>
      </w:r>
      <w:r w:rsidRPr="00E45E23">
        <w:rPr>
          <w:sz w:val="24"/>
          <w:szCs w:val="24"/>
        </w:rPr>
        <w:t xml:space="preserve"> </w:t>
      </w:r>
      <w:r w:rsidR="0037201D">
        <w:rPr>
          <w:sz w:val="24"/>
          <w:szCs w:val="24"/>
        </w:rPr>
        <w:t>were</w:t>
      </w:r>
      <w:r w:rsidRPr="00E45E23">
        <w:rPr>
          <w:sz w:val="24"/>
          <w:szCs w:val="24"/>
        </w:rPr>
        <w:t xml:space="preserve"> used to support the DLOM calculation. The table below summarizes the Methods and result of the studies done by previous researchers regarding the DLOM</w:t>
      </w:r>
      <w:r w:rsidR="0037201D">
        <w:rPr>
          <w:sz w:val="24"/>
          <w:szCs w:val="24"/>
        </w:rPr>
        <w:t>:</w:t>
      </w:r>
    </w:p>
    <w:p w14:paraId="2ED03D4A" w14:textId="77777777" w:rsidR="00BA4329" w:rsidRPr="00E45E23" w:rsidRDefault="00BA4329" w:rsidP="008B1F7F">
      <w:pPr>
        <w:jc w:val="both"/>
        <w:rPr>
          <w:sz w:val="24"/>
          <w:szCs w:val="24"/>
        </w:rPr>
      </w:pPr>
    </w:p>
    <w:tbl>
      <w:tblPr>
        <w:tblW w:w="90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990"/>
        <w:gridCol w:w="1170"/>
        <w:gridCol w:w="1080"/>
        <w:gridCol w:w="1507"/>
        <w:gridCol w:w="1440"/>
        <w:gridCol w:w="1260"/>
      </w:tblGrid>
      <w:tr w:rsidR="00C835B0" w:rsidRPr="003C7488" w14:paraId="4D2DAB51" w14:textId="77777777" w:rsidTr="008B1F7F">
        <w:trPr>
          <w:tblHeader/>
        </w:trPr>
        <w:tc>
          <w:tcPr>
            <w:tcW w:w="1620" w:type="dxa"/>
            <w:shd w:val="clear" w:color="auto" w:fill="auto"/>
            <w:vAlign w:val="center"/>
          </w:tcPr>
          <w:p w14:paraId="78354E06" w14:textId="77777777" w:rsidR="00C835B0" w:rsidRPr="003C7488" w:rsidRDefault="00C835B0" w:rsidP="008B1F7F">
            <w:pPr>
              <w:spacing w:line="280" w:lineRule="exact"/>
              <w:rPr>
                <w:b/>
                <w:bCs/>
                <w:sz w:val="24"/>
                <w:szCs w:val="24"/>
                <w:lang w:val="en-US"/>
              </w:rPr>
            </w:pPr>
            <w:r w:rsidRPr="003C7488">
              <w:rPr>
                <w:b/>
                <w:bCs/>
                <w:sz w:val="24"/>
                <w:szCs w:val="24"/>
                <w:lang w:val="en-US"/>
              </w:rPr>
              <w:t>Study</w:t>
            </w:r>
          </w:p>
        </w:tc>
        <w:tc>
          <w:tcPr>
            <w:tcW w:w="990" w:type="dxa"/>
            <w:shd w:val="clear" w:color="auto" w:fill="auto"/>
            <w:vAlign w:val="center"/>
          </w:tcPr>
          <w:p w14:paraId="2FFF3CD5" w14:textId="77777777" w:rsidR="00C835B0" w:rsidRPr="003C7488" w:rsidRDefault="00C835B0" w:rsidP="008B1F7F">
            <w:pPr>
              <w:spacing w:line="280" w:lineRule="exact"/>
              <w:jc w:val="both"/>
              <w:rPr>
                <w:b/>
                <w:bCs/>
                <w:sz w:val="24"/>
                <w:szCs w:val="24"/>
              </w:rPr>
            </w:pPr>
            <w:r w:rsidRPr="003C7488">
              <w:rPr>
                <w:b/>
                <w:bCs/>
                <w:sz w:val="24"/>
                <w:szCs w:val="24"/>
              </w:rPr>
              <w:t>Period of Study</w:t>
            </w:r>
          </w:p>
        </w:tc>
        <w:tc>
          <w:tcPr>
            <w:tcW w:w="1170" w:type="dxa"/>
            <w:vAlign w:val="center"/>
          </w:tcPr>
          <w:p w14:paraId="0196AB0A" w14:textId="77777777" w:rsidR="00C835B0" w:rsidRPr="003C7488" w:rsidRDefault="00C835B0" w:rsidP="008B1F7F">
            <w:pPr>
              <w:spacing w:line="280" w:lineRule="exact"/>
              <w:jc w:val="both"/>
              <w:rPr>
                <w:b/>
                <w:bCs/>
                <w:sz w:val="24"/>
                <w:szCs w:val="24"/>
              </w:rPr>
            </w:pPr>
            <w:r w:rsidRPr="003C7488">
              <w:rPr>
                <w:b/>
                <w:bCs/>
                <w:sz w:val="24"/>
                <w:szCs w:val="24"/>
              </w:rPr>
              <w:t>Sample Country</w:t>
            </w:r>
          </w:p>
        </w:tc>
        <w:tc>
          <w:tcPr>
            <w:tcW w:w="1080" w:type="dxa"/>
            <w:shd w:val="clear" w:color="auto" w:fill="auto"/>
            <w:vAlign w:val="center"/>
          </w:tcPr>
          <w:p w14:paraId="0C2C44A0" w14:textId="77777777" w:rsidR="00C835B0" w:rsidRPr="003C7488" w:rsidRDefault="00C835B0" w:rsidP="008B1F7F">
            <w:pPr>
              <w:spacing w:line="280" w:lineRule="exact"/>
              <w:jc w:val="both"/>
              <w:rPr>
                <w:b/>
                <w:bCs/>
                <w:sz w:val="24"/>
                <w:szCs w:val="24"/>
              </w:rPr>
            </w:pPr>
            <w:r w:rsidRPr="003C7488">
              <w:rPr>
                <w:b/>
                <w:bCs/>
                <w:sz w:val="24"/>
                <w:szCs w:val="24"/>
              </w:rPr>
              <w:t>Sample Size</w:t>
            </w:r>
          </w:p>
        </w:tc>
        <w:tc>
          <w:tcPr>
            <w:tcW w:w="1507" w:type="dxa"/>
            <w:shd w:val="clear" w:color="auto" w:fill="auto"/>
            <w:vAlign w:val="center"/>
          </w:tcPr>
          <w:p w14:paraId="19516520" w14:textId="77777777" w:rsidR="00C835B0" w:rsidRPr="003C7488" w:rsidRDefault="00C835B0" w:rsidP="008B1F7F">
            <w:pPr>
              <w:spacing w:line="280" w:lineRule="exact"/>
              <w:jc w:val="both"/>
              <w:rPr>
                <w:b/>
                <w:bCs/>
                <w:sz w:val="24"/>
                <w:szCs w:val="24"/>
              </w:rPr>
            </w:pPr>
            <w:r w:rsidRPr="003C7488">
              <w:rPr>
                <w:b/>
                <w:bCs/>
                <w:sz w:val="24"/>
                <w:szCs w:val="24"/>
              </w:rPr>
              <w:t>Approach</w:t>
            </w:r>
          </w:p>
        </w:tc>
        <w:tc>
          <w:tcPr>
            <w:tcW w:w="1440" w:type="dxa"/>
            <w:vAlign w:val="center"/>
          </w:tcPr>
          <w:p w14:paraId="62A1480A" w14:textId="77777777" w:rsidR="00C835B0" w:rsidRPr="003C7488" w:rsidRDefault="00C835B0" w:rsidP="008B1F7F">
            <w:pPr>
              <w:spacing w:line="280" w:lineRule="exact"/>
              <w:jc w:val="both"/>
              <w:rPr>
                <w:b/>
                <w:bCs/>
                <w:sz w:val="24"/>
                <w:szCs w:val="24"/>
              </w:rPr>
            </w:pPr>
            <w:r w:rsidRPr="003C7488">
              <w:rPr>
                <w:b/>
                <w:bCs/>
                <w:sz w:val="24"/>
                <w:szCs w:val="24"/>
              </w:rPr>
              <w:t>Method</w:t>
            </w:r>
          </w:p>
        </w:tc>
        <w:tc>
          <w:tcPr>
            <w:tcW w:w="1260" w:type="dxa"/>
            <w:shd w:val="clear" w:color="auto" w:fill="auto"/>
            <w:vAlign w:val="center"/>
          </w:tcPr>
          <w:p w14:paraId="60558DCC" w14:textId="77777777" w:rsidR="00C835B0" w:rsidRPr="003C7488" w:rsidRDefault="00C835B0" w:rsidP="008B1F7F">
            <w:pPr>
              <w:spacing w:line="280" w:lineRule="exact"/>
              <w:jc w:val="both"/>
              <w:rPr>
                <w:b/>
                <w:bCs/>
                <w:sz w:val="24"/>
                <w:szCs w:val="24"/>
              </w:rPr>
            </w:pPr>
            <w:r w:rsidRPr="003C7488">
              <w:rPr>
                <w:b/>
                <w:bCs/>
                <w:sz w:val="24"/>
                <w:szCs w:val="24"/>
              </w:rPr>
              <w:t>Price Discount (Average or Median)</w:t>
            </w:r>
          </w:p>
        </w:tc>
      </w:tr>
      <w:tr w:rsidR="00C835B0" w:rsidRPr="003C7488" w14:paraId="4A6F3AC9" w14:textId="77777777" w:rsidTr="008B1F7F">
        <w:trPr>
          <w:trHeight w:val="840"/>
        </w:trPr>
        <w:tc>
          <w:tcPr>
            <w:tcW w:w="1620" w:type="dxa"/>
            <w:shd w:val="clear" w:color="auto" w:fill="auto"/>
            <w:vAlign w:val="center"/>
          </w:tcPr>
          <w:p w14:paraId="6C1224F4" w14:textId="0923828B" w:rsidR="00C835B0" w:rsidRPr="003C7488" w:rsidRDefault="00C835B0" w:rsidP="008B1F7F">
            <w:pPr>
              <w:spacing w:line="280" w:lineRule="exact"/>
              <w:rPr>
                <w:sz w:val="24"/>
                <w:szCs w:val="24"/>
              </w:rPr>
            </w:pPr>
            <w:r w:rsidRPr="003C7488">
              <w:rPr>
                <w:sz w:val="24"/>
                <w:szCs w:val="24"/>
              </w:rPr>
              <w:t>Koeplin</w:t>
            </w:r>
            <w:r>
              <w:rPr>
                <w:sz w:val="24"/>
                <w:szCs w:val="24"/>
              </w:rPr>
              <w:t xml:space="preserve"> (</w:t>
            </w:r>
            <w:r w:rsidRPr="003C7488">
              <w:rPr>
                <w:sz w:val="24"/>
                <w:szCs w:val="24"/>
              </w:rPr>
              <w:t>2000</w:t>
            </w:r>
            <w:r>
              <w:rPr>
                <w:sz w:val="24"/>
                <w:szCs w:val="24"/>
              </w:rPr>
              <w:t>)</w:t>
            </w:r>
          </w:p>
        </w:tc>
        <w:tc>
          <w:tcPr>
            <w:tcW w:w="990" w:type="dxa"/>
            <w:shd w:val="clear" w:color="auto" w:fill="auto"/>
            <w:vAlign w:val="center"/>
          </w:tcPr>
          <w:p w14:paraId="0F209F60" w14:textId="77777777" w:rsidR="00C835B0" w:rsidRPr="003C7488" w:rsidRDefault="00C835B0" w:rsidP="008B1F7F">
            <w:pPr>
              <w:spacing w:line="280" w:lineRule="exact"/>
              <w:jc w:val="both"/>
              <w:rPr>
                <w:sz w:val="24"/>
                <w:szCs w:val="24"/>
              </w:rPr>
            </w:pPr>
            <w:r w:rsidRPr="003C7488">
              <w:rPr>
                <w:sz w:val="24"/>
                <w:szCs w:val="24"/>
              </w:rPr>
              <w:t>1984-1998</w:t>
            </w:r>
          </w:p>
        </w:tc>
        <w:tc>
          <w:tcPr>
            <w:tcW w:w="1170" w:type="dxa"/>
            <w:vAlign w:val="center"/>
          </w:tcPr>
          <w:p w14:paraId="13430032" w14:textId="77777777" w:rsidR="00C835B0" w:rsidRPr="003C7488" w:rsidRDefault="00C835B0" w:rsidP="008B1F7F">
            <w:pPr>
              <w:spacing w:line="280" w:lineRule="exact"/>
              <w:jc w:val="both"/>
              <w:rPr>
                <w:sz w:val="24"/>
                <w:szCs w:val="24"/>
              </w:rPr>
            </w:pPr>
            <w:r w:rsidRPr="003C7488">
              <w:rPr>
                <w:sz w:val="24"/>
                <w:szCs w:val="24"/>
              </w:rPr>
              <w:t>Global</w:t>
            </w:r>
          </w:p>
        </w:tc>
        <w:tc>
          <w:tcPr>
            <w:tcW w:w="1080" w:type="dxa"/>
            <w:shd w:val="clear" w:color="auto" w:fill="auto"/>
            <w:vAlign w:val="center"/>
          </w:tcPr>
          <w:p w14:paraId="0C6B28F4" w14:textId="77777777" w:rsidR="00C835B0" w:rsidRPr="003C7488" w:rsidRDefault="00C835B0" w:rsidP="008B1F7F">
            <w:pPr>
              <w:spacing w:line="280" w:lineRule="exact"/>
              <w:jc w:val="both"/>
              <w:rPr>
                <w:sz w:val="24"/>
                <w:szCs w:val="24"/>
              </w:rPr>
            </w:pPr>
            <w:r w:rsidRPr="003C7488">
              <w:rPr>
                <w:sz w:val="24"/>
                <w:szCs w:val="24"/>
              </w:rPr>
              <w:t>192</w:t>
            </w:r>
          </w:p>
        </w:tc>
        <w:tc>
          <w:tcPr>
            <w:tcW w:w="1507" w:type="dxa"/>
            <w:shd w:val="clear" w:color="auto" w:fill="auto"/>
            <w:vAlign w:val="center"/>
          </w:tcPr>
          <w:p w14:paraId="060EC141"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7F189F52" w14:textId="77777777" w:rsidR="00C835B0" w:rsidRPr="003C7488" w:rsidRDefault="00C835B0" w:rsidP="008B1F7F">
            <w:pPr>
              <w:spacing w:line="280" w:lineRule="exact"/>
              <w:jc w:val="both"/>
              <w:rPr>
                <w:sz w:val="24"/>
                <w:szCs w:val="24"/>
              </w:rPr>
            </w:pPr>
            <w:r w:rsidRPr="003C7488">
              <w:rPr>
                <w:sz w:val="24"/>
                <w:szCs w:val="24"/>
              </w:rPr>
              <w:t>Acquisition</w:t>
            </w:r>
          </w:p>
        </w:tc>
        <w:tc>
          <w:tcPr>
            <w:tcW w:w="1260" w:type="dxa"/>
            <w:shd w:val="clear" w:color="auto" w:fill="auto"/>
            <w:vAlign w:val="center"/>
          </w:tcPr>
          <w:p w14:paraId="6EA4FC48" w14:textId="77777777" w:rsidR="00C835B0" w:rsidRPr="003C7488" w:rsidRDefault="00C835B0" w:rsidP="008B1F7F">
            <w:pPr>
              <w:spacing w:line="280" w:lineRule="exact"/>
              <w:jc w:val="both"/>
              <w:rPr>
                <w:sz w:val="24"/>
                <w:szCs w:val="24"/>
              </w:rPr>
            </w:pPr>
            <w:r w:rsidRPr="003C7488">
              <w:rPr>
                <w:sz w:val="24"/>
                <w:szCs w:val="24"/>
              </w:rPr>
              <w:t>5.96% - 53.85%</w:t>
            </w:r>
          </w:p>
        </w:tc>
      </w:tr>
      <w:tr w:rsidR="00C835B0" w:rsidRPr="003C7488" w14:paraId="251FF651" w14:textId="77777777" w:rsidTr="008B1F7F">
        <w:trPr>
          <w:trHeight w:val="840"/>
        </w:trPr>
        <w:tc>
          <w:tcPr>
            <w:tcW w:w="1620" w:type="dxa"/>
            <w:shd w:val="clear" w:color="auto" w:fill="auto"/>
            <w:vAlign w:val="center"/>
          </w:tcPr>
          <w:p w14:paraId="282F08C3" w14:textId="05AB7F3E" w:rsidR="00C835B0" w:rsidRPr="003C7488" w:rsidRDefault="00C835B0" w:rsidP="008B1F7F">
            <w:pPr>
              <w:spacing w:line="280" w:lineRule="exact"/>
              <w:rPr>
                <w:sz w:val="24"/>
                <w:szCs w:val="24"/>
              </w:rPr>
            </w:pPr>
            <w:r w:rsidRPr="003C7488">
              <w:rPr>
                <w:sz w:val="24"/>
                <w:szCs w:val="24"/>
              </w:rPr>
              <w:t>Kooli</w:t>
            </w:r>
            <w:r>
              <w:rPr>
                <w:sz w:val="24"/>
                <w:szCs w:val="24"/>
              </w:rPr>
              <w:t xml:space="preserve"> (</w:t>
            </w:r>
            <w:r w:rsidRPr="003C7488">
              <w:rPr>
                <w:sz w:val="24"/>
                <w:szCs w:val="24"/>
              </w:rPr>
              <w:t>2003</w:t>
            </w:r>
            <w:r>
              <w:rPr>
                <w:sz w:val="24"/>
                <w:szCs w:val="24"/>
              </w:rPr>
              <w:t>)</w:t>
            </w:r>
          </w:p>
        </w:tc>
        <w:tc>
          <w:tcPr>
            <w:tcW w:w="990" w:type="dxa"/>
            <w:shd w:val="clear" w:color="auto" w:fill="auto"/>
            <w:vAlign w:val="center"/>
          </w:tcPr>
          <w:p w14:paraId="2F6FEF37" w14:textId="77777777" w:rsidR="00C835B0" w:rsidRPr="003C7488" w:rsidRDefault="00C835B0" w:rsidP="008B1F7F">
            <w:pPr>
              <w:spacing w:line="280" w:lineRule="exact"/>
              <w:jc w:val="both"/>
              <w:rPr>
                <w:sz w:val="24"/>
                <w:szCs w:val="24"/>
              </w:rPr>
            </w:pPr>
            <w:r w:rsidRPr="003C7488">
              <w:rPr>
                <w:sz w:val="24"/>
                <w:szCs w:val="24"/>
              </w:rPr>
              <w:t>1995-2002</w:t>
            </w:r>
          </w:p>
        </w:tc>
        <w:tc>
          <w:tcPr>
            <w:tcW w:w="1170" w:type="dxa"/>
            <w:vAlign w:val="center"/>
          </w:tcPr>
          <w:p w14:paraId="468F8C38"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0C0321FB" w14:textId="77777777" w:rsidR="00C835B0" w:rsidRPr="003C7488" w:rsidRDefault="00C835B0" w:rsidP="008B1F7F">
            <w:pPr>
              <w:spacing w:line="280" w:lineRule="exact"/>
              <w:jc w:val="both"/>
              <w:rPr>
                <w:sz w:val="24"/>
                <w:szCs w:val="24"/>
              </w:rPr>
            </w:pPr>
            <w:r w:rsidRPr="003C7488">
              <w:rPr>
                <w:sz w:val="24"/>
                <w:szCs w:val="24"/>
              </w:rPr>
              <w:t>331</w:t>
            </w:r>
          </w:p>
        </w:tc>
        <w:tc>
          <w:tcPr>
            <w:tcW w:w="1507" w:type="dxa"/>
            <w:shd w:val="clear" w:color="auto" w:fill="auto"/>
            <w:vAlign w:val="center"/>
          </w:tcPr>
          <w:p w14:paraId="6F3B414B"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4F44D368" w14:textId="77777777" w:rsidR="00C835B0" w:rsidRPr="003C7488" w:rsidRDefault="00C835B0" w:rsidP="008B1F7F">
            <w:pPr>
              <w:spacing w:line="280" w:lineRule="exact"/>
              <w:jc w:val="both"/>
              <w:rPr>
                <w:sz w:val="24"/>
                <w:szCs w:val="24"/>
              </w:rPr>
            </w:pPr>
            <w:r w:rsidRPr="003C7488">
              <w:rPr>
                <w:sz w:val="24"/>
                <w:szCs w:val="24"/>
              </w:rPr>
              <w:t>Acquisition</w:t>
            </w:r>
          </w:p>
        </w:tc>
        <w:tc>
          <w:tcPr>
            <w:tcW w:w="1260" w:type="dxa"/>
            <w:shd w:val="clear" w:color="auto" w:fill="auto"/>
            <w:vAlign w:val="center"/>
          </w:tcPr>
          <w:p w14:paraId="1E6F0BAF" w14:textId="77777777" w:rsidR="00C835B0" w:rsidRPr="003C7488" w:rsidRDefault="00C835B0" w:rsidP="008B1F7F">
            <w:pPr>
              <w:spacing w:line="280" w:lineRule="exact"/>
              <w:jc w:val="both"/>
              <w:rPr>
                <w:sz w:val="24"/>
                <w:szCs w:val="24"/>
              </w:rPr>
            </w:pPr>
            <w:r w:rsidRPr="003C7488">
              <w:rPr>
                <w:sz w:val="24"/>
                <w:szCs w:val="24"/>
              </w:rPr>
              <w:t>17% - 34%</w:t>
            </w:r>
          </w:p>
        </w:tc>
      </w:tr>
      <w:tr w:rsidR="00C835B0" w:rsidRPr="003C7488" w14:paraId="55D2D694" w14:textId="77777777" w:rsidTr="008B1F7F">
        <w:trPr>
          <w:trHeight w:val="840"/>
        </w:trPr>
        <w:tc>
          <w:tcPr>
            <w:tcW w:w="1620" w:type="dxa"/>
            <w:shd w:val="clear" w:color="auto" w:fill="auto"/>
            <w:vAlign w:val="center"/>
          </w:tcPr>
          <w:p w14:paraId="56394EAD" w14:textId="32A7F8CC" w:rsidR="00C835B0" w:rsidRPr="003C7488" w:rsidRDefault="00C835B0" w:rsidP="008B1F7F">
            <w:pPr>
              <w:spacing w:line="280" w:lineRule="exact"/>
              <w:rPr>
                <w:sz w:val="24"/>
                <w:szCs w:val="24"/>
              </w:rPr>
            </w:pPr>
            <w:r w:rsidRPr="003C7488">
              <w:rPr>
                <w:sz w:val="24"/>
                <w:szCs w:val="24"/>
              </w:rPr>
              <w:t>Officer</w:t>
            </w:r>
            <w:r>
              <w:rPr>
                <w:sz w:val="24"/>
                <w:szCs w:val="24"/>
              </w:rPr>
              <w:t xml:space="preserve"> (</w:t>
            </w:r>
            <w:r w:rsidRPr="003C7488">
              <w:rPr>
                <w:sz w:val="24"/>
                <w:szCs w:val="24"/>
              </w:rPr>
              <w:t>2007</w:t>
            </w:r>
            <w:r>
              <w:rPr>
                <w:sz w:val="24"/>
                <w:szCs w:val="24"/>
              </w:rPr>
              <w:t>)</w:t>
            </w:r>
          </w:p>
        </w:tc>
        <w:tc>
          <w:tcPr>
            <w:tcW w:w="990" w:type="dxa"/>
            <w:shd w:val="clear" w:color="auto" w:fill="auto"/>
            <w:vAlign w:val="center"/>
          </w:tcPr>
          <w:p w14:paraId="6F8C2719" w14:textId="77777777" w:rsidR="00C835B0" w:rsidRPr="003C7488" w:rsidRDefault="00C835B0" w:rsidP="008B1F7F">
            <w:pPr>
              <w:spacing w:line="280" w:lineRule="exact"/>
              <w:jc w:val="both"/>
              <w:rPr>
                <w:sz w:val="24"/>
                <w:szCs w:val="24"/>
              </w:rPr>
            </w:pPr>
            <w:r w:rsidRPr="003C7488">
              <w:rPr>
                <w:sz w:val="24"/>
                <w:szCs w:val="24"/>
              </w:rPr>
              <w:t>1979-2003</w:t>
            </w:r>
          </w:p>
        </w:tc>
        <w:tc>
          <w:tcPr>
            <w:tcW w:w="1170" w:type="dxa"/>
            <w:vAlign w:val="center"/>
          </w:tcPr>
          <w:p w14:paraId="139081F1" w14:textId="77777777" w:rsidR="00C835B0" w:rsidRPr="003C7488" w:rsidRDefault="00C835B0" w:rsidP="008B1F7F">
            <w:pPr>
              <w:spacing w:line="280" w:lineRule="exact"/>
              <w:jc w:val="both"/>
              <w:rPr>
                <w:sz w:val="24"/>
                <w:szCs w:val="24"/>
              </w:rPr>
            </w:pPr>
            <w:r w:rsidRPr="003C7488">
              <w:rPr>
                <w:sz w:val="24"/>
                <w:szCs w:val="24"/>
              </w:rPr>
              <w:t>Global</w:t>
            </w:r>
          </w:p>
        </w:tc>
        <w:tc>
          <w:tcPr>
            <w:tcW w:w="1080" w:type="dxa"/>
            <w:shd w:val="clear" w:color="auto" w:fill="auto"/>
            <w:vAlign w:val="center"/>
          </w:tcPr>
          <w:p w14:paraId="29D5B72B" w14:textId="77777777" w:rsidR="00C835B0" w:rsidRPr="003C7488" w:rsidRDefault="00C835B0" w:rsidP="008B1F7F">
            <w:pPr>
              <w:spacing w:line="280" w:lineRule="exact"/>
              <w:jc w:val="both"/>
              <w:rPr>
                <w:sz w:val="24"/>
                <w:szCs w:val="24"/>
              </w:rPr>
            </w:pPr>
            <w:r w:rsidRPr="003C7488">
              <w:rPr>
                <w:sz w:val="24"/>
                <w:szCs w:val="24"/>
              </w:rPr>
              <w:t>364</w:t>
            </w:r>
          </w:p>
        </w:tc>
        <w:tc>
          <w:tcPr>
            <w:tcW w:w="1507" w:type="dxa"/>
            <w:shd w:val="clear" w:color="auto" w:fill="auto"/>
            <w:vAlign w:val="center"/>
          </w:tcPr>
          <w:p w14:paraId="06E0C471"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77DCD207" w14:textId="77777777" w:rsidR="00C835B0" w:rsidRPr="003C7488" w:rsidRDefault="00C835B0" w:rsidP="008B1F7F">
            <w:pPr>
              <w:spacing w:line="280" w:lineRule="exact"/>
              <w:jc w:val="both"/>
              <w:rPr>
                <w:sz w:val="24"/>
                <w:szCs w:val="24"/>
              </w:rPr>
            </w:pPr>
            <w:r w:rsidRPr="003C7488">
              <w:rPr>
                <w:sz w:val="24"/>
                <w:szCs w:val="24"/>
              </w:rPr>
              <w:t>Acquisition</w:t>
            </w:r>
          </w:p>
        </w:tc>
        <w:tc>
          <w:tcPr>
            <w:tcW w:w="1260" w:type="dxa"/>
            <w:shd w:val="clear" w:color="auto" w:fill="auto"/>
            <w:vAlign w:val="center"/>
          </w:tcPr>
          <w:p w14:paraId="6D725279" w14:textId="77777777" w:rsidR="00C835B0" w:rsidRPr="003C7488" w:rsidRDefault="00C835B0" w:rsidP="008B1F7F">
            <w:pPr>
              <w:spacing w:line="280" w:lineRule="exact"/>
              <w:jc w:val="both"/>
              <w:rPr>
                <w:sz w:val="24"/>
                <w:szCs w:val="24"/>
              </w:rPr>
            </w:pPr>
            <w:r w:rsidRPr="003C7488">
              <w:rPr>
                <w:sz w:val="24"/>
                <w:szCs w:val="24"/>
              </w:rPr>
              <w:t>8.2%</w:t>
            </w:r>
          </w:p>
        </w:tc>
      </w:tr>
      <w:tr w:rsidR="00C835B0" w:rsidRPr="003C7488" w14:paraId="78EDD992" w14:textId="77777777" w:rsidTr="008B1F7F">
        <w:trPr>
          <w:trHeight w:val="840"/>
        </w:trPr>
        <w:tc>
          <w:tcPr>
            <w:tcW w:w="1620" w:type="dxa"/>
            <w:shd w:val="clear" w:color="auto" w:fill="auto"/>
            <w:vAlign w:val="center"/>
          </w:tcPr>
          <w:p w14:paraId="147ED7E4" w14:textId="590413C3" w:rsidR="00C835B0" w:rsidRPr="003C7488" w:rsidRDefault="00C835B0" w:rsidP="008B1F7F">
            <w:pPr>
              <w:spacing w:line="280" w:lineRule="exact"/>
              <w:rPr>
                <w:sz w:val="24"/>
                <w:szCs w:val="24"/>
              </w:rPr>
            </w:pPr>
            <w:r w:rsidRPr="003C7488">
              <w:rPr>
                <w:sz w:val="24"/>
                <w:szCs w:val="24"/>
              </w:rPr>
              <w:t>Block</w:t>
            </w:r>
            <w:r>
              <w:rPr>
                <w:sz w:val="24"/>
                <w:szCs w:val="24"/>
              </w:rPr>
              <w:t xml:space="preserve"> (</w:t>
            </w:r>
            <w:r w:rsidRPr="003C7488">
              <w:rPr>
                <w:sz w:val="24"/>
                <w:szCs w:val="24"/>
              </w:rPr>
              <w:t>2007</w:t>
            </w:r>
            <w:r>
              <w:rPr>
                <w:sz w:val="24"/>
                <w:szCs w:val="24"/>
              </w:rPr>
              <w:t>)</w:t>
            </w:r>
          </w:p>
        </w:tc>
        <w:tc>
          <w:tcPr>
            <w:tcW w:w="990" w:type="dxa"/>
            <w:shd w:val="clear" w:color="auto" w:fill="auto"/>
            <w:vAlign w:val="center"/>
          </w:tcPr>
          <w:p w14:paraId="612CFD6C" w14:textId="77777777" w:rsidR="00C835B0" w:rsidRPr="003C7488" w:rsidRDefault="00C835B0" w:rsidP="008B1F7F">
            <w:pPr>
              <w:spacing w:line="280" w:lineRule="exact"/>
              <w:jc w:val="both"/>
              <w:rPr>
                <w:sz w:val="24"/>
                <w:szCs w:val="24"/>
              </w:rPr>
            </w:pPr>
            <w:r w:rsidRPr="003C7488">
              <w:rPr>
                <w:sz w:val="24"/>
                <w:szCs w:val="24"/>
              </w:rPr>
              <w:t>1999-2006</w:t>
            </w:r>
          </w:p>
        </w:tc>
        <w:tc>
          <w:tcPr>
            <w:tcW w:w="1170" w:type="dxa"/>
            <w:vAlign w:val="center"/>
          </w:tcPr>
          <w:p w14:paraId="0E85A11B"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37824547" w14:textId="77777777" w:rsidR="00C835B0" w:rsidRPr="003C7488" w:rsidRDefault="00C835B0" w:rsidP="008B1F7F">
            <w:pPr>
              <w:spacing w:line="280" w:lineRule="exact"/>
              <w:jc w:val="both"/>
              <w:rPr>
                <w:sz w:val="24"/>
                <w:szCs w:val="24"/>
              </w:rPr>
            </w:pPr>
            <w:r w:rsidRPr="003C7488">
              <w:rPr>
                <w:sz w:val="24"/>
                <w:szCs w:val="24"/>
              </w:rPr>
              <w:t>91</w:t>
            </w:r>
          </w:p>
        </w:tc>
        <w:tc>
          <w:tcPr>
            <w:tcW w:w="1507" w:type="dxa"/>
            <w:shd w:val="clear" w:color="auto" w:fill="auto"/>
            <w:vAlign w:val="center"/>
          </w:tcPr>
          <w:p w14:paraId="1BA87EAD"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2A106A12" w14:textId="77777777" w:rsidR="00C835B0" w:rsidRPr="003C7488" w:rsidRDefault="00C835B0" w:rsidP="008B1F7F">
            <w:pPr>
              <w:spacing w:line="280" w:lineRule="exact"/>
              <w:jc w:val="both"/>
              <w:rPr>
                <w:sz w:val="24"/>
                <w:szCs w:val="24"/>
              </w:rPr>
            </w:pPr>
            <w:r w:rsidRPr="003C7488">
              <w:rPr>
                <w:sz w:val="24"/>
                <w:szCs w:val="24"/>
              </w:rPr>
              <w:t>Acquisition</w:t>
            </w:r>
          </w:p>
        </w:tc>
        <w:tc>
          <w:tcPr>
            <w:tcW w:w="1260" w:type="dxa"/>
            <w:shd w:val="clear" w:color="auto" w:fill="auto"/>
            <w:vAlign w:val="center"/>
          </w:tcPr>
          <w:p w14:paraId="52C2095B" w14:textId="77777777" w:rsidR="00C835B0" w:rsidRPr="003C7488" w:rsidRDefault="00C835B0" w:rsidP="008B1F7F">
            <w:pPr>
              <w:spacing w:line="280" w:lineRule="exact"/>
              <w:jc w:val="both"/>
              <w:rPr>
                <w:sz w:val="24"/>
                <w:szCs w:val="24"/>
              </w:rPr>
            </w:pPr>
            <w:r w:rsidRPr="003C7488">
              <w:rPr>
                <w:sz w:val="24"/>
                <w:szCs w:val="24"/>
              </w:rPr>
              <w:t>21.8%</w:t>
            </w:r>
          </w:p>
        </w:tc>
      </w:tr>
      <w:tr w:rsidR="00C835B0" w:rsidRPr="003C7488" w14:paraId="37E18E35" w14:textId="77777777" w:rsidTr="008B1F7F">
        <w:trPr>
          <w:trHeight w:val="840"/>
        </w:trPr>
        <w:tc>
          <w:tcPr>
            <w:tcW w:w="1620" w:type="dxa"/>
            <w:shd w:val="clear" w:color="auto" w:fill="auto"/>
            <w:vAlign w:val="center"/>
          </w:tcPr>
          <w:p w14:paraId="57C0BD5C" w14:textId="0EEFAAE1" w:rsidR="00C835B0" w:rsidRPr="003C7488" w:rsidRDefault="00C835B0" w:rsidP="008B1F7F">
            <w:pPr>
              <w:spacing w:line="280" w:lineRule="exact"/>
              <w:rPr>
                <w:sz w:val="24"/>
                <w:szCs w:val="24"/>
              </w:rPr>
            </w:pPr>
            <w:r w:rsidRPr="003C7488">
              <w:rPr>
                <w:sz w:val="24"/>
                <w:szCs w:val="24"/>
              </w:rPr>
              <w:t>Paglia</w:t>
            </w:r>
            <w:r>
              <w:rPr>
                <w:sz w:val="24"/>
                <w:szCs w:val="24"/>
              </w:rPr>
              <w:t xml:space="preserve"> (</w:t>
            </w:r>
            <w:r w:rsidRPr="003C7488">
              <w:rPr>
                <w:sz w:val="24"/>
                <w:szCs w:val="24"/>
              </w:rPr>
              <w:t>2010</w:t>
            </w:r>
            <w:r>
              <w:rPr>
                <w:sz w:val="24"/>
                <w:szCs w:val="24"/>
              </w:rPr>
              <w:t>)</w:t>
            </w:r>
          </w:p>
        </w:tc>
        <w:tc>
          <w:tcPr>
            <w:tcW w:w="990" w:type="dxa"/>
            <w:shd w:val="clear" w:color="auto" w:fill="auto"/>
            <w:vAlign w:val="center"/>
          </w:tcPr>
          <w:p w14:paraId="182D4E10" w14:textId="77777777" w:rsidR="00C835B0" w:rsidRPr="003C7488" w:rsidRDefault="00C835B0" w:rsidP="008B1F7F">
            <w:pPr>
              <w:spacing w:line="280" w:lineRule="exact"/>
              <w:jc w:val="both"/>
              <w:rPr>
                <w:sz w:val="24"/>
                <w:szCs w:val="24"/>
              </w:rPr>
            </w:pPr>
            <w:r w:rsidRPr="003C7488">
              <w:rPr>
                <w:sz w:val="24"/>
                <w:szCs w:val="24"/>
              </w:rPr>
              <w:t>1993-2008</w:t>
            </w:r>
          </w:p>
        </w:tc>
        <w:tc>
          <w:tcPr>
            <w:tcW w:w="1170" w:type="dxa"/>
            <w:vAlign w:val="center"/>
          </w:tcPr>
          <w:p w14:paraId="4E49D1DB" w14:textId="77777777" w:rsidR="00C835B0" w:rsidRPr="003C7488" w:rsidRDefault="00C835B0" w:rsidP="008B1F7F">
            <w:pPr>
              <w:spacing w:line="280" w:lineRule="exact"/>
              <w:jc w:val="both"/>
              <w:rPr>
                <w:sz w:val="24"/>
                <w:szCs w:val="24"/>
              </w:rPr>
            </w:pPr>
            <w:r w:rsidRPr="003C7488">
              <w:rPr>
                <w:sz w:val="24"/>
                <w:szCs w:val="24"/>
              </w:rPr>
              <w:t>Global</w:t>
            </w:r>
          </w:p>
        </w:tc>
        <w:tc>
          <w:tcPr>
            <w:tcW w:w="1080" w:type="dxa"/>
            <w:shd w:val="clear" w:color="auto" w:fill="auto"/>
            <w:vAlign w:val="center"/>
          </w:tcPr>
          <w:p w14:paraId="010495C7" w14:textId="77777777" w:rsidR="00C835B0" w:rsidRPr="003C7488" w:rsidRDefault="00C835B0" w:rsidP="008B1F7F">
            <w:pPr>
              <w:spacing w:line="280" w:lineRule="exact"/>
              <w:jc w:val="both"/>
              <w:rPr>
                <w:sz w:val="24"/>
                <w:szCs w:val="24"/>
              </w:rPr>
            </w:pPr>
            <w:r w:rsidRPr="003C7488">
              <w:rPr>
                <w:sz w:val="24"/>
                <w:szCs w:val="24"/>
              </w:rPr>
              <w:t>431</w:t>
            </w:r>
          </w:p>
        </w:tc>
        <w:tc>
          <w:tcPr>
            <w:tcW w:w="1507" w:type="dxa"/>
            <w:shd w:val="clear" w:color="auto" w:fill="auto"/>
            <w:vAlign w:val="center"/>
          </w:tcPr>
          <w:p w14:paraId="27F2B741"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256D08CA" w14:textId="77777777" w:rsidR="00C835B0" w:rsidRPr="003C7488" w:rsidRDefault="00C835B0" w:rsidP="008B1F7F">
            <w:pPr>
              <w:spacing w:line="280" w:lineRule="exact"/>
              <w:jc w:val="both"/>
              <w:rPr>
                <w:sz w:val="24"/>
                <w:szCs w:val="24"/>
              </w:rPr>
            </w:pPr>
            <w:r w:rsidRPr="003C7488">
              <w:rPr>
                <w:sz w:val="24"/>
                <w:szCs w:val="24"/>
              </w:rPr>
              <w:t>Acquisition</w:t>
            </w:r>
          </w:p>
        </w:tc>
        <w:tc>
          <w:tcPr>
            <w:tcW w:w="1260" w:type="dxa"/>
            <w:shd w:val="clear" w:color="auto" w:fill="auto"/>
            <w:vAlign w:val="center"/>
          </w:tcPr>
          <w:p w14:paraId="62F6F9FF" w14:textId="77777777" w:rsidR="00C835B0" w:rsidRPr="003C7488" w:rsidRDefault="00C835B0" w:rsidP="008B1F7F">
            <w:pPr>
              <w:spacing w:line="280" w:lineRule="exact"/>
              <w:jc w:val="both"/>
              <w:rPr>
                <w:sz w:val="24"/>
                <w:szCs w:val="24"/>
              </w:rPr>
            </w:pPr>
            <w:r w:rsidRPr="003C7488">
              <w:rPr>
                <w:sz w:val="24"/>
                <w:szCs w:val="24"/>
              </w:rPr>
              <w:t>46.5%</w:t>
            </w:r>
          </w:p>
        </w:tc>
      </w:tr>
      <w:tr w:rsidR="00C835B0" w:rsidRPr="003C7488" w14:paraId="65930BCE" w14:textId="77777777" w:rsidTr="008B1F7F">
        <w:trPr>
          <w:trHeight w:val="840"/>
        </w:trPr>
        <w:tc>
          <w:tcPr>
            <w:tcW w:w="1620" w:type="dxa"/>
            <w:shd w:val="clear" w:color="auto" w:fill="auto"/>
            <w:vAlign w:val="center"/>
          </w:tcPr>
          <w:p w14:paraId="63194BE3" w14:textId="67D67721" w:rsidR="00C835B0" w:rsidRPr="003C7488" w:rsidRDefault="00C835B0" w:rsidP="008B1F7F">
            <w:pPr>
              <w:spacing w:line="280" w:lineRule="exact"/>
              <w:rPr>
                <w:sz w:val="24"/>
                <w:szCs w:val="24"/>
              </w:rPr>
            </w:pPr>
            <w:r w:rsidRPr="003C7488">
              <w:rPr>
                <w:sz w:val="24"/>
                <w:szCs w:val="24"/>
              </w:rPr>
              <w:t>Gus De Franco</w:t>
            </w:r>
            <w:r>
              <w:rPr>
                <w:sz w:val="24"/>
                <w:szCs w:val="24"/>
              </w:rPr>
              <w:t xml:space="preserve"> (</w:t>
            </w:r>
            <w:r w:rsidRPr="003C7488">
              <w:rPr>
                <w:sz w:val="24"/>
                <w:szCs w:val="24"/>
              </w:rPr>
              <w:t>2011</w:t>
            </w:r>
            <w:r>
              <w:rPr>
                <w:sz w:val="24"/>
                <w:szCs w:val="24"/>
              </w:rPr>
              <w:t>)</w:t>
            </w:r>
          </w:p>
        </w:tc>
        <w:tc>
          <w:tcPr>
            <w:tcW w:w="990" w:type="dxa"/>
            <w:shd w:val="clear" w:color="auto" w:fill="auto"/>
            <w:vAlign w:val="center"/>
          </w:tcPr>
          <w:p w14:paraId="5C812BFD" w14:textId="77777777" w:rsidR="00C835B0" w:rsidRPr="003C7488" w:rsidRDefault="00C835B0" w:rsidP="008B1F7F">
            <w:pPr>
              <w:spacing w:line="280" w:lineRule="exact"/>
              <w:jc w:val="both"/>
              <w:rPr>
                <w:sz w:val="24"/>
                <w:szCs w:val="24"/>
              </w:rPr>
            </w:pPr>
            <w:r w:rsidRPr="003C7488">
              <w:rPr>
                <w:sz w:val="24"/>
                <w:szCs w:val="24"/>
              </w:rPr>
              <w:t>1995-2004</w:t>
            </w:r>
          </w:p>
        </w:tc>
        <w:tc>
          <w:tcPr>
            <w:tcW w:w="1170" w:type="dxa"/>
            <w:vAlign w:val="center"/>
          </w:tcPr>
          <w:p w14:paraId="1AF237B0"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594F25DD" w14:textId="77777777" w:rsidR="00C835B0" w:rsidRPr="003C7488" w:rsidRDefault="00C835B0" w:rsidP="008B1F7F">
            <w:pPr>
              <w:spacing w:line="280" w:lineRule="exact"/>
              <w:jc w:val="both"/>
              <w:rPr>
                <w:sz w:val="24"/>
                <w:szCs w:val="24"/>
              </w:rPr>
            </w:pPr>
            <w:r w:rsidRPr="003C7488">
              <w:rPr>
                <w:sz w:val="24"/>
                <w:szCs w:val="24"/>
              </w:rPr>
              <w:t>664</w:t>
            </w:r>
          </w:p>
        </w:tc>
        <w:tc>
          <w:tcPr>
            <w:tcW w:w="1507" w:type="dxa"/>
            <w:shd w:val="clear" w:color="auto" w:fill="auto"/>
            <w:vAlign w:val="center"/>
          </w:tcPr>
          <w:p w14:paraId="4C6C81B3"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79B897E0" w14:textId="77777777" w:rsidR="00C835B0" w:rsidRPr="003C7488" w:rsidRDefault="00C835B0" w:rsidP="008B1F7F">
            <w:pPr>
              <w:spacing w:line="280" w:lineRule="exact"/>
              <w:jc w:val="both"/>
              <w:rPr>
                <w:sz w:val="24"/>
                <w:szCs w:val="24"/>
              </w:rPr>
            </w:pPr>
            <w:r w:rsidRPr="003C7488">
              <w:rPr>
                <w:sz w:val="24"/>
                <w:szCs w:val="24"/>
              </w:rPr>
              <w:t>Acquisition</w:t>
            </w:r>
          </w:p>
        </w:tc>
        <w:tc>
          <w:tcPr>
            <w:tcW w:w="1260" w:type="dxa"/>
            <w:shd w:val="clear" w:color="auto" w:fill="auto"/>
            <w:vAlign w:val="center"/>
          </w:tcPr>
          <w:p w14:paraId="39A76323" w14:textId="77777777" w:rsidR="00C835B0" w:rsidRPr="003C7488" w:rsidRDefault="00C835B0" w:rsidP="008B1F7F">
            <w:pPr>
              <w:spacing w:line="280" w:lineRule="exact"/>
              <w:jc w:val="both"/>
              <w:rPr>
                <w:sz w:val="24"/>
                <w:szCs w:val="24"/>
              </w:rPr>
            </w:pPr>
            <w:r w:rsidRPr="003C7488">
              <w:rPr>
                <w:sz w:val="24"/>
                <w:szCs w:val="24"/>
              </w:rPr>
              <w:t>33.1%</w:t>
            </w:r>
          </w:p>
        </w:tc>
      </w:tr>
      <w:tr w:rsidR="00C835B0" w:rsidRPr="003C7488" w14:paraId="223A7389" w14:textId="77777777" w:rsidTr="008B1F7F">
        <w:trPr>
          <w:trHeight w:val="840"/>
        </w:trPr>
        <w:tc>
          <w:tcPr>
            <w:tcW w:w="1620" w:type="dxa"/>
            <w:shd w:val="clear" w:color="auto" w:fill="auto"/>
            <w:vAlign w:val="center"/>
          </w:tcPr>
          <w:p w14:paraId="5538D2B9" w14:textId="65696E86" w:rsidR="00C835B0" w:rsidRPr="003C7488" w:rsidRDefault="00C835B0" w:rsidP="008B1F7F">
            <w:pPr>
              <w:spacing w:line="240" w:lineRule="auto"/>
              <w:rPr>
                <w:rStyle w:val="fontstyle01"/>
                <w:rFonts w:ascii="Arial" w:hAnsi="Arial"/>
              </w:rPr>
            </w:pPr>
            <w:bookmarkStart w:id="0" w:name="_Hlk176175514"/>
            <w:r w:rsidRPr="003C7488">
              <w:rPr>
                <w:color w:val="000000"/>
                <w:sz w:val="24"/>
                <w:szCs w:val="24"/>
              </w:rPr>
              <w:t>Kim van Oeveren</w:t>
            </w:r>
            <w:bookmarkEnd w:id="0"/>
            <w:r>
              <w:rPr>
                <w:color w:val="000000"/>
                <w:sz w:val="24"/>
                <w:szCs w:val="24"/>
              </w:rPr>
              <w:t xml:space="preserve"> (</w:t>
            </w:r>
            <w:r w:rsidRPr="003C7488">
              <w:rPr>
                <w:sz w:val="24"/>
                <w:szCs w:val="24"/>
              </w:rPr>
              <w:t>2018</w:t>
            </w:r>
            <w:r>
              <w:rPr>
                <w:sz w:val="24"/>
                <w:szCs w:val="24"/>
              </w:rPr>
              <w:t>)</w:t>
            </w:r>
          </w:p>
        </w:tc>
        <w:tc>
          <w:tcPr>
            <w:tcW w:w="990" w:type="dxa"/>
            <w:shd w:val="clear" w:color="auto" w:fill="auto"/>
            <w:vAlign w:val="center"/>
          </w:tcPr>
          <w:p w14:paraId="7FF8EAD4" w14:textId="77777777" w:rsidR="00C835B0" w:rsidRPr="003C7488" w:rsidRDefault="00C835B0" w:rsidP="008B1F7F">
            <w:pPr>
              <w:spacing w:line="280" w:lineRule="exact"/>
              <w:jc w:val="both"/>
              <w:rPr>
                <w:sz w:val="24"/>
                <w:szCs w:val="24"/>
              </w:rPr>
            </w:pPr>
            <w:r w:rsidRPr="003C7488">
              <w:rPr>
                <w:sz w:val="24"/>
                <w:szCs w:val="24"/>
              </w:rPr>
              <w:t>1985-2017</w:t>
            </w:r>
          </w:p>
        </w:tc>
        <w:tc>
          <w:tcPr>
            <w:tcW w:w="1170" w:type="dxa"/>
            <w:vAlign w:val="center"/>
          </w:tcPr>
          <w:p w14:paraId="75FC1353" w14:textId="77777777" w:rsidR="00C835B0" w:rsidRPr="003C7488" w:rsidRDefault="00C835B0" w:rsidP="008B1F7F">
            <w:pPr>
              <w:spacing w:line="280" w:lineRule="exact"/>
              <w:jc w:val="both"/>
              <w:rPr>
                <w:sz w:val="24"/>
                <w:szCs w:val="24"/>
              </w:rPr>
            </w:pPr>
            <w:r w:rsidRPr="003C7488">
              <w:rPr>
                <w:sz w:val="24"/>
                <w:szCs w:val="24"/>
              </w:rPr>
              <w:t>US</w:t>
            </w:r>
          </w:p>
        </w:tc>
        <w:tc>
          <w:tcPr>
            <w:tcW w:w="1080" w:type="dxa"/>
            <w:shd w:val="clear" w:color="auto" w:fill="auto"/>
            <w:vAlign w:val="center"/>
          </w:tcPr>
          <w:p w14:paraId="627E51E2" w14:textId="77777777" w:rsidR="00C835B0" w:rsidRPr="003C7488" w:rsidRDefault="00C835B0" w:rsidP="008B1F7F">
            <w:pPr>
              <w:spacing w:line="280" w:lineRule="exact"/>
              <w:jc w:val="both"/>
              <w:rPr>
                <w:sz w:val="24"/>
                <w:szCs w:val="24"/>
              </w:rPr>
            </w:pPr>
            <w:r w:rsidRPr="003C7488">
              <w:rPr>
                <w:sz w:val="24"/>
                <w:szCs w:val="24"/>
              </w:rPr>
              <w:t>232</w:t>
            </w:r>
          </w:p>
        </w:tc>
        <w:tc>
          <w:tcPr>
            <w:tcW w:w="1507" w:type="dxa"/>
            <w:shd w:val="clear" w:color="auto" w:fill="auto"/>
            <w:vAlign w:val="center"/>
          </w:tcPr>
          <w:p w14:paraId="23183953"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735BE00B" w14:textId="77777777" w:rsidR="00C835B0" w:rsidRPr="003C7488" w:rsidRDefault="00C835B0" w:rsidP="008B1F7F">
            <w:pPr>
              <w:spacing w:line="280" w:lineRule="exact"/>
              <w:jc w:val="both"/>
              <w:rPr>
                <w:sz w:val="24"/>
                <w:szCs w:val="24"/>
              </w:rPr>
            </w:pPr>
            <w:r w:rsidRPr="003C7488">
              <w:rPr>
                <w:sz w:val="24"/>
                <w:szCs w:val="24"/>
              </w:rPr>
              <w:t>Acquisition</w:t>
            </w:r>
          </w:p>
        </w:tc>
        <w:tc>
          <w:tcPr>
            <w:tcW w:w="1260" w:type="dxa"/>
            <w:shd w:val="clear" w:color="auto" w:fill="auto"/>
            <w:vAlign w:val="center"/>
          </w:tcPr>
          <w:p w14:paraId="26AEFD5C" w14:textId="77777777" w:rsidR="00C835B0" w:rsidRPr="003C7488" w:rsidRDefault="00C835B0" w:rsidP="008B1F7F">
            <w:pPr>
              <w:spacing w:line="280" w:lineRule="exact"/>
              <w:jc w:val="both"/>
              <w:rPr>
                <w:sz w:val="24"/>
                <w:szCs w:val="24"/>
              </w:rPr>
            </w:pPr>
            <w:r w:rsidRPr="003C7488">
              <w:rPr>
                <w:sz w:val="24"/>
                <w:szCs w:val="24"/>
              </w:rPr>
              <w:t>23% - 24.6%</w:t>
            </w:r>
          </w:p>
        </w:tc>
      </w:tr>
      <w:tr w:rsidR="00C835B0" w:rsidRPr="003C7488" w14:paraId="12C80482" w14:textId="77777777" w:rsidTr="008B1F7F">
        <w:trPr>
          <w:trHeight w:val="840"/>
        </w:trPr>
        <w:tc>
          <w:tcPr>
            <w:tcW w:w="1620" w:type="dxa"/>
            <w:shd w:val="clear" w:color="auto" w:fill="auto"/>
            <w:vAlign w:val="center"/>
          </w:tcPr>
          <w:p w14:paraId="376F22B1" w14:textId="7B846F3B" w:rsidR="00C835B0" w:rsidRPr="003C7488" w:rsidRDefault="00C835B0" w:rsidP="008B1F7F">
            <w:pPr>
              <w:spacing w:line="280" w:lineRule="exact"/>
              <w:rPr>
                <w:sz w:val="24"/>
                <w:szCs w:val="24"/>
              </w:rPr>
            </w:pPr>
            <w:bookmarkStart w:id="1" w:name="_Hlk176271971"/>
            <w:r w:rsidRPr="003C7488">
              <w:rPr>
                <w:sz w:val="24"/>
                <w:szCs w:val="24"/>
              </w:rPr>
              <w:t>Emanuel Bagna</w:t>
            </w:r>
            <w:bookmarkEnd w:id="1"/>
            <w:r>
              <w:rPr>
                <w:sz w:val="24"/>
                <w:szCs w:val="24"/>
              </w:rPr>
              <w:t xml:space="preserve"> (</w:t>
            </w:r>
            <w:r w:rsidRPr="003C7488">
              <w:rPr>
                <w:sz w:val="24"/>
                <w:szCs w:val="24"/>
              </w:rPr>
              <w:t>2020</w:t>
            </w:r>
            <w:r>
              <w:rPr>
                <w:sz w:val="24"/>
                <w:szCs w:val="24"/>
              </w:rPr>
              <w:t>)</w:t>
            </w:r>
          </w:p>
        </w:tc>
        <w:tc>
          <w:tcPr>
            <w:tcW w:w="990" w:type="dxa"/>
            <w:shd w:val="clear" w:color="auto" w:fill="auto"/>
            <w:vAlign w:val="center"/>
          </w:tcPr>
          <w:p w14:paraId="3D92A490" w14:textId="77777777" w:rsidR="00C835B0" w:rsidRPr="003C7488" w:rsidRDefault="00C835B0" w:rsidP="008B1F7F">
            <w:pPr>
              <w:spacing w:line="280" w:lineRule="exact"/>
              <w:jc w:val="both"/>
              <w:rPr>
                <w:sz w:val="24"/>
                <w:szCs w:val="24"/>
              </w:rPr>
            </w:pPr>
            <w:r w:rsidRPr="003C7488">
              <w:rPr>
                <w:sz w:val="24"/>
                <w:szCs w:val="24"/>
              </w:rPr>
              <w:t>2003-2019</w:t>
            </w:r>
          </w:p>
        </w:tc>
        <w:tc>
          <w:tcPr>
            <w:tcW w:w="1170" w:type="dxa"/>
            <w:vAlign w:val="center"/>
          </w:tcPr>
          <w:p w14:paraId="071A26A2" w14:textId="77777777" w:rsidR="00C835B0" w:rsidRPr="003C7488" w:rsidRDefault="00C835B0" w:rsidP="008B1F7F">
            <w:pPr>
              <w:spacing w:line="280" w:lineRule="exact"/>
              <w:jc w:val="both"/>
              <w:rPr>
                <w:sz w:val="24"/>
                <w:szCs w:val="24"/>
              </w:rPr>
            </w:pPr>
            <w:r w:rsidRPr="003C7488">
              <w:rPr>
                <w:sz w:val="24"/>
                <w:szCs w:val="24"/>
              </w:rPr>
              <w:t>Italy</w:t>
            </w:r>
          </w:p>
        </w:tc>
        <w:tc>
          <w:tcPr>
            <w:tcW w:w="1080" w:type="dxa"/>
            <w:shd w:val="clear" w:color="auto" w:fill="auto"/>
            <w:vAlign w:val="center"/>
          </w:tcPr>
          <w:p w14:paraId="1148C3E9" w14:textId="77777777" w:rsidR="00C835B0" w:rsidRPr="003C7488" w:rsidRDefault="00C835B0" w:rsidP="008B1F7F">
            <w:pPr>
              <w:spacing w:line="280" w:lineRule="exact"/>
              <w:jc w:val="both"/>
              <w:rPr>
                <w:sz w:val="24"/>
                <w:szCs w:val="24"/>
              </w:rPr>
            </w:pPr>
            <w:r w:rsidRPr="003C7488">
              <w:rPr>
                <w:sz w:val="24"/>
                <w:szCs w:val="24"/>
              </w:rPr>
              <w:t>305</w:t>
            </w:r>
          </w:p>
        </w:tc>
        <w:tc>
          <w:tcPr>
            <w:tcW w:w="1507" w:type="dxa"/>
            <w:shd w:val="clear" w:color="auto" w:fill="auto"/>
            <w:vAlign w:val="center"/>
          </w:tcPr>
          <w:p w14:paraId="2F9077D2"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54517347" w14:textId="77777777" w:rsidR="00C835B0" w:rsidRPr="003C7488" w:rsidRDefault="00C835B0" w:rsidP="008B1F7F">
            <w:pPr>
              <w:spacing w:line="280" w:lineRule="exact"/>
              <w:jc w:val="both"/>
              <w:rPr>
                <w:sz w:val="24"/>
                <w:szCs w:val="24"/>
                <w:lang w:val="en-US"/>
              </w:rPr>
            </w:pPr>
            <w:r w:rsidRPr="003C7488">
              <w:rPr>
                <w:sz w:val="24"/>
                <w:szCs w:val="24"/>
              </w:rPr>
              <w:t>Acquisition</w:t>
            </w:r>
          </w:p>
        </w:tc>
        <w:tc>
          <w:tcPr>
            <w:tcW w:w="1260" w:type="dxa"/>
            <w:shd w:val="clear" w:color="auto" w:fill="auto"/>
            <w:vAlign w:val="center"/>
          </w:tcPr>
          <w:p w14:paraId="53C04947" w14:textId="77777777" w:rsidR="00C835B0" w:rsidRPr="003C7488" w:rsidRDefault="00C835B0" w:rsidP="008B1F7F">
            <w:pPr>
              <w:spacing w:line="280" w:lineRule="exact"/>
              <w:jc w:val="both"/>
              <w:rPr>
                <w:sz w:val="24"/>
                <w:szCs w:val="24"/>
              </w:rPr>
            </w:pPr>
            <w:r w:rsidRPr="003C7488">
              <w:rPr>
                <w:sz w:val="24"/>
                <w:szCs w:val="24"/>
              </w:rPr>
              <w:t>-5.4%-29.3%</w:t>
            </w:r>
          </w:p>
        </w:tc>
      </w:tr>
      <w:tr w:rsidR="00C835B0" w:rsidRPr="003C7488" w14:paraId="4447A589" w14:textId="77777777" w:rsidTr="008B1F7F">
        <w:trPr>
          <w:trHeight w:val="840"/>
        </w:trPr>
        <w:tc>
          <w:tcPr>
            <w:tcW w:w="1620" w:type="dxa"/>
            <w:shd w:val="clear" w:color="auto" w:fill="auto"/>
            <w:vAlign w:val="center"/>
          </w:tcPr>
          <w:p w14:paraId="1E61AF4B" w14:textId="47269999" w:rsidR="00C835B0" w:rsidRPr="003C7488" w:rsidRDefault="00C835B0" w:rsidP="008B1F7F">
            <w:pPr>
              <w:spacing w:line="280" w:lineRule="exact"/>
              <w:rPr>
                <w:sz w:val="24"/>
                <w:szCs w:val="24"/>
              </w:rPr>
            </w:pPr>
            <w:r w:rsidRPr="003C7488">
              <w:rPr>
                <w:sz w:val="24"/>
                <w:szCs w:val="24"/>
              </w:rPr>
              <w:t>Peter L. Lohrey</w:t>
            </w:r>
            <w:r>
              <w:rPr>
                <w:sz w:val="24"/>
                <w:szCs w:val="24"/>
              </w:rPr>
              <w:t xml:space="preserve"> (</w:t>
            </w:r>
            <w:r w:rsidRPr="003C7488">
              <w:rPr>
                <w:sz w:val="24"/>
                <w:szCs w:val="24"/>
              </w:rPr>
              <w:t>2020</w:t>
            </w:r>
            <w:r>
              <w:rPr>
                <w:sz w:val="24"/>
                <w:szCs w:val="24"/>
              </w:rPr>
              <w:t>)</w:t>
            </w:r>
          </w:p>
        </w:tc>
        <w:tc>
          <w:tcPr>
            <w:tcW w:w="990" w:type="dxa"/>
            <w:shd w:val="clear" w:color="auto" w:fill="auto"/>
            <w:vAlign w:val="center"/>
          </w:tcPr>
          <w:p w14:paraId="248E8F56" w14:textId="77777777" w:rsidR="00C835B0" w:rsidRPr="003C7488" w:rsidRDefault="00C835B0" w:rsidP="008B1F7F">
            <w:pPr>
              <w:spacing w:line="280" w:lineRule="exact"/>
              <w:jc w:val="both"/>
              <w:rPr>
                <w:sz w:val="24"/>
                <w:szCs w:val="24"/>
              </w:rPr>
            </w:pPr>
            <w:r w:rsidRPr="003C7488">
              <w:rPr>
                <w:sz w:val="24"/>
                <w:szCs w:val="24"/>
              </w:rPr>
              <w:t>2010-2015</w:t>
            </w:r>
          </w:p>
        </w:tc>
        <w:tc>
          <w:tcPr>
            <w:tcW w:w="1170" w:type="dxa"/>
            <w:vAlign w:val="center"/>
          </w:tcPr>
          <w:p w14:paraId="69A2AB2E"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208DE5A5" w14:textId="77777777" w:rsidR="00C835B0" w:rsidRPr="003C7488" w:rsidRDefault="00C835B0" w:rsidP="008B1F7F">
            <w:pPr>
              <w:spacing w:line="280" w:lineRule="exact"/>
              <w:jc w:val="both"/>
              <w:rPr>
                <w:sz w:val="24"/>
                <w:szCs w:val="24"/>
              </w:rPr>
            </w:pPr>
            <w:r w:rsidRPr="003C7488">
              <w:rPr>
                <w:sz w:val="24"/>
                <w:szCs w:val="24"/>
              </w:rPr>
              <w:t>623</w:t>
            </w:r>
          </w:p>
        </w:tc>
        <w:tc>
          <w:tcPr>
            <w:tcW w:w="1507" w:type="dxa"/>
            <w:shd w:val="clear" w:color="auto" w:fill="auto"/>
            <w:vAlign w:val="center"/>
          </w:tcPr>
          <w:p w14:paraId="7EAFADEC"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34B045C6" w14:textId="77777777" w:rsidR="00C835B0" w:rsidRPr="003C7488" w:rsidRDefault="00C835B0" w:rsidP="008B1F7F">
            <w:pPr>
              <w:spacing w:line="280" w:lineRule="exact"/>
              <w:jc w:val="both"/>
              <w:rPr>
                <w:sz w:val="24"/>
                <w:szCs w:val="24"/>
              </w:rPr>
            </w:pPr>
            <w:r w:rsidRPr="003C7488">
              <w:rPr>
                <w:sz w:val="24"/>
                <w:szCs w:val="24"/>
              </w:rPr>
              <w:t>Acquisition</w:t>
            </w:r>
          </w:p>
        </w:tc>
        <w:tc>
          <w:tcPr>
            <w:tcW w:w="1260" w:type="dxa"/>
            <w:shd w:val="clear" w:color="auto" w:fill="auto"/>
            <w:vAlign w:val="center"/>
          </w:tcPr>
          <w:p w14:paraId="69718D53" w14:textId="77777777" w:rsidR="00C835B0" w:rsidRPr="003C7488" w:rsidRDefault="00C835B0" w:rsidP="008B1F7F">
            <w:pPr>
              <w:spacing w:line="280" w:lineRule="exact"/>
              <w:jc w:val="both"/>
              <w:rPr>
                <w:sz w:val="24"/>
                <w:szCs w:val="24"/>
              </w:rPr>
            </w:pPr>
            <w:r w:rsidRPr="003C7488">
              <w:rPr>
                <w:sz w:val="24"/>
                <w:szCs w:val="24"/>
              </w:rPr>
              <w:t>53% - 55.3%</w:t>
            </w:r>
          </w:p>
        </w:tc>
      </w:tr>
      <w:tr w:rsidR="00C835B0" w:rsidRPr="003C7488" w14:paraId="579625A5" w14:textId="77777777" w:rsidTr="008B1F7F">
        <w:trPr>
          <w:trHeight w:val="840"/>
        </w:trPr>
        <w:tc>
          <w:tcPr>
            <w:tcW w:w="1620" w:type="dxa"/>
            <w:shd w:val="clear" w:color="auto" w:fill="auto"/>
            <w:vAlign w:val="center"/>
          </w:tcPr>
          <w:p w14:paraId="0BA64054" w14:textId="5F6E9ADC" w:rsidR="00C835B0" w:rsidRPr="003C7488" w:rsidRDefault="00C835B0" w:rsidP="008B1F7F">
            <w:pPr>
              <w:spacing w:line="280" w:lineRule="exact"/>
              <w:rPr>
                <w:sz w:val="24"/>
                <w:szCs w:val="24"/>
              </w:rPr>
            </w:pPr>
            <w:r w:rsidRPr="003C7488">
              <w:rPr>
                <w:i/>
                <w:iCs/>
                <w:sz w:val="24"/>
                <w:szCs w:val="24"/>
              </w:rPr>
              <w:t>Alfred Karlsson &amp; Emil Jönsson</w:t>
            </w:r>
            <w:r>
              <w:rPr>
                <w:i/>
                <w:iCs/>
                <w:sz w:val="24"/>
                <w:szCs w:val="24"/>
              </w:rPr>
              <w:t xml:space="preserve"> (</w:t>
            </w:r>
            <w:r w:rsidRPr="003C7488">
              <w:rPr>
                <w:sz w:val="24"/>
                <w:szCs w:val="24"/>
              </w:rPr>
              <w:t>202</w:t>
            </w:r>
            <w:r>
              <w:rPr>
                <w:sz w:val="24"/>
                <w:szCs w:val="24"/>
              </w:rPr>
              <w:t>2)</w:t>
            </w:r>
          </w:p>
        </w:tc>
        <w:tc>
          <w:tcPr>
            <w:tcW w:w="990" w:type="dxa"/>
            <w:shd w:val="clear" w:color="auto" w:fill="auto"/>
            <w:vAlign w:val="center"/>
          </w:tcPr>
          <w:p w14:paraId="03FE9BE7" w14:textId="77777777" w:rsidR="00C835B0" w:rsidRPr="003C7488" w:rsidRDefault="00C835B0" w:rsidP="008B1F7F">
            <w:pPr>
              <w:spacing w:line="280" w:lineRule="exact"/>
              <w:jc w:val="both"/>
              <w:rPr>
                <w:sz w:val="24"/>
                <w:szCs w:val="24"/>
              </w:rPr>
            </w:pPr>
            <w:r w:rsidRPr="003C7488">
              <w:rPr>
                <w:sz w:val="24"/>
                <w:szCs w:val="24"/>
              </w:rPr>
              <w:t>2002-2021</w:t>
            </w:r>
          </w:p>
        </w:tc>
        <w:tc>
          <w:tcPr>
            <w:tcW w:w="1170" w:type="dxa"/>
            <w:vAlign w:val="center"/>
          </w:tcPr>
          <w:p w14:paraId="42CE472C" w14:textId="77777777" w:rsidR="00C835B0" w:rsidRPr="003C7488" w:rsidRDefault="00C835B0" w:rsidP="008B1F7F">
            <w:pPr>
              <w:spacing w:line="280" w:lineRule="exact"/>
              <w:jc w:val="both"/>
              <w:rPr>
                <w:sz w:val="24"/>
                <w:szCs w:val="24"/>
                <w:lang w:val="en-US"/>
              </w:rPr>
            </w:pPr>
            <w:r w:rsidRPr="003C7488">
              <w:rPr>
                <w:sz w:val="24"/>
                <w:szCs w:val="24"/>
              </w:rPr>
              <w:t>Sweden</w:t>
            </w:r>
          </w:p>
        </w:tc>
        <w:tc>
          <w:tcPr>
            <w:tcW w:w="1080" w:type="dxa"/>
            <w:shd w:val="clear" w:color="auto" w:fill="auto"/>
            <w:vAlign w:val="center"/>
          </w:tcPr>
          <w:p w14:paraId="7E8D3E05" w14:textId="77777777" w:rsidR="00C835B0" w:rsidRPr="003C7488" w:rsidRDefault="00C835B0" w:rsidP="008B1F7F">
            <w:pPr>
              <w:spacing w:line="280" w:lineRule="exact"/>
              <w:jc w:val="both"/>
              <w:rPr>
                <w:sz w:val="24"/>
                <w:szCs w:val="24"/>
              </w:rPr>
            </w:pPr>
            <w:r w:rsidRPr="003C7488">
              <w:rPr>
                <w:sz w:val="24"/>
                <w:szCs w:val="24"/>
              </w:rPr>
              <w:t>38</w:t>
            </w:r>
          </w:p>
        </w:tc>
        <w:tc>
          <w:tcPr>
            <w:tcW w:w="1507" w:type="dxa"/>
            <w:shd w:val="clear" w:color="auto" w:fill="auto"/>
            <w:vAlign w:val="center"/>
          </w:tcPr>
          <w:p w14:paraId="0B913A42" w14:textId="77777777" w:rsidR="00C835B0" w:rsidRPr="003C7488" w:rsidRDefault="00C835B0" w:rsidP="008B1F7F">
            <w:pPr>
              <w:spacing w:line="280" w:lineRule="exact"/>
              <w:jc w:val="both"/>
              <w:rPr>
                <w:sz w:val="24"/>
                <w:szCs w:val="24"/>
                <w:lang w:val="en-US"/>
              </w:rPr>
            </w:pPr>
            <w:r w:rsidRPr="003C7488">
              <w:rPr>
                <w:sz w:val="24"/>
                <w:szCs w:val="24"/>
              </w:rPr>
              <w:t>Qualitative</w:t>
            </w:r>
          </w:p>
        </w:tc>
        <w:tc>
          <w:tcPr>
            <w:tcW w:w="1440" w:type="dxa"/>
            <w:vAlign w:val="center"/>
          </w:tcPr>
          <w:p w14:paraId="5D74B3F1" w14:textId="77777777" w:rsidR="00C835B0" w:rsidRPr="003C7488" w:rsidRDefault="00C835B0" w:rsidP="008B1F7F">
            <w:pPr>
              <w:spacing w:line="280" w:lineRule="exact"/>
              <w:jc w:val="both"/>
              <w:rPr>
                <w:sz w:val="24"/>
                <w:szCs w:val="24"/>
              </w:rPr>
            </w:pPr>
            <w:r w:rsidRPr="003C7488">
              <w:rPr>
                <w:sz w:val="24"/>
                <w:szCs w:val="24"/>
              </w:rPr>
              <w:t>Acquisition</w:t>
            </w:r>
          </w:p>
        </w:tc>
        <w:tc>
          <w:tcPr>
            <w:tcW w:w="1260" w:type="dxa"/>
            <w:shd w:val="clear" w:color="auto" w:fill="auto"/>
            <w:vAlign w:val="center"/>
          </w:tcPr>
          <w:p w14:paraId="612806B5" w14:textId="2EDC3CBE" w:rsidR="00C835B0" w:rsidRPr="003C7488" w:rsidRDefault="00C835B0" w:rsidP="008B1F7F">
            <w:pPr>
              <w:spacing w:line="280" w:lineRule="exact"/>
              <w:jc w:val="both"/>
              <w:rPr>
                <w:sz w:val="24"/>
                <w:szCs w:val="24"/>
              </w:rPr>
            </w:pPr>
            <w:r w:rsidRPr="003C7488">
              <w:rPr>
                <w:sz w:val="24"/>
                <w:szCs w:val="24"/>
              </w:rPr>
              <w:t>30</w:t>
            </w:r>
            <w:r>
              <w:rPr>
                <w:sz w:val="24"/>
                <w:szCs w:val="24"/>
              </w:rPr>
              <w:t>%</w:t>
            </w:r>
            <w:r w:rsidRPr="003C7488">
              <w:rPr>
                <w:sz w:val="24"/>
                <w:szCs w:val="24"/>
              </w:rPr>
              <w:t>-50%</w:t>
            </w:r>
          </w:p>
        </w:tc>
      </w:tr>
      <w:tr w:rsidR="00C835B0" w:rsidRPr="003C7488" w14:paraId="0F030783" w14:textId="77777777" w:rsidTr="008B1F7F">
        <w:trPr>
          <w:trHeight w:val="840"/>
        </w:trPr>
        <w:tc>
          <w:tcPr>
            <w:tcW w:w="1620" w:type="dxa"/>
            <w:shd w:val="clear" w:color="auto" w:fill="auto"/>
            <w:vAlign w:val="center"/>
          </w:tcPr>
          <w:p w14:paraId="50F01C17" w14:textId="6C93D2ED" w:rsidR="00C835B0" w:rsidRPr="003C7488" w:rsidRDefault="00C835B0" w:rsidP="008B1F7F">
            <w:pPr>
              <w:spacing w:line="280" w:lineRule="exact"/>
              <w:rPr>
                <w:sz w:val="24"/>
                <w:szCs w:val="24"/>
              </w:rPr>
            </w:pPr>
            <w:r w:rsidRPr="001F389C">
              <w:rPr>
                <w:sz w:val="24"/>
                <w:szCs w:val="24"/>
              </w:rPr>
              <w:t>Patrick Rozario and Kenneth Ma</w:t>
            </w:r>
            <w:r>
              <w:rPr>
                <w:sz w:val="24"/>
                <w:szCs w:val="24"/>
              </w:rPr>
              <w:t xml:space="preserve"> (</w:t>
            </w:r>
            <w:r>
              <w:rPr>
                <w:sz w:val="24"/>
                <w:szCs w:val="24"/>
              </w:rPr>
              <w:t>2024</w:t>
            </w:r>
            <w:r>
              <w:rPr>
                <w:sz w:val="24"/>
                <w:szCs w:val="24"/>
              </w:rPr>
              <w:t>)</w:t>
            </w:r>
          </w:p>
        </w:tc>
        <w:tc>
          <w:tcPr>
            <w:tcW w:w="990" w:type="dxa"/>
            <w:shd w:val="clear" w:color="auto" w:fill="auto"/>
            <w:vAlign w:val="center"/>
          </w:tcPr>
          <w:p w14:paraId="26727A25" w14:textId="6B564C0D" w:rsidR="00C835B0" w:rsidRPr="003C7488" w:rsidRDefault="00C835B0" w:rsidP="008B1F7F">
            <w:pPr>
              <w:spacing w:line="280" w:lineRule="exact"/>
              <w:jc w:val="both"/>
              <w:rPr>
                <w:sz w:val="24"/>
                <w:szCs w:val="24"/>
              </w:rPr>
            </w:pPr>
            <w:r>
              <w:rPr>
                <w:sz w:val="24"/>
                <w:szCs w:val="24"/>
              </w:rPr>
              <w:t>2023-2024</w:t>
            </w:r>
          </w:p>
        </w:tc>
        <w:tc>
          <w:tcPr>
            <w:tcW w:w="1170" w:type="dxa"/>
            <w:vAlign w:val="center"/>
          </w:tcPr>
          <w:p w14:paraId="62E69749" w14:textId="3AE87B54" w:rsidR="00C835B0" w:rsidRPr="003C7488" w:rsidRDefault="00C835B0" w:rsidP="008B1F7F">
            <w:pPr>
              <w:spacing w:line="280" w:lineRule="exact"/>
              <w:jc w:val="both"/>
              <w:rPr>
                <w:sz w:val="24"/>
                <w:szCs w:val="24"/>
              </w:rPr>
            </w:pPr>
            <w:r>
              <w:rPr>
                <w:sz w:val="24"/>
                <w:szCs w:val="24"/>
              </w:rPr>
              <w:t>Hong Kong</w:t>
            </w:r>
          </w:p>
        </w:tc>
        <w:tc>
          <w:tcPr>
            <w:tcW w:w="1080" w:type="dxa"/>
            <w:shd w:val="clear" w:color="auto" w:fill="auto"/>
            <w:vAlign w:val="center"/>
          </w:tcPr>
          <w:p w14:paraId="4346C9D9" w14:textId="5725FA54" w:rsidR="00C835B0" w:rsidRPr="003C7488" w:rsidRDefault="00C835B0" w:rsidP="008B1F7F">
            <w:pPr>
              <w:spacing w:line="280" w:lineRule="exact"/>
              <w:jc w:val="both"/>
              <w:rPr>
                <w:sz w:val="24"/>
                <w:szCs w:val="24"/>
              </w:rPr>
            </w:pPr>
            <w:r>
              <w:rPr>
                <w:sz w:val="24"/>
                <w:szCs w:val="24"/>
              </w:rPr>
              <w:t>36</w:t>
            </w:r>
          </w:p>
        </w:tc>
        <w:tc>
          <w:tcPr>
            <w:tcW w:w="1507" w:type="dxa"/>
            <w:shd w:val="clear" w:color="auto" w:fill="auto"/>
            <w:vAlign w:val="center"/>
          </w:tcPr>
          <w:p w14:paraId="0DBA6D1E" w14:textId="02801AB5"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43F8BEDC" w14:textId="7736B48E" w:rsidR="00C835B0" w:rsidRPr="003C7488" w:rsidRDefault="00C835B0" w:rsidP="008B1F7F">
            <w:pPr>
              <w:spacing w:line="280" w:lineRule="exact"/>
              <w:jc w:val="both"/>
              <w:rPr>
                <w:sz w:val="24"/>
                <w:szCs w:val="24"/>
                <w:lang w:val="en-US"/>
              </w:rPr>
            </w:pPr>
            <w:r w:rsidRPr="003C7488">
              <w:rPr>
                <w:sz w:val="24"/>
                <w:szCs w:val="24"/>
              </w:rPr>
              <w:t>Acquisition</w:t>
            </w:r>
          </w:p>
        </w:tc>
        <w:tc>
          <w:tcPr>
            <w:tcW w:w="1260" w:type="dxa"/>
            <w:shd w:val="clear" w:color="auto" w:fill="auto"/>
            <w:vAlign w:val="center"/>
          </w:tcPr>
          <w:p w14:paraId="38BEE925" w14:textId="70C9554E" w:rsidR="00C835B0" w:rsidRPr="003C7488" w:rsidRDefault="00C835B0" w:rsidP="008B1F7F">
            <w:pPr>
              <w:spacing w:line="280" w:lineRule="exact"/>
              <w:jc w:val="both"/>
              <w:rPr>
                <w:sz w:val="24"/>
                <w:szCs w:val="24"/>
              </w:rPr>
            </w:pPr>
            <w:r>
              <w:rPr>
                <w:sz w:val="24"/>
                <w:szCs w:val="24"/>
              </w:rPr>
              <w:t>17.5% - 19.6%</w:t>
            </w:r>
          </w:p>
        </w:tc>
      </w:tr>
      <w:tr w:rsidR="00C835B0" w:rsidRPr="003C7488" w14:paraId="332CE547" w14:textId="77777777" w:rsidTr="008B1F7F">
        <w:trPr>
          <w:trHeight w:val="840"/>
        </w:trPr>
        <w:tc>
          <w:tcPr>
            <w:tcW w:w="1620" w:type="dxa"/>
            <w:shd w:val="clear" w:color="auto" w:fill="auto"/>
            <w:vAlign w:val="center"/>
          </w:tcPr>
          <w:p w14:paraId="362F0741" w14:textId="5A84C81A" w:rsidR="00C835B0" w:rsidRPr="003C7488" w:rsidRDefault="00C835B0" w:rsidP="008B1F7F">
            <w:pPr>
              <w:spacing w:line="280" w:lineRule="exact"/>
              <w:rPr>
                <w:sz w:val="24"/>
                <w:szCs w:val="24"/>
              </w:rPr>
            </w:pPr>
            <w:r w:rsidRPr="003C7488">
              <w:rPr>
                <w:sz w:val="24"/>
                <w:szCs w:val="24"/>
              </w:rPr>
              <w:t>Valuation Advisors Studies</w:t>
            </w:r>
            <w:r>
              <w:rPr>
                <w:sz w:val="24"/>
                <w:szCs w:val="24"/>
              </w:rPr>
              <w:t xml:space="preserve"> (</w:t>
            </w:r>
            <w:r w:rsidRPr="003C7488">
              <w:rPr>
                <w:sz w:val="24"/>
                <w:szCs w:val="24"/>
              </w:rPr>
              <w:t>2007</w:t>
            </w:r>
            <w:r>
              <w:rPr>
                <w:sz w:val="24"/>
                <w:szCs w:val="24"/>
              </w:rPr>
              <w:t>)</w:t>
            </w:r>
          </w:p>
        </w:tc>
        <w:tc>
          <w:tcPr>
            <w:tcW w:w="990" w:type="dxa"/>
            <w:shd w:val="clear" w:color="auto" w:fill="auto"/>
            <w:vAlign w:val="center"/>
          </w:tcPr>
          <w:p w14:paraId="45361A0F" w14:textId="77777777" w:rsidR="00C835B0" w:rsidRPr="003C7488" w:rsidRDefault="00C835B0" w:rsidP="008B1F7F">
            <w:pPr>
              <w:spacing w:line="280" w:lineRule="exact"/>
              <w:jc w:val="both"/>
              <w:rPr>
                <w:sz w:val="24"/>
                <w:szCs w:val="24"/>
              </w:rPr>
            </w:pPr>
            <w:r w:rsidRPr="003C7488">
              <w:rPr>
                <w:sz w:val="24"/>
                <w:szCs w:val="24"/>
              </w:rPr>
              <w:t>1995-2006</w:t>
            </w:r>
          </w:p>
        </w:tc>
        <w:tc>
          <w:tcPr>
            <w:tcW w:w="1170" w:type="dxa"/>
            <w:vAlign w:val="center"/>
          </w:tcPr>
          <w:p w14:paraId="5E82EA32"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5F5F7128" w14:textId="77777777" w:rsidR="00C835B0" w:rsidRPr="003C7488" w:rsidRDefault="00C835B0" w:rsidP="008B1F7F">
            <w:pPr>
              <w:spacing w:line="280" w:lineRule="exact"/>
              <w:jc w:val="both"/>
              <w:rPr>
                <w:sz w:val="24"/>
                <w:szCs w:val="24"/>
              </w:rPr>
            </w:pPr>
            <w:r w:rsidRPr="003C7488">
              <w:rPr>
                <w:sz w:val="24"/>
                <w:szCs w:val="24"/>
              </w:rPr>
              <w:t>3,288</w:t>
            </w:r>
          </w:p>
        </w:tc>
        <w:tc>
          <w:tcPr>
            <w:tcW w:w="1507" w:type="dxa"/>
            <w:shd w:val="clear" w:color="auto" w:fill="auto"/>
            <w:vAlign w:val="center"/>
          </w:tcPr>
          <w:p w14:paraId="6B84E212"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63E1C4DF" w14:textId="77777777" w:rsidR="00C835B0" w:rsidRPr="003C7488" w:rsidRDefault="00C835B0" w:rsidP="008B1F7F">
            <w:pPr>
              <w:spacing w:line="280" w:lineRule="exact"/>
              <w:jc w:val="both"/>
              <w:rPr>
                <w:sz w:val="24"/>
                <w:szCs w:val="24"/>
              </w:rPr>
            </w:pPr>
            <w:r w:rsidRPr="003C7488">
              <w:rPr>
                <w:sz w:val="24"/>
                <w:szCs w:val="24"/>
                <w:lang w:val="en-US"/>
              </w:rPr>
              <w:t>Pre-IPO</w:t>
            </w:r>
          </w:p>
        </w:tc>
        <w:tc>
          <w:tcPr>
            <w:tcW w:w="1260" w:type="dxa"/>
            <w:shd w:val="clear" w:color="auto" w:fill="auto"/>
            <w:vAlign w:val="center"/>
          </w:tcPr>
          <w:p w14:paraId="674A946C" w14:textId="77777777" w:rsidR="00C835B0" w:rsidRPr="003C7488" w:rsidRDefault="00C835B0" w:rsidP="008B1F7F">
            <w:pPr>
              <w:spacing w:line="280" w:lineRule="exact"/>
              <w:jc w:val="both"/>
              <w:rPr>
                <w:sz w:val="24"/>
                <w:szCs w:val="24"/>
              </w:rPr>
            </w:pPr>
            <w:r w:rsidRPr="003C7488">
              <w:rPr>
                <w:sz w:val="24"/>
                <w:szCs w:val="24"/>
              </w:rPr>
              <w:t>46.3% - 50.41%</w:t>
            </w:r>
          </w:p>
        </w:tc>
      </w:tr>
      <w:tr w:rsidR="00C835B0" w:rsidRPr="003C7488" w14:paraId="5C25BC82" w14:textId="77777777" w:rsidTr="008B1F7F">
        <w:trPr>
          <w:trHeight w:val="840"/>
        </w:trPr>
        <w:tc>
          <w:tcPr>
            <w:tcW w:w="1620" w:type="dxa"/>
            <w:shd w:val="clear" w:color="auto" w:fill="auto"/>
            <w:vAlign w:val="center"/>
          </w:tcPr>
          <w:p w14:paraId="5C6499CD" w14:textId="4E5AB080" w:rsidR="00C835B0" w:rsidRPr="003C7488" w:rsidRDefault="00C835B0" w:rsidP="008B1F7F">
            <w:pPr>
              <w:spacing w:line="280" w:lineRule="exact"/>
              <w:rPr>
                <w:sz w:val="24"/>
                <w:szCs w:val="24"/>
              </w:rPr>
            </w:pPr>
            <w:r w:rsidRPr="003C7488">
              <w:rPr>
                <w:sz w:val="24"/>
                <w:szCs w:val="24"/>
              </w:rPr>
              <w:t>Willamette Studies</w:t>
            </w:r>
            <w:r>
              <w:rPr>
                <w:sz w:val="24"/>
                <w:szCs w:val="24"/>
              </w:rPr>
              <w:t xml:space="preserve"> (</w:t>
            </w:r>
            <w:r w:rsidRPr="003C7488">
              <w:rPr>
                <w:sz w:val="24"/>
                <w:szCs w:val="24"/>
              </w:rPr>
              <w:t>2009</w:t>
            </w:r>
            <w:r>
              <w:rPr>
                <w:sz w:val="24"/>
                <w:szCs w:val="24"/>
              </w:rPr>
              <w:t>)</w:t>
            </w:r>
          </w:p>
        </w:tc>
        <w:tc>
          <w:tcPr>
            <w:tcW w:w="990" w:type="dxa"/>
            <w:shd w:val="clear" w:color="auto" w:fill="auto"/>
            <w:vAlign w:val="center"/>
          </w:tcPr>
          <w:p w14:paraId="1A6D327B" w14:textId="77777777" w:rsidR="00C835B0" w:rsidRPr="003C7488" w:rsidRDefault="00C835B0" w:rsidP="008B1F7F">
            <w:pPr>
              <w:spacing w:line="280" w:lineRule="exact"/>
              <w:jc w:val="both"/>
              <w:rPr>
                <w:sz w:val="24"/>
                <w:szCs w:val="24"/>
              </w:rPr>
            </w:pPr>
            <w:r w:rsidRPr="003C7488">
              <w:rPr>
                <w:sz w:val="24"/>
                <w:szCs w:val="24"/>
              </w:rPr>
              <w:t>1975-2002</w:t>
            </w:r>
          </w:p>
        </w:tc>
        <w:tc>
          <w:tcPr>
            <w:tcW w:w="1170" w:type="dxa"/>
            <w:vAlign w:val="center"/>
          </w:tcPr>
          <w:p w14:paraId="3F3A1C65"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33602E60" w14:textId="77777777" w:rsidR="00C835B0" w:rsidRPr="003C7488" w:rsidRDefault="00C835B0" w:rsidP="008B1F7F">
            <w:pPr>
              <w:spacing w:line="280" w:lineRule="exact"/>
              <w:jc w:val="both"/>
              <w:rPr>
                <w:sz w:val="24"/>
                <w:szCs w:val="24"/>
              </w:rPr>
            </w:pPr>
            <w:r w:rsidRPr="003C7488">
              <w:rPr>
                <w:sz w:val="24"/>
                <w:szCs w:val="24"/>
              </w:rPr>
              <w:t>1,080</w:t>
            </w:r>
          </w:p>
        </w:tc>
        <w:tc>
          <w:tcPr>
            <w:tcW w:w="1507" w:type="dxa"/>
            <w:shd w:val="clear" w:color="auto" w:fill="auto"/>
            <w:vAlign w:val="center"/>
          </w:tcPr>
          <w:p w14:paraId="0BDFF0FF"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292D0B21" w14:textId="77777777" w:rsidR="00C835B0" w:rsidRPr="003C7488" w:rsidRDefault="00C835B0" w:rsidP="008B1F7F">
            <w:pPr>
              <w:spacing w:line="280" w:lineRule="exact"/>
              <w:jc w:val="both"/>
              <w:rPr>
                <w:sz w:val="24"/>
                <w:szCs w:val="24"/>
              </w:rPr>
            </w:pPr>
            <w:r w:rsidRPr="003C7488">
              <w:rPr>
                <w:sz w:val="24"/>
                <w:szCs w:val="24"/>
                <w:lang w:val="en-US"/>
              </w:rPr>
              <w:t>Pre-IPO</w:t>
            </w:r>
          </w:p>
        </w:tc>
        <w:tc>
          <w:tcPr>
            <w:tcW w:w="1260" w:type="dxa"/>
            <w:shd w:val="clear" w:color="auto" w:fill="auto"/>
            <w:vAlign w:val="center"/>
          </w:tcPr>
          <w:p w14:paraId="4010B613" w14:textId="77777777" w:rsidR="00C835B0" w:rsidRPr="003C7488" w:rsidRDefault="00C835B0" w:rsidP="008B1F7F">
            <w:pPr>
              <w:spacing w:line="280" w:lineRule="exact"/>
              <w:jc w:val="both"/>
              <w:rPr>
                <w:sz w:val="24"/>
                <w:szCs w:val="24"/>
              </w:rPr>
            </w:pPr>
            <w:r w:rsidRPr="003C7488">
              <w:rPr>
                <w:sz w:val="24"/>
                <w:szCs w:val="24"/>
              </w:rPr>
              <w:t>28% - 39%</w:t>
            </w:r>
          </w:p>
        </w:tc>
      </w:tr>
      <w:tr w:rsidR="00C835B0" w:rsidRPr="003C7488" w14:paraId="236428D5" w14:textId="77777777" w:rsidTr="008B1F7F">
        <w:trPr>
          <w:trHeight w:val="840"/>
        </w:trPr>
        <w:tc>
          <w:tcPr>
            <w:tcW w:w="1620" w:type="dxa"/>
            <w:shd w:val="clear" w:color="auto" w:fill="auto"/>
            <w:vAlign w:val="center"/>
          </w:tcPr>
          <w:p w14:paraId="2EBDBD9D" w14:textId="0F6D0EA1" w:rsidR="00C835B0" w:rsidRPr="003C7488" w:rsidRDefault="00C835B0" w:rsidP="008B1F7F">
            <w:pPr>
              <w:spacing w:line="280" w:lineRule="exact"/>
              <w:rPr>
                <w:sz w:val="24"/>
                <w:szCs w:val="24"/>
              </w:rPr>
            </w:pPr>
            <w:r w:rsidRPr="003C7488">
              <w:rPr>
                <w:sz w:val="24"/>
                <w:szCs w:val="24"/>
              </w:rPr>
              <w:t>Hitchner and Morris</w:t>
            </w:r>
            <w:r>
              <w:rPr>
                <w:sz w:val="24"/>
                <w:szCs w:val="24"/>
              </w:rPr>
              <w:t xml:space="preserve"> (</w:t>
            </w:r>
            <w:r w:rsidRPr="003C7488">
              <w:rPr>
                <w:sz w:val="24"/>
                <w:szCs w:val="24"/>
              </w:rPr>
              <w:t>2011</w:t>
            </w:r>
            <w:r>
              <w:rPr>
                <w:sz w:val="24"/>
                <w:szCs w:val="24"/>
              </w:rPr>
              <w:t>)</w:t>
            </w:r>
          </w:p>
        </w:tc>
        <w:tc>
          <w:tcPr>
            <w:tcW w:w="990" w:type="dxa"/>
            <w:shd w:val="clear" w:color="auto" w:fill="auto"/>
            <w:vAlign w:val="center"/>
          </w:tcPr>
          <w:p w14:paraId="40200993" w14:textId="310846DF" w:rsidR="00C835B0" w:rsidRPr="003C7488" w:rsidRDefault="00C835B0" w:rsidP="008B1F7F">
            <w:pPr>
              <w:spacing w:line="280" w:lineRule="exact"/>
              <w:jc w:val="both"/>
              <w:rPr>
                <w:sz w:val="24"/>
                <w:szCs w:val="24"/>
              </w:rPr>
            </w:pPr>
            <w:r w:rsidRPr="003C7488">
              <w:rPr>
                <w:sz w:val="24"/>
                <w:szCs w:val="24"/>
              </w:rPr>
              <w:t>1980 - 1995</w:t>
            </w:r>
          </w:p>
        </w:tc>
        <w:tc>
          <w:tcPr>
            <w:tcW w:w="1170" w:type="dxa"/>
            <w:vAlign w:val="center"/>
          </w:tcPr>
          <w:p w14:paraId="5B4D062F"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34F32C2A" w14:textId="77777777" w:rsidR="00C835B0" w:rsidRPr="003C7488" w:rsidRDefault="00C835B0" w:rsidP="008B1F7F">
            <w:pPr>
              <w:spacing w:line="280" w:lineRule="exact"/>
              <w:jc w:val="both"/>
              <w:rPr>
                <w:sz w:val="24"/>
                <w:szCs w:val="24"/>
              </w:rPr>
            </w:pPr>
            <w:r w:rsidRPr="003C7488">
              <w:rPr>
                <w:sz w:val="24"/>
                <w:szCs w:val="24"/>
              </w:rPr>
              <w:t>242</w:t>
            </w:r>
          </w:p>
        </w:tc>
        <w:tc>
          <w:tcPr>
            <w:tcW w:w="1507" w:type="dxa"/>
            <w:shd w:val="clear" w:color="auto" w:fill="auto"/>
            <w:vAlign w:val="center"/>
          </w:tcPr>
          <w:p w14:paraId="6FF22118"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36EC8DC1" w14:textId="77777777" w:rsidR="00C835B0" w:rsidRPr="003C7488" w:rsidRDefault="00C835B0" w:rsidP="008B1F7F">
            <w:pPr>
              <w:spacing w:line="280" w:lineRule="exact"/>
              <w:jc w:val="both"/>
              <w:rPr>
                <w:sz w:val="24"/>
                <w:szCs w:val="24"/>
              </w:rPr>
            </w:pPr>
            <w:r w:rsidRPr="003C7488">
              <w:rPr>
                <w:sz w:val="24"/>
                <w:szCs w:val="24"/>
                <w:lang w:val="en-US"/>
              </w:rPr>
              <w:t>Pre-IPO</w:t>
            </w:r>
          </w:p>
        </w:tc>
        <w:tc>
          <w:tcPr>
            <w:tcW w:w="1260" w:type="dxa"/>
            <w:shd w:val="clear" w:color="auto" w:fill="auto"/>
            <w:vAlign w:val="center"/>
          </w:tcPr>
          <w:p w14:paraId="2C06FEA7" w14:textId="77777777" w:rsidR="00C835B0" w:rsidRPr="003C7488" w:rsidRDefault="00C835B0" w:rsidP="008B1F7F">
            <w:pPr>
              <w:spacing w:line="280" w:lineRule="exact"/>
              <w:jc w:val="both"/>
              <w:rPr>
                <w:sz w:val="24"/>
                <w:szCs w:val="24"/>
              </w:rPr>
            </w:pPr>
            <w:r w:rsidRPr="003C7488">
              <w:rPr>
                <w:sz w:val="24"/>
                <w:szCs w:val="24"/>
              </w:rPr>
              <w:t>47% - 48%</w:t>
            </w:r>
          </w:p>
        </w:tc>
      </w:tr>
      <w:tr w:rsidR="00C835B0" w:rsidRPr="003C7488" w14:paraId="38320F61" w14:textId="77777777" w:rsidTr="008B1F7F">
        <w:trPr>
          <w:trHeight w:val="840"/>
        </w:trPr>
        <w:tc>
          <w:tcPr>
            <w:tcW w:w="1620" w:type="dxa"/>
            <w:shd w:val="clear" w:color="auto" w:fill="auto"/>
            <w:vAlign w:val="center"/>
          </w:tcPr>
          <w:p w14:paraId="547F36E3" w14:textId="1B626622" w:rsidR="00C835B0" w:rsidRPr="003C7488" w:rsidRDefault="00C835B0" w:rsidP="008B1F7F">
            <w:pPr>
              <w:spacing w:line="280" w:lineRule="exact"/>
              <w:rPr>
                <w:sz w:val="24"/>
                <w:szCs w:val="24"/>
              </w:rPr>
            </w:pPr>
            <w:r w:rsidRPr="003C7488">
              <w:rPr>
                <w:sz w:val="24"/>
                <w:szCs w:val="24"/>
              </w:rPr>
              <w:t>Emory Studies</w:t>
            </w:r>
            <w:r>
              <w:rPr>
                <w:sz w:val="24"/>
                <w:szCs w:val="24"/>
              </w:rPr>
              <w:t xml:space="preserve"> (</w:t>
            </w:r>
            <w:r w:rsidRPr="003C7488">
              <w:rPr>
                <w:sz w:val="24"/>
                <w:szCs w:val="24"/>
              </w:rPr>
              <w:t>2012</w:t>
            </w:r>
            <w:r>
              <w:rPr>
                <w:sz w:val="24"/>
                <w:szCs w:val="24"/>
              </w:rPr>
              <w:t>)</w:t>
            </w:r>
          </w:p>
        </w:tc>
        <w:tc>
          <w:tcPr>
            <w:tcW w:w="990" w:type="dxa"/>
            <w:shd w:val="clear" w:color="auto" w:fill="auto"/>
            <w:vAlign w:val="center"/>
          </w:tcPr>
          <w:p w14:paraId="2F69958E" w14:textId="77777777" w:rsidR="00C835B0" w:rsidRPr="003C7488" w:rsidRDefault="00C835B0" w:rsidP="008B1F7F">
            <w:pPr>
              <w:spacing w:line="280" w:lineRule="exact"/>
              <w:jc w:val="both"/>
              <w:rPr>
                <w:sz w:val="24"/>
                <w:szCs w:val="24"/>
              </w:rPr>
            </w:pPr>
            <w:r w:rsidRPr="003C7488">
              <w:rPr>
                <w:sz w:val="24"/>
                <w:szCs w:val="24"/>
              </w:rPr>
              <w:t>1980-2000</w:t>
            </w:r>
          </w:p>
        </w:tc>
        <w:tc>
          <w:tcPr>
            <w:tcW w:w="1170" w:type="dxa"/>
            <w:vAlign w:val="center"/>
          </w:tcPr>
          <w:p w14:paraId="5F502145"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20192D76" w14:textId="77777777" w:rsidR="00C835B0" w:rsidRPr="003C7488" w:rsidRDefault="00C835B0" w:rsidP="008B1F7F">
            <w:pPr>
              <w:spacing w:line="280" w:lineRule="exact"/>
              <w:jc w:val="both"/>
              <w:rPr>
                <w:sz w:val="24"/>
                <w:szCs w:val="24"/>
              </w:rPr>
            </w:pPr>
            <w:r w:rsidRPr="003C7488">
              <w:rPr>
                <w:sz w:val="24"/>
                <w:szCs w:val="24"/>
              </w:rPr>
              <w:t>543</w:t>
            </w:r>
          </w:p>
        </w:tc>
        <w:tc>
          <w:tcPr>
            <w:tcW w:w="1507" w:type="dxa"/>
            <w:shd w:val="clear" w:color="auto" w:fill="auto"/>
            <w:vAlign w:val="center"/>
          </w:tcPr>
          <w:p w14:paraId="00F1BB32" w14:textId="77777777" w:rsidR="00C835B0" w:rsidRPr="003C7488" w:rsidRDefault="00C835B0" w:rsidP="008B1F7F">
            <w:pPr>
              <w:spacing w:line="280" w:lineRule="exact"/>
              <w:jc w:val="both"/>
              <w:rPr>
                <w:sz w:val="24"/>
                <w:szCs w:val="24"/>
                <w:lang w:val="en-US"/>
              </w:rPr>
            </w:pPr>
            <w:r w:rsidRPr="003C7488">
              <w:rPr>
                <w:sz w:val="24"/>
                <w:szCs w:val="24"/>
              </w:rPr>
              <w:t>Qualitative</w:t>
            </w:r>
          </w:p>
        </w:tc>
        <w:tc>
          <w:tcPr>
            <w:tcW w:w="1440" w:type="dxa"/>
            <w:vAlign w:val="center"/>
          </w:tcPr>
          <w:p w14:paraId="54A730E6" w14:textId="77777777" w:rsidR="00C835B0" w:rsidRPr="003C7488" w:rsidRDefault="00C835B0" w:rsidP="008B1F7F">
            <w:pPr>
              <w:spacing w:line="280" w:lineRule="exact"/>
              <w:jc w:val="both"/>
              <w:rPr>
                <w:sz w:val="24"/>
                <w:szCs w:val="24"/>
              </w:rPr>
            </w:pPr>
            <w:r w:rsidRPr="003C7488">
              <w:rPr>
                <w:sz w:val="24"/>
                <w:szCs w:val="24"/>
                <w:lang w:val="en-US"/>
              </w:rPr>
              <w:t>Pre-IPO</w:t>
            </w:r>
          </w:p>
        </w:tc>
        <w:tc>
          <w:tcPr>
            <w:tcW w:w="1260" w:type="dxa"/>
            <w:shd w:val="clear" w:color="auto" w:fill="auto"/>
            <w:vAlign w:val="center"/>
          </w:tcPr>
          <w:p w14:paraId="2D0BC930" w14:textId="77777777" w:rsidR="00C835B0" w:rsidRPr="003C7488" w:rsidRDefault="00C835B0" w:rsidP="008B1F7F">
            <w:pPr>
              <w:spacing w:line="280" w:lineRule="exact"/>
              <w:jc w:val="both"/>
              <w:rPr>
                <w:sz w:val="24"/>
                <w:szCs w:val="24"/>
              </w:rPr>
            </w:pPr>
            <w:r w:rsidRPr="003C7488">
              <w:rPr>
                <w:sz w:val="24"/>
                <w:szCs w:val="24"/>
              </w:rPr>
              <w:t>46% - 47%</w:t>
            </w:r>
          </w:p>
        </w:tc>
      </w:tr>
      <w:tr w:rsidR="00C835B0" w:rsidRPr="003C7488" w14:paraId="5C4E99CB" w14:textId="77777777" w:rsidTr="008B1F7F">
        <w:trPr>
          <w:trHeight w:val="840"/>
        </w:trPr>
        <w:tc>
          <w:tcPr>
            <w:tcW w:w="1620" w:type="dxa"/>
            <w:shd w:val="clear" w:color="auto" w:fill="auto"/>
            <w:vAlign w:val="center"/>
          </w:tcPr>
          <w:p w14:paraId="7384C704" w14:textId="287EDC7C" w:rsidR="00C835B0" w:rsidRPr="003C7488" w:rsidRDefault="00C835B0" w:rsidP="008B1F7F">
            <w:pPr>
              <w:spacing w:line="280" w:lineRule="exact"/>
              <w:rPr>
                <w:sz w:val="24"/>
                <w:szCs w:val="24"/>
              </w:rPr>
            </w:pPr>
            <w:r w:rsidRPr="003C7488">
              <w:rPr>
                <w:sz w:val="24"/>
                <w:szCs w:val="24"/>
              </w:rPr>
              <w:t>Securities Exchange Commission</w:t>
            </w:r>
            <w:r>
              <w:rPr>
                <w:sz w:val="24"/>
                <w:szCs w:val="24"/>
              </w:rPr>
              <w:t xml:space="preserve"> (</w:t>
            </w:r>
            <w:r w:rsidRPr="003C7488">
              <w:rPr>
                <w:sz w:val="24"/>
                <w:szCs w:val="24"/>
              </w:rPr>
              <w:t>1971</w:t>
            </w:r>
            <w:r>
              <w:rPr>
                <w:sz w:val="24"/>
                <w:szCs w:val="24"/>
              </w:rPr>
              <w:t>)</w:t>
            </w:r>
          </w:p>
        </w:tc>
        <w:tc>
          <w:tcPr>
            <w:tcW w:w="990" w:type="dxa"/>
            <w:shd w:val="clear" w:color="auto" w:fill="auto"/>
            <w:vAlign w:val="center"/>
          </w:tcPr>
          <w:p w14:paraId="47D3C8EF" w14:textId="77777777" w:rsidR="00C835B0" w:rsidRPr="003C7488" w:rsidRDefault="00C835B0" w:rsidP="008B1F7F">
            <w:pPr>
              <w:spacing w:line="280" w:lineRule="exact"/>
              <w:jc w:val="both"/>
              <w:rPr>
                <w:sz w:val="24"/>
                <w:szCs w:val="24"/>
              </w:rPr>
            </w:pPr>
            <w:r w:rsidRPr="003C7488">
              <w:rPr>
                <w:sz w:val="24"/>
                <w:szCs w:val="24"/>
              </w:rPr>
              <w:t>1966-1969</w:t>
            </w:r>
          </w:p>
        </w:tc>
        <w:tc>
          <w:tcPr>
            <w:tcW w:w="1170" w:type="dxa"/>
            <w:vAlign w:val="center"/>
          </w:tcPr>
          <w:p w14:paraId="2A98F11B"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486671C0" w14:textId="77777777" w:rsidR="00C835B0" w:rsidRPr="003C7488" w:rsidRDefault="00C835B0" w:rsidP="008B1F7F">
            <w:pPr>
              <w:spacing w:line="280" w:lineRule="exact"/>
              <w:jc w:val="both"/>
              <w:rPr>
                <w:sz w:val="24"/>
                <w:szCs w:val="24"/>
              </w:rPr>
            </w:pPr>
            <w:r w:rsidRPr="003C7488">
              <w:rPr>
                <w:sz w:val="24"/>
                <w:szCs w:val="24"/>
              </w:rPr>
              <w:t>398</w:t>
            </w:r>
          </w:p>
        </w:tc>
        <w:tc>
          <w:tcPr>
            <w:tcW w:w="1507" w:type="dxa"/>
            <w:shd w:val="clear" w:color="auto" w:fill="auto"/>
            <w:vAlign w:val="center"/>
          </w:tcPr>
          <w:p w14:paraId="1D269D88"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6D762885"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68FD6668" w14:textId="77777777" w:rsidR="00C835B0" w:rsidRPr="003C7488" w:rsidRDefault="00C835B0" w:rsidP="008B1F7F">
            <w:pPr>
              <w:spacing w:line="280" w:lineRule="exact"/>
              <w:jc w:val="both"/>
              <w:rPr>
                <w:sz w:val="24"/>
                <w:szCs w:val="24"/>
              </w:rPr>
            </w:pPr>
            <w:r w:rsidRPr="003C7488">
              <w:rPr>
                <w:sz w:val="24"/>
                <w:szCs w:val="24"/>
              </w:rPr>
              <w:t>25.8%</w:t>
            </w:r>
          </w:p>
        </w:tc>
      </w:tr>
      <w:tr w:rsidR="00C835B0" w:rsidRPr="003C7488" w14:paraId="09F16612" w14:textId="77777777" w:rsidTr="008B1F7F">
        <w:trPr>
          <w:trHeight w:val="840"/>
        </w:trPr>
        <w:tc>
          <w:tcPr>
            <w:tcW w:w="1620" w:type="dxa"/>
            <w:shd w:val="clear" w:color="auto" w:fill="auto"/>
            <w:vAlign w:val="center"/>
          </w:tcPr>
          <w:p w14:paraId="4E6EDDCE" w14:textId="0E7F36E4" w:rsidR="00C835B0" w:rsidRPr="003C7488" w:rsidRDefault="00C835B0" w:rsidP="008B1F7F">
            <w:pPr>
              <w:spacing w:line="280" w:lineRule="exact"/>
              <w:rPr>
                <w:sz w:val="24"/>
                <w:szCs w:val="24"/>
              </w:rPr>
            </w:pPr>
            <w:r w:rsidRPr="003C7488">
              <w:rPr>
                <w:sz w:val="24"/>
                <w:szCs w:val="24"/>
              </w:rPr>
              <w:t>Gelman</w:t>
            </w:r>
            <w:r>
              <w:rPr>
                <w:sz w:val="24"/>
                <w:szCs w:val="24"/>
              </w:rPr>
              <w:t xml:space="preserve"> (</w:t>
            </w:r>
            <w:r w:rsidRPr="003C7488">
              <w:rPr>
                <w:sz w:val="24"/>
                <w:szCs w:val="24"/>
              </w:rPr>
              <w:t>1972</w:t>
            </w:r>
            <w:r>
              <w:rPr>
                <w:sz w:val="24"/>
                <w:szCs w:val="24"/>
              </w:rPr>
              <w:t>)</w:t>
            </w:r>
          </w:p>
        </w:tc>
        <w:tc>
          <w:tcPr>
            <w:tcW w:w="990" w:type="dxa"/>
            <w:shd w:val="clear" w:color="auto" w:fill="auto"/>
            <w:vAlign w:val="center"/>
          </w:tcPr>
          <w:p w14:paraId="0E40189B" w14:textId="77777777" w:rsidR="00C835B0" w:rsidRPr="003C7488" w:rsidRDefault="00C835B0" w:rsidP="008B1F7F">
            <w:pPr>
              <w:spacing w:line="280" w:lineRule="exact"/>
              <w:jc w:val="both"/>
              <w:rPr>
                <w:sz w:val="24"/>
                <w:szCs w:val="24"/>
              </w:rPr>
            </w:pPr>
            <w:r w:rsidRPr="003C7488">
              <w:rPr>
                <w:sz w:val="24"/>
                <w:szCs w:val="24"/>
              </w:rPr>
              <w:t>1968-1970</w:t>
            </w:r>
          </w:p>
        </w:tc>
        <w:tc>
          <w:tcPr>
            <w:tcW w:w="1170" w:type="dxa"/>
            <w:vAlign w:val="center"/>
          </w:tcPr>
          <w:p w14:paraId="38902940"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0D8B4A07" w14:textId="77777777" w:rsidR="00C835B0" w:rsidRPr="003C7488" w:rsidRDefault="00C835B0" w:rsidP="008B1F7F">
            <w:pPr>
              <w:spacing w:line="280" w:lineRule="exact"/>
              <w:jc w:val="both"/>
              <w:rPr>
                <w:sz w:val="24"/>
                <w:szCs w:val="24"/>
              </w:rPr>
            </w:pPr>
            <w:r w:rsidRPr="003C7488">
              <w:rPr>
                <w:sz w:val="24"/>
                <w:szCs w:val="24"/>
              </w:rPr>
              <w:t>89</w:t>
            </w:r>
          </w:p>
        </w:tc>
        <w:tc>
          <w:tcPr>
            <w:tcW w:w="1507" w:type="dxa"/>
            <w:shd w:val="clear" w:color="auto" w:fill="auto"/>
            <w:vAlign w:val="center"/>
          </w:tcPr>
          <w:p w14:paraId="33A3B6DA"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2AAA878A"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6B1E7167" w14:textId="77777777" w:rsidR="00C835B0" w:rsidRPr="003C7488" w:rsidRDefault="00C835B0" w:rsidP="008B1F7F">
            <w:pPr>
              <w:spacing w:line="280" w:lineRule="exact"/>
              <w:jc w:val="both"/>
              <w:rPr>
                <w:sz w:val="24"/>
                <w:szCs w:val="24"/>
              </w:rPr>
            </w:pPr>
            <w:r w:rsidRPr="003C7488">
              <w:rPr>
                <w:sz w:val="24"/>
                <w:szCs w:val="24"/>
              </w:rPr>
              <w:t>33%</w:t>
            </w:r>
          </w:p>
        </w:tc>
      </w:tr>
      <w:tr w:rsidR="00C835B0" w:rsidRPr="003C7488" w14:paraId="2EB24704" w14:textId="77777777" w:rsidTr="008B1F7F">
        <w:trPr>
          <w:trHeight w:val="840"/>
        </w:trPr>
        <w:tc>
          <w:tcPr>
            <w:tcW w:w="1620" w:type="dxa"/>
            <w:shd w:val="clear" w:color="auto" w:fill="auto"/>
            <w:vAlign w:val="center"/>
          </w:tcPr>
          <w:p w14:paraId="0CE57884" w14:textId="6652510D" w:rsidR="00C835B0" w:rsidRPr="003C7488" w:rsidRDefault="00C835B0" w:rsidP="008B1F7F">
            <w:pPr>
              <w:spacing w:line="280" w:lineRule="exact"/>
              <w:rPr>
                <w:sz w:val="24"/>
                <w:szCs w:val="24"/>
              </w:rPr>
            </w:pPr>
            <w:r w:rsidRPr="003C7488">
              <w:rPr>
                <w:sz w:val="24"/>
                <w:szCs w:val="24"/>
              </w:rPr>
              <w:t>Moroney</w:t>
            </w:r>
            <w:r>
              <w:rPr>
                <w:sz w:val="24"/>
                <w:szCs w:val="24"/>
              </w:rPr>
              <w:t xml:space="preserve"> (</w:t>
            </w:r>
            <w:r w:rsidRPr="003C7488">
              <w:rPr>
                <w:sz w:val="24"/>
                <w:szCs w:val="24"/>
              </w:rPr>
              <w:t>1973</w:t>
            </w:r>
            <w:r>
              <w:rPr>
                <w:sz w:val="24"/>
                <w:szCs w:val="24"/>
              </w:rPr>
              <w:t>)</w:t>
            </w:r>
          </w:p>
        </w:tc>
        <w:tc>
          <w:tcPr>
            <w:tcW w:w="990" w:type="dxa"/>
            <w:shd w:val="clear" w:color="auto" w:fill="auto"/>
            <w:vAlign w:val="center"/>
          </w:tcPr>
          <w:p w14:paraId="5A4D075D" w14:textId="77777777" w:rsidR="00C835B0" w:rsidRPr="003C7488" w:rsidRDefault="00C835B0" w:rsidP="008B1F7F">
            <w:pPr>
              <w:spacing w:line="280" w:lineRule="exact"/>
              <w:jc w:val="both"/>
              <w:rPr>
                <w:sz w:val="24"/>
                <w:szCs w:val="24"/>
              </w:rPr>
            </w:pPr>
            <w:r w:rsidRPr="003C7488">
              <w:rPr>
                <w:sz w:val="24"/>
                <w:szCs w:val="24"/>
              </w:rPr>
              <w:t>1969-1972</w:t>
            </w:r>
          </w:p>
        </w:tc>
        <w:tc>
          <w:tcPr>
            <w:tcW w:w="1170" w:type="dxa"/>
            <w:vAlign w:val="center"/>
          </w:tcPr>
          <w:p w14:paraId="6E7A6BD7"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69881C1A" w14:textId="77777777" w:rsidR="00C835B0" w:rsidRPr="003C7488" w:rsidRDefault="00C835B0" w:rsidP="008B1F7F">
            <w:pPr>
              <w:spacing w:line="280" w:lineRule="exact"/>
              <w:jc w:val="both"/>
              <w:rPr>
                <w:sz w:val="24"/>
                <w:szCs w:val="24"/>
              </w:rPr>
            </w:pPr>
            <w:r w:rsidRPr="003C7488">
              <w:rPr>
                <w:sz w:val="24"/>
                <w:szCs w:val="24"/>
              </w:rPr>
              <w:t>146</w:t>
            </w:r>
          </w:p>
        </w:tc>
        <w:tc>
          <w:tcPr>
            <w:tcW w:w="1507" w:type="dxa"/>
            <w:shd w:val="clear" w:color="auto" w:fill="auto"/>
            <w:vAlign w:val="center"/>
          </w:tcPr>
          <w:p w14:paraId="25AAFB2C"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2B7285C7"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6382DF02" w14:textId="77777777" w:rsidR="00C835B0" w:rsidRPr="003C7488" w:rsidRDefault="00C835B0" w:rsidP="008B1F7F">
            <w:pPr>
              <w:spacing w:line="280" w:lineRule="exact"/>
              <w:jc w:val="both"/>
              <w:rPr>
                <w:sz w:val="24"/>
                <w:szCs w:val="24"/>
              </w:rPr>
            </w:pPr>
            <w:r w:rsidRPr="003C7488">
              <w:rPr>
                <w:sz w:val="24"/>
                <w:szCs w:val="24"/>
              </w:rPr>
              <w:t>33% - 35.6%</w:t>
            </w:r>
          </w:p>
        </w:tc>
      </w:tr>
      <w:tr w:rsidR="00C835B0" w:rsidRPr="003C7488" w14:paraId="0F329F51" w14:textId="77777777" w:rsidTr="008B1F7F">
        <w:trPr>
          <w:trHeight w:val="840"/>
        </w:trPr>
        <w:tc>
          <w:tcPr>
            <w:tcW w:w="1620" w:type="dxa"/>
            <w:shd w:val="clear" w:color="auto" w:fill="auto"/>
            <w:vAlign w:val="center"/>
          </w:tcPr>
          <w:p w14:paraId="085B1E87" w14:textId="1980A2AC" w:rsidR="00C835B0" w:rsidRPr="003C7488" w:rsidRDefault="00C835B0" w:rsidP="008B1F7F">
            <w:pPr>
              <w:spacing w:line="280" w:lineRule="exact"/>
              <w:rPr>
                <w:sz w:val="24"/>
                <w:szCs w:val="24"/>
              </w:rPr>
            </w:pPr>
            <w:r w:rsidRPr="003C7488">
              <w:rPr>
                <w:sz w:val="24"/>
                <w:szCs w:val="24"/>
              </w:rPr>
              <w:t>Maher</w:t>
            </w:r>
            <w:r>
              <w:rPr>
                <w:sz w:val="24"/>
                <w:szCs w:val="24"/>
              </w:rPr>
              <w:t xml:space="preserve"> (</w:t>
            </w:r>
            <w:r w:rsidRPr="003C7488">
              <w:rPr>
                <w:sz w:val="24"/>
                <w:szCs w:val="24"/>
              </w:rPr>
              <w:t>1976</w:t>
            </w:r>
            <w:r>
              <w:rPr>
                <w:sz w:val="24"/>
                <w:szCs w:val="24"/>
              </w:rPr>
              <w:t>)</w:t>
            </w:r>
          </w:p>
        </w:tc>
        <w:tc>
          <w:tcPr>
            <w:tcW w:w="990" w:type="dxa"/>
            <w:shd w:val="clear" w:color="auto" w:fill="auto"/>
            <w:vAlign w:val="center"/>
          </w:tcPr>
          <w:p w14:paraId="2AAECBC1" w14:textId="77777777" w:rsidR="00C835B0" w:rsidRPr="003C7488" w:rsidRDefault="00C835B0" w:rsidP="008B1F7F">
            <w:pPr>
              <w:spacing w:line="280" w:lineRule="exact"/>
              <w:jc w:val="both"/>
              <w:rPr>
                <w:sz w:val="24"/>
                <w:szCs w:val="24"/>
              </w:rPr>
            </w:pPr>
            <w:r w:rsidRPr="003C7488">
              <w:rPr>
                <w:sz w:val="24"/>
                <w:szCs w:val="24"/>
              </w:rPr>
              <w:t>1969-1973</w:t>
            </w:r>
          </w:p>
        </w:tc>
        <w:tc>
          <w:tcPr>
            <w:tcW w:w="1170" w:type="dxa"/>
            <w:vAlign w:val="center"/>
          </w:tcPr>
          <w:p w14:paraId="2E0C3518"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255DA27A" w14:textId="77777777" w:rsidR="00C835B0" w:rsidRPr="003C7488" w:rsidRDefault="00C835B0" w:rsidP="008B1F7F">
            <w:pPr>
              <w:spacing w:line="280" w:lineRule="exact"/>
              <w:jc w:val="both"/>
              <w:rPr>
                <w:sz w:val="24"/>
                <w:szCs w:val="24"/>
              </w:rPr>
            </w:pPr>
            <w:r w:rsidRPr="003C7488">
              <w:rPr>
                <w:sz w:val="24"/>
                <w:szCs w:val="24"/>
              </w:rPr>
              <w:t>33</w:t>
            </w:r>
          </w:p>
        </w:tc>
        <w:tc>
          <w:tcPr>
            <w:tcW w:w="1507" w:type="dxa"/>
            <w:shd w:val="clear" w:color="auto" w:fill="auto"/>
            <w:vAlign w:val="center"/>
          </w:tcPr>
          <w:p w14:paraId="142EE41C"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65F1CC14"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082F072B" w14:textId="77777777" w:rsidR="00C835B0" w:rsidRPr="003C7488" w:rsidRDefault="00C835B0" w:rsidP="008B1F7F">
            <w:pPr>
              <w:spacing w:line="280" w:lineRule="exact"/>
              <w:jc w:val="both"/>
              <w:rPr>
                <w:sz w:val="24"/>
                <w:szCs w:val="24"/>
              </w:rPr>
            </w:pPr>
            <w:r w:rsidRPr="003C7488">
              <w:rPr>
                <w:sz w:val="24"/>
                <w:szCs w:val="24"/>
              </w:rPr>
              <w:t>33% - 35.4%</w:t>
            </w:r>
          </w:p>
        </w:tc>
      </w:tr>
      <w:tr w:rsidR="00C835B0" w:rsidRPr="003C7488" w14:paraId="06ED3E65" w14:textId="77777777" w:rsidTr="008B1F7F">
        <w:trPr>
          <w:trHeight w:val="840"/>
        </w:trPr>
        <w:tc>
          <w:tcPr>
            <w:tcW w:w="1620" w:type="dxa"/>
            <w:shd w:val="clear" w:color="auto" w:fill="auto"/>
            <w:vAlign w:val="center"/>
          </w:tcPr>
          <w:p w14:paraId="24169DBA" w14:textId="68D73418" w:rsidR="00C835B0" w:rsidRPr="003C7488" w:rsidRDefault="00C835B0" w:rsidP="008B1F7F">
            <w:pPr>
              <w:spacing w:line="280" w:lineRule="exact"/>
              <w:rPr>
                <w:sz w:val="24"/>
                <w:szCs w:val="24"/>
              </w:rPr>
            </w:pPr>
            <w:r w:rsidRPr="003C7488">
              <w:rPr>
                <w:sz w:val="24"/>
                <w:szCs w:val="24"/>
              </w:rPr>
              <w:t>Trout</w:t>
            </w:r>
            <w:r>
              <w:rPr>
                <w:sz w:val="24"/>
                <w:szCs w:val="24"/>
              </w:rPr>
              <w:t xml:space="preserve"> </w:t>
            </w:r>
            <w:r>
              <w:rPr>
                <w:sz w:val="24"/>
                <w:szCs w:val="24"/>
              </w:rPr>
              <w:t>(</w:t>
            </w:r>
            <w:r w:rsidRPr="003C7488">
              <w:rPr>
                <w:sz w:val="24"/>
                <w:szCs w:val="24"/>
              </w:rPr>
              <w:t>1977</w:t>
            </w:r>
            <w:r>
              <w:rPr>
                <w:sz w:val="24"/>
                <w:szCs w:val="24"/>
              </w:rPr>
              <w:t>)</w:t>
            </w:r>
          </w:p>
        </w:tc>
        <w:tc>
          <w:tcPr>
            <w:tcW w:w="990" w:type="dxa"/>
            <w:shd w:val="clear" w:color="auto" w:fill="auto"/>
            <w:vAlign w:val="center"/>
          </w:tcPr>
          <w:p w14:paraId="12AD9DFF" w14:textId="77777777" w:rsidR="00C835B0" w:rsidRPr="003C7488" w:rsidRDefault="00C835B0" w:rsidP="008B1F7F">
            <w:pPr>
              <w:spacing w:line="280" w:lineRule="exact"/>
              <w:jc w:val="both"/>
              <w:rPr>
                <w:sz w:val="24"/>
                <w:szCs w:val="24"/>
              </w:rPr>
            </w:pPr>
            <w:r w:rsidRPr="003C7488">
              <w:rPr>
                <w:sz w:val="24"/>
                <w:szCs w:val="24"/>
              </w:rPr>
              <w:t>1968-1972</w:t>
            </w:r>
          </w:p>
        </w:tc>
        <w:tc>
          <w:tcPr>
            <w:tcW w:w="1170" w:type="dxa"/>
            <w:vAlign w:val="center"/>
          </w:tcPr>
          <w:p w14:paraId="0873AF75"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591ECD1B" w14:textId="77777777" w:rsidR="00C835B0" w:rsidRPr="003C7488" w:rsidRDefault="00C835B0" w:rsidP="008B1F7F">
            <w:pPr>
              <w:spacing w:line="280" w:lineRule="exact"/>
              <w:jc w:val="both"/>
              <w:rPr>
                <w:sz w:val="24"/>
                <w:szCs w:val="24"/>
              </w:rPr>
            </w:pPr>
            <w:r w:rsidRPr="003C7488">
              <w:rPr>
                <w:sz w:val="24"/>
                <w:szCs w:val="24"/>
              </w:rPr>
              <w:t>60</w:t>
            </w:r>
          </w:p>
        </w:tc>
        <w:tc>
          <w:tcPr>
            <w:tcW w:w="1507" w:type="dxa"/>
            <w:shd w:val="clear" w:color="auto" w:fill="auto"/>
            <w:vAlign w:val="center"/>
          </w:tcPr>
          <w:p w14:paraId="0DAF6818"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1D3907AF"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2FE8896F" w14:textId="77777777" w:rsidR="00C835B0" w:rsidRPr="003C7488" w:rsidRDefault="00C835B0" w:rsidP="008B1F7F">
            <w:pPr>
              <w:spacing w:line="280" w:lineRule="exact"/>
              <w:jc w:val="both"/>
              <w:rPr>
                <w:sz w:val="24"/>
                <w:szCs w:val="24"/>
              </w:rPr>
            </w:pPr>
            <w:r w:rsidRPr="003C7488">
              <w:rPr>
                <w:sz w:val="24"/>
                <w:szCs w:val="24"/>
              </w:rPr>
              <w:t>33.5%</w:t>
            </w:r>
          </w:p>
        </w:tc>
      </w:tr>
      <w:tr w:rsidR="00C835B0" w:rsidRPr="003C7488" w14:paraId="16E9A80F" w14:textId="77777777" w:rsidTr="008B1F7F">
        <w:trPr>
          <w:trHeight w:val="840"/>
        </w:trPr>
        <w:tc>
          <w:tcPr>
            <w:tcW w:w="1620" w:type="dxa"/>
            <w:shd w:val="clear" w:color="auto" w:fill="auto"/>
            <w:vAlign w:val="center"/>
          </w:tcPr>
          <w:p w14:paraId="567F5EB7" w14:textId="20562F66" w:rsidR="00C835B0" w:rsidRPr="003C7488" w:rsidRDefault="00FE3088" w:rsidP="008B1F7F">
            <w:pPr>
              <w:spacing w:line="280" w:lineRule="exact"/>
              <w:rPr>
                <w:sz w:val="24"/>
                <w:szCs w:val="24"/>
              </w:rPr>
            </w:pPr>
            <w:r w:rsidRPr="008B3DE8">
              <w:rPr>
                <w:sz w:val="24"/>
                <w:szCs w:val="24"/>
              </w:rPr>
              <w:t>Arneson, George S. (1981)</w:t>
            </w:r>
          </w:p>
        </w:tc>
        <w:tc>
          <w:tcPr>
            <w:tcW w:w="990" w:type="dxa"/>
            <w:shd w:val="clear" w:color="auto" w:fill="auto"/>
            <w:vAlign w:val="center"/>
          </w:tcPr>
          <w:p w14:paraId="6F616AE5" w14:textId="77777777" w:rsidR="00C835B0" w:rsidRPr="003C7488" w:rsidRDefault="00C835B0" w:rsidP="008B1F7F">
            <w:pPr>
              <w:spacing w:line="280" w:lineRule="exact"/>
              <w:jc w:val="both"/>
              <w:rPr>
                <w:sz w:val="24"/>
                <w:szCs w:val="24"/>
              </w:rPr>
            </w:pPr>
            <w:r w:rsidRPr="007C79CF">
              <w:rPr>
                <w:sz w:val="24"/>
                <w:szCs w:val="24"/>
              </w:rPr>
              <w:t>Opinion</w:t>
            </w:r>
          </w:p>
        </w:tc>
        <w:tc>
          <w:tcPr>
            <w:tcW w:w="1170" w:type="dxa"/>
            <w:vAlign w:val="center"/>
          </w:tcPr>
          <w:p w14:paraId="723F4768"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00A35539" w14:textId="77777777" w:rsidR="00C835B0" w:rsidRPr="003C7488" w:rsidRDefault="00C835B0" w:rsidP="008B1F7F">
            <w:pPr>
              <w:spacing w:line="280" w:lineRule="exact"/>
              <w:jc w:val="both"/>
              <w:rPr>
                <w:sz w:val="24"/>
                <w:szCs w:val="24"/>
              </w:rPr>
            </w:pPr>
            <w:r w:rsidRPr="003C7488">
              <w:rPr>
                <w:sz w:val="24"/>
                <w:szCs w:val="24"/>
              </w:rPr>
              <w:t>N/A</w:t>
            </w:r>
          </w:p>
        </w:tc>
        <w:tc>
          <w:tcPr>
            <w:tcW w:w="1507" w:type="dxa"/>
            <w:shd w:val="clear" w:color="auto" w:fill="auto"/>
            <w:vAlign w:val="center"/>
          </w:tcPr>
          <w:p w14:paraId="150929AD"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1B908DA5"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1396AFF9" w14:textId="77777777" w:rsidR="00C835B0" w:rsidRPr="003C7488" w:rsidRDefault="00C835B0" w:rsidP="008B1F7F">
            <w:pPr>
              <w:spacing w:line="280" w:lineRule="exact"/>
              <w:jc w:val="both"/>
              <w:rPr>
                <w:sz w:val="24"/>
                <w:szCs w:val="24"/>
              </w:rPr>
            </w:pPr>
            <w:r w:rsidRPr="003C7488">
              <w:rPr>
                <w:sz w:val="24"/>
                <w:szCs w:val="24"/>
              </w:rPr>
              <w:t>50% or above</w:t>
            </w:r>
          </w:p>
        </w:tc>
      </w:tr>
      <w:tr w:rsidR="00C835B0" w:rsidRPr="003C7488" w14:paraId="280BCEAA" w14:textId="77777777" w:rsidTr="008B1F7F">
        <w:trPr>
          <w:trHeight w:val="840"/>
        </w:trPr>
        <w:tc>
          <w:tcPr>
            <w:tcW w:w="1620" w:type="dxa"/>
            <w:shd w:val="clear" w:color="auto" w:fill="auto"/>
            <w:vAlign w:val="center"/>
          </w:tcPr>
          <w:p w14:paraId="1CE0F2F3" w14:textId="1DD3807A" w:rsidR="00C835B0" w:rsidRPr="003C7488" w:rsidRDefault="00C835B0" w:rsidP="008B1F7F">
            <w:pPr>
              <w:spacing w:line="280" w:lineRule="exact"/>
              <w:rPr>
                <w:sz w:val="24"/>
                <w:szCs w:val="24"/>
              </w:rPr>
            </w:pPr>
            <w:r w:rsidRPr="003C7488">
              <w:rPr>
                <w:sz w:val="24"/>
                <w:szCs w:val="24"/>
              </w:rPr>
              <w:t>Stryker and Pittock</w:t>
            </w:r>
            <w:r>
              <w:rPr>
                <w:sz w:val="24"/>
                <w:szCs w:val="24"/>
              </w:rPr>
              <w:t xml:space="preserve"> </w:t>
            </w:r>
            <w:r>
              <w:rPr>
                <w:sz w:val="24"/>
                <w:szCs w:val="24"/>
              </w:rPr>
              <w:t>(</w:t>
            </w:r>
            <w:r w:rsidRPr="003C7488">
              <w:rPr>
                <w:sz w:val="24"/>
                <w:szCs w:val="24"/>
              </w:rPr>
              <w:t>1983</w:t>
            </w:r>
            <w:r>
              <w:rPr>
                <w:sz w:val="24"/>
                <w:szCs w:val="24"/>
              </w:rPr>
              <w:t>)</w:t>
            </w:r>
          </w:p>
        </w:tc>
        <w:tc>
          <w:tcPr>
            <w:tcW w:w="990" w:type="dxa"/>
            <w:shd w:val="clear" w:color="auto" w:fill="auto"/>
            <w:vAlign w:val="center"/>
          </w:tcPr>
          <w:p w14:paraId="7CD5058A" w14:textId="77777777" w:rsidR="00C835B0" w:rsidRPr="003C7488" w:rsidRDefault="00C835B0" w:rsidP="008B1F7F">
            <w:pPr>
              <w:spacing w:line="280" w:lineRule="exact"/>
              <w:jc w:val="both"/>
              <w:rPr>
                <w:sz w:val="24"/>
                <w:szCs w:val="24"/>
              </w:rPr>
            </w:pPr>
            <w:r w:rsidRPr="003C7488">
              <w:rPr>
                <w:sz w:val="24"/>
                <w:szCs w:val="24"/>
              </w:rPr>
              <w:t>1978-1982</w:t>
            </w:r>
          </w:p>
        </w:tc>
        <w:tc>
          <w:tcPr>
            <w:tcW w:w="1170" w:type="dxa"/>
            <w:vAlign w:val="center"/>
          </w:tcPr>
          <w:p w14:paraId="78B2ECBE"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03313C33" w14:textId="77777777" w:rsidR="00C835B0" w:rsidRPr="003C7488" w:rsidRDefault="00C835B0" w:rsidP="008B1F7F">
            <w:pPr>
              <w:spacing w:line="280" w:lineRule="exact"/>
              <w:jc w:val="both"/>
              <w:rPr>
                <w:sz w:val="24"/>
                <w:szCs w:val="24"/>
              </w:rPr>
            </w:pPr>
            <w:r w:rsidRPr="003C7488">
              <w:rPr>
                <w:sz w:val="24"/>
                <w:szCs w:val="24"/>
              </w:rPr>
              <w:t>28</w:t>
            </w:r>
          </w:p>
        </w:tc>
        <w:tc>
          <w:tcPr>
            <w:tcW w:w="1507" w:type="dxa"/>
            <w:shd w:val="clear" w:color="auto" w:fill="auto"/>
            <w:vAlign w:val="center"/>
          </w:tcPr>
          <w:p w14:paraId="12DF17B8"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139DA140"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213FCF98" w14:textId="77777777" w:rsidR="00C835B0" w:rsidRPr="003C7488" w:rsidRDefault="00C835B0" w:rsidP="008B1F7F">
            <w:pPr>
              <w:spacing w:line="280" w:lineRule="exact"/>
              <w:jc w:val="both"/>
              <w:rPr>
                <w:sz w:val="24"/>
                <w:szCs w:val="24"/>
              </w:rPr>
            </w:pPr>
            <w:r w:rsidRPr="003C7488">
              <w:rPr>
                <w:sz w:val="24"/>
                <w:szCs w:val="24"/>
              </w:rPr>
              <w:t>45%</w:t>
            </w:r>
          </w:p>
        </w:tc>
      </w:tr>
      <w:tr w:rsidR="00C835B0" w:rsidRPr="003C7488" w14:paraId="2E43ABF7" w14:textId="77777777" w:rsidTr="008B1F7F">
        <w:trPr>
          <w:trHeight w:val="840"/>
        </w:trPr>
        <w:tc>
          <w:tcPr>
            <w:tcW w:w="1620" w:type="dxa"/>
            <w:shd w:val="clear" w:color="auto" w:fill="auto"/>
            <w:vAlign w:val="center"/>
          </w:tcPr>
          <w:p w14:paraId="68041E6E" w14:textId="7781EC3E" w:rsidR="00C835B0" w:rsidRPr="003C7488" w:rsidRDefault="00C835B0" w:rsidP="008B1F7F">
            <w:pPr>
              <w:spacing w:line="280" w:lineRule="exact"/>
              <w:rPr>
                <w:sz w:val="24"/>
                <w:szCs w:val="24"/>
              </w:rPr>
            </w:pPr>
            <w:r w:rsidRPr="003C7488">
              <w:rPr>
                <w:sz w:val="24"/>
                <w:szCs w:val="24"/>
              </w:rPr>
              <w:t>Wruck</w:t>
            </w:r>
            <w:r>
              <w:rPr>
                <w:sz w:val="24"/>
                <w:szCs w:val="24"/>
              </w:rPr>
              <w:t xml:space="preserve"> </w:t>
            </w:r>
            <w:r>
              <w:rPr>
                <w:sz w:val="24"/>
                <w:szCs w:val="24"/>
              </w:rPr>
              <w:t>(</w:t>
            </w:r>
            <w:r w:rsidRPr="003C7488">
              <w:rPr>
                <w:sz w:val="24"/>
                <w:szCs w:val="24"/>
              </w:rPr>
              <w:t>1989</w:t>
            </w:r>
            <w:r>
              <w:rPr>
                <w:sz w:val="24"/>
                <w:szCs w:val="24"/>
              </w:rPr>
              <w:t>)</w:t>
            </w:r>
          </w:p>
        </w:tc>
        <w:tc>
          <w:tcPr>
            <w:tcW w:w="990" w:type="dxa"/>
            <w:shd w:val="clear" w:color="auto" w:fill="auto"/>
            <w:vAlign w:val="center"/>
          </w:tcPr>
          <w:p w14:paraId="01105787" w14:textId="77777777" w:rsidR="00C835B0" w:rsidRPr="003C7488" w:rsidRDefault="00C835B0" w:rsidP="008B1F7F">
            <w:pPr>
              <w:spacing w:line="280" w:lineRule="exact"/>
              <w:jc w:val="both"/>
              <w:rPr>
                <w:sz w:val="24"/>
                <w:szCs w:val="24"/>
              </w:rPr>
            </w:pPr>
            <w:r w:rsidRPr="003C7488">
              <w:rPr>
                <w:sz w:val="24"/>
                <w:szCs w:val="24"/>
              </w:rPr>
              <w:t>1979-1985</w:t>
            </w:r>
          </w:p>
        </w:tc>
        <w:tc>
          <w:tcPr>
            <w:tcW w:w="1170" w:type="dxa"/>
            <w:vAlign w:val="center"/>
          </w:tcPr>
          <w:p w14:paraId="2871E561"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3479853E" w14:textId="77777777" w:rsidR="00C835B0" w:rsidRPr="003C7488" w:rsidRDefault="00C835B0" w:rsidP="008B1F7F">
            <w:pPr>
              <w:spacing w:line="280" w:lineRule="exact"/>
              <w:jc w:val="both"/>
              <w:rPr>
                <w:sz w:val="24"/>
                <w:szCs w:val="24"/>
              </w:rPr>
            </w:pPr>
            <w:r w:rsidRPr="003C7488">
              <w:rPr>
                <w:sz w:val="24"/>
                <w:szCs w:val="24"/>
              </w:rPr>
              <w:t>37</w:t>
            </w:r>
          </w:p>
        </w:tc>
        <w:tc>
          <w:tcPr>
            <w:tcW w:w="1507" w:type="dxa"/>
            <w:shd w:val="clear" w:color="auto" w:fill="auto"/>
            <w:vAlign w:val="center"/>
          </w:tcPr>
          <w:p w14:paraId="34F96E8C"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6012AE39"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47B2B7D8" w14:textId="77777777" w:rsidR="00C835B0" w:rsidRPr="003C7488" w:rsidRDefault="00C835B0" w:rsidP="008B1F7F">
            <w:pPr>
              <w:spacing w:line="280" w:lineRule="exact"/>
              <w:jc w:val="both"/>
              <w:rPr>
                <w:sz w:val="24"/>
                <w:szCs w:val="24"/>
              </w:rPr>
            </w:pPr>
            <w:r w:rsidRPr="003C7488">
              <w:rPr>
                <w:sz w:val="24"/>
                <w:szCs w:val="24"/>
              </w:rPr>
              <w:t>12.2% - 13.5%</w:t>
            </w:r>
          </w:p>
        </w:tc>
      </w:tr>
      <w:tr w:rsidR="00C835B0" w:rsidRPr="003C7488" w14:paraId="7F3943D0" w14:textId="77777777" w:rsidTr="008B1F7F">
        <w:trPr>
          <w:trHeight w:val="840"/>
        </w:trPr>
        <w:tc>
          <w:tcPr>
            <w:tcW w:w="1620" w:type="dxa"/>
            <w:shd w:val="clear" w:color="auto" w:fill="auto"/>
            <w:vAlign w:val="center"/>
          </w:tcPr>
          <w:p w14:paraId="7528FC0B" w14:textId="5DAB82CF" w:rsidR="00C835B0" w:rsidRPr="003C7488" w:rsidRDefault="00C835B0" w:rsidP="008B1F7F">
            <w:pPr>
              <w:spacing w:line="280" w:lineRule="exact"/>
              <w:rPr>
                <w:sz w:val="24"/>
                <w:szCs w:val="24"/>
              </w:rPr>
            </w:pPr>
            <w:r w:rsidRPr="003C7488">
              <w:rPr>
                <w:sz w:val="24"/>
                <w:szCs w:val="24"/>
              </w:rPr>
              <w:t>Silber</w:t>
            </w:r>
            <w:r>
              <w:rPr>
                <w:sz w:val="24"/>
                <w:szCs w:val="24"/>
              </w:rPr>
              <w:t xml:space="preserve"> </w:t>
            </w:r>
            <w:r>
              <w:rPr>
                <w:sz w:val="24"/>
                <w:szCs w:val="24"/>
              </w:rPr>
              <w:t>(</w:t>
            </w:r>
            <w:r w:rsidRPr="003C7488">
              <w:rPr>
                <w:sz w:val="24"/>
                <w:szCs w:val="24"/>
              </w:rPr>
              <w:t>1991</w:t>
            </w:r>
            <w:r>
              <w:rPr>
                <w:sz w:val="24"/>
                <w:szCs w:val="24"/>
              </w:rPr>
              <w:t>)</w:t>
            </w:r>
          </w:p>
        </w:tc>
        <w:tc>
          <w:tcPr>
            <w:tcW w:w="990" w:type="dxa"/>
            <w:shd w:val="clear" w:color="auto" w:fill="auto"/>
            <w:vAlign w:val="center"/>
          </w:tcPr>
          <w:p w14:paraId="405A1F9E" w14:textId="77777777" w:rsidR="00C835B0" w:rsidRPr="003C7488" w:rsidRDefault="00C835B0" w:rsidP="008B1F7F">
            <w:pPr>
              <w:spacing w:line="280" w:lineRule="exact"/>
              <w:jc w:val="both"/>
              <w:rPr>
                <w:sz w:val="24"/>
                <w:szCs w:val="24"/>
              </w:rPr>
            </w:pPr>
            <w:r w:rsidRPr="003C7488">
              <w:rPr>
                <w:sz w:val="24"/>
                <w:szCs w:val="24"/>
              </w:rPr>
              <w:t>1981-1988</w:t>
            </w:r>
          </w:p>
        </w:tc>
        <w:tc>
          <w:tcPr>
            <w:tcW w:w="1170" w:type="dxa"/>
            <w:vAlign w:val="center"/>
          </w:tcPr>
          <w:p w14:paraId="128EE8E8"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0F89C634" w14:textId="77777777" w:rsidR="00C835B0" w:rsidRPr="003C7488" w:rsidRDefault="00C835B0" w:rsidP="008B1F7F">
            <w:pPr>
              <w:spacing w:line="280" w:lineRule="exact"/>
              <w:jc w:val="both"/>
              <w:rPr>
                <w:sz w:val="24"/>
                <w:szCs w:val="24"/>
              </w:rPr>
            </w:pPr>
            <w:r w:rsidRPr="003C7488">
              <w:rPr>
                <w:sz w:val="24"/>
                <w:szCs w:val="24"/>
              </w:rPr>
              <w:t>69</w:t>
            </w:r>
          </w:p>
        </w:tc>
        <w:tc>
          <w:tcPr>
            <w:tcW w:w="1507" w:type="dxa"/>
            <w:shd w:val="clear" w:color="auto" w:fill="auto"/>
            <w:vAlign w:val="center"/>
          </w:tcPr>
          <w:p w14:paraId="33857C07"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22F3E8CB"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02367BD5" w14:textId="77777777" w:rsidR="00C835B0" w:rsidRPr="003C7488" w:rsidRDefault="00C835B0" w:rsidP="008B1F7F">
            <w:pPr>
              <w:spacing w:line="280" w:lineRule="exact"/>
              <w:jc w:val="both"/>
              <w:rPr>
                <w:sz w:val="24"/>
                <w:szCs w:val="24"/>
              </w:rPr>
            </w:pPr>
            <w:r w:rsidRPr="003C7488">
              <w:rPr>
                <w:sz w:val="24"/>
                <w:szCs w:val="24"/>
              </w:rPr>
              <w:t>33.8%</w:t>
            </w:r>
          </w:p>
        </w:tc>
      </w:tr>
      <w:tr w:rsidR="00C835B0" w:rsidRPr="003C7488" w14:paraId="5CCB6538" w14:textId="77777777" w:rsidTr="008B1F7F">
        <w:trPr>
          <w:trHeight w:val="840"/>
        </w:trPr>
        <w:tc>
          <w:tcPr>
            <w:tcW w:w="1620" w:type="dxa"/>
            <w:shd w:val="clear" w:color="auto" w:fill="auto"/>
            <w:vAlign w:val="center"/>
          </w:tcPr>
          <w:p w14:paraId="52EB6D90" w14:textId="27437E22" w:rsidR="00C835B0" w:rsidRPr="003C7488" w:rsidRDefault="00C835B0" w:rsidP="008B1F7F">
            <w:pPr>
              <w:spacing w:line="280" w:lineRule="exact"/>
              <w:rPr>
                <w:sz w:val="24"/>
                <w:szCs w:val="24"/>
              </w:rPr>
            </w:pPr>
            <w:r w:rsidRPr="003C7488">
              <w:rPr>
                <w:sz w:val="24"/>
                <w:szCs w:val="24"/>
              </w:rPr>
              <w:t>Hertzel and Smith</w:t>
            </w:r>
            <w:r>
              <w:rPr>
                <w:sz w:val="24"/>
                <w:szCs w:val="24"/>
              </w:rPr>
              <w:t xml:space="preserve"> </w:t>
            </w:r>
            <w:r>
              <w:rPr>
                <w:sz w:val="24"/>
                <w:szCs w:val="24"/>
              </w:rPr>
              <w:t>(</w:t>
            </w:r>
            <w:r w:rsidRPr="003C7488">
              <w:rPr>
                <w:sz w:val="24"/>
                <w:szCs w:val="24"/>
              </w:rPr>
              <w:t>1993</w:t>
            </w:r>
            <w:r>
              <w:rPr>
                <w:sz w:val="24"/>
                <w:szCs w:val="24"/>
              </w:rPr>
              <w:t>)</w:t>
            </w:r>
          </w:p>
        </w:tc>
        <w:tc>
          <w:tcPr>
            <w:tcW w:w="990" w:type="dxa"/>
            <w:shd w:val="clear" w:color="auto" w:fill="auto"/>
            <w:vAlign w:val="center"/>
          </w:tcPr>
          <w:p w14:paraId="2CD7068E" w14:textId="77777777" w:rsidR="00C835B0" w:rsidRPr="003C7488" w:rsidRDefault="00C835B0" w:rsidP="008B1F7F">
            <w:pPr>
              <w:spacing w:line="280" w:lineRule="exact"/>
              <w:jc w:val="both"/>
              <w:rPr>
                <w:sz w:val="24"/>
                <w:szCs w:val="24"/>
              </w:rPr>
            </w:pPr>
            <w:r w:rsidRPr="003C7488">
              <w:rPr>
                <w:sz w:val="24"/>
                <w:szCs w:val="24"/>
              </w:rPr>
              <w:t>1980-1987</w:t>
            </w:r>
          </w:p>
        </w:tc>
        <w:tc>
          <w:tcPr>
            <w:tcW w:w="1170" w:type="dxa"/>
            <w:vAlign w:val="center"/>
          </w:tcPr>
          <w:p w14:paraId="71D6A65E"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52B955BD" w14:textId="77777777" w:rsidR="00C835B0" w:rsidRPr="003C7488" w:rsidRDefault="00C835B0" w:rsidP="008B1F7F">
            <w:pPr>
              <w:spacing w:line="280" w:lineRule="exact"/>
              <w:jc w:val="both"/>
              <w:rPr>
                <w:sz w:val="24"/>
                <w:szCs w:val="24"/>
              </w:rPr>
            </w:pPr>
            <w:r w:rsidRPr="003C7488">
              <w:rPr>
                <w:sz w:val="24"/>
                <w:szCs w:val="24"/>
              </w:rPr>
              <w:t>106</w:t>
            </w:r>
          </w:p>
        </w:tc>
        <w:tc>
          <w:tcPr>
            <w:tcW w:w="1507" w:type="dxa"/>
            <w:shd w:val="clear" w:color="auto" w:fill="auto"/>
            <w:vAlign w:val="center"/>
          </w:tcPr>
          <w:p w14:paraId="2B1B1B96"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49FE20DC"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353F69D2" w14:textId="77777777" w:rsidR="00C835B0" w:rsidRPr="003C7488" w:rsidRDefault="00C835B0" w:rsidP="008B1F7F">
            <w:pPr>
              <w:spacing w:line="280" w:lineRule="exact"/>
              <w:jc w:val="both"/>
              <w:rPr>
                <w:sz w:val="24"/>
                <w:szCs w:val="24"/>
              </w:rPr>
            </w:pPr>
            <w:r w:rsidRPr="003C7488">
              <w:rPr>
                <w:sz w:val="24"/>
                <w:szCs w:val="24"/>
              </w:rPr>
              <w:t>13.25% - 20.1%</w:t>
            </w:r>
          </w:p>
        </w:tc>
      </w:tr>
      <w:tr w:rsidR="00C835B0" w:rsidRPr="003C7488" w14:paraId="6312D855" w14:textId="77777777" w:rsidTr="008B1F7F">
        <w:trPr>
          <w:trHeight w:val="840"/>
        </w:trPr>
        <w:tc>
          <w:tcPr>
            <w:tcW w:w="1620" w:type="dxa"/>
            <w:shd w:val="clear" w:color="auto" w:fill="auto"/>
            <w:vAlign w:val="center"/>
          </w:tcPr>
          <w:p w14:paraId="01F6FD93" w14:textId="3026BB52" w:rsidR="00C835B0" w:rsidRPr="003C7488" w:rsidRDefault="00C835B0" w:rsidP="008B1F7F">
            <w:pPr>
              <w:spacing w:line="280" w:lineRule="exact"/>
              <w:rPr>
                <w:sz w:val="24"/>
                <w:szCs w:val="24"/>
              </w:rPr>
            </w:pPr>
            <w:r w:rsidRPr="003C7488">
              <w:rPr>
                <w:sz w:val="24"/>
                <w:szCs w:val="24"/>
              </w:rPr>
              <w:t>Hall and Polacek</w:t>
            </w:r>
            <w:r>
              <w:rPr>
                <w:sz w:val="24"/>
                <w:szCs w:val="24"/>
              </w:rPr>
              <w:t xml:space="preserve"> </w:t>
            </w:r>
            <w:r>
              <w:rPr>
                <w:sz w:val="24"/>
                <w:szCs w:val="24"/>
              </w:rPr>
              <w:t>(</w:t>
            </w:r>
            <w:r w:rsidRPr="003C7488">
              <w:rPr>
                <w:sz w:val="24"/>
                <w:szCs w:val="24"/>
              </w:rPr>
              <w:t>1994</w:t>
            </w:r>
            <w:r>
              <w:rPr>
                <w:sz w:val="24"/>
                <w:szCs w:val="24"/>
              </w:rPr>
              <w:t>)</w:t>
            </w:r>
          </w:p>
        </w:tc>
        <w:tc>
          <w:tcPr>
            <w:tcW w:w="990" w:type="dxa"/>
            <w:shd w:val="clear" w:color="auto" w:fill="auto"/>
            <w:vAlign w:val="center"/>
          </w:tcPr>
          <w:p w14:paraId="7B6A96EA" w14:textId="77777777" w:rsidR="00C835B0" w:rsidRPr="003C7488" w:rsidRDefault="00C835B0" w:rsidP="008B1F7F">
            <w:pPr>
              <w:spacing w:line="280" w:lineRule="exact"/>
              <w:jc w:val="both"/>
              <w:rPr>
                <w:sz w:val="24"/>
                <w:szCs w:val="24"/>
              </w:rPr>
            </w:pPr>
            <w:r w:rsidRPr="003C7488">
              <w:rPr>
                <w:sz w:val="24"/>
                <w:szCs w:val="24"/>
              </w:rPr>
              <w:t>1979-1992</w:t>
            </w:r>
          </w:p>
        </w:tc>
        <w:tc>
          <w:tcPr>
            <w:tcW w:w="1170" w:type="dxa"/>
            <w:vAlign w:val="center"/>
          </w:tcPr>
          <w:p w14:paraId="1BD5DD74"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769D7C36" w14:textId="77777777" w:rsidR="00C835B0" w:rsidRPr="003C7488" w:rsidRDefault="00C835B0" w:rsidP="008B1F7F">
            <w:pPr>
              <w:spacing w:line="280" w:lineRule="exact"/>
              <w:jc w:val="both"/>
              <w:rPr>
                <w:sz w:val="24"/>
                <w:szCs w:val="24"/>
              </w:rPr>
            </w:pPr>
            <w:r w:rsidRPr="003C7488">
              <w:rPr>
                <w:sz w:val="24"/>
                <w:szCs w:val="24"/>
              </w:rPr>
              <w:t>Over 100</w:t>
            </w:r>
          </w:p>
        </w:tc>
        <w:tc>
          <w:tcPr>
            <w:tcW w:w="1507" w:type="dxa"/>
            <w:shd w:val="clear" w:color="auto" w:fill="auto"/>
            <w:vAlign w:val="center"/>
          </w:tcPr>
          <w:p w14:paraId="12B311FD"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7AC5DFD0"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142824A7" w14:textId="77777777" w:rsidR="00C835B0" w:rsidRPr="003C7488" w:rsidRDefault="00C835B0" w:rsidP="008B1F7F">
            <w:pPr>
              <w:spacing w:line="280" w:lineRule="exact"/>
              <w:jc w:val="both"/>
              <w:rPr>
                <w:sz w:val="24"/>
                <w:szCs w:val="24"/>
              </w:rPr>
            </w:pPr>
            <w:r w:rsidRPr="003C7488">
              <w:rPr>
                <w:sz w:val="24"/>
                <w:szCs w:val="24"/>
              </w:rPr>
              <w:t>23%</w:t>
            </w:r>
          </w:p>
        </w:tc>
      </w:tr>
      <w:tr w:rsidR="00C835B0" w:rsidRPr="003C7488" w14:paraId="79CE9565" w14:textId="77777777" w:rsidTr="008B1F7F">
        <w:trPr>
          <w:trHeight w:val="840"/>
        </w:trPr>
        <w:tc>
          <w:tcPr>
            <w:tcW w:w="1620" w:type="dxa"/>
            <w:shd w:val="clear" w:color="auto" w:fill="auto"/>
            <w:vAlign w:val="center"/>
          </w:tcPr>
          <w:p w14:paraId="65022186" w14:textId="593F3429" w:rsidR="00C835B0" w:rsidRPr="003C7488" w:rsidRDefault="00C835B0" w:rsidP="008B1F7F">
            <w:pPr>
              <w:spacing w:line="280" w:lineRule="exact"/>
              <w:rPr>
                <w:sz w:val="24"/>
                <w:szCs w:val="24"/>
              </w:rPr>
            </w:pPr>
            <w:r w:rsidRPr="003C7488">
              <w:rPr>
                <w:sz w:val="24"/>
                <w:szCs w:val="24"/>
              </w:rPr>
              <w:t>Johnson</w:t>
            </w:r>
            <w:r>
              <w:rPr>
                <w:sz w:val="24"/>
                <w:szCs w:val="24"/>
              </w:rPr>
              <w:t xml:space="preserve"> </w:t>
            </w:r>
            <w:r>
              <w:rPr>
                <w:sz w:val="24"/>
                <w:szCs w:val="24"/>
              </w:rPr>
              <w:t>(</w:t>
            </w:r>
            <w:r w:rsidRPr="003C7488">
              <w:rPr>
                <w:sz w:val="24"/>
                <w:szCs w:val="24"/>
              </w:rPr>
              <w:t>1999</w:t>
            </w:r>
            <w:r>
              <w:rPr>
                <w:sz w:val="24"/>
                <w:szCs w:val="24"/>
              </w:rPr>
              <w:t>)</w:t>
            </w:r>
          </w:p>
        </w:tc>
        <w:tc>
          <w:tcPr>
            <w:tcW w:w="990" w:type="dxa"/>
            <w:shd w:val="clear" w:color="auto" w:fill="auto"/>
            <w:vAlign w:val="center"/>
          </w:tcPr>
          <w:p w14:paraId="1DCCFA0F" w14:textId="77777777" w:rsidR="00C835B0" w:rsidRPr="003C7488" w:rsidRDefault="00C835B0" w:rsidP="008B1F7F">
            <w:pPr>
              <w:spacing w:line="280" w:lineRule="exact"/>
              <w:jc w:val="both"/>
              <w:rPr>
                <w:sz w:val="24"/>
                <w:szCs w:val="24"/>
              </w:rPr>
            </w:pPr>
            <w:r w:rsidRPr="003C7488">
              <w:rPr>
                <w:sz w:val="24"/>
                <w:szCs w:val="24"/>
              </w:rPr>
              <w:t>1991-1995</w:t>
            </w:r>
          </w:p>
        </w:tc>
        <w:tc>
          <w:tcPr>
            <w:tcW w:w="1170" w:type="dxa"/>
            <w:vAlign w:val="center"/>
          </w:tcPr>
          <w:p w14:paraId="6831E816"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5DA18488" w14:textId="77777777" w:rsidR="00C835B0" w:rsidRPr="003C7488" w:rsidRDefault="00C835B0" w:rsidP="008B1F7F">
            <w:pPr>
              <w:spacing w:line="280" w:lineRule="exact"/>
              <w:jc w:val="both"/>
              <w:rPr>
                <w:sz w:val="24"/>
                <w:szCs w:val="24"/>
              </w:rPr>
            </w:pPr>
            <w:r w:rsidRPr="003C7488">
              <w:rPr>
                <w:sz w:val="24"/>
                <w:szCs w:val="24"/>
              </w:rPr>
              <w:t>70</w:t>
            </w:r>
          </w:p>
        </w:tc>
        <w:tc>
          <w:tcPr>
            <w:tcW w:w="1507" w:type="dxa"/>
            <w:shd w:val="clear" w:color="auto" w:fill="auto"/>
            <w:vAlign w:val="center"/>
          </w:tcPr>
          <w:p w14:paraId="18664EDE"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27EC5EFC"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3204B633" w14:textId="77777777" w:rsidR="00C835B0" w:rsidRPr="003C7488" w:rsidRDefault="00C835B0" w:rsidP="008B1F7F">
            <w:pPr>
              <w:spacing w:line="280" w:lineRule="exact"/>
              <w:jc w:val="both"/>
              <w:rPr>
                <w:sz w:val="24"/>
                <w:szCs w:val="24"/>
              </w:rPr>
            </w:pPr>
            <w:r w:rsidRPr="003C7488">
              <w:rPr>
                <w:sz w:val="24"/>
                <w:szCs w:val="24"/>
              </w:rPr>
              <w:t>20.0%</w:t>
            </w:r>
          </w:p>
        </w:tc>
      </w:tr>
      <w:tr w:rsidR="00C835B0" w:rsidRPr="003C7488" w14:paraId="0598E34A" w14:textId="77777777" w:rsidTr="008B1F7F">
        <w:trPr>
          <w:trHeight w:val="840"/>
        </w:trPr>
        <w:tc>
          <w:tcPr>
            <w:tcW w:w="1620" w:type="dxa"/>
            <w:shd w:val="clear" w:color="auto" w:fill="auto"/>
            <w:vAlign w:val="center"/>
          </w:tcPr>
          <w:p w14:paraId="05463FDA" w14:textId="2B5112D1" w:rsidR="00C835B0" w:rsidRPr="0037201D" w:rsidRDefault="00C835B0" w:rsidP="008B1F7F">
            <w:pPr>
              <w:spacing w:line="280" w:lineRule="exact"/>
              <w:rPr>
                <w:sz w:val="24"/>
                <w:szCs w:val="24"/>
                <w:lang w:val="en-US"/>
              </w:rPr>
            </w:pPr>
            <w:r w:rsidRPr="003C7488">
              <w:rPr>
                <w:sz w:val="24"/>
                <w:szCs w:val="24"/>
              </w:rPr>
              <w:t xml:space="preserve">Columbia Financial Advisors, Inc. </w:t>
            </w:r>
            <w:r w:rsidRPr="003C7488">
              <w:rPr>
                <w:sz w:val="24"/>
                <w:szCs w:val="24"/>
                <w:lang w:val="en-US"/>
              </w:rPr>
              <w:t>(</w:t>
            </w:r>
            <w:r w:rsidRPr="003C7488">
              <w:rPr>
                <w:sz w:val="24"/>
                <w:szCs w:val="24"/>
              </w:rPr>
              <w:t>Study 1</w:t>
            </w:r>
            <w:r>
              <w:rPr>
                <w:sz w:val="24"/>
                <w:szCs w:val="24"/>
                <w:lang w:val="en-US"/>
              </w:rPr>
              <w:t xml:space="preserve">) </w:t>
            </w:r>
            <w:r>
              <w:rPr>
                <w:sz w:val="24"/>
                <w:szCs w:val="24"/>
              </w:rPr>
              <w:t>(</w:t>
            </w:r>
            <w:r w:rsidRPr="003C7488">
              <w:rPr>
                <w:sz w:val="24"/>
                <w:szCs w:val="24"/>
              </w:rPr>
              <w:t>2000</w:t>
            </w:r>
            <w:r>
              <w:rPr>
                <w:sz w:val="24"/>
                <w:szCs w:val="24"/>
              </w:rPr>
              <w:t>)</w:t>
            </w:r>
          </w:p>
        </w:tc>
        <w:tc>
          <w:tcPr>
            <w:tcW w:w="990" w:type="dxa"/>
            <w:shd w:val="clear" w:color="auto" w:fill="auto"/>
            <w:vAlign w:val="center"/>
          </w:tcPr>
          <w:p w14:paraId="730C40EB" w14:textId="17918FF4" w:rsidR="00C835B0" w:rsidRPr="003C7488" w:rsidRDefault="00C835B0" w:rsidP="008B1F7F">
            <w:pPr>
              <w:spacing w:line="280" w:lineRule="exact"/>
              <w:jc w:val="both"/>
              <w:rPr>
                <w:sz w:val="24"/>
                <w:szCs w:val="24"/>
              </w:rPr>
            </w:pPr>
            <w:r w:rsidRPr="003C7488">
              <w:rPr>
                <w:sz w:val="24"/>
                <w:szCs w:val="24"/>
              </w:rPr>
              <w:t>1996 - 1997</w:t>
            </w:r>
          </w:p>
        </w:tc>
        <w:tc>
          <w:tcPr>
            <w:tcW w:w="1170" w:type="dxa"/>
            <w:vAlign w:val="center"/>
          </w:tcPr>
          <w:p w14:paraId="4383F604"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3881C1EF" w14:textId="77777777" w:rsidR="00C835B0" w:rsidRPr="003C7488" w:rsidRDefault="00C835B0" w:rsidP="008B1F7F">
            <w:pPr>
              <w:spacing w:line="280" w:lineRule="exact"/>
              <w:jc w:val="both"/>
              <w:rPr>
                <w:sz w:val="24"/>
                <w:szCs w:val="24"/>
              </w:rPr>
            </w:pPr>
            <w:r w:rsidRPr="003C7488">
              <w:rPr>
                <w:sz w:val="24"/>
                <w:szCs w:val="24"/>
              </w:rPr>
              <w:t>23</w:t>
            </w:r>
          </w:p>
        </w:tc>
        <w:tc>
          <w:tcPr>
            <w:tcW w:w="1507" w:type="dxa"/>
            <w:shd w:val="clear" w:color="auto" w:fill="auto"/>
            <w:vAlign w:val="center"/>
          </w:tcPr>
          <w:p w14:paraId="64F9B66E"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5AD8742C"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3CEDB080" w14:textId="77777777" w:rsidR="00C835B0" w:rsidRPr="003C7488" w:rsidRDefault="00C835B0" w:rsidP="008B1F7F">
            <w:pPr>
              <w:spacing w:line="280" w:lineRule="exact"/>
              <w:jc w:val="both"/>
              <w:rPr>
                <w:sz w:val="24"/>
                <w:szCs w:val="24"/>
              </w:rPr>
            </w:pPr>
            <w:r w:rsidRPr="003C7488">
              <w:rPr>
                <w:sz w:val="24"/>
                <w:szCs w:val="24"/>
              </w:rPr>
              <w:t>14% - 21%</w:t>
            </w:r>
          </w:p>
        </w:tc>
      </w:tr>
      <w:tr w:rsidR="00C835B0" w:rsidRPr="003C7488" w14:paraId="2CFCCD91" w14:textId="77777777" w:rsidTr="008B1F7F">
        <w:trPr>
          <w:trHeight w:val="840"/>
        </w:trPr>
        <w:tc>
          <w:tcPr>
            <w:tcW w:w="1620" w:type="dxa"/>
            <w:shd w:val="clear" w:color="auto" w:fill="auto"/>
            <w:vAlign w:val="center"/>
          </w:tcPr>
          <w:p w14:paraId="5554379E" w14:textId="045381E7" w:rsidR="00C835B0" w:rsidRPr="003C7488" w:rsidRDefault="00C835B0" w:rsidP="008B1F7F">
            <w:pPr>
              <w:spacing w:line="280" w:lineRule="exact"/>
              <w:rPr>
                <w:sz w:val="24"/>
                <w:szCs w:val="24"/>
              </w:rPr>
            </w:pPr>
            <w:r w:rsidRPr="003C7488">
              <w:rPr>
                <w:sz w:val="24"/>
                <w:szCs w:val="24"/>
              </w:rPr>
              <w:t xml:space="preserve">Columbia Financial Advisors, Inc. </w:t>
            </w:r>
            <w:r>
              <w:rPr>
                <w:sz w:val="24"/>
                <w:szCs w:val="24"/>
                <w:lang w:val="en-US"/>
              </w:rPr>
              <w:t>(</w:t>
            </w:r>
            <w:r w:rsidRPr="003C7488">
              <w:rPr>
                <w:sz w:val="24"/>
                <w:szCs w:val="24"/>
              </w:rPr>
              <w:t>Study 2</w:t>
            </w:r>
            <w:r>
              <w:rPr>
                <w:sz w:val="24"/>
                <w:szCs w:val="24"/>
                <w:lang w:val="en-US"/>
              </w:rPr>
              <w:t xml:space="preserve">) </w:t>
            </w:r>
            <w:r>
              <w:rPr>
                <w:sz w:val="24"/>
                <w:szCs w:val="24"/>
              </w:rPr>
              <w:t>(</w:t>
            </w:r>
            <w:r w:rsidRPr="003C7488">
              <w:rPr>
                <w:sz w:val="24"/>
                <w:szCs w:val="24"/>
              </w:rPr>
              <w:t>2000</w:t>
            </w:r>
            <w:r>
              <w:rPr>
                <w:sz w:val="24"/>
                <w:szCs w:val="24"/>
              </w:rPr>
              <w:t>)</w:t>
            </w:r>
          </w:p>
        </w:tc>
        <w:tc>
          <w:tcPr>
            <w:tcW w:w="990" w:type="dxa"/>
            <w:shd w:val="clear" w:color="auto" w:fill="auto"/>
            <w:vAlign w:val="center"/>
          </w:tcPr>
          <w:p w14:paraId="1AE688E9" w14:textId="38562B65" w:rsidR="00C835B0" w:rsidRPr="003C7488" w:rsidRDefault="00C835B0" w:rsidP="008B1F7F">
            <w:pPr>
              <w:spacing w:line="280" w:lineRule="exact"/>
              <w:jc w:val="both"/>
              <w:rPr>
                <w:sz w:val="24"/>
                <w:szCs w:val="24"/>
              </w:rPr>
            </w:pPr>
            <w:r w:rsidRPr="003C7488">
              <w:rPr>
                <w:sz w:val="24"/>
                <w:szCs w:val="24"/>
              </w:rPr>
              <w:t>1997 - 1998</w:t>
            </w:r>
          </w:p>
        </w:tc>
        <w:tc>
          <w:tcPr>
            <w:tcW w:w="1170" w:type="dxa"/>
            <w:vAlign w:val="center"/>
          </w:tcPr>
          <w:p w14:paraId="55F5A809"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4C3C50D6" w14:textId="77777777" w:rsidR="00C835B0" w:rsidRPr="003C7488" w:rsidRDefault="00C835B0" w:rsidP="008B1F7F">
            <w:pPr>
              <w:spacing w:line="280" w:lineRule="exact"/>
              <w:jc w:val="both"/>
              <w:rPr>
                <w:sz w:val="24"/>
                <w:szCs w:val="24"/>
              </w:rPr>
            </w:pPr>
            <w:r w:rsidRPr="003C7488">
              <w:rPr>
                <w:sz w:val="24"/>
                <w:szCs w:val="24"/>
              </w:rPr>
              <w:t>15</w:t>
            </w:r>
          </w:p>
        </w:tc>
        <w:tc>
          <w:tcPr>
            <w:tcW w:w="1507" w:type="dxa"/>
            <w:shd w:val="clear" w:color="auto" w:fill="auto"/>
            <w:vAlign w:val="center"/>
          </w:tcPr>
          <w:p w14:paraId="40F60D57"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3A6A9627"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260F1DF4" w14:textId="77777777" w:rsidR="00C835B0" w:rsidRPr="003C7488" w:rsidRDefault="00C835B0" w:rsidP="008B1F7F">
            <w:pPr>
              <w:spacing w:line="280" w:lineRule="exact"/>
              <w:jc w:val="both"/>
              <w:rPr>
                <w:sz w:val="24"/>
                <w:szCs w:val="24"/>
              </w:rPr>
            </w:pPr>
            <w:r w:rsidRPr="003C7488">
              <w:rPr>
                <w:sz w:val="24"/>
                <w:szCs w:val="24"/>
              </w:rPr>
              <w:t>9% - 13%</w:t>
            </w:r>
          </w:p>
        </w:tc>
      </w:tr>
      <w:tr w:rsidR="00C835B0" w:rsidRPr="003C7488" w14:paraId="5C7E8EC9" w14:textId="77777777" w:rsidTr="008B1F7F">
        <w:trPr>
          <w:trHeight w:val="840"/>
        </w:trPr>
        <w:tc>
          <w:tcPr>
            <w:tcW w:w="1620" w:type="dxa"/>
            <w:shd w:val="clear" w:color="auto" w:fill="auto"/>
            <w:vAlign w:val="center"/>
          </w:tcPr>
          <w:p w14:paraId="796708CB" w14:textId="0B5EE96A" w:rsidR="00C835B0" w:rsidRPr="003C7488" w:rsidRDefault="00C835B0" w:rsidP="008B1F7F">
            <w:pPr>
              <w:spacing w:line="280" w:lineRule="exact"/>
              <w:rPr>
                <w:sz w:val="24"/>
                <w:szCs w:val="24"/>
              </w:rPr>
            </w:pPr>
            <w:r w:rsidRPr="003C7488">
              <w:rPr>
                <w:sz w:val="24"/>
                <w:szCs w:val="24"/>
              </w:rPr>
              <w:t>Bajaj, Ferris, Denis, and Sarin</w:t>
            </w:r>
            <w:r>
              <w:rPr>
                <w:sz w:val="24"/>
                <w:szCs w:val="24"/>
              </w:rPr>
              <w:t xml:space="preserve"> </w:t>
            </w:r>
            <w:r>
              <w:rPr>
                <w:sz w:val="24"/>
                <w:szCs w:val="24"/>
              </w:rPr>
              <w:t>(</w:t>
            </w:r>
            <w:r w:rsidRPr="003C7488">
              <w:rPr>
                <w:sz w:val="24"/>
                <w:szCs w:val="24"/>
              </w:rPr>
              <w:t>2001</w:t>
            </w:r>
            <w:r>
              <w:rPr>
                <w:sz w:val="24"/>
                <w:szCs w:val="24"/>
              </w:rPr>
              <w:t>)</w:t>
            </w:r>
          </w:p>
        </w:tc>
        <w:tc>
          <w:tcPr>
            <w:tcW w:w="990" w:type="dxa"/>
            <w:shd w:val="clear" w:color="auto" w:fill="auto"/>
            <w:vAlign w:val="center"/>
          </w:tcPr>
          <w:p w14:paraId="00C93AC7" w14:textId="77777777" w:rsidR="00C835B0" w:rsidRPr="003C7488" w:rsidRDefault="00C835B0" w:rsidP="008B1F7F">
            <w:pPr>
              <w:spacing w:line="280" w:lineRule="exact"/>
              <w:jc w:val="both"/>
              <w:rPr>
                <w:sz w:val="24"/>
                <w:szCs w:val="24"/>
              </w:rPr>
            </w:pPr>
            <w:r w:rsidRPr="003C7488">
              <w:rPr>
                <w:sz w:val="24"/>
                <w:szCs w:val="24"/>
              </w:rPr>
              <w:t>1990-1995</w:t>
            </w:r>
          </w:p>
        </w:tc>
        <w:tc>
          <w:tcPr>
            <w:tcW w:w="1170" w:type="dxa"/>
            <w:vAlign w:val="center"/>
          </w:tcPr>
          <w:p w14:paraId="3BC6C247"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5317E892" w14:textId="77777777" w:rsidR="00C835B0" w:rsidRPr="003C7488" w:rsidRDefault="00C835B0" w:rsidP="008B1F7F">
            <w:pPr>
              <w:spacing w:line="280" w:lineRule="exact"/>
              <w:jc w:val="both"/>
              <w:rPr>
                <w:sz w:val="24"/>
                <w:szCs w:val="24"/>
              </w:rPr>
            </w:pPr>
            <w:r w:rsidRPr="003C7488">
              <w:rPr>
                <w:sz w:val="24"/>
                <w:szCs w:val="24"/>
              </w:rPr>
              <w:t>88</w:t>
            </w:r>
          </w:p>
        </w:tc>
        <w:tc>
          <w:tcPr>
            <w:tcW w:w="1507" w:type="dxa"/>
            <w:shd w:val="clear" w:color="auto" w:fill="auto"/>
            <w:vAlign w:val="center"/>
          </w:tcPr>
          <w:p w14:paraId="57420D84"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1C0D710C"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4AB6A902" w14:textId="77777777" w:rsidR="00C835B0" w:rsidRPr="003C7488" w:rsidRDefault="00C835B0" w:rsidP="008B1F7F">
            <w:pPr>
              <w:spacing w:line="280" w:lineRule="exact"/>
              <w:jc w:val="both"/>
              <w:rPr>
                <w:sz w:val="24"/>
                <w:szCs w:val="24"/>
              </w:rPr>
            </w:pPr>
            <w:r w:rsidRPr="003C7488">
              <w:rPr>
                <w:sz w:val="24"/>
                <w:szCs w:val="24"/>
              </w:rPr>
              <w:t>20.6% - 21%</w:t>
            </w:r>
          </w:p>
        </w:tc>
      </w:tr>
      <w:tr w:rsidR="00C835B0" w:rsidRPr="003C7488" w14:paraId="78F93B1E" w14:textId="77777777" w:rsidTr="008B1F7F">
        <w:trPr>
          <w:trHeight w:val="840"/>
        </w:trPr>
        <w:tc>
          <w:tcPr>
            <w:tcW w:w="1620" w:type="dxa"/>
            <w:shd w:val="clear" w:color="auto" w:fill="auto"/>
            <w:vAlign w:val="center"/>
          </w:tcPr>
          <w:p w14:paraId="7E38A5C8" w14:textId="1DEAA2DE" w:rsidR="00C835B0" w:rsidRPr="003C7488" w:rsidRDefault="00C835B0" w:rsidP="008B1F7F">
            <w:pPr>
              <w:spacing w:line="280" w:lineRule="exact"/>
              <w:rPr>
                <w:sz w:val="24"/>
                <w:szCs w:val="24"/>
              </w:rPr>
            </w:pPr>
            <w:r w:rsidRPr="003C7488">
              <w:rPr>
                <w:sz w:val="24"/>
                <w:szCs w:val="24"/>
              </w:rPr>
              <w:t>Barclay et al.</w:t>
            </w:r>
            <w:r>
              <w:rPr>
                <w:sz w:val="24"/>
                <w:szCs w:val="24"/>
              </w:rPr>
              <w:t xml:space="preserve"> </w:t>
            </w:r>
            <w:r>
              <w:rPr>
                <w:sz w:val="24"/>
                <w:szCs w:val="24"/>
              </w:rPr>
              <w:t>(</w:t>
            </w:r>
            <w:r w:rsidRPr="003C7488">
              <w:rPr>
                <w:sz w:val="24"/>
                <w:szCs w:val="24"/>
              </w:rPr>
              <w:t>2007</w:t>
            </w:r>
            <w:r>
              <w:rPr>
                <w:sz w:val="24"/>
                <w:szCs w:val="24"/>
              </w:rPr>
              <w:t>)</w:t>
            </w:r>
          </w:p>
        </w:tc>
        <w:tc>
          <w:tcPr>
            <w:tcW w:w="990" w:type="dxa"/>
            <w:shd w:val="clear" w:color="auto" w:fill="auto"/>
            <w:vAlign w:val="center"/>
          </w:tcPr>
          <w:p w14:paraId="5E3CF805" w14:textId="77777777" w:rsidR="00C835B0" w:rsidRPr="003C7488" w:rsidRDefault="00C835B0" w:rsidP="008B1F7F">
            <w:pPr>
              <w:spacing w:line="280" w:lineRule="exact"/>
              <w:jc w:val="both"/>
              <w:rPr>
                <w:sz w:val="24"/>
                <w:szCs w:val="24"/>
              </w:rPr>
            </w:pPr>
            <w:r w:rsidRPr="003C7488">
              <w:rPr>
                <w:sz w:val="24"/>
                <w:szCs w:val="24"/>
              </w:rPr>
              <w:t>1979-1997</w:t>
            </w:r>
          </w:p>
        </w:tc>
        <w:tc>
          <w:tcPr>
            <w:tcW w:w="1170" w:type="dxa"/>
            <w:vAlign w:val="center"/>
          </w:tcPr>
          <w:p w14:paraId="7D6FC3F1"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43BCE338" w14:textId="77777777" w:rsidR="00C835B0" w:rsidRPr="003C7488" w:rsidRDefault="00C835B0" w:rsidP="008B1F7F">
            <w:pPr>
              <w:spacing w:line="280" w:lineRule="exact"/>
              <w:jc w:val="both"/>
              <w:rPr>
                <w:sz w:val="24"/>
                <w:szCs w:val="24"/>
              </w:rPr>
            </w:pPr>
            <w:r w:rsidRPr="003C7488">
              <w:rPr>
                <w:sz w:val="24"/>
                <w:szCs w:val="24"/>
              </w:rPr>
              <w:t>594</w:t>
            </w:r>
          </w:p>
        </w:tc>
        <w:tc>
          <w:tcPr>
            <w:tcW w:w="1507" w:type="dxa"/>
            <w:shd w:val="clear" w:color="auto" w:fill="auto"/>
            <w:vAlign w:val="center"/>
          </w:tcPr>
          <w:p w14:paraId="4065C01F"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1A884ADE"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79ACE5CF" w14:textId="77777777" w:rsidR="00C835B0" w:rsidRPr="003C7488" w:rsidRDefault="00C835B0" w:rsidP="008B1F7F">
            <w:pPr>
              <w:spacing w:line="280" w:lineRule="exact"/>
              <w:jc w:val="both"/>
              <w:rPr>
                <w:sz w:val="24"/>
                <w:szCs w:val="24"/>
              </w:rPr>
            </w:pPr>
            <w:r w:rsidRPr="003C7488">
              <w:rPr>
                <w:sz w:val="24"/>
                <w:szCs w:val="24"/>
              </w:rPr>
              <w:t>17.4% - 18.7%</w:t>
            </w:r>
          </w:p>
        </w:tc>
      </w:tr>
      <w:tr w:rsidR="00C835B0" w:rsidRPr="003C7488" w14:paraId="19A8D771" w14:textId="77777777" w:rsidTr="008B1F7F">
        <w:trPr>
          <w:trHeight w:val="840"/>
        </w:trPr>
        <w:tc>
          <w:tcPr>
            <w:tcW w:w="1620" w:type="dxa"/>
            <w:shd w:val="clear" w:color="auto" w:fill="auto"/>
            <w:vAlign w:val="center"/>
          </w:tcPr>
          <w:p w14:paraId="0C5DF718" w14:textId="38B8E597" w:rsidR="00C835B0" w:rsidRPr="003C7488" w:rsidRDefault="00C835B0" w:rsidP="008B1F7F">
            <w:pPr>
              <w:spacing w:line="280" w:lineRule="exact"/>
              <w:rPr>
                <w:sz w:val="24"/>
                <w:szCs w:val="24"/>
              </w:rPr>
            </w:pPr>
            <w:r w:rsidRPr="003C7488">
              <w:rPr>
                <w:sz w:val="24"/>
                <w:szCs w:val="24"/>
              </w:rPr>
              <w:t>Pluris Valuation Advisors</w:t>
            </w:r>
            <w:r>
              <w:rPr>
                <w:sz w:val="24"/>
                <w:szCs w:val="24"/>
              </w:rPr>
              <w:t xml:space="preserve"> </w:t>
            </w:r>
            <w:r>
              <w:rPr>
                <w:sz w:val="24"/>
                <w:szCs w:val="24"/>
              </w:rPr>
              <w:t>(</w:t>
            </w:r>
            <w:r w:rsidRPr="003C7488">
              <w:rPr>
                <w:sz w:val="24"/>
                <w:szCs w:val="24"/>
              </w:rPr>
              <w:t>2007</w:t>
            </w:r>
            <w:r>
              <w:rPr>
                <w:sz w:val="24"/>
                <w:szCs w:val="24"/>
              </w:rPr>
              <w:t>)</w:t>
            </w:r>
          </w:p>
        </w:tc>
        <w:tc>
          <w:tcPr>
            <w:tcW w:w="990" w:type="dxa"/>
            <w:shd w:val="clear" w:color="auto" w:fill="auto"/>
            <w:vAlign w:val="center"/>
          </w:tcPr>
          <w:p w14:paraId="0BDD1DAD" w14:textId="38606B26" w:rsidR="00C835B0" w:rsidRPr="003C7488" w:rsidRDefault="00C835B0" w:rsidP="008B1F7F">
            <w:pPr>
              <w:spacing w:line="280" w:lineRule="exact"/>
              <w:jc w:val="both"/>
              <w:rPr>
                <w:sz w:val="24"/>
                <w:szCs w:val="24"/>
              </w:rPr>
            </w:pPr>
            <w:r w:rsidRPr="003C7488">
              <w:rPr>
                <w:sz w:val="24"/>
                <w:szCs w:val="24"/>
              </w:rPr>
              <w:t>2005 - 2006</w:t>
            </w:r>
          </w:p>
        </w:tc>
        <w:tc>
          <w:tcPr>
            <w:tcW w:w="1170" w:type="dxa"/>
            <w:vAlign w:val="center"/>
          </w:tcPr>
          <w:p w14:paraId="67813454"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62C16C68" w14:textId="77777777" w:rsidR="00C835B0" w:rsidRPr="003C7488" w:rsidRDefault="00C835B0" w:rsidP="008B1F7F">
            <w:pPr>
              <w:spacing w:line="280" w:lineRule="exact"/>
              <w:jc w:val="both"/>
              <w:rPr>
                <w:sz w:val="24"/>
                <w:szCs w:val="24"/>
              </w:rPr>
            </w:pPr>
            <w:r w:rsidRPr="003C7488">
              <w:rPr>
                <w:sz w:val="24"/>
                <w:szCs w:val="24"/>
              </w:rPr>
              <w:t>61</w:t>
            </w:r>
          </w:p>
        </w:tc>
        <w:tc>
          <w:tcPr>
            <w:tcW w:w="1507" w:type="dxa"/>
            <w:shd w:val="clear" w:color="auto" w:fill="auto"/>
            <w:vAlign w:val="center"/>
          </w:tcPr>
          <w:p w14:paraId="3168AF38"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1816BE3B"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3B8C8A77" w14:textId="77777777" w:rsidR="00C835B0" w:rsidRPr="003C7488" w:rsidRDefault="00C835B0" w:rsidP="008B1F7F">
            <w:pPr>
              <w:spacing w:line="280" w:lineRule="exact"/>
              <w:jc w:val="both"/>
              <w:rPr>
                <w:sz w:val="24"/>
                <w:szCs w:val="24"/>
              </w:rPr>
            </w:pPr>
            <w:r w:rsidRPr="003C7488">
              <w:rPr>
                <w:sz w:val="24"/>
                <w:szCs w:val="24"/>
              </w:rPr>
              <w:t>32.8% - 34.6%</w:t>
            </w:r>
          </w:p>
        </w:tc>
      </w:tr>
      <w:tr w:rsidR="00C835B0" w:rsidRPr="003C7488" w14:paraId="285B2DEC" w14:textId="77777777" w:rsidTr="008B1F7F">
        <w:trPr>
          <w:trHeight w:val="840"/>
        </w:trPr>
        <w:tc>
          <w:tcPr>
            <w:tcW w:w="1620" w:type="dxa"/>
            <w:shd w:val="clear" w:color="auto" w:fill="auto"/>
            <w:vAlign w:val="center"/>
          </w:tcPr>
          <w:p w14:paraId="7D5DC637" w14:textId="75710479" w:rsidR="00C835B0" w:rsidRPr="003C7488" w:rsidRDefault="00C835B0" w:rsidP="008B1F7F">
            <w:pPr>
              <w:spacing w:line="280" w:lineRule="exact"/>
              <w:rPr>
                <w:sz w:val="24"/>
                <w:szCs w:val="24"/>
              </w:rPr>
            </w:pPr>
            <w:r w:rsidRPr="003C7488">
              <w:rPr>
                <w:sz w:val="24"/>
                <w:szCs w:val="24"/>
              </w:rPr>
              <w:t>Willamette Management associates Study</w:t>
            </w:r>
            <w:r>
              <w:rPr>
                <w:sz w:val="24"/>
                <w:szCs w:val="24"/>
              </w:rPr>
              <w:t xml:space="preserve"> </w:t>
            </w:r>
            <w:r>
              <w:rPr>
                <w:sz w:val="24"/>
                <w:szCs w:val="24"/>
              </w:rPr>
              <w:t>(</w:t>
            </w:r>
            <w:r w:rsidRPr="003C7488">
              <w:rPr>
                <w:sz w:val="24"/>
                <w:szCs w:val="24"/>
              </w:rPr>
              <w:t>2007</w:t>
            </w:r>
            <w:r>
              <w:rPr>
                <w:sz w:val="24"/>
                <w:szCs w:val="24"/>
              </w:rPr>
              <w:t>)</w:t>
            </w:r>
          </w:p>
        </w:tc>
        <w:tc>
          <w:tcPr>
            <w:tcW w:w="990" w:type="dxa"/>
            <w:shd w:val="clear" w:color="auto" w:fill="auto"/>
            <w:vAlign w:val="center"/>
          </w:tcPr>
          <w:p w14:paraId="118A26B7" w14:textId="77777777" w:rsidR="00C835B0" w:rsidRPr="003C7488" w:rsidRDefault="00C835B0" w:rsidP="008B1F7F">
            <w:pPr>
              <w:spacing w:line="280" w:lineRule="exact"/>
              <w:jc w:val="both"/>
              <w:rPr>
                <w:sz w:val="24"/>
                <w:szCs w:val="24"/>
              </w:rPr>
            </w:pPr>
            <w:r w:rsidRPr="003C7488">
              <w:rPr>
                <w:sz w:val="24"/>
                <w:szCs w:val="24"/>
              </w:rPr>
              <w:t>1981-1984</w:t>
            </w:r>
          </w:p>
        </w:tc>
        <w:tc>
          <w:tcPr>
            <w:tcW w:w="1170" w:type="dxa"/>
            <w:vAlign w:val="center"/>
          </w:tcPr>
          <w:p w14:paraId="0DF27E81"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2AEBC5A6" w14:textId="77777777" w:rsidR="00C835B0" w:rsidRPr="003C7488" w:rsidRDefault="00C835B0" w:rsidP="008B1F7F">
            <w:pPr>
              <w:spacing w:line="280" w:lineRule="exact"/>
              <w:jc w:val="both"/>
              <w:rPr>
                <w:sz w:val="24"/>
                <w:szCs w:val="24"/>
              </w:rPr>
            </w:pPr>
            <w:r w:rsidRPr="003C7488">
              <w:rPr>
                <w:sz w:val="24"/>
                <w:szCs w:val="24"/>
              </w:rPr>
              <w:t>33</w:t>
            </w:r>
          </w:p>
        </w:tc>
        <w:tc>
          <w:tcPr>
            <w:tcW w:w="1507" w:type="dxa"/>
            <w:shd w:val="clear" w:color="auto" w:fill="auto"/>
            <w:vAlign w:val="center"/>
          </w:tcPr>
          <w:p w14:paraId="320A4048"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4E50CEDD"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0D1CE3C8" w14:textId="77777777" w:rsidR="00C835B0" w:rsidRPr="003C7488" w:rsidRDefault="00C835B0" w:rsidP="008B1F7F">
            <w:pPr>
              <w:spacing w:line="280" w:lineRule="exact"/>
              <w:jc w:val="both"/>
              <w:rPr>
                <w:sz w:val="24"/>
                <w:szCs w:val="24"/>
              </w:rPr>
            </w:pPr>
            <w:r w:rsidRPr="003C7488">
              <w:rPr>
                <w:sz w:val="24"/>
                <w:szCs w:val="24"/>
              </w:rPr>
              <w:t>31.2%</w:t>
            </w:r>
          </w:p>
        </w:tc>
      </w:tr>
      <w:tr w:rsidR="00C835B0" w:rsidRPr="003C7488" w14:paraId="1913B0BD" w14:textId="77777777" w:rsidTr="008B1F7F">
        <w:trPr>
          <w:trHeight w:val="840"/>
        </w:trPr>
        <w:tc>
          <w:tcPr>
            <w:tcW w:w="1620" w:type="dxa"/>
            <w:shd w:val="clear" w:color="auto" w:fill="auto"/>
            <w:vAlign w:val="center"/>
          </w:tcPr>
          <w:p w14:paraId="4CFD8E66" w14:textId="050C94F9" w:rsidR="00C835B0" w:rsidRPr="003C7488" w:rsidRDefault="00C835B0" w:rsidP="008B1F7F">
            <w:pPr>
              <w:spacing w:line="280" w:lineRule="exact"/>
              <w:rPr>
                <w:sz w:val="24"/>
                <w:szCs w:val="24"/>
              </w:rPr>
            </w:pPr>
            <w:r w:rsidRPr="003C7488">
              <w:rPr>
                <w:sz w:val="24"/>
                <w:szCs w:val="24"/>
              </w:rPr>
              <w:t xml:space="preserve">Management planning restricted Stock </w:t>
            </w:r>
            <w:r>
              <w:rPr>
                <w:sz w:val="24"/>
                <w:szCs w:val="24"/>
              </w:rPr>
              <w:t>(</w:t>
            </w:r>
            <w:r w:rsidRPr="003C7488">
              <w:rPr>
                <w:sz w:val="24"/>
                <w:szCs w:val="24"/>
              </w:rPr>
              <w:t>2009</w:t>
            </w:r>
            <w:r>
              <w:rPr>
                <w:sz w:val="24"/>
                <w:szCs w:val="24"/>
              </w:rPr>
              <w:t>)</w:t>
            </w:r>
          </w:p>
        </w:tc>
        <w:tc>
          <w:tcPr>
            <w:tcW w:w="990" w:type="dxa"/>
            <w:shd w:val="clear" w:color="auto" w:fill="auto"/>
            <w:vAlign w:val="center"/>
          </w:tcPr>
          <w:p w14:paraId="364CCCD3" w14:textId="77777777" w:rsidR="00C835B0" w:rsidRPr="003C7488" w:rsidRDefault="00C835B0" w:rsidP="008B1F7F">
            <w:pPr>
              <w:spacing w:line="280" w:lineRule="exact"/>
              <w:jc w:val="both"/>
              <w:rPr>
                <w:sz w:val="24"/>
                <w:szCs w:val="24"/>
              </w:rPr>
            </w:pPr>
            <w:r w:rsidRPr="003C7488">
              <w:rPr>
                <w:sz w:val="24"/>
                <w:szCs w:val="24"/>
              </w:rPr>
              <w:t>1980-2009</w:t>
            </w:r>
          </w:p>
        </w:tc>
        <w:tc>
          <w:tcPr>
            <w:tcW w:w="1170" w:type="dxa"/>
            <w:vAlign w:val="center"/>
          </w:tcPr>
          <w:p w14:paraId="1D97D098"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642A1602" w14:textId="77777777" w:rsidR="00C835B0" w:rsidRPr="003C7488" w:rsidRDefault="00C835B0" w:rsidP="008B1F7F">
            <w:pPr>
              <w:spacing w:line="280" w:lineRule="exact"/>
              <w:jc w:val="both"/>
              <w:rPr>
                <w:sz w:val="24"/>
                <w:szCs w:val="24"/>
              </w:rPr>
            </w:pPr>
            <w:r w:rsidRPr="003C7488">
              <w:rPr>
                <w:sz w:val="24"/>
                <w:szCs w:val="24"/>
              </w:rPr>
              <w:t>1,863</w:t>
            </w:r>
          </w:p>
        </w:tc>
        <w:tc>
          <w:tcPr>
            <w:tcW w:w="1507" w:type="dxa"/>
            <w:shd w:val="clear" w:color="auto" w:fill="auto"/>
            <w:vAlign w:val="center"/>
          </w:tcPr>
          <w:p w14:paraId="3D9B2CCF"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0512D220"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3E13CFB2" w14:textId="77777777" w:rsidR="00C835B0" w:rsidRPr="003C7488" w:rsidRDefault="00C835B0" w:rsidP="008B1F7F">
            <w:pPr>
              <w:spacing w:line="280" w:lineRule="exact"/>
              <w:jc w:val="both"/>
              <w:rPr>
                <w:sz w:val="24"/>
                <w:szCs w:val="24"/>
              </w:rPr>
            </w:pPr>
            <w:r w:rsidRPr="003C7488">
              <w:rPr>
                <w:sz w:val="24"/>
                <w:szCs w:val="24"/>
              </w:rPr>
              <w:t>13.3% - 15.9%</w:t>
            </w:r>
          </w:p>
        </w:tc>
      </w:tr>
      <w:tr w:rsidR="00C835B0" w:rsidRPr="003C7488" w14:paraId="11BB0D0B" w14:textId="77777777" w:rsidTr="008B1F7F">
        <w:trPr>
          <w:trHeight w:val="840"/>
        </w:trPr>
        <w:tc>
          <w:tcPr>
            <w:tcW w:w="1620" w:type="dxa"/>
            <w:shd w:val="clear" w:color="auto" w:fill="auto"/>
            <w:vAlign w:val="center"/>
          </w:tcPr>
          <w:p w14:paraId="23700AAB" w14:textId="16C765F8" w:rsidR="00C835B0" w:rsidRPr="003C7488" w:rsidRDefault="00FE3088" w:rsidP="008B1F7F">
            <w:pPr>
              <w:spacing w:line="280" w:lineRule="exact"/>
              <w:rPr>
                <w:sz w:val="24"/>
                <w:szCs w:val="24"/>
              </w:rPr>
            </w:pPr>
            <w:hyperlink r:id="rId8" w:history="1">
              <w:r w:rsidRPr="008B3DE8">
                <w:rPr>
                  <w:sz w:val="24"/>
                  <w:szCs w:val="24"/>
                </w:rPr>
                <w:t xml:space="preserve">Aaron M. Stumpf, </w:t>
              </w:r>
            </w:hyperlink>
            <w:r w:rsidRPr="008B3DE8">
              <w:rPr>
                <w:sz w:val="24"/>
                <w:szCs w:val="24"/>
              </w:rPr>
              <w:t>et al. (2011)</w:t>
            </w:r>
          </w:p>
        </w:tc>
        <w:tc>
          <w:tcPr>
            <w:tcW w:w="990" w:type="dxa"/>
            <w:shd w:val="clear" w:color="auto" w:fill="auto"/>
            <w:vAlign w:val="center"/>
          </w:tcPr>
          <w:p w14:paraId="1C560AF4" w14:textId="77777777" w:rsidR="00C835B0" w:rsidRPr="003C7488" w:rsidRDefault="00C835B0" w:rsidP="008B1F7F">
            <w:pPr>
              <w:spacing w:line="280" w:lineRule="exact"/>
              <w:jc w:val="both"/>
              <w:rPr>
                <w:sz w:val="24"/>
                <w:szCs w:val="24"/>
              </w:rPr>
            </w:pPr>
            <w:r w:rsidRPr="003C7488">
              <w:rPr>
                <w:sz w:val="24"/>
                <w:szCs w:val="24"/>
              </w:rPr>
              <w:t>2005-2010</w:t>
            </w:r>
          </w:p>
        </w:tc>
        <w:tc>
          <w:tcPr>
            <w:tcW w:w="1170" w:type="dxa"/>
            <w:vAlign w:val="center"/>
          </w:tcPr>
          <w:p w14:paraId="0A2F39D8"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50CAD960" w14:textId="77777777" w:rsidR="00C835B0" w:rsidRPr="003C7488" w:rsidRDefault="00C835B0" w:rsidP="008B1F7F">
            <w:pPr>
              <w:spacing w:line="280" w:lineRule="exact"/>
              <w:jc w:val="both"/>
              <w:rPr>
                <w:sz w:val="24"/>
                <w:szCs w:val="24"/>
              </w:rPr>
            </w:pPr>
            <w:r w:rsidRPr="003C7488">
              <w:rPr>
                <w:sz w:val="24"/>
                <w:szCs w:val="24"/>
              </w:rPr>
              <w:t>98</w:t>
            </w:r>
          </w:p>
        </w:tc>
        <w:tc>
          <w:tcPr>
            <w:tcW w:w="1507" w:type="dxa"/>
            <w:shd w:val="clear" w:color="auto" w:fill="auto"/>
            <w:vAlign w:val="center"/>
          </w:tcPr>
          <w:p w14:paraId="110223C6"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1A232BFD"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525B4035" w14:textId="77777777" w:rsidR="00C835B0" w:rsidRPr="003C7488" w:rsidRDefault="00C835B0" w:rsidP="008B1F7F">
            <w:pPr>
              <w:spacing w:line="280" w:lineRule="exact"/>
              <w:jc w:val="both"/>
              <w:rPr>
                <w:sz w:val="24"/>
                <w:szCs w:val="24"/>
              </w:rPr>
            </w:pPr>
            <w:r w:rsidRPr="003C7488">
              <w:rPr>
                <w:sz w:val="24"/>
                <w:szCs w:val="24"/>
              </w:rPr>
              <w:t>9.3% - 10.9%</w:t>
            </w:r>
          </w:p>
        </w:tc>
      </w:tr>
      <w:tr w:rsidR="00C835B0" w:rsidRPr="003C7488" w14:paraId="2D63C3C2" w14:textId="77777777" w:rsidTr="008B1F7F">
        <w:trPr>
          <w:trHeight w:val="840"/>
        </w:trPr>
        <w:tc>
          <w:tcPr>
            <w:tcW w:w="1620" w:type="dxa"/>
            <w:shd w:val="clear" w:color="auto" w:fill="auto"/>
            <w:vAlign w:val="center"/>
          </w:tcPr>
          <w:p w14:paraId="4FF02607" w14:textId="2DF551AD" w:rsidR="00C835B0" w:rsidRPr="003C7488" w:rsidRDefault="00C835B0" w:rsidP="008B1F7F">
            <w:pPr>
              <w:spacing w:line="280" w:lineRule="exact"/>
              <w:rPr>
                <w:sz w:val="24"/>
                <w:szCs w:val="24"/>
              </w:rPr>
            </w:pPr>
            <w:bookmarkStart w:id="2" w:name="_Hlk176111641"/>
            <w:r w:rsidRPr="003C7488">
              <w:rPr>
                <w:sz w:val="24"/>
                <w:szCs w:val="24"/>
              </w:rPr>
              <w:t>Trugman Valuation Associates Inc.</w:t>
            </w:r>
            <w:bookmarkEnd w:id="2"/>
            <w:r>
              <w:rPr>
                <w:sz w:val="24"/>
                <w:szCs w:val="24"/>
              </w:rPr>
              <w:t xml:space="preserve"> </w:t>
            </w:r>
            <w:r>
              <w:rPr>
                <w:sz w:val="24"/>
                <w:szCs w:val="24"/>
              </w:rPr>
              <w:t>(</w:t>
            </w:r>
            <w:r w:rsidRPr="003C7488">
              <w:rPr>
                <w:sz w:val="24"/>
                <w:szCs w:val="24"/>
              </w:rPr>
              <w:t>2011</w:t>
            </w:r>
            <w:r>
              <w:rPr>
                <w:sz w:val="24"/>
                <w:szCs w:val="24"/>
              </w:rPr>
              <w:t>)</w:t>
            </w:r>
          </w:p>
        </w:tc>
        <w:tc>
          <w:tcPr>
            <w:tcW w:w="990" w:type="dxa"/>
            <w:shd w:val="clear" w:color="auto" w:fill="auto"/>
            <w:vAlign w:val="center"/>
          </w:tcPr>
          <w:p w14:paraId="4AEFBBE0" w14:textId="77777777" w:rsidR="00C835B0" w:rsidRPr="003C7488" w:rsidRDefault="00C835B0" w:rsidP="008B1F7F">
            <w:pPr>
              <w:spacing w:line="280" w:lineRule="exact"/>
              <w:jc w:val="both"/>
              <w:rPr>
                <w:sz w:val="24"/>
                <w:szCs w:val="24"/>
              </w:rPr>
            </w:pPr>
            <w:r w:rsidRPr="003C7488">
              <w:rPr>
                <w:sz w:val="24"/>
                <w:szCs w:val="24"/>
              </w:rPr>
              <w:t>2007-2010</w:t>
            </w:r>
          </w:p>
        </w:tc>
        <w:tc>
          <w:tcPr>
            <w:tcW w:w="1170" w:type="dxa"/>
            <w:vAlign w:val="center"/>
          </w:tcPr>
          <w:p w14:paraId="36D4E4E3"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205DA5CB" w14:textId="77777777" w:rsidR="00C835B0" w:rsidRPr="003C7488" w:rsidRDefault="00C835B0" w:rsidP="008B1F7F">
            <w:pPr>
              <w:spacing w:line="280" w:lineRule="exact"/>
              <w:jc w:val="both"/>
              <w:rPr>
                <w:sz w:val="24"/>
                <w:szCs w:val="24"/>
              </w:rPr>
            </w:pPr>
            <w:r w:rsidRPr="003C7488">
              <w:rPr>
                <w:sz w:val="24"/>
                <w:szCs w:val="24"/>
              </w:rPr>
              <w:t>136</w:t>
            </w:r>
          </w:p>
        </w:tc>
        <w:tc>
          <w:tcPr>
            <w:tcW w:w="1507" w:type="dxa"/>
            <w:shd w:val="clear" w:color="auto" w:fill="auto"/>
            <w:vAlign w:val="center"/>
          </w:tcPr>
          <w:p w14:paraId="43AE219B"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0A4C0E61"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22D05544" w14:textId="77777777" w:rsidR="00C835B0" w:rsidRPr="003C7488" w:rsidRDefault="00C835B0" w:rsidP="008B1F7F">
            <w:pPr>
              <w:spacing w:line="280" w:lineRule="exact"/>
              <w:jc w:val="both"/>
              <w:rPr>
                <w:sz w:val="24"/>
                <w:szCs w:val="24"/>
              </w:rPr>
            </w:pPr>
            <w:r w:rsidRPr="003C7488">
              <w:rPr>
                <w:sz w:val="24"/>
                <w:szCs w:val="24"/>
              </w:rPr>
              <w:t>14.3%-  16.6%</w:t>
            </w:r>
          </w:p>
        </w:tc>
      </w:tr>
      <w:tr w:rsidR="00C835B0" w:rsidRPr="003C7488" w14:paraId="3BBF6BE7" w14:textId="77777777" w:rsidTr="008B1F7F">
        <w:trPr>
          <w:trHeight w:val="840"/>
        </w:trPr>
        <w:tc>
          <w:tcPr>
            <w:tcW w:w="1620" w:type="dxa"/>
            <w:shd w:val="clear" w:color="auto" w:fill="auto"/>
            <w:vAlign w:val="center"/>
          </w:tcPr>
          <w:p w14:paraId="6759A9D7" w14:textId="2E09ECDE" w:rsidR="00C835B0" w:rsidRPr="003C7488" w:rsidRDefault="00C835B0" w:rsidP="008B1F7F">
            <w:pPr>
              <w:spacing w:line="280" w:lineRule="exact"/>
              <w:rPr>
                <w:sz w:val="24"/>
                <w:szCs w:val="24"/>
              </w:rPr>
            </w:pPr>
            <w:r w:rsidRPr="003C7488">
              <w:rPr>
                <w:sz w:val="24"/>
                <w:szCs w:val="24"/>
              </w:rPr>
              <w:t>FMV Opinions, Inc.</w:t>
            </w:r>
            <w:r>
              <w:rPr>
                <w:sz w:val="24"/>
                <w:szCs w:val="24"/>
              </w:rPr>
              <w:t xml:space="preserve"> </w:t>
            </w:r>
            <w:r>
              <w:rPr>
                <w:sz w:val="24"/>
                <w:szCs w:val="24"/>
              </w:rPr>
              <w:t>(</w:t>
            </w:r>
            <w:r w:rsidRPr="003C7488">
              <w:rPr>
                <w:sz w:val="24"/>
                <w:szCs w:val="24"/>
              </w:rPr>
              <w:t>2015</w:t>
            </w:r>
            <w:r>
              <w:rPr>
                <w:sz w:val="24"/>
                <w:szCs w:val="24"/>
              </w:rPr>
              <w:t>)</w:t>
            </w:r>
          </w:p>
        </w:tc>
        <w:tc>
          <w:tcPr>
            <w:tcW w:w="990" w:type="dxa"/>
            <w:shd w:val="clear" w:color="auto" w:fill="auto"/>
            <w:vAlign w:val="center"/>
          </w:tcPr>
          <w:p w14:paraId="75D57811" w14:textId="77777777" w:rsidR="00C835B0" w:rsidRPr="003C7488" w:rsidRDefault="00C835B0" w:rsidP="008B1F7F">
            <w:pPr>
              <w:spacing w:line="280" w:lineRule="exact"/>
              <w:jc w:val="both"/>
              <w:rPr>
                <w:sz w:val="24"/>
                <w:szCs w:val="24"/>
              </w:rPr>
            </w:pPr>
            <w:r w:rsidRPr="003C7488">
              <w:rPr>
                <w:sz w:val="24"/>
                <w:szCs w:val="24"/>
              </w:rPr>
              <w:t>1980-2014</w:t>
            </w:r>
          </w:p>
        </w:tc>
        <w:tc>
          <w:tcPr>
            <w:tcW w:w="1170" w:type="dxa"/>
            <w:vAlign w:val="center"/>
          </w:tcPr>
          <w:p w14:paraId="61EDCF51"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7B37313C" w14:textId="77777777" w:rsidR="00C835B0" w:rsidRPr="003C7488" w:rsidRDefault="00C835B0" w:rsidP="008B1F7F">
            <w:pPr>
              <w:spacing w:line="280" w:lineRule="exact"/>
              <w:jc w:val="both"/>
              <w:rPr>
                <w:sz w:val="24"/>
                <w:szCs w:val="24"/>
              </w:rPr>
            </w:pPr>
            <w:r w:rsidRPr="003C7488">
              <w:rPr>
                <w:sz w:val="24"/>
                <w:szCs w:val="24"/>
              </w:rPr>
              <w:t>769</w:t>
            </w:r>
          </w:p>
        </w:tc>
        <w:tc>
          <w:tcPr>
            <w:tcW w:w="1507" w:type="dxa"/>
            <w:shd w:val="clear" w:color="auto" w:fill="auto"/>
            <w:vAlign w:val="center"/>
          </w:tcPr>
          <w:p w14:paraId="0F68D0B2"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431B06EB"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7EE53F6E" w14:textId="77777777" w:rsidR="00C835B0" w:rsidRPr="003C7488" w:rsidRDefault="00C835B0" w:rsidP="008B1F7F">
            <w:pPr>
              <w:spacing w:line="280" w:lineRule="exact"/>
              <w:jc w:val="both"/>
              <w:rPr>
                <w:sz w:val="24"/>
                <w:szCs w:val="24"/>
              </w:rPr>
            </w:pPr>
            <w:r w:rsidRPr="003C7488">
              <w:rPr>
                <w:sz w:val="24"/>
                <w:szCs w:val="24"/>
              </w:rPr>
              <w:t>15.05% - 19.33%</w:t>
            </w:r>
          </w:p>
        </w:tc>
      </w:tr>
      <w:tr w:rsidR="00C835B0" w:rsidRPr="003C7488" w14:paraId="33B44ABF" w14:textId="77777777" w:rsidTr="008B1F7F">
        <w:trPr>
          <w:trHeight w:val="840"/>
        </w:trPr>
        <w:tc>
          <w:tcPr>
            <w:tcW w:w="1620" w:type="dxa"/>
            <w:shd w:val="clear" w:color="auto" w:fill="auto"/>
            <w:vAlign w:val="center"/>
          </w:tcPr>
          <w:p w14:paraId="399B4A05" w14:textId="74DB1B08" w:rsidR="00C835B0" w:rsidRPr="003C7488" w:rsidRDefault="00C835B0" w:rsidP="008B1F7F">
            <w:pPr>
              <w:spacing w:line="280" w:lineRule="exact"/>
              <w:rPr>
                <w:sz w:val="24"/>
                <w:szCs w:val="24"/>
              </w:rPr>
            </w:pPr>
            <w:r w:rsidRPr="00FE3088">
              <w:rPr>
                <w:sz w:val="24"/>
                <w:szCs w:val="24"/>
              </w:rPr>
              <w:t>BVR Survey</w:t>
            </w:r>
            <w:r>
              <w:rPr>
                <w:sz w:val="24"/>
                <w:szCs w:val="24"/>
              </w:rPr>
              <w:t xml:space="preserve"> </w:t>
            </w:r>
            <w:r>
              <w:rPr>
                <w:sz w:val="24"/>
                <w:szCs w:val="24"/>
              </w:rPr>
              <w:t>(</w:t>
            </w:r>
            <w:r w:rsidRPr="003C7488">
              <w:rPr>
                <w:sz w:val="24"/>
                <w:szCs w:val="24"/>
              </w:rPr>
              <w:t>2021</w:t>
            </w:r>
            <w:r>
              <w:rPr>
                <w:sz w:val="24"/>
                <w:szCs w:val="24"/>
              </w:rPr>
              <w:t>)</w:t>
            </w:r>
          </w:p>
        </w:tc>
        <w:tc>
          <w:tcPr>
            <w:tcW w:w="990" w:type="dxa"/>
            <w:shd w:val="clear" w:color="auto" w:fill="auto"/>
            <w:vAlign w:val="center"/>
          </w:tcPr>
          <w:p w14:paraId="15737823" w14:textId="77777777" w:rsidR="00C835B0" w:rsidRPr="003C7488" w:rsidRDefault="00C835B0" w:rsidP="008B1F7F">
            <w:pPr>
              <w:spacing w:line="280" w:lineRule="exact"/>
              <w:jc w:val="both"/>
              <w:rPr>
                <w:sz w:val="24"/>
                <w:szCs w:val="24"/>
              </w:rPr>
            </w:pPr>
            <w:r w:rsidRPr="003C7488">
              <w:rPr>
                <w:sz w:val="24"/>
                <w:szCs w:val="24"/>
              </w:rPr>
              <w:t>2021</w:t>
            </w:r>
          </w:p>
        </w:tc>
        <w:tc>
          <w:tcPr>
            <w:tcW w:w="1170" w:type="dxa"/>
            <w:vAlign w:val="center"/>
          </w:tcPr>
          <w:p w14:paraId="3B363AEB"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2A7F2C5A" w14:textId="77777777" w:rsidR="00C835B0" w:rsidRPr="003C7488" w:rsidRDefault="00C835B0" w:rsidP="008B1F7F">
            <w:pPr>
              <w:spacing w:line="280" w:lineRule="exact"/>
              <w:jc w:val="both"/>
              <w:rPr>
                <w:sz w:val="24"/>
                <w:szCs w:val="24"/>
              </w:rPr>
            </w:pPr>
            <w:r w:rsidRPr="003C7488">
              <w:rPr>
                <w:sz w:val="24"/>
                <w:szCs w:val="24"/>
              </w:rPr>
              <w:t>202</w:t>
            </w:r>
          </w:p>
        </w:tc>
        <w:tc>
          <w:tcPr>
            <w:tcW w:w="1507" w:type="dxa"/>
            <w:shd w:val="clear" w:color="auto" w:fill="auto"/>
            <w:vAlign w:val="center"/>
          </w:tcPr>
          <w:p w14:paraId="6BD55082" w14:textId="77777777" w:rsidR="00C835B0" w:rsidRPr="003C7488" w:rsidRDefault="00C835B0" w:rsidP="008B1F7F">
            <w:pPr>
              <w:spacing w:line="280" w:lineRule="exact"/>
              <w:jc w:val="both"/>
              <w:rPr>
                <w:sz w:val="24"/>
                <w:szCs w:val="24"/>
              </w:rPr>
            </w:pPr>
            <w:r w:rsidRPr="003C7488">
              <w:rPr>
                <w:sz w:val="24"/>
                <w:szCs w:val="24"/>
              </w:rPr>
              <w:t>Survey</w:t>
            </w:r>
          </w:p>
        </w:tc>
        <w:tc>
          <w:tcPr>
            <w:tcW w:w="1440" w:type="dxa"/>
            <w:vAlign w:val="center"/>
          </w:tcPr>
          <w:p w14:paraId="717E86EE" w14:textId="77777777" w:rsidR="00C835B0" w:rsidRPr="003C7488" w:rsidRDefault="00C835B0" w:rsidP="008B1F7F">
            <w:pPr>
              <w:spacing w:line="280" w:lineRule="exact"/>
              <w:jc w:val="both"/>
              <w:rPr>
                <w:sz w:val="24"/>
                <w:szCs w:val="24"/>
              </w:rPr>
            </w:pPr>
            <w:r w:rsidRPr="003C7488">
              <w:rPr>
                <w:sz w:val="24"/>
                <w:szCs w:val="24"/>
              </w:rPr>
              <w:t>Survey</w:t>
            </w:r>
          </w:p>
        </w:tc>
        <w:tc>
          <w:tcPr>
            <w:tcW w:w="1260" w:type="dxa"/>
            <w:shd w:val="clear" w:color="auto" w:fill="auto"/>
            <w:vAlign w:val="center"/>
          </w:tcPr>
          <w:p w14:paraId="1E0B5478" w14:textId="77777777" w:rsidR="00C835B0" w:rsidRPr="003C7488" w:rsidRDefault="00C835B0" w:rsidP="008B1F7F">
            <w:pPr>
              <w:spacing w:line="280" w:lineRule="exact"/>
              <w:jc w:val="both"/>
              <w:rPr>
                <w:sz w:val="24"/>
                <w:szCs w:val="24"/>
              </w:rPr>
            </w:pPr>
            <w:r w:rsidRPr="003C7488">
              <w:rPr>
                <w:sz w:val="24"/>
                <w:szCs w:val="24"/>
              </w:rPr>
              <w:t>N/A</w:t>
            </w:r>
          </w:p>
        </w:tc>
      </w:tr>
      <w:tr w:rsidR="00C835B0" w:rsidRPr="003C7488" w14:paraId="30045AB2" w14:textId="77777777" w:rsidTr="008B1F7F">
        <w:trPr>
          <w:trHeight w:val="840"/>
        </w:trPr>
        <w:tc>
          <w:tcPr>
            <w:tcW w:w="1620" w:type="dxa"/>
            <w:shd w:val="clear" w:color="auto" w:fill="auto"/>
            <w:vAlign w:val="center"/>
          </w:tcPr>
          <w:p w14:paraId="26A46259" w14:textId="11BB40C2" w:rsidR="00C835B0" w:rsidRPr="003C7488" w:rsidRDefault="00C835B0" w:rsidP="008B1F7F">
            <w:pPr>
              <w:spacing w:line="280" w:lineRule="exact"/>
              <w:rPr>
                <w:sz w:val="24"/>
                <w:szCs w:val="24"/>
              </w:rPr>
            </w:pPr>
            <w:r w:rsidRPr="003C7488">
              <w:rPr>
                <w:sz w:val="24"/>
                <w:szCs w:val="24"/>
              </w:rPr>
              <w:t>Stout</w:t>
            </w:r>
            <w:r>
              <w:rPr>
                <w:sz w:val="24"/>
                <w:szCs w:val="24"/>
              </w:rPr>
              <w:t xml:space="preserve"> </w:t>
            </w:r>
            <w:r>
              <w:rPr>
                <w:sz w:val="24"/>
                <w:szCs w:val="24"/>
              </w:rPr>
              <w:t>(</w:t>
            </w:r>
            <w:r w:rsidRPr="003C7488">
              <w:rPr>
                <w:sz w:val="24"/>
                <w:szCs w:val="24"/>
              </w:rPr>
              <w:t>2023</w:t>
            </w:r>
            <w:r>
              <w:rPr>
                <w:sz w:val="24"/>
                <w:szCs w:val="24"/>
              </w:rPr>
              <w:t>)</w:t>
            </w:r>
          </w:p>
        </w:tc>
        <w:tc>
          <w:tcPr>
            <w:tcW w:w="990" w:type="dxa"/>
            <w:shd w:val="clear" w:color="auto" w:fill="auto"/>
            <w:vAlign w:val="center"/>
          </w:tcPr>
          <w:p w14:paraId="0B5DA576" w14:textId="77777777" w:rsidR="00C835B0" w:rsidRPr="003C7488" w:rsidRDefault="00C835B0" w:rsidP="008B1F7F">
            <w:pPr>
              <w:spacing w:line="280" w:lineRule="exact"/>
              <w:jc w:val="both"/>
              <w:rPr>
                <w:sz w:val="24"/>
                <w:szCs w:val="24"/>
              </w:rPr>
            </w:pPr>
            <w:r w:rsidRPr="003C7488">
              <w:rPr>
                <w:sz w:val="24"/>
                <w:szCs w:val="24"/>
              </w:rPr>
              <w:t>1980-2022</w:t>
            </w:r>
          </w:p>
        </w:tc>
        <w:tc>
          <w:tcPr>
            <w:tcW w:w="1170" w:type="dxa"/>
            <w:vAlign w:val="center"/>
          </w:tcPr>
          <w:p w14:paraId="20C816FF"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37270B1B" w14:textId="77777777" w:rsidR="00C835B0" w:rsidRPr="003C7488" w:rsidRDefault="00C835B0" w:rsidP="008B1F7F">
            <w:pPr>
              <w:spacing w:line="280" w:lineRule="exact"/>
              <w:jc w:val="both"/>
              <w:rPr>
                <w:sz w:val="24"/>
                <w:szCs w:val="24"/>
              </w:rPr>
            </w:pPr>
            <w:r w:rsidRPr="003C7488">
              <w:rPr>
                <w:sz w:val="24"/>
                <w:szCs w:val="24"/>
              </w:rPr>
              <w:t>776</w:t>
            </w:r>
          </w:p>
        </w:tc>
        <w:tc>
          <w:tcPr>
            <w:tcW w:w="1507" w:type="dxa"/>
            <w:shd w:val="clear" w:color="auto" w:fill="auto"/>
            <w:vAlign w:val="center"/>
          </w:tcPr>
          <w:p w14:paraId="6FE1D5CF" w14:textId="77777777" w:rsidR="00C835B0" w:rsidRPr="003C7488" w:rsidRDefault="00C835B0" w:rsidP="008B1F7F">
            <w:pPr>
              <w:spacing w:line="280" w:lineRule="exact"/>
              <w:jc w:val="both"/>
              <w:rPr>
                <w:sz w:val="24"/>
                <w:szCs w:val="24"/>
              </w:rPr>
            </w:pPr>
            <w:r w:rsidRPr="003C7488">
              <w:rPr>
                <w:sz w:val="24"/>
                <w:szCs w:val="24"/>
              </w:rPr>
              <w:t>Qualitative</w:t>
            </w:r>
          </w:p>
        </w:tc>
        <w:tc>
          <w:tcPr>
            <w:tcW w:w="1440" w:type="dxa"/>
            <w:vAlign w:val="center"/>
          </w:tcPr>
          <w:p w14:paraId="45D45F95" w14:textId="77777777" w:rsidR="00C835B0" w:rsidRPr="003C7488" w:rsidRDefault="00C835B0" w:rsidP="008B1F7F">
            <w:pPr>
              <w:spacing w:line="280" w:lineRule="exact"/>
              <w:jc w:val="both"/>
              <w:rPr>
                <w:sz w:val="24"/>
                <w:szCs w:val="24"/>
              </w:rPr>
            </w:pPr>
            <w:r w:rsidRPr="003C7488">
              <w:rPr>
                <w:sz w:val="24"/>
                <w:szCs w:val="24"/>
              </w:rPr>
              <w:t>Restricted Stocks</w:t>
            </w:r>
          </w:p>
        </w:tc>
        <w:tc>
          <w:tcPr>
            <w:tcW w:w="1260" w:type="dxa"/>
            <w:shd w:val="clear" w:color="auto" w:fill="auto"/>
            <w:vAlign w:val="center"/>
          </w:tcPr>
          <w:p w14:paraId="7F63BADB" w14:textId="77777777" w:rsidR="00C835B0" w:rsidRPr="003C7488" w:rsidRDefault="00C835B0" w:rsidP="008B1F7F">
            <w:pPr>
              <w:spacing w:line="280" w:lineRule="exact"/>
              <w:jc w:val="both"/>
              <w:rPr>
                <w:sz w:val="24"/>
                <w:szCs w:val="24"/>
              </w:rPr>
            </w:pPr>
            <w:r w:rsidRPr="003C7488">
              <w:rPr>
                <w:sz w:val="24"/>
                <w:szCs w:val="24"/>
              </w:rPr>
              <w:t>15.7% - 20.5%</w:t>
            </w:r>
          </w:p>
        </w:tc>
      </w:tr>
      <w:tr w:rsidR="00C835B0" w:rsidRPr="003C7488" w14:paraId="7FF5F8F5" w14:textId="77777777" w:rsidTr="008B1F7F">
        <w:trPr>
          <w:trHeight w:val="840"/>
        </w:trPr>
        <w:tc>
          <w:tcPr>
            <w:tcW w:w="1620" w:type="dxa"/>
            <w:shd w:val="clear" w:color="auto" w:fill="auto"/>
            <w:vAlign w:val="center"/>
          </w:tcPr>
          <w:p w14:paraId="32183150" w14:textId="11179097" w:rsidR="00C835B0" w:rsidRPr="003C7488" w:rsidRDefault="00C835B0" w:rsidP="008B1F7F">
            <w:pPr>
              <w:spacing w:line="240" w:lineRule="auto"/>
              <w:rPr>
                <w:sz w:val="24"/>
                <w:szCs w:val="24"/>
              </w:rPr>
            </w:pPr>
            <w:r w:rsidRPr="003C7488">
              <w:rPr>
                <w:sz w:val="24"/>
                <w:szCs w:val="24"/>
              </w:rPr>
              <w:t>Chaffee</w:t>
            </w:r>
            <w:r>
              <w:rPr>
                <w:sz w:val="24"/>
                <w:szCs w:val="24"/>
              </w:rPr>
              <w:t xml:space="preserve"> </w:t>
            </w:r>
            <w:r>
              <w:rPr>
                <w:sz w:val="24"/>
                <w:szCs w:val="24"/>
              </w:rPr>
              <w:t>(</w:t>
            </w:r>
            <w:r w:rsidRPr="003C7488">
              <w:rPr>
                <w:sz w:val="24"/>
                <w:szCs w:val="24"/>
              </w:rPr>
              <w:t>1993</w:t>
            </w:r>
            <w:r>
              <w:rPr>
                <w:sz w:val="24"/>
                <w:szCs w:val="24"/>
              </w:rPr>
              <w:t>)</w:t>
            </w:r>
          </w:p>
        </w:tc>
        <w:tc>
          <w:tcPr>
            <w:tcW w:w="990" w:type="dxa"/>
            <w:shd w:val="clear" w:color="auto" w:fill="auto"/>
            <w:vAlign w:val="center"/>
          </w:tcPr>
          <w:p w14:paraId="65288AF3" w14:textId="77777777" w:rsidR="00C835B0" w:rsidRPr="003C7488" w:rsidRDefault="00C835B0" w:rsidP="008B1F7F">
            <w:pPr>
              <w:spacing w:line="280" w:lineRule="exact"/>
              <w:jc w:val="both"/>
              <w:rPr>
                <w:sz w:val="24"/>
                <w:szCs w:val="24"/>
              </w:rPr>
            </w:pPr>
            <w:r w:rsidRPr="003C7488">
              <w:rPr>
                <w:sz w:val="24"/>
                <w:szCs w:val="24"/>
              </w:rPr>
              <w:t>1993</w:t>
            </w:r>
          </w:p>
        </w:tc>
        <w:tc>
          <w:tcPr>
            <w:tcW w:w="1170" w:type="dxa"/>
            <w:vAlign w:val="center"/>
          </w:tcPr>
          <w:p w14:paraId="1E800AA8"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31259398" w14:textId="77777777" w:rsidR="00C835B0" w:rsidRPr="003C7488" w:rsidRDefault="00C835B0" w:rsidP="008B1F7F">
            <w:pPr>
              <w:spacing w:line="280" w:lineRule="exact"/>
              <w:jc w:val="both"/>
              <w:rPr>
                <w:sz w:val="24"/>
                <w:szCs w:val="24"/>
              </w:rPr>
            </w:pPr>
            <w:r w:rsidRPr="003C7488">
              <w:rPr>
                <w:sz w:val="24"/>
                <w:szCs w:val="24"/>
              </w:rPr>
              <w:t>N/A</w:t>
            </w:r>
          </w:p>
        </w:tc>
        <w:tc>
          <w:tcPr>
            <w:tcW w:w="1507" w:type="dxa"/>
            <w:shd w:val="clear" w:color="auto" w:fill="auto"/>
            <w:vAlign w:val="center"/>
          </w:tcPr>
          <w:p w14:paraId="099BE96A" w14:textId="77777777" w:rsidR="00C835B0" w:rsidRPr="003C7488" w:rsidRDefault="00C835B0" w:rsidP="008B1F7F">
            <w:pPr>
              <w:spacing w:line="280" w:lineRule="exact"/>
              <w:jc w:val="both"/>
              <w:rPr>
                <w:sz w:val="24"/>
                <w:szCs w:val="24"/>
              </w:rPr>
            </w:pPr>
            <w:r w:rsidRPr="003C7488">
              <w:rPr>
                <w:sz w:val="24"/>
                <w:szCs w:val="24"/>
              </w:rPr>
              <w:t>Quantitative</w:t>
            </w:r>
          </w:p>
        </w:tc>
        <w:tc>
          <w:tcPr>
            <w:tcW w:w="1440" w:type="dxa"/>
            <w:vAlign w:val="center"/>
          </w:tcPr>
          <w:p w14:paraId="3D564E04" w14:textId="77777777" w:rsidR="00C835B0" w:rsidRPr="003C7488" w:rsidRDefault="00C835B0" w:rsidP="008B1F7F">
            <w:pPr>
              <w:spacing w:line="280" w:lineRule="exact"/>
              <w:jc w:val="both"/>
              <w:rPr>
                <w:sz w:val="24"/>
                <w:szCs w:val="24"/>
              </w:rPr>
            </w:pPr>
            <w:r w:rsidRPr="003C7488">
              <w:rPr>
                <w:sz w:val="24"/>
                <w:szCs w:val="24"/>
              </w:rPr>
              <w:t>Option Pricing</w:t>
            </w:r>
          </w:p>
        </w:tc>
        <w:tc>
          <w:tcPr>
            <w:tcW w:w="1260" w:type="dxa"/>
            <w:shd w:val="clear" w:color="auto" w:fill="auto"/>
            <w:vAlign w:val="center"/>
          </w:tcPr>
          <w:p w14:paraId="32FBC65F" w14:textId="77777777" w:rsidR="00C835B0" w:rsidRPr="003C7488" w:rsidRDefault="00C835B0" w:rsidP="008B1F7F">
            <w:pPr>
              <w:spacing w:line="280" w:lineRule="exact"/>
              <w:jc w:val="both"/>
              <w:rPr>
                <w:sz w:val="24"/>
                <w:szCs w:val="24"/>
              </w:rPr>
            </w:pPr>
            <w:r w:rsidRPr="003C7488">
              <w:rPr>
                <w:sz w:val="24"/>
                <w:szCs w:val="24"/>
              </w:rPr>
              <w:t>28-41%</w:t>
            </w:r>
          </w:p>
        </w:tc>
      </w:tr>
      <w:tr w:rsidR="00C835B0" w:rsidRPr="003C7488" w14:paraId="159C5C05" w14:textId="77777777" w:rsidTr="008B1F7F">
        <w:trPr>
          <w:trHeight w:val="840"/>
        </w:trPr>
        <w:tc>
          <w:tcPr>
            <w:tcW w:w="1620" w:type="dxa"/>
            <w:shd w:val="clear" w:color="auto" w:fill="auto"/>
            <w:vAlign w:val="center"/>
          </w:tcPr>
          <w:p w14:paraId="1A5CD607" w14:textId="78FDA731" w:rsidR="00C835B0" w:rsidRPr="003C7488" w:rsidRDefault="00C835B0" w:rsidP="008B1F7F">
            <w:pPr>
              <w:spacing w:line="240" w:lineRule="auto"/>
              <w:rPr>
                <w:rStyle w:val="fontstyle01"/>
                <w:rFonts w:ascii="Arial" w:hAnsi="Arial"/>
              </w:rPr>
            </w:pPr>
            <w:r w:rsidRPr="003C7488">
              <w:rPr>
                <w:color w:val="000000"/>
                <w:sz w:val="24"/>
                <w:szCs w:val="24"/>
              </w:rPr>
              <w:t>Longstaff</w:t>
            </w:r>
            <w:r>
              <w:rPr>
                <w:color w:val="000000"/>
                <w:sz w:val="24"/>
                <w:szCs w:val="24"/>
              </w:rPr>
              <w:t xml:space="preserve"> </w:t>
            </w:r>
            <w:r>
              <w:rPr>
                <w:sz w:val="24"/>
                <w:szCs w:val="24"/>
              </w:rPr>
              <w:t>(</w:t>
            </w:r>
            <w:r w:rsidRPr="003C7488">
              <w:rPr>
                <w:sz w:val="24"/>
                <w:szCs w:val="24"/>
              </w:rPr>
              <w:t>1995</w:t>
            </w:r>
            <w:r>
              <w:rPr>
                <w:sz w:val="24"/>
                <w:szCs w:val="24"/>
              </w:rPr>
              <w:t>)</w:t>
            </w:r>
          </w:p>
        </w:tc>
        <w:tc>
          <w:tcPr>
            <w:tcW w:w="990" w:type="dxa"/>
            <w:shd w:val="clear" w:color="auto" w:fill="auto"/>
            <w:vAlign w:val="center"/>
          </w:tcPr>
          <w:p w14:paraId="768B8A4E" w14:textId="77777777" w:rsidR="00C835B0" w:rsidRPr="003C7488" w:rsidRDefault="00C835B0" w:rsidP="008B1F7F">
            <w:pPr>
              <w:spacing w:line="280" w:lineRule="exact"/>
              <w:jc w:val="both"/>
              <w:rPr>
                <w:sz w:val="24"/>
                <w:szCs w:val="24"/>
              </w:rPr>
            </w:pPr>
            <w:r w:rsidRPr="003C7488">
              <w:rPr>
                <w:sz w:val="24"/>
                <w:szCs w:val="24"/>
              </w:rPr>
              <w:t>1995</w:t>
            </w:r>
          </w:p>
        </w:tc>
        <w:tc>
          <w:tcPr>
            <w:tcW w:w="1170" w:type="dxa"/>
            <w:vAlign w:val="center"/>
          </w:tcPr>
          <w:p w14:paraId="293B0605"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5862BAB1" w14:textId="77777777" w:rsidR="00C835B0" w:rsidRPr="003C7488" w:rsidRDefault="00C835B0" w:rsidP="008B1F7F">
            <w:pPr>
              <w:spacing w:line="280" w:lineRule="exact"/>
              <w:jc w:val="both"/>
              <w:rPr>
                <w:sz w:val="24"/>
                <w:szCs w:val="24"/>
              </w:rPr>
            </w:pPr>
            <w:r w:rsidRPr="003C7488">
              <w:rPr>
                <w:sz w:val="24"/>
                <w:szCs w:val="24"/>
              </w:rPr>
              <w:t>N/A</w:t>
            </w:r>
          </w:p>
        </w:tc>
        <w:tc>
          <w:tcPr>
            <w:tcW w:w="1507" w:type="dxa"/>
            <w:shd w:val="clear" w:color="auto" w:fill="auto"/>
            <w:vAlign w:val="center"/>
          </w:tcPr>
          <w:p w14:paraId="5EA10013" w14:textId="77777777" w:rsidR="00C835B0" w:rsidRPr="003C7488" w:rsidRDefault="00C835B0" w:rsidP="008B1F7F">
            <w:pPr>
              <w:spacing w:line="280" w:lineRule="exact"/>
              <w:jc w:val="both"/>
              <w:rPr>
                <w:sz w:val="24"/>
                <w:szCs w:val="24"/>
              </w:rPr>
            </w:pPr>
            <w:r w:rsidRPr="003C7488">
              <w:rPr>
                <w:sz w:val="24"/>
                <w:szCs w:val="24"/>
              </w:rPr>
              <w:t>Quantitative</w:t>
            </w:r>
          </w:p>
        </w:tc>
        <w:tc>
          <w:tcPr>
            <w:tcW w:w="1440" w:type="dxa"/>
            <w:vAlign w:val="center"/>
          </w:tcPr>
          <w:p w14:paraId="618CC8B2" w14:textId="77777777" w:rsidR="00C835B0" w:rsidRPr="003C7488" w:rsidRDefault="00C835B0" w:rsidP="008B1F7F">
            <w:pPr>
              <w:spacing w:line="280" w:lineRule="exact"/>
              <w:jc w:val="both"/>
              <w:rPr>
                <w:sz w:val="24"/>
                <w:szCs w:val="24"/>
              </w:rPr>
            </w:pPr>
            <w:r w:rsidRPr="003C7488">
              <w:rPr>
                <w:sz w:val="24"/>
                <w:szCs w:val="24"/>
              </w:rPr>
              <w:t>Option Pricing</w:t>
            </w:r>
          </w:p>
        </w:tc>
        <w:tc>
          <w:tcPr>
            <w:tcW w:w="1260" w:type="dxa"/>
            <w:shd w:val="clear" w:color="auto" w:fill="auto"/>
            <w:vAlign w:val="center"/>
          </w:tcPr>
          <w:p w14:paraId="70FC2ECD" w14:textId="77777777" w:rsidR="00C835B0" w:rsidRPr="003C7488" w:rsidRDefault="00C835B0" w:rsidP="008B1F7F">
            <w:pPr>
              <w:spacing w:line="280" w:lineRule="exact"/>
              <w:jc w:val="both"/>
              <w:rPr>
                <w:sz w:val="24"/>
                <w:szCs w:val="24"/>
              </w:rPr>
            </w:pPr>
            <w:r w:rsidRPr="003C7488">
              <w:rPr>
                <w:sz w:val="24"/>
                <w:szCs w:val="24"/>
              </w:rPr>
              <w:t>65%</w:t>
            </w:r>
          </w:p>
        </w:tc>
      </w:tr>
      <w:tr w:rsidR="00C835B0" w:rsidRPr="003C7488" w14:paraId="045D1AA5" w14:textId="77777777" w:rsidTr="008B1F7F">
        <w:trPr>
          <w:trHeight w:val="840"/>
        </w:trPr>
        <w:tc>
          <w:tcPr>
            <w:tcW w:w="1620" w:type="dxa"/>
            <w:shd w:val="clear" w:color="auto" w:fill="auto"/>
            <w:vAlign w:val="center"/>
          </w:tcPr>
          <w:p w14:paraId="2A82F4E0" w14:textId="32F51128" w:rsidR="00C835B0" w:rsidRPr="003C7488" w:rsidRDefault="00C835B0" w:rsidP="008B1F7F">
            <w:pPr>
              <w:spacing w:line="240" w:lineRule="auto"/>
              <w:rPr>
                <w:rStyle w:val="fontstyle01"/>
                <w:rFonts w:ascii="Arial" w:hAnsi="Arial"/>
              </w:rPr>
            </w:pPr>
            <w:r w:rsidRPr="003C7488">
              <w:rPr>
                <w:color w:val="000000"/>
                <w:sz w:val="24"/>
                <w:szCs w:val="24"/>
              </w:rPr>
              <w:t>Finnerty</w:t>
            </w:r>
            <w:r>
              <w:rPr>
                <w:color w:val="000000"/>
                <w:sz w:val="24"/>
                <w:szCs w:val="24"/>
              </w:rPr>
              <w:t xml:space="preserve"> </w:t>
            </w:r>
            <w:r>
              <w:rPr>
                <w:sz w:val="24"/>
                <w:szCs w:val="24"/>
              </w:rPr>
              <w:t>(</w:t>
            </w:r>
            <w:r w:rsidRPr="003C7488">
              <w:rPr>
                <w:sz w:val="24"/>
                <w:szCs w:val="24"/>
              </w:rPr>
              <w:t>2012</w:t>
            </w:r>
            <w:r>
              <w:rPr>
                <w:sz w:val="24"/>
                <w:szCs w:val="24"/>
              </w:rPr>
              <w:t>)</w:t>
            </w:r>
          </w:p>
        </w:tc>
        <w:tc>
          <w:tcPr>
            <w:tcW w:w="990" w:type="dxa"/>
            <w:shd w:val="clear" w:color="auto" w:fill="auto"/>
            <w:vAlign w:val="center"/>
          </w:tcPr>
          <w:p w14:paraId="7CF8ECAB" w14:textId="77777777" w:rsidR="00C835B0" w:rsidRPr="003C7488" w:rsidRDefault="00C835B0" w:rsidP="008B1F7F">
            <w:pPr>
              <w:spacing w:line="280" w:lineRule="exact"/>
              <w:jc w:val="both"/>
              <w:rPr>
                <w:sz w:val="24"/>
                <w:szCs w:val="24"/>
              </w:rPr>
            </w:pPr>
            <w:r>
              <w:rPr>
                <w:sz w:val="24"/>
                <w:szCs w:val="24"/>
              </w:rPr>
              <w:t>2007-2011</w:t>
            </w:r>
          </w:p>
        </w:tc>
        <w:tc>
          <w:tcPr>
            <w:tcW w:w="1170" w:type="dxa"/>
            <w:vAlign w:val="center"/>
          </w:tcPr>
          <w:p w14:paraId="2DD96A8A"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08D8F226" w14:textId="77777777" w:rsidR="00C835B0" w:rsidRPr="003C7488" w:rsidRDefault="00C835B0" w:rsidP="008B1F7F">
            <w:pPr>
              <w:spacing w:line="280" w:lineRule="exact"/>
              <w:jc w:val="both"/>
              <w:rPr>
                <w:sz w:val="24"/>
                <w:szCs w:val="24"/>
              </w:rPr>
            </w:pPr>
            <w:r w:rsidRPr="003C7488">
              <w:rPr>
                <w:sz w:val="24"/>
                <w:szCs w:val="24"/>
              </w:rPr>
              <w:t>208</w:t>
            </w:r>
          </w:p>
        </w:tc>
        <w:tc>
          <w:tcPr>
            <w:tcW w:w="1507" w:type="dxa"/>
            <w:shd w:val="clear" w:color="auto" w:fill="auto"/>
            <w:vAlign w:val="center"/>
          </w:tcPr>
          <w:p w14:paraId="05CE5042" w14:textId="77777777" w:rsidR="00C835B0" w:rsidRPr="003C7488" w:rsidRDefault="00C835B0" w:rsidP="008B1F7F">
            <w:pPr>
              <w:spacing w:line="280" w:lineRule="exact"/>
              <w:jc w:val="both"/>
              <w:rPr>
                <w:sz w:val="24"/>
                <w:szCs w:val="24"/>
              </w:rPr>
            </w:pPr>
            <w:r w:rsidRPr="003C7488">
              <w:rPr>
                <w:sz w:val="24"/>
                <w:szCs w:val="24"/>
              </w:rPr>
              <w:t>Quantitative</w:t>
            </w:r>
          </w:p>
        </w:tc>
        <w:tc>
          <w:tcPr>
            <w:tcW w:w="1440" w:type="dxa"/>
            <w:vAlign w:val="center"/>
          </w:tcPr>
          <w:p w14:paraId="56E9AD25" w14:textId="77777777" w:rsidR="00C835B0" w:rsidRPr="003C7488" w:rsidRDefault="00C835B0" w:rsidP="008B1F7F">
            <w:pPr>
              <w:spacing w:line="280" w:lineRule="exact"/>
              <w:jc w:val="both"/>
              <w:rPr>
                <w:sz w:val="24"/>
                <w:szCs w:val="24"/>
              </w:rPr>
            </w:pPr>
            <w:r w:rsidRPr="003C7488">
              <w:rPr>
                <w:sz w:val="24"/>
                <w:szCs w:val="24"/>
              </w:rPr>
              <w:t>Option Pricing</w:t>
            </w:r>
          </w:p>
        </w:tc>
        <w:tc>
          <w:tcPr>
            <w:tcW w:w="1260" w:type="dxa"/>
            <w:shd w:val="clear" w:color="auto" w:fill="auto"/>
            <w:vAlign w:val="center"/>
          </w:tcPr>
          <w:p w14:paraId="5DA454FB" w14:textId="77777777" w:rsidR="00C835B0" w:rsidRPr="003C7488" w:rsidRDefault="00C835B0" w:rsidP="008B1F7F">
            <w:pPr>
              <w:spacing w:line="280" w:lineRule="exact"/>
              <w:jc w:val="both"/>
              <w:rPr>
                <w:sz w:val="24"/>
                <w:szCs w:val="24"/>
              </w:rPr>
            </w:pPr>
            <w:r w:rsidRPr="003C7488">
              <w:rPr>
                <w:sz w:val="24"/>
                <w:szCs w:val="24"/>
              </w:rPr>
              <w:t>20%</w:t>
            </w:r>
          </w:p>
        </w:tc>
      </w:tr>
      <w:tr w:rsidR="00C835B0" w:rsidRPr="003C7488" w14:paraId="5A99D373" w14:textId="77777777" w:rsidTr="008B1F7F">
        <w:trPr>
          <w:trHeight w:val="840"/>
        </w:trPr>
        <w:tc>
          <w:tcPr>
            <w:tcW w:w="1620" w:type="dxa"/>
            <w:shd w:val="clear" w:color="auto" w:fill="auto"/>
            <w:vAlign w:val="center"/>
          </w:tcPr>
          <w:p w14:paraId="02D3F048" w14:textId="7390C48E" w:rsidR="00C835B0" w:rsidRPr="003C7488" w:rsidRDefault="00C835B0" w:rsidP="008B1F7F">
            <w:pPr>
              <w:spacing w:line="240" w:lineRule="auto"/>
              <w:rPr>
                <w:rStyle w:val="fontstyle01"/>
                <w:rFonts w:ascii="Arial" w:hAnsi="Arial"/>
              </w:rPr>
            </w:pPr>
            <w:r w:rsidRPr="003C7488">
              <w:rPr>
                <w:sz w:val="24"/>
                <w:szCs w:val="24"/>
              </w:rPr>
              <w:t>NERA CAPM-Based Method</w:t>
            </w:r>
            <w:r>
              <w:rPr>
                <w:sz w:val="24"/>
                <w:szCs w:val="24"/>
              </w:rPr>
              <w:t xml:space="preserve"> </w:t>
            </w:r>
            <w:r>
              <w:rPr>
                <w:sz w:val="24"/>
                <w:szCs w:val="24"/>
              </w:rPr>
              <w:t>(</w:t>
            </w:r>
            <w:r w:rsidRPr="003C7488">
              <w:rPr>
                <w:sz w:val="24"/>
                <w:szCs w:val="24"/>
              </w:rPr>
              <w:t>2002</w:t>
            </w:r>
            <w:r>
              <w:rPr>
                <w:sz w:val="24"/>
                <w:szCs w:val="24"/>
              </w:rPr>
              <w:t>)</w:t>
            </w:r>
          </w:p>
        </w:tc>
        <w:tc>
          <w:tcPr>
            <w:tcW w:w="990" w:type="dxa"/>
            <w:shd w:val="clear" w:color="auto" w:fill="auto"/>
            <w:vAlign w:val="center"/>
          </w:tcPr>
          <w:p w14:paraId="17B5A073" w14:textId="77777777" w:rsidR="00C835B0" w:rsidRPr="003C7488" w:rsidRDefault="00C835B0" w:rsidP="008B1F7F">
            <w:pPr>
              <w:spacing w:line="280" w:lineRule="exact"/>
              <w:jc w:val="both"/>
              <w:rPr>
                <w:sz w:val="24"/>
                <w:szCs w:val="24"/>
              </w:rPr>
            </w:pPr>
            <w:r w:rsidRPr="003C7488">
              <w:rPr>
                <w:sz w:val="24"/>
                <w:szCs w:val="24"/>
              </w:rPr>
              <w:t>1926-2002</w:t>
            </w:r>
          </w:p>
        </w:tc>
        <w:tc>
          <w:tcPr>
            <w:tcW w:w="1170" w:type="dxa"/>
            <w:vAlign w:val="center"/>
          </w:tcPr>
          <w:p w14:paraId="7A1FC550"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2FE18460" w14:textId="77777777" w:rsidR="00C835B0" w:rsidRPr="003C7488" w:rsidRDefault="00C835B0" w:rsidP="008B1F7F">
            <w:pPr>
              <w:spacing w:line="280" w:lineRule="exact"/>
              <w:jc w:val="both"/>
              <w:rPr>
                <w:sz w:val="24"/>
                <w:szCs w:val="24"/>
              </w:rPr>
            </w:pPr>
            <w:r w:rsidRPr="003C7488">
              <w:rPr>
                <w:sz w:val="24"/>
                <w:szCs w:val="24"/>
              </w:rPr>
              <w:t>all companies in the S&amp;P 500 Index</w:t>
            </w:r>
          </w:p>
        </w:tc>
        <w:tc>
          <w:tcPr>
            <w:tcW w:w="1507" w:type="dxa"/>
            <w:shd w:val="clear" w:color="auto" w:fill="auto"/>
            <w:vAlign w:val="center"/>
          </w:tcPr>
          <w:p w14:paraId="79A02985" w14:textId="77777777" w:rsidR="00C835B0" w:rsidRPr="003C7488" w:rsidRDefault="00C835B0" w:rsidP="008B1F7F">
            <w:pPr>
              <w:spacing w:line="280" w:lineRule="exact"/>
              <w:jc w:val="both"/>
              <w:rPr>
                <w:sz w:val="24"/>
                <w:szCs w:val="24"/>
              </w:rPr>
            </w:pPr>
            <w:r w:rsidRPr="003C7488">
              <w:rPr>
                <w:sz w:val="24"/>
                <w:szCs w:val="24"/>
              </w:rPr>
              <w:t>Quantitative</w:t>
            </w:r>
          </w:p>
        </w:tc>
        <w:tc>
          <w:tcPr>
            <w:tcW w:w="1440" w:type="dxa"/>
            <w:vAlign w:val="center"/>
          </w:tcPr>
          <w:p w14:paraId="1065BA92" w14:textId="77777777" w:rsidR="00C835B0" w:rsidRPr="003C7488" w:rsidRDefault="00C835B0" w:rsidP="008B1F7F">
            <w:pPr>
              <w:spacing w:line="280" w:lineRule="exact"/>
              <w:jc w:val="both"/>
              <w:rPr>
                <w:sz w:val="24"/>
                <w:szCs w:val="24"/>
              </w:rPr>
            </w:pPr>
            <w:r w:rsidRPr="003C7488">
              <w:rPr>
                <w:sz w:val="24"/>
                <w:szCs w:val="24"/>
              </w:rPr>
              <w:t>DCF</w:t>
            </w:r>
          </w:p>
        </w:tc>
        <w:tc>
          <w:tcPr>
            <w:tcW w:w="1260" w:type="dxa"/>
            <w:shd w:val="clear" w:color="auto" w:fill="auto"/>
            <w:vAlign w:val="center"/>
          </w:tcPr>
          <w:p w14:paraId="29B33235" w14:textId="77777777" w:rsidR="00C835B0" w:rsidRPr="003C7488" w:rsidRDefault="00C835B0" w:rsidP="008B1F7F">
            <w:pPr>
              <w:spacing w:line="280" w:lineRule="exact"/>
              <w:jc w:val="both"/>
              <w:rPr>
                <w:sz w:val="24"/>
                <w:szCs w:val="24"/>
              </w:rPr>
            </w:pPr>
            <w:r w:rsidRPr="003C7488">
              <w:rPr>
                <w:sz w:val="24"/>
                <w:szCs w:val="24"/>
              </w:rPr>
              <w:t>33.4%-44.0%</w:t>
            </w:r>
          </w:p>
        </w:tc>
      </w:tr>
      <w:tr w:rsidR="00C835B0" w:rsidRPr="003C7488" w14:paraId="2410DC16" w14:textId="77777777" w:rsidTr="008B1F7F">
        <w:trPr>
          <w:trHeight w:val="840"/>
        </w:trPr>
        <w:tc>
          <w:tcPr>
            <w:tcW w:w="1620" w:type="dxa"/>
            <w:shd w:val="clear" w:color="auto" w:fill="auto"/>
            <w:vAlign w:val="center"/>
          </w:tcPr>
          <w:p w14:paraId="5A51C575" w14:textId="0D0BD4A2" w:rsidR="00C835B0" w:rsidRPr="003C7488" w:rsidRDefault="00C835B0" w:rsidP="008B1F7F">
            <w:pPr>
              <w:spacing w:line="240" w:lineRule="auto"/>
              <w:rPr>
                <w:rStyle w:val="fontstyle01"/>
                <w:rFonts w:ascii="Arial" w:hAnsi="Arial"/>
                <w:lang w:val="en-US"/>
              </w:rPr>
            </w:pPr>
            <w:r w:rsidRPr="003C7488">
              <w:rPr>
                <w:sz w:val="24"/>
                <w:szCs w:val="24"/>
              </w:rPr>
              <w:t>QMDM</w:t>
            </w:r>
            <w:r>
              <w:rPr>
                <w:sz w:val="24"/>
                <w:szCs w:val="24"/>
              </w:rPr>
              <w:t xml:space="preserve"> </w:t>
            </w:r>
            <w:r>
              <w:rPr>
                <w:sz w:val="24"/>
                <w:szCs w:val="24"/>
              </w:rPr>
              <w:t>(</w:t>
            </w:r>
            <w:r w:rsidRPr="003C7488">
              <w:rPr>
                <w:sz w:val="24"/>
                <w:szCs w:val="24"/>
              </w:rPr>
              <w:t>2020</w:t>
            </w:r>
            <w:r>
              <w:rPr>
                <w:sz w:val="24"/>
                <w:szCs w:val="24"/>
              </w:rPr>
              <w:t>)</w:t>
            </w:r>
          </w:p>
        </w:tc>
        <w:tc>
          <w:tcPr>
            <w:tcW w:w="990" w:type="dxa"/>
            <w:shd w:val="clear" w:color="auto" w:fill="auto"/>
            <w:vAlign w:val="center"/>
          </w:tcPr>
          <w:p w14:paraId="0E10FBD0" w14:textId="77777777" w:rsidR="00C835B0" w:rsidRPr="003C7488" w:rsidRDefault="00C835B0" w:rsidP="008B1F7F">
            <w:pPr>
              <w:spacing w:line="280" w:lineRule="exact"/>
              <w:jc w:val="both"/>
              <w:rPr>
                <w:sz w:val="24"/>
                <w:szCs w:val="24"/>
              </w:rPr>
            </w:pPr>
            <w:r>
              <w:rPr>
                <w:sz w:val="24"/>
                <w:szCs w:val="24"/>
              </w:rPr>
              <w:t>2015-2019</w:t>
            </w:r>
          </w:p>
        </w:tc>
        <w:tc>
          <w:tcPr>
            <w:tcW w:w="1170" w:type="dxa"/>
            <w:vAlign w:val="center"/>
          </w:tcPr>
          <w:p w14:paraId="5888529D" w14:textId="77777777" w:rsidR="00C835B0" w:rsidRPr="003C7488" w:rsidRDefault="00C835B0" w:rsidP="008B1F7F">
            <w:pPr>
              <w:spacing w:line="280" w:lineRule="exact"/>
              <w:jc w:val="both"/>
              <w:rPr>
                <w:sz w:val="24"/>
                <w:szCs w:val="24"/>
              </w:rPr>
            </w:pPr>
            <w:r w:rsidRPr="003C7488">
              <w:rPr>
                <w:sz w:val="24"/>
                <w:szCs w:val="24"/>
              </w:rPr>
              <w:t>USA</w:t>
            </w:r>
          </w:p>
        </w:tc>
        <w:tc>
          <w:tcPr>
            <w:tcW w:w="1080" w:type="dxa"/>
            <w:shd w:val="clear" w:color="auto" w:fill="auto"/>
            <w:vAlign w:val="center"/>
          </w:tcPr>
          <w:p w14:paraId="00D6233C" w14:textId="77777777" w:rsidR="00C835B0" w:rsidRPr="003C7488" w:rsidRDefault="00C835B0" w:rsidP="008B1F7F">
            <w:pPr>
              <w:spacing w:line="280" w:lineRule="exact"/>
              <w:jc w:val="both"/>
              <w:rPr>
                <w:sz w:val="24"/>
                <w:szCs w:val="24"/>
              </w:rPr>
            </w:pPr>
            <w:r w:rsidRPr="003C7488">
              <w:rPr>
                <w:sz w:val="24"/>
                <w:szCs w:val="24"/>
              </w:rPr>
              <w:t>N/A</w:t>
            </w:r>
          </w:p>
        </w:tc>
        <w:tc>
          <w:tcPr>
            <w:tcW w:w="1507" w:type="dxa"/>
            <w:shd w:val="clear" w:color="auto" w:fill="auto"/>
            <w:vAlign w:val="center"/>
          </w:tcPr>
          <w:p w14:paraId="3212723D" w14:textId="77777777" w:rsidR="00C835B0" w:rsidRPr="003C7488" w:rsidRDefault="00C835B0" w:rsidP="008B1F7F">
            <w:pPr>
              <w:spacing w:line="280" w:lineRule="exact"/>
              <w:jc w:val="both"/>
              <w:rPr>
                <w:sz w:val="24"/>
                <w:szCs w:val="24"/>
              </w:rPr>
            </w:pPr>
            <w:r w:rsidRPr="003C7488">
              <w:rPr>
                <w:sz w:val="24"/>
                <w:szCs w:val="24"/>
              </w:rPr>
              <w:t>Quantitative</w:t>
            </w:r>
          </w:p>
        </w:tc>
        <w:tc>
          <w:tcPr>
            <w:tcW w:w="1440" w:type="dxa"/>
            <w:vAlign w:val="center"/>
          </w:tcPr>
          <w:p w14:paraId="08B565E8" w14:textId="77777777" w:rsidR="00C835B0" w:rsidRPr="003C7488" w:rsidRDefault="00C835B0" w:rsidP="008B1F7F">
            <w:pPr>
              <w:spacing w:line="280" w:lineRule="exact"/>
              <w:jc w:val="both"/>
              <w:rPr>
                <w:sz w:val="24"/>
                <w:szCs w:val="24"/>
              </w:rPr>
            </w:pPr>
            <w:r w:rsidRPr="003C7488">
              <w:rPr>
                <w:sz w:val="24"/>
                <w:szCs w:val="24"/>
              </w:rPr>
              <w:t>DCF</w:t>
            </w:r>
          </w:p>
        </w:tc>
        <w:tc>
          <w:tcPr>
            <w:tcW w:w="1260" w:type="dxa"/>
            <w:shd w:val="clear" w:color="auto" w:fill="auto"/>
            <w:vAlign w:val="center"/>
          </w:tcPr>
          <w:p w14:paraId="321328CC" w14:textId="77777777" w:rsidR="00C835B0" w:rsidRPr="003C7488" w:rsidRDefault="00C835B0" w:rsidP="008B1F7F">
            <w:pPr>
              <w:spacing w:line="280" w:lineRule="exact"/>
              <w:jc w:val="both"/>
              <w:rPr>
                <w:sz w:val="24"/>
                <w:szCs w:val="24"/>
              </w:rPr>
            </w:pPr>
            <w:r w:rsidRPr="003C7488">
              <w:rPr>
                <w:sz w:val="24"/>
                <w:szCs w:val="24"/>
              </w:rPr>
              <w:t>65%</w:t>
            </w:r>
          </w:p>
        </w:tc>
      </w:tr>
    </w:tbl>
    <w:p w14:paraId="7E940773" w14:textId="77777777" w:rsidR="00BA4329" w:rsidRPr="00E45E23" w:rsidRDefault="00BA4329" w:rsidP="008B1F7F">
      <w:pPr>
        <w:jc w:val="both"/>
        <w:rPr>
          <w:sz w:val="24"/>
          <w:szCs w:val="24"/>
        </w:rPr>
      </w:pPr>
    </w:p>
    <w:p w14:paraId="0FEEC197" w14:textId="77777777" w:rsidR="00BA4329" w:rsidRPr="00E45E23" w:rsidRDefault="00BA4329" w:rsidP="008B1F7F">
      <w:pPr>
        <w:jc w:val="both"/>
        <w:rPr>
          <w:b/>
          <w:bCs/>
          <w:sz w:val="24"/>
          <w:szCs w:val="24"/>
        </w:rPr>
      </w:pPr>
      <w:r w:rsidRPr="00E45E23">
        <w:rPr>
          <w:b/>
          <w:bCs/>
          <w:sz w:val="24"/>
          <w:szCs w:val="24"/>
        </w:rPr>
        <w:t>Qualitative methods</w:t>
      </w:r>
    </w:p>
    <w:p w14:paraId="5585663E" w14:textId="77777777" w:rsidR="00BA4329" w:rsidRPr="00E45E23" w:rsidRDefault="00BA4329" w:rsidP="008B1F7F">
      <w:pPr>
        <w:jc w:val="both"/>
        <w:rPr>
          <w:sz w:val="24"/>
          <w:szCs w:val="24"/>
          <w:lang w:val="en-US"/>
        </w:rPr>
      </w:pPr>
      <w:r w:rsidRPr="00E45E23">
        <w:rPr>
          <w:sz w:val="24"/>
          <w:szCs w:val="24"/>
        </w:rPr>
        <w:t>The foundation of qualitative approaches is the analyst's assessment of non-quantifiable aspects of a business or asset, such as the management team's experience, the industry cycle, the company's SWOT analysis in relation to its competitors, the state of employee relations, the supplier and customer relationships, the impact of current and future government regulations, and the strength of intellectual property. Qualitative methods of calculating the DLOM include (1) Restricted Stock Studies, (2) Pre-IPO Studies, and (3) Acquisition Studies.</w:t>
      </w:r>
      <w:r w:rsidRPr="00E45E23">
        <w:rPr>
          <w:sz w:val="24"/>
          <w:szCs w:val="24"/>
        </w:rPr>
        <w:br/>
      </w:r>
    </w:p>
    <w:p w14:paraId="79B02EB0" w14:textId="77777777" w:rsidR="00BA4329" w:rsidRPr="00E45E23" w:rsidRDefault="00BA4329" w:rsidP="008B1F7F">
      <w:pPr>
        <w:jc w:val="both"/>
        <w:rPr>
          <w:sz w:val="24"/>
          <w:szCs w:val="24"/>
        </w:rPr>
      </w:pPr>
      <w:r w:rsidRPr="00E45E23">
        <w:rPr>
          <w:sz w:val="24"/>
          <w:szCs w:val="24"/>
        </w:rPr>
        <w:t>(1) Restricted Stock Studies</w:t>
      </w:r>
    </w:p>
    <w:p w14:paraId="025E9CA2" w14:textId="6546BC7E" w:rsidR="00E60E04" w:rsidRDefault="00BA4329" w:rsidP="008B1F7F">
      <w:pPr>
        <w:jc w:val="both"/>
        <w:rPr>
          <w:sz w:val="24"/>
          <w:szCs w:val="24"/>
        </w:rPr>
      </w:pPr>
      <w:r w:rsidRPr="00E45E23">
        <w:rPr>
          <w:sz w:val="24"/>
          <w:szCs w:val="24"/>
        </w:rPr>
        <w:t>The idea behind restricted stock studies is that by comparing the sale price of publicly traded shares to the sale price of so-called restricted shares of the same company—shares that are identical in all respects except for their freedom to be freely marketed—it is possible to quantify the impact of lack of marketability. These studies are appealing because restricted equities offer a comparability to otherwise freely traded shares in the same company that is generally contemporaneous.</w:t>
      </w:r>
      <w:r w:rsidR="00BF6716">
        <w:rPr>
          <w:sz w:val="24"/>
          <w:szCs w:val="24"/>
        </w:rPr>
        <w:t xml:space="preserve"> Famous </w:t>
      </w:r>
      <w:r w:rsidR="00BF6716" w:rsidRPr="00E45E23">
        <w:rPr>
          <w:sz w:val="24"/>
          <w:szCs w:val="24"/>
        </w:rPr>
        <w:t>Restricted Stock Studies</w:t>
      </w:r>
      <w:r w:rsidR="00BF6716">
        <w:rPr>
          <w:sz w:val="24"/>
          <w:szCs w:val="24"/>
        </w:rPr>
        <w:t xml:space="preserve"> include </w:t>
      </w:r>
      <w:r w:rsidR="00E60E04" w:rsidRPr="00E45E23">
        <w:rPr>
          <w:sz w:val="24"/>
          <w:szCs w:val="24"/>
        </w:rPr>
        <w:t>SEC institutional investor (1971), Gelman (1972), Moroney (1973)</w:t>
      </w:r>
      <w:r w:rsidR="00E45E23">
        <w:rPr>
          <w:sz w:val="24"/>
          <w:szCs w:val="24"/>
        </w:rPr>
        <w:t xml:space="preserve">, </w:t>
      </w:r>
      <w:r w:rsidR="00E60E04" w:rsidRPr="00E45E23">
        <w:rPr>
          <w:sz w:val="24"/>
          <w:szCs w:val="24"/>
        </w:rPr>
        <w:t>Maher (1976)</w:t>
      </w:r>
      <w:r w:rsidR="00E45E23">
        <w:rPr>
          <w:sz w:val="24"/>
          <w:szCs w:val="24"/>
        </w:rPr>
        <w:t xml:space="preserve">, </w:t>
      </w:r>
      <w:r w:rsidR="00E60E04" w:rsidRPr="00E45E23">
        <w:rPr>
          <w:sz w:val="24"/>
          <w:szCs w:val="24"/>
        </w:rPr>
        <w:t>Trout (1977)</w:t>
      </w:r>
      <w:r w:rsidR="00E45E23">
        <w:rPr>
          <w:sz w:val="24"/>
          <w:szCs w:val="24"/>
        </w:rPr>
        <w:t xml:space="preserve">, </w:t>
      </w:r>
      <w:r w:rsidR="00E60E04" w:rsidRPr="00E45E23">
        <w:rPr>
          <w:sz w:val="24"/>
          <w:szCs w:val="24"/>
        </w:rPr>
        <w:t>Arneson (1981)</w:t>
      </w:r>
      <w:r w:rsidR="00E45E23">
        <w:rPr>
          <w:sz w:val="24"/>
          <w:szCs w:val="24"/>
        </w:rPr>
        <w:t xml:space="preserve">, </w:t>
      </w:r>
      <w:r w:rsidR="00E60E04" w:rsidRPr="00E45E23">
        <w:rPr>
          <w:sz w:val="24"/>
          <w:szCs w:val="24"/>
        </w:rPr>
        <w:t xml:space="preserve">Stryker and </w:t>
      </w:r>
      <w:r w:rsidR="008B1F7F">
        <w:rPr>
          <w:sz w:val="24"/>
          <w:szCs w:val="24"/>
        </w:rPr>
        <w:t>P</w:t>
      </w:r>
      <w:r w:rsidR="00E60E04" w:rsidRPr="00E45E23">
        <w:rPr>
          <w:sz w:val="24"/>
          <w:szCs w:val="24"/>
        </w:rPr>
        <w:t>ittock (1983)</w:t>
      </w:r>
      <w:r w:rsidR="00E45E23">
        <w:rPr>
          <w:sz w:val="24"/>
          <w:szCs w:val="24"/>
        </w:rPr>
        <w:t xml:space="preserve">, </w:t>
      </w:r>
      <w:r w:rsidR="00E60E04" w:rsidRPr="00E45E23">
        <w:rPr>
          <w:sz w:val="24"/>
          <w:szCs w:val="24"/>
        </w:rPr>
        <w:t>Wruck (1989)</w:t>
      </w:r>
      <w:r w:rsidR="00E45E23">
        <w:rPr>
          <w:sz w:val="24"/>
          <w:szCs w:val="24"/>
        </w:rPr>
        <w:t xml:space="preserve">, </w:t>
      </w:r>
      <w:r w:rsidR="00E60E04" w:rsidRPr="00E45E23">
        <w:rPr>
          <w:sz w:val="24"/>
          <w:szCs w:val="24"/>
        </w:rPr>
        <w:t>Silber (1991)</w:t>
      </w:r>
      <w:r w:rsidR="00E45E23">
        <w:rPr>
          <w:sz w:val="24"/>
          <w:szCs w:val="24"/>
        </w:rPr>
        <w:t xml:space="preserve">, </w:t>
      </w:r>
      <w:r w:rsidR="00E60E04" w:rsidRPr="00E45E23">
        <w:rPr>
          <w:sz w:val="24"/>
          <w:szCs w:val="24"/>
        </w:rPr>
        <w:t>Hertzel and Smith (1993)</w:t>
      </w:r>
      <w:r w:rsidR="00E45E23">
        <w:rPr>
          <w:sz w:val="24"/>
          <w:szCs w:val="24"/>
        </w:rPr>
        <w:t xml:space="preserve">, </w:t>
      </w:r>
      <w:r w:rsidR="00E60E04" w:rsidRPr="00E45E23">
        <w:rPr>
          <w:sz w:val="24"/>
          <w:szCs w:val="24"/>
        </w:rPr>
        <w:t>The Hall and Polacek (1994)</w:t>
      </w:r>
      <w:r w:rsidR="00E45E23">
        <w:rPr>
          <w:sz w:val="24"/>
          <w:szCs w:val="24"/>
        </w:rPr>
        <w:t xml:space="preserve">, </w:t>
      </w:r>
      <w:r w:rsidR="00E60E04" w:rsidRPr="00E45E23">
        <w:rPr>
          <w:sz w:val="24"/>
          <w:szCs w:val="24"/>
        </w:rPr>
        <w:t>Johnson (1999)</w:t>
      </w:r>
      <w:r w:rsidR="00E45E23">
        <w:rPr>
          <w:sz w:val="24"/>
          <w:szCs w:val="24"/>
        </w:rPr>
        <w:t xml:space="preserve">, </w:t>
      </w:r>
      <w:r w:rsidR="00E60E04" w:rsidRPr="00E45E23">
        <w:rPr>
          <w:sz w:val="24"/>
          <w:szCs w:val="24"/>
        </w:rPr>
        <w:t>Columbia Financial Advisors, Inc. (</w:t>
      </w:r>
      <w:r w:rsidR="00E60E04" w:rsidRPr="00E45E23">
        <w:rPr>
          <w:rFonts w:eastAsia="Times New Roman"/>
          <w:color w:val="242021"/>
          <w:sz w:val="24"/>
          <w:szCs w:val="24"/>
        </w:rPr>
        <w:t>Study 1 &amp; Study 2)</w:t>
      </w:r>
      <w:r w:rsidR="00E60E04" w:rsidRPr="00E45E23">
        <w:rPr>
          <w:sz w:val="24"/>
          <w:szCs w:val="24"/>
        </w:rPr>
        <w:t xml:space="preserve"> (2000)</w:t>
      </w:r>
      <w:r w:rsidR="00E45E23">
        <w:rPr>
          <w:sz w:val="24"/>
          <w:szCs w:val="24"/>
        </w:rPr>
        <w:t xml:space="preserve">, </w:t>
      </w:r>
      <w:r w:rsidR="00E60E04" w:rsidRPr="00E45E23">
        <w:rPr>
          <w:rFonts w:eastAsia="Times New Roman"/>
          <w:color w:val="242021"/>
          <w:sz w:val="24"/>
          <w:szCs w:val="24"/>
        </w:rPr>
        <w:t>Bajaj et al. Study</w:t>
      </w:r>
      <w:r w:rsidR="00E60E04" w:rsidRPr="00E45E23">
        <w:rPr>
          <w:sz w:val="24"/>
          <w:szCs w:val="24"/>
        </w:rPr>
        <w:t xml:space="preserve"> (2001)</w:t>
      </w:r>
      <w:r w:rsidR="00E45E23">
        <w:rPr>
          <w:sz w:val="24"/>
          <w:szCs w:val="24"/>
        </w:rPr>
        <w:t xml:space="preserve">, </w:t>
      </w:r>
      <w:r w:rsidR="00E60E04" w:rsidRPr="00E45E23">
        <w:rPr>
          <w:sz w:val="24"/>
          <w:szCs w:val="24"/>
        </w:rPr>
        <w:t>Barclay et al. (2007)</w:t>
      </w:r>
      <w:r w:rsidR="00E45E23">
        <w:rPr>
          <w:sz w:val="24"/>
          <w:szCs w:val="24"/>
        </w:rPr>
        <w:t xml:space="preserve">, </w:t>
      </w:r>
      <w:r w:rsidR="00E60E04" w:rsidRPr="00E45E23">
        <w:rPr>
          <w:sz w:val="24"/>
          <w:szCs w:val="24"/>
        </w:rPr>
        <w:t>Pluris (2007)</w:t>
      </w:r>
      <w:r w:rsidR="00E45E23">
        <w:rPr>
          <w:sz w:val="24"/>
          <w:szCs w:val="24"/>
        </w:rPr>
        <w:t xml:space="preserve">, </w:t>
      </w:r>
      <w:r w:rsidR="00E60E04" w:rsidRPr="00E45E23">
        <w:rPr>
          <w:rFonts w:eastAsia="Times New Roman"/>
          <w:color w:val="242021"/>
          <w:sz w:val="24"/>
          <w:szCs w:val="24"/>
        </w:rPr>
        <w:t>Willamette Management Associates Study</w:t>
      </w:r>
      <w:r w:rsidR="00E60E04" w:rsidRPr="00E45E23">
        <w:rPr>
          <w:sz w:val="24"/>
          <w:szCs w:val="24"/>
        </w:rPr>
        <w:t xml:space="preserve"> (2007)</w:t>
      </w:r>
      <w:r w:rsidR="00E45E23">
        <w:rPr>
          <w:sz w:val="24"/>
          <w:szCs w:val="24"/>
        </w:rPr>
        <w:t xml:space="preserve">, </w:t>
      </w:r>
      <w:r w:rsidR="00E60E04" w:rsidRPr="00E45E23">
        <w:rPr>
          <w:sz w:val="24"/>
          <w:szCs w:val="24"/>
        </w:rPr>
        <w:t>Management Planning, Inc. (2009)</w:t>
      </w:r>
      <w:r w:rsidR="00E45E23">
        <w:rPr>
          <w:sz w:val="24"/>
          <w:szCs w:val="24"/>
        </w:rPr>
        <w:t xml:space="preserve">, </w:t>
      </w:r>
      <w:r w:rsidR="00E60E04" w:rsidRPr="00E45E23">
        <w:rPr>
          <w:sz w:val="24"/>
          <w:szCs w:val="24"/>
        </w:rPr>
        <w:t>SRR (2011)</w:t>
      </w:r>
      <w:r w:rsidR="00E45E23">
        <w:rPr>
          <w:sz w:val="24"/>
          <w:szCs w:val="24"/>
        </w:rPr>
        <w:t xml:space="preserve">, </w:t>
      </w:r>
      <w:r w:rsidR="00E60E04" w:rsidRPr="00E45E23">
        <w:rPr>
          <w:sz w:val="24"/>
          <w:szCs w:val="24"/>
        </w:rPr>
        <w:t>Trugman Valuation Associates Inc. (2011)</w:t>
      </w:r>
      <w:r w:rsidR="00E45E23">
        <w:rPr>
          <w:sz w:val="24"/>
          <w:szCs w:val="24"/>
        </w:rPr>
        <w:t xml:space="preserve">, </w:t>
      </w:r>
      <w:r w:rsidR="00E60E04" w:rsidRPr="00E45E23">
        <w:rPr>
          <w:rFonts w:eastAsia="Times New Roman"/>
          <w:color w:val="242021"/>
          <w:sz w:val="24"/>
          <w:szCs w:val="24"/>
        </w:rPr>
        <w:t>FMV Opinions Inc.</w:t>
      </w:r>
      <w:r w:rsidR="00E60E04" w:rsidRPr="00E45E23">
        <w:rPr>
          <w:sz w:val="24"/>
          <w:szCs w:val="24"/>
        </w:rPr>
        <w:t xml:space="preserve"> (2015)</w:t>
      </w:r>
      <w:r w:rsidR="00E45E23">
        <w:rPr>
          <w:sz w:val="24"/>
          <w:szCs w:val="24"/>
        </w:rPr>
        <w:t xml:space="preserve">, </w:t>
      </w:r>
      <w:r w:rsidR="00E60E04" w:rsidRPr="00E45E23">
        <w:rPr>
          <w:sz w:val="24"/>
          <w:szCs w:val="24"/>
        </w:rPr>
        <w:t>BVR Survey (2021)</w:t>
      </w:r>
      <w:r w:rsidR="00E45E23">
        <w:rPr>
          <w:sz w:val="24"/>
          <w:szCs w:val="24"/>
        </w:rPr>
        <w:t xml:space="preserve">, </w:t>
      </w:r>
      <w:r w:rsidR="00ED5268">
        <w:rPr>
          <w:sz w:val="24"/>
          <w:szCs w:val="24"/>
        </w:rPr>
        <w:t xml:space="preserve">and </w:t>
      </w:r>
      <w:r w:rsidR="00E60E04" w:rsidRPr="00E45E23">
        <w:rPr>
          <w:sz w:val="24"/>
          <w:szCs w:val="24"/>
        </w:rPr>
        <w:t>Stout (2023)</w:t>
      </w:r>
      <w:r w:rsidR="00ED5268">
        <w:rPr>
          <w:sz w:val="24"/>
          <w:szCs w:val="24"/>
        </w:rPr>
        <w:t>.</w:t>
      </w:r>
    </w:p>
    <w:p w14:paraId="4900B87F" w14:textId="77777777" w:rsidR="003C4A1F" w:rsidRDefault="003C4A1F" w:rsidP="008B1F7F">
      <w:pPr>
        <w:jc w:val="both"/>
        <w:rPr>
          <w:sz w:val="24"/>
          <w:szCs w:val="24"/>
        </w:rPr>
      </w:pPr>
    </w:p>
    <w:p w14:paraId="1266082D" w14:textId="679020B0" w:rsidR="003C4A1F" w:rsidRPr="003C4A1F" w:rsidRDefault="003C4A1F" w:rsidP="008B1F7F">
      <w:pPr>
        <w:jc w:val="both"/>
        <w:rPr>
          <w:sz w:val="24"/>
          <w:szCs w:val="24"/>
        </w:rPr>
      </w:pPr>
      <w:r w:rsidRPr="003C4A1F">
        <w:rPr>
          <w:sz w:val="24"/>
          <w:szCs w:val="24"/>
        </w:rPr>
        <w:t>However, the use of restricted stock studies to support discounts for non-marketability on interests in privately owned corporations has drawn a number of complaints. The following are some of the main objections against the dependence on the discounts: (1) Lack of current market data; (2) risky issuer characteristics; (3) discounts imply abnormally high returns; (4) discounts represent economic considerations other than just lack of marketability; and (5) Hedging techniques would result in smaller discounts than indicated by limited stock research. Therefore, this method is not adopted in our thesis.</w:t>
      </w:r>
    </w:p>
    <w:p w14:paraId="51EFAB87" w14:textId="77777777" w:rsidR="00E60E04" w:rsidRPr="00E45E23" w:rsidRDefault="00E60E04" w:rsidP="008B1F7F">
      <w:pPr>
        <w:jc w:val="both"/>
        <w:rPr>
          <w:b/>
          <w:bCs/>
          <w:sz w:val="24"/>
          <w:szCs w:val="24"/>
          <w:u w:val="single"/>
        </w:rPr>
      </w:pPr>
    </w:p>
    <w:p w14:paraId="7838E354" w14:textId="77777777" w:rsidR="00BA4329" w:rsidRPr="00E45E23" w:rsidRDefault="00BA4329" w:rsidP="008B1F7F">
      <w:pPr>
        <w:jc w:val="both"/>
        <w:rPr>
          <w:sz w:val="24"/>
          <w:szCs w:val="24"/>
        </w:rPr>
      </w:pPr>
      <w:r w:rsidRPr="00E45E23">
        <w:rPr>
          <w:sz w:val="24"/>
          <w:szCs w:val="24"/>
        </w:rPr>
        <w:t>(2) Pre-IPO Studies</w:t>
      </w:r>
    </w:p>
    <w:p w14:paraId="36D75A0F" w14:textId="7B2352DC" w:rsidR="00E60E04" w:rsidRPr="00E45E23" w:rsidRDefault="00BA4329" w:rsidP="008B1F7F">
      <w:pPr>
        <w:jc w:val="both"/>
        <w:rPr>
          <w:sz w:val="24"/>
          <w:szCs w:val="24"/>
        </w:rPr>
      </w:pPr>
      <w:r w:rsidRPr="00E45E23">
        <w:rPr>
          <w:sz w:val="24"/>
          <w:szCs w:val="24"/>
        </w:rPr>
        <w:t xml:space="preserve">Pre-IPO studies have been used to estimate DLOM since the 1970s. They do this by comparing the price of an equity interest in a company, as stated in SEC filings, to the trading price of the same company's common stock after the IPO. According to the hypothesis, stock that is sold before an initial public offering (IPO) is nonmarketable, whereas stock that is sold after an IPO is completely liquid and marketable. Consequently, variations in marketability must be reflected in the percentage difference between the two prices. In our thesis, we considered 4 famous Pre-IPO Studies </w:t>
      </w:r>
      <w:r w:rsidR="00617C80">
        <w:rPr>
          <w:sz w:val="24"/>
          <w:szCs w:val="24"/>
        </w:rPr>
        <w:t xml:space="preserve">which are </w:t>
      </w:r>
      <w:r w:rsidR="00270157">
        <w:rPr>
          <w:sz w:val="24"/>
          <w:szCs w:val="24"/>
        </w:rPr>
        <w:t>W</w:t>
      </w:r>
      <w:r w:rsidR="00270157" w:rsidRPr="00E45E23">
        <w:rPr>
          <w:sz w:val="24"/>
          <w:szCs w:val="24"/>
        </w:rPr>
        <w:t xml:space="preserve">illamette </w:t>
      </w:r>
      <w:r w:rsidR="00270157">
        <w:rPr>
          <w:sz w:val="24"/>
          <w:szCs w:val="24"/>
        </w:rPr>
        <w:t>M</w:t>
      </w:r>
      <w:r w:rsidR="00270157" w:rsidRPr="00E45E23">
        <w:rPr>
          <w:sz w:val="24"/>
          <w:szCs w:val="24"/>
        </w:rPr>
        <w:t xml:space="preserve">anagement </w:t>
      </w:r>
      <w:r w:rsidR="00270157">
        <w:rPr>
          <w:sz w:val="24"/>
          <w:szCs w:val="24"/>
        </w:rPr>
        <w:t>A</w:t>
      </w:r>
      <w:r w:rsidR="00270157" w:rsidRPr="00E45E23">
        <w:rPr>
          <w:sz w:val="24"/>
          <w:szCs w:val="24"/>
        </w:rPr>
        <w:t>ssociates (2009)</w:t>
      </w:r>
      <w:r w:rsidR="00270157">
        <w:rPr>
          <w:sz w:val="24"/>
          <w:szCs w:val="24"/>
        </w:rPr>
        <w:t>, V</w:t>
      </w:r>
      <w:r w:rsidR="00270157" w:rsidRPr="00E45E23">
        <w:rPr>
          <w:sz w:val="24"/>
          <w:szCs w:val="24"/>
        </w:rPr>
        <w:t xml:space="preserve">aluation </w:t>
      </w:r>
      <w:r w:rsidR="00270157">
        <w:rPr>
          <w:sz w:val="24"/>
          <w:szCs w:val="24"/>
        </w:rPr>
        <w:t>A</w:t>
      </w:r>
      <w:r w:rsidR="00270157" w:rsidRPr="00E45E23">
        <w:rPr>
          <w:sz w:val="24"/>
          <w:szCs w:val="24"/>
        </w:rPr>
        <w:t>dvisors</w:t>
      </w:r>
      <w:r w:rsidR="00270157">
        <w:rPr>
          <w:sz w:val="24"/>
          <w:szCs w:val="24"/>
        </w:rPr>
        <w:t xml:space="preserve"> </w:t>
      </w:r>
      <w:r w:rsidR="00270157" w:rsidRPr="00E45E23">
        <w:rPr>
          <w:sz w:val="24"/>
          <w:szCs w:val="24"/>
        </w:rPr>
        <w:t>(2007)</w:t>
      </w:r>
      <w:r w:rsidR="00270157">
        <w:rPr>
          <w:sz w:val="24"/>
          <w:szCs w:val="24"/>
        </w:rPr>
        <w:t>. H</w:t>
      </w:r>
      <w:r w:rsidR="00270157" w:rsidRPr="00E45E23">
        <w:rPr>
          <w:sz w:val="24"/>
          <w:szCs w:val="24"/>
        </w:rPr>
        <w:t xml:space="preserve">itchner and </w:t>
      </w:r>
      <w:r w:rsidR="00270157">
        <w:rPr>
          <w:sz w:val="24"/>
          <w:szCs w:val="24"/>
        </w:rPr>
        <w:t>M</w:t>
      </w:r>
      <w:r w:rsidR="00270157" w:rsidRPr="00E45E23">
        <w:rPr>
          <w:sz w:val="24"/>
          <w:szCs w:val="24"/>
        </w:rPr>
        <w:t>orris (2011)</w:t>
      </w:r>
      <w:r w:rsidR="00270157">
        <w:rPr>
          <w:sz w:val="24"/>
          <w:szCs w:val="24"/>
        </w:rPr>
        <w:t xml:space="preserve">, and </w:t>
      </w:r>
      <w:r w:rsidR="00E60E04" w:rsidRPr="00E45E23">
        <w:rPr>
          <w:sz w:val="24"/>
          <w:szCs w:val="24"/>
        </w:rPr>
        <w:t>Emory (2012)</w:t>
      </w:r>
      <w:r w:rsidR="00ED5268">
        <w:rPr>
          <w:sz w:val="24"/>
          <w:szCs w:val="24"/>
        </w:rPr>
        <w:t>.</w:t>
      </w:r>
    </w:p>
    <w:p w14:paraId="3B4ED5E2" w14:textId="77777777" w:rsidR="00E60E04" w:rsidRDefault="00E60E04" w:rsidP="008B1F7F">
      <w:pPr>
        <w:jc w:val="both"/>
        <w:rPr>
          <w:b/>
          <w:bCs/>
          <w:sz w:val="24"/>
          <w:szCs w:val="24"/>
          <w:u w:val="single"/>
        </w:rPr>
      </w:pPr>
    </w:p>
    <w:p w14:paraId="57E90CC4" w14:textId="70BEAA2B" w:rsidR="003C4A1F" w:rsidRPr="003C4A1F" w:rsidRDefault="003C4A1F" w:rsidP="008B1F7F">
      <w:pPr>
        <w:jc w:val="both"/>
        <w:rPr>
          <w:sz w:val="24"/>
          <w:szCs w:val="24"/>
        </w:rPr>
      </w:pPr>
      <w:r w:rsidRPr="003C4A1F">
        <w:rPr>
          <w:sz w:val="24"/>
          <w:szCs w:val="24"/>
        </w:rPr>
        <w:t xml:space="preserve">There are many shortcomings in the pre-IPO method. </w:t>
      </w:r>
      <w:r w:rsidR="00455ACE" w:rsidRPr="00650D22">
        <w:rPr>
          <w:sz w:val="24"/>
          <w:szCs w:val="24"/>
        </w:rPr>
        <w:t xml:space="preserve">Z. Christopher Mercer, et al. (2011) </w:t>
      </w:r>
      <w:r w:rsidRPr="003C4A1F">
        <w:rPr>
          <w:sz w:val="24"/>
          <w:szCs w:val="24"/>
        </w:rPr>
        <w:t xml:space="preserve">states that the period of time between a pre-IPO transaction and a public offering is frequently too long. Studying private transactions that occurred five months to three years before the initial public offering (IPO) presents a compelling case that the price increase was caused by factors other than marketability.  Pre-IPO studies, in contrast to restricted stock studies, have the flaw that the price comparison between the two stocks is not contemporaneous. Therefore, rather than only affecting marketability, price fluctuations also have a substantial impact on the company's fundamentals. On the other hand, </w:t>
      </w:r>
      <w:r w:rsidR="00281B30" w:rsidRPr="00650D22">
        <w:rPr>
          <w:sz w:val="24"/>
          <w:szCs w:val="24"/>
        </w:rPr>
        <w:t xml:space="preserve">Z. Christopher Mercer, et al. (2011) </w:t>
      </w:r>
      <w:r w:rsidRPr="003C4A1F">
        <w:rPr>
          <w:sz w:val="24"/>
          <w:szCs w:val="24"/>
        </w:rPr>
        <w:t xml:space="preserve">also states </w:t>
      </w:r>
      <w:r w:rsidRPr="00C45C68">
        <w:rPr>
          <w:sz w:val="24"/>
          <w:szCs w:val="24"/>
        </w:rPr>
        <w:t>that Pre-IPO deals are typically underpriced in order to attract a full subscription.</w:t>
      </w:r>
      <w:r w:rsidRPr="003C4A1F">
        <w:rPr>
          <w:sz w:val="24"/>
          <w:szCs w:val="24"/>
        </w:rPr>
        <w:t xml:space="preserve"> Bajaj also argued that only companies that have successfully completed IPOs are included in the data. There is no information provided on potential companies that do not ultimately go public. Therefore, this method is not adopted in our thesis.</w:t>
      </w:r>
    </w:p>
    <w:p w14:paraId="1607E6E1" w14:textId="77777777" w:rsidR="00E60E04" w:rsidRPr="00E45E23" w:rsidRDefault="00E60E04" w:rsidP="008B1F7F">
      <w:pPr>
        <w:jc w:val="both"/>
        <w:rPr>
          <w:b/>
          <w:bCs/>
          <w:sz w:val="24"/>
          <w:szCs w:val="24"/>
          <w:u w:val="single"/>
        </w:rPr>
      </w:pPr>
    </w:p>
    <w:p w14:paraId="2AB18301" w14:textId="77777777" w:rsidR="00BA4329" w:rsidRPr="00E45E23" w:rsidRDefault="00BA4329" w:rsidP="008B1F7F">
      <w:pPr>
        <w:jc w:val="both"/>
        <w:rPr>
          <w:sz w:val="24"/>
          <w:szCs w:val="24"/>
        </w:rPr>
      </w:pPr>
      <w:r w:rsidRPr="00E45E23">
        <w:rPr>
          <w:sz w:val="24"/>
          <w:szCs w:val="24"/>
        </w:rPr>
        <w:t>(3) Acquisition Studies</w:t>
      </w:r>
    </w:p>
    <w:p w14:paraId="46D5BD94" w14:textId="7A72A6C5" w:rsidR="00DC5239" w:rsidRDefault="00BA4329" w:rsidP="008B1F7F">
      <w:pPr>
        <w:jc w:val="both"/>
        <w:rPr>
          <w:sz w:val="24"/>
          <w:szCs w:val="24"/>
        </w:rPr>
      </w:pPr>
      <w:r w:rsidRPr="00E45E23">
        <w:rPr>
          <w:sz w:val="24"/>
          <w:szCs w:val="24"/>
        </w:rPr>
        <w:t>The acquisition method compares the private companies' acquisition pricing multiples to the public companies' guideline firms' acquisition pricing multiples. The acquisition method is the name given to this process of discount calculation. A variant of this technique contrasts the market multiples of publicly listed companies with the acquisition multiples of private companies. According to the study's underlying assumption, private corporations sell at lower pricing multiples than public companies, and this pricing difference could be an indication of illiquidity. A great deal of effort is required to identify guideline companies and select multiples under the market approach to valuing a single privately held company.</w:t>
      </w:r>
      <w:r w:rsidR="00B10376">
        <w:rPr>
          <w:sz w:val="24"/>
          <w:szCs w:val="24"/>
        </w:rPr>
        <w:t xml:space="preserve"> Historical </w:t>
      </w:r>
      <w:r w:rsidR="00B10376" w:rsidRPr="00E45E23">
        <w:rPr>
          <w:sz w:val="24"/>
          <w:szCs w:val="24"/>
        </w:rPr>
        <w:t>Acquisition Studies</w:t>
      </w:r>
      <w:r w:rsidR="00B10376">
        <w:rPr>
          <w:sz w:val="24"/>
          <w:szCs w:val="24"/>
        </w:rPr>
        <w:t xml:space="preserve"> include </w:t>
      </w:r>
      <w:r w:rsidR="00E60E04" w:rsidRPr="00ED5268">
        <w:rPr>
          <w:sz w:val="24"/>
          <w:szCs w:val="24"/>
        </w:rPr>
        <w:t>Koeplin Study  (2000)</w:t>
      </w:r>
      <w:r w:rsidR="00ED5268">
        <w:rPr>
          <w:sz w:val="24"/>
          <w:szCs w:val="24"/>
        </w:rPr>
        <w:t xml:space="preserve">, </w:t>
      </w:r>
      <w:r w:rsidR="00E60E04" w:rsidRPr="00ED5268">
        <w:rPr>
          <w:sz w:val="24"/>
          <w:szCs w:val="24"/>
        </w:rPr>
        <w:t>Kooli (2003)</w:t>
      </w:r>
      <w:r w:rsidR="00ED5268">
        <w:rPr>
          <w:sz w:val="24"/>
          <w:szCs w:val="24"/>
        </w:rPr>
        <w:t xml:space="preserve">, </w:t>
      </w:r>
      <w:r w:rsidR="00E60E04" w:rsidRPr="00ED5268">
        <w:rPr>
          <w:sz w:val="24"/>
          <w:szCs w:val="24"/>
        </w:rPr>
        <w:t>Officer (2007)</w:t>
      </w:r>
      <w:r w:rsidR="00ED5268">
        <w:rPr>
          <w:sz w:val="24"/>
          <w:szCs w:val="24"/>
        </w:rPr>
        <w:t xml:space="preserve">, </w:t>
      </w:r>
      <w:r w:rsidR="00E60E04" w:rsidRPr="00E45E23">
        <w:rPr>
          <w:sz w:val="24"/>
          <w:szCs w:val="24"/>
        </w:rPr>
        <w:t>Block  (2007)</w:t>
      </w:r>
      <w:r w:rsidR="00ED5268">
        <w:rPr>
          <w:sz w:val="24"/>
          <w:szCs w:val="24"/>
        </w:rPr>
        <w:t xml:space="preserve">, </w:t>
      </w:r>
      <w:r w:rsidR="00E60E04" w:rsidRPr="00E45E23">
        <w:rPr>
          <w:sz w:val="24"/>
          <w:szCs w:val="24"/>
        </w:rPr>
        <w:t>Paglia (2010)</w:t>
      </w:r>
      <w:r w:rsidR="00ED5268">
        <w:rPr>
          <w:sz w:val="24"/>
          <w:szCs w:val="24"/>
        </w:rPr>
        <w:t xml:space="preserve">, </w:t>
      </w:r>
      <w:r w:rsidR="00E60E04" w:rsidRPr="00E45E23">
        <w:rPr>
          <w:sz w:val="24"/>
          <w:szCs w:val="24"/>
        </w:rPr>
        <w:t xml:space="preserve">Gus De Franco (2011), </w:t>
      </w:r>
      <w:r w:rsidR="00E60E04" w:rsidRPr="00E45E23">
        <w:rPr>
          <w:bCs/>
          <w:color w:val="000000"/>
          <w:sz w:val="24"/>
          <w:szCs w:val="24"/>
        </w:rPr>
        <w:t>Kim van Oeveren</w:t>
      </w:r>
      <w:r w:rsidR="00E60E04" w:rsidRPr="00E45E23">
        <w:rPr>
          <w:sz w:val="24"/>
          <w:szCs w:val="24"/>
        </w:rPr>
        <w:t xml:space="preserve"> (2018)</w:t>
      </w:r>
      <w:r w:rsidR="00ED5268">
        <w:rPr>
          <w:sz w:val="24"/>
          <w:szCs w:val="24"/>
        </w:rPr>
        <w:t xml:space="preserve">, </w:t>
      </w:r>
      <w:r w:rsidR="00E60E04" w:rsidRPr="00E45E23">
        <w:rPr>
          <w:sz w:val="24"/>
          <w:szCs w:val="24"/>
        </w:rPr>
        <w:t>Emanuel Bagna (2020)</w:t>
      </w:r>
      <w:r w:rsidR="00ED5268">
        <w:rPr>
          <w:sz w:val="24"/>
          <w:szCs w:val="24"/>
        </w:rPr>
        <w:t xml:space="preserve">, </w:t>
      </w:r>
      <w:r w:rsidR="00E60E04" w:rsidRPr="00E45E23">
        <w:rPr>
          <w:sz w:val="24"/>
          <w:szCs w:val="24"/>
        </w:rPr>
        <w:t>Peter L Lohrey (2020)</w:t>
      </w:r>
      <w:r w:rsidR="00ED5268">
        <w:rPr>
          <w:sz w:val="24"/>
          <w:szCs w:val="24"/>
        </w:rPr>
        <w:t xml:space="preserve">, </w:t>
      </w:r>
      <w:r w:rsidR="00E60E04" w:rsidRPr="00E45E23">
        <w:rPr>
          <w:i/>
          <w:iCs/>
          <w:sz w:val="24"/>
          <w:szCs w:val="24"/>
        </w:rPr>
        <w:t>Alfred Karlsson &amp; Emil Jönsson</w:t>
      </w:r>
      <w:r w:rsidR="00E60E04" w:rsidRPr="00E45E23">
        <w:rPr>
          <w:sz w:val="24"/>
          <w:szCs w:val="24"/>
        </w:rPr>
        <w:t xml:space="preserve"> (2022)</w:t>
      </w:r>
      <w:r w:rsidR="00F30E23">
        <w:rPr>
          <w:sz w:val="24"/>
          <w:szCs w:val="24"/>
        </w:rPr>
        <w:t>, and</w:t>
      </w:r>
      <w:r w:rsidR="00F30E23" w:rsidRPr="001F389C">
        <w:rPr>
          <w:sz w:val="24"/>
          <w:szCs w:val="24"/>
        </w:rPr>
        <w:t xml:space="preserve"> </w:t>
      </w:r>
      <w:r w:rsidR="00DC5239" w:rsidRPr="001F389C">
        <w:rPr>
          <w:sz w:val="24"/>
          <w:szCs w:val="24"/>
        </w:rPr>
        <w:t>Patrick Rozario and Kenneth Ma (2024)</w:t>
      </w:r>
      <w:r w:rsidR="00F30E23">
        <w:rPr>
          <w:sz w:val="24"/>
          <w:szCs w:val="24"/>
        </w:rPr>
        <w:t>.</w:t>
      </w:r>
      <w:r w:rsidR="000C4248">
        <w:rPr>
          <w:sz w:val="24"/>
          <w:szCs w:val="24"/>
        </w:rPr>
        <w:t xml:space="preserve"> </w:t>
      </w:r>
    </w:p>
    <w:p w14:paraId="16BEFB33" w14:textId="77777777" w:rsidR="00891CA9" w:rsidRDefault="00891CA9" w:rsidP="008B1F7F">
      <w:pPr>
        <w:jc w:val="both"/>
        <w:rPr>
          <w:sz w:val="24"/>
          <w:szCs w:val="24"/>
        </w:rPr>
      </w:pPr>
    </w:p>
    <w:p w14:paraId="14A57975" w14:textId="57324229" w:rsidR="000C4248" w:rsidRPr="00E45E23" w:rsidRDefault="002C4216" w:rsidP="008B1F7F">
      <w:pPr>
        <w:jc w:val="both"/>
        <w:rPr>
          <w:sz w:val="24"/>
          <w:szCs w:val="24"/>
        </w:rPr>
      </w:pPr>
      <w:r w:rsidRPr="002C4216">
        <w:rPr>
          <w:sz w:val="24"/>
          <w:szCs w:val="24"/>
        </w:rPr>
        <w:t>Acquisition Method</w:t>
      </w:r>
      <w:r w:rsidRPr="00C80495">
        <w:rPr>
          <w:sz w:val="24"/>
          <w:szCs w:val="24"/>
        </w:rPr>
        <w:t xml:space="preserve"> </w:t>
      </w:r>
      <w:r>
        <w:rPr>
          <w:sz w:val="24"/>
          <w:szCs w:val="24"/>
        </w:rPr>
        <w:t>is</w:t>
      </w:r>
      <w:r w:rsidRPr="00C80495">
        <w:rPr>
          <w:sz w:val="24"/>
          <w:szCs w:val="24"/>
        </w:rPr>
        <w:t xml:space="preserve"> </w:t>
      </w:r>
      <w:r>
        <w:rPr>
          <w:sz w:val="24"/>
          <w:szCs w:val="24"/>
        </w:rPr>
        <w:t>widely used</w:t>
      </w:r>
      <w:r w:rsidRPr="00C80495">
        <w:rPr>
          <w:sz w:val="24"/>
          <w:szCs w:val="24"/>
        </w:rPr>
        <w:t xml:space="preserve"> </w:t>
      </w:r>
      <w:r>
        <w:rPr>
          <w:sz w:val="24"/>
          <w:szCs w:val="24"/>
        </w:rPr>
        <w:t xml:space="preserve">by analyst </w:t>
      </w:r>
      <w:r w:rsidRPr="00C80495">
        <w:rPr>
          <w:sz w:val="24"/>
          <w:szCs w:val="24"/>
        </w:rPr>
        <w:t xml:space="preserve">to assist in supporting a DLOM, while others </w:t>
      </w:r>
      <w:r>
        <w:rPr>
          <w:sz w:val="24"/>
          <w:szCs w:val="24"/>
        </w:rPr>
        <w:t xml:space="preserve">always </w:t>
      </w:r>
      <w:r w:rsidRPr="00C80495">
        <w:rPr>
          <w:sz w:val="24"/>
          <w:szCs w:val="24"/>
        </w:rPr>
        <w:t>use the analyses in the selection and adjustment of market multiples in the market</w:t>
      </w:r>
      <w:r>
        <w:rPr>
          <w:sz w:val="24"/>
          <w:szCs w:val="24"/>
        </w:rPr>
        <w:t xml:space="preserve"> </w:t>
      </w:r>
      <w:r w:rsidRPr="00C80495">
        <w:rPr>
          <w:sz w:val="24"/>
          <w:szCs w:val="24"/>
        </w:rPr>
        <w:t>approach</w:t>
      </w:r>
      <w:r>
        <w:rPr>
          <w:sz w:val="24"/>
          <w:szCs w:val="24"/>
        </w:rPr>
        <w:t xml:space="preserve"> in valuation.</w:t>
      </w:r>
      <w:r w:rsidRPr="008E0F3B">
        <w:rPr>
          <w:sz w:val="24"/>
          <w:szCs w:val="24"/>
        </w:rPr>
        <w:t xml:space="preserve"> </w:t>
      </w:r>
      <w:r>
        <w:rPr>
          <w:sz w:val="24"/>
          <w:szCs w:val="24"/>
        </w:rPr>
        <w:t xml:space="preserve">Therefore, Acquisition Method is adopted in out thesis. </w:t>
      </w:r>
      <w:r w:rsidR="006F7D46">
        <w:rPr>
          <w:sz w:val="24"/>
          <w:szCs w:val="24"/>
        </w:rPr>
        <w:t xml:space="preserve">Although </w:t>
      </w:r>
      <w:r w:rsidR="000C4248" w:rsidRPr="001F389C">
        <w:rPr>
          <w:sz w:val="24"/>
          <w:szCs w:val="24"/>
        </w:rPr>
        <w:t>Patrick Rozario and Kenneth Ma (2024)</w:t>
      </w:r>
      <w:r w:rsidR="006F7D46">
        <w:rPr>
          <w:sz w:val="24"/>
          <w:szCs w:val="24"/>
        </w:rPr>
        <w:t xml:space="preserve"> </w:t>
      </w:r>
      <w:r w:rsidR="0076279E">
        <w:rPr>
          <w:sz w:val="24"/>
          <w:szCs w:val="24"/>
        </w:rPr>
        <w:t>analysed</w:t>
      </w:r>
      <w:r w:rsidR="005D6D61">
        <w:rPr>
          <w:sz w:val="24"/>
          <w:szCs w:val="24"/>
        </w:rPr>
        <w:t xml:space="preserve"> the DLOM in Hong Kong quarterly and annually</w:t>
      </w:r>
      <w:r w:rsidR="006F7D46">
        <w:rPr>
          <w:sz w:val="24"/>
          <w:szCs w:val="24"/>
        </w:rPr>
        <w:t xml:space="preserve">, it did not </w:t>
      </w:r>
      <w:r w:rsidR="009B169C">
        <w:rPr>
          <w:sz w:val="24"/>
          <w:szCs w:val="24"/>
        </w:rPr>
        <w:t xml:space="preserve">provide an analysis and result </w:t>
      </w:r>
      <w:r w:rsidR="008B79B5">
        <w:rPr>
          <w:sz w:val="24"/>
          <w:szCs w:val="24"/>
        </w:rPr>
        <w:t>using longer period</w:t>
      </w:r>
      <w:r w:rsidR="005D6D61">
        <w:rPr>
          <w:sz w:val="24"/>
          <w:szCs w:val="24"/>
        </w:rPr>
        <w:t xml:space="preserve">. </w:t>
      </w:r>
      <w:r w:rsidR="008B79B5">
        <w:rPr>
          <w:sz w:val="24"/>
          <w:szCs w:val="24"/>
        </w:rPr>
        <w:t xml:space="preserve">As </w:t>
      </w:r>
      <w:r w:rsidR="00C14FC8">
        <w:rPr>
          <w:sz w:val="24"/>
          <w:szCs w:val="24"/>
        </w:rPr>
        <w:t>DLOM are usually applied to valuation which included</w:t>
      </w:r>
      <w:r w:rsidR="00B128DD">
        <w:rPr>
          <w:sz w:val="24"/>
          <w:szCs w:val="24"/>
        </w:rPr>
        <w:t xml:space="preserve"> long term cashflow forecast, </w:t>
      </w:r>
      <w:r w:rsidR="00744C0E">
        <w:rPr>
          <w:sz w:val="24"/>
          <w:szCs w:val="24"/>
        </w:rPr>
        <w:t>a three-year or five-year</w:t>
      </w:r>
      <w:r w:rsidR="008B79B5">
        <w:rPr>
          <w:sz w:val="24"/>
          <w:szCs w:val="24"/>
        </w:rPr>
        <w:t xml:space="preserve"> </w:t>
      </w:r>
      <w:r w:rsidR="00744C0E">
        <w:rPr>
          <w:sz w:val="24"/>
          <w:szCs w:val="24"/>
        </w:rPr>
        <w:t xml:space="preserve">DLOM result is more relevant and adoptable for professionals and users. </w:t>
      </w:r>
      <w:r w:rsidR="001F02D4">
        <w:rPr>
          <w:sz w:val="24"/>
          <w:szCs w:val="24"/>
        </w:rPr>
        <w:t>Therefore, we use</w:t>
      </w:r>
      <w:r w:rsidR="001F02D4" w:rsidRPr="001F02D4">
        <w:rPr>
          <w:sz w:val="24"/>
          <w:szCs w:val="24"/>
        </w:rPr>
        <w:t xml:space="preserve"> </w:t>
      </w:r>
      <w:r w:rsidR="001F02D4">
        <w:rPr>
          <w:sz w:val="24"/>
          <w:szCs w:val="24"/>
        </w:rPr>
        <w:t>t</w:t>
      </w:r>
      <w:r w:rsidR="001F02D4" w:rsidRPr="00E45E23">
        <w:rPr>
          <w:sz w:val="24"/>
          <w:szCs w:val="24"/>
        </w:rPr>
        <w:t>he acquisition method</w:t>
      </w:r>
      <w:r w:rsidR="001F02D4">
        <w:rPr>
          <w:sz w:val="24"/>
          <w:szCs w:val="24"/>
        </w:rPr>
        <w:t xml:space="preserve"> to ana</w:t>
      </w:r>
      <w:r w:rsidR="001A7129">
        <w:rPr>
          <w:sz w:val="24"/>
          <w:szCs w:val="24"/>
        </w:rPr>
        <w:t xml:space="preserve">lysis the DLOM </w:t>
      </w:r>
      <w:r w:rsidR="001B63B2">
        <w:rPr>
          <w:sz w:val="24"/>
          <w:szCs w:val="24"/>
        </w:rPr>
        <w:t>u</w:t>
      </w:r>
      <w:r w:rsidR="00806BB3">
        <w:rPr>
          <w:sz w:val="24"/>
          <w:szCs w:val="24"/>
        </w:rPr>
        <w:t>sing past five years data and provide a</w:t>
      </w:r>
      <w:r w:rsidR="00D61F50">
        <w:rPr>
          <w:sz w:val="24"/>
          <w:szCs w:val="24"/>
        </w:rPr>
        <w:t xml:space="preserve"> more compre</w:t>
      </w:r>
      <w:r w:rsidR="006545BF">
        <w:rPr>
          <w:sz w:val="24"/>
          <w:szCs w:val="24"/>
        </w:rPr>
        <w:t>hensive analysis</w:t>
      </w:r>
      <w:r w:rsidR="006F7D46">
        <w:rPr>
          <w:sz w:val="24"/>
          <w:szCs w:val="24"/>
        </w:rPr>
        <w:t xml:space="preserve"> and result</w:t>
      </w:r>
      <w:r w:rsidR="006545BF">
        <w:rPr>
          <w:sz w:val="24"/>
          <w:szCs w:val="24"/>
        </w:rPr>
        <w:t>.</w:t>
      </w:r>
    </w:p>
    <w:p w14:paraId="7048513E" w14:textId="77777777" w:rsidR="00E60E04" w:rsidRPr="00E45E23" w:rsidRDefault="00E60E04" w:rsidP="008B1F7F">
      <w:pPr>
        <w:jc w:val="both"/>
        <w:rPr>
          <w:b/>
          <w:bCs/>
          <w:sz w:val="24"/>
          <w:szCs w:val="24"/>
          <w:u w:val="single"/>
        </w:rPr>
      </w:pPr>
    </w:p>
    <w:p w14:paraId="4F7C3F54" w14:textId="77777777" w:rsidR="00BA4329" w:rsidRPr="00E45E23" w:rsidRDefault="00BA4329" w:rsidP="008B1F7F">
      <w:pPr>
        <w:jc w:val="both"/>
        <w:rPr>
          <w:sz w:val="24"/>
          <w:szCs w:val="24"/>
        </w:rPr>
      </w:pPr>
      <w:r w:rsidRPr="00E45E23">
        <w:rPr>
          <w:b/>
          <w:bCs/>
          <w:sz w:val="24"/>
          <w:szCs w:val="24"/>
        </w:rPr>
        <w:t>Quantitative</w:t>
      </w:r>
      <w:r w:rsidRPr="00E45E23">
        <w:rPr>
          <w:sz w:val="24"/>
          <w:szCs w:val="24"/>
        </w:rPr>
        <w:t xml:space="preserve"> </w:t>
      </w:r>
      <w:r w:rsidRPr="00E45E23">
        <w:rPr>
          <w:b/>
          <w:bCs/>
          <w:sz w:val="24"/>
          <w:szCs w:val="24"/>
        </w:rPr>
        <w:t>Methods</w:t>
      </w:r>
    </w:p>
    <w:p w14:paraId="6C9663FD" w14:textId="0BF6F4D6" w:rsidR="00BA4329" w:rsidRPr="00E45E23" w:rsidRDefault="00BA4329" w:rsidP="008B1F7F">
      <w:pPr>
        <w:jc w:val="both"/>
        <w:rPr>
          <w:sz w:val="24"/>
          <w:szCs w:val="24"/>
        </w:rPr>
      </w:pPr>
      <w:r w:rsidRPr="00E45E23">
        <w:rPr>
          <w:sz w:val="24"/>
          <w:szCs w:val="24"/>
        </w:rPr>
        <w:t xml:space="preserve">Quantitative approaches are less arbitrary ways to </w:t>
      </w:r>
      <w:r w:rsidR="008B1F7F" w:rsidRPr="00E45E23">
        <w:rPr>
          <w:sz w:val="24"/>
          <w:szCs w:val="24"/>
        </w:rPr>
        <w:t>analyse</w:t>
      </w:r>
      <w:r w:rsidRPr="00E45E23">
        <w:rPr>
          <w:sz w:val="24"/>
          <w:szCs w:val="24"/>
        </w:rPr>
        <w:t xml:space="preserve"> data based on quantifiable attributes of an organization or asset. Mathematical </w:t>
      </w:r>
      <w:r w:rsidR="008B1F7F" w:rsidRPr="00E45E23">
        <w:rPr>
          <w:sz w:val="24"/>
          <w:szCs w:val="24"/>
        </w:rPr>
        <w:t>modelling</w:t>
      </w:r>
      <w:r w:rsidRPr="00E45E23">
        <w:rPr>
          <w:sz w:val="24"/>
          <w:szCs w:val="24"/>
        </w:rPr>
        <w:t>, whether basic or complex, is one kind of quantitative techniques. In actuality, combining quantitative and qualitative methods results in a more comprehensive understanding of the company or asset being appraised. Quantitative methods of calculating the DLOM include: (</w:t>
      </w:r>
      <w:r w:rsidR="004733AE" w:rsidRPr="00E45E23">
        <w:rPr>
          <w:sz w:val="24"/>
          <w:szCs w:val="24"/>
        </w:rPr>
        <w:t>1</w:t>
      </w:r>
      <w:r w:rsidRPr="00E45E23">
        <w:rPr>
          <w:sz w:val="24"/>
          <w:szCs w:val="24"/>
        </w:rPr>
        <w:t>) Option Pricing Models, and (</w:t>
      </w:r>
      <w:r w:rsidR="004733AE" w:rsidRPr="00E45E23">
        <w:rPr>
          <w:sz w:val="24"/>
          <w:szCs w:val="24"/>
        </w:rPr>
        <w:t>2</w:t>
      </w:r>
      <w:r w:rsidRPr="00E45E23">
        <w:rPr>
          <w:sz w:val="24"/>
          <w:szCs w:val="24"/>
        </w:rPr>
        <w:t>) Shareholder Cash Flow Adjustment Models.</w:t>
      </w:r>
    </w:p>
    <w:p w14:paraId="7880BE6B" w14:textId="77777777" w:rsidR="00BA4329" w:rsidRPr="00E45E23" w:rsidRDefault="00BA4329" w:rsidP="008B1F7F">
      <w:pPr>
        <w:jc w:val="both"/>
        <w:rPr>
          <w:sz w:val="24"/>
          <w:szCs w:val="24"/>
        </w:rPr>
      </w:pPr>
    </w:p>
    <w:p w14:paraId="1B1400D6" w14:textId="2BE2B89E" w:rsidR="00D8010D" w:rsidRPr="00C93802" w:rsidRDefault="00BA4329" w:rsidP="008B1F7F">
      <w:pPr>
        <w:pStyle w:val="ListParagraph"/>
        <w:numPr>
          <w:ilvl w:val="0"/>
          <w:numId w:val="7"/>
        </w:numPr>
        <w:ind w:left="450" w:hanging="450"/>
        <w:jc w:val="both"/>
        <w:rPr>
          <w:sz w:val="24"/>
          <w:szCs w:val="24"/>
        </w:rPr>
      </w:pPr>
      <w:r w:rsidRPr="00C93802">
        <w:rPr>
          <w:sz w:val="24"/>
          <w:szCs w:val="24"/>
        </w:rPr>
        <w:t>Option Pricing Models</w:t>
      </w:r>
    </w:p>
    <w:p w14:paraId="4590AE4B" w14:textId="16E796C3" w:rsidR="005540FF" w:rsidRDefault="00D8010D" w:rsidP="008B1F7F">
      <w:pPr>
        <w:jc w:val="both"/>
        <w:rPr>
          <w:sz w:val="24"/>
          <w:szCs w:val="24"/>
        </w:rPr>
      </w:pPr>
      <w:r w:rsidRPr="00D8010D">
        <w:rPr>
          <w:sz w:val="24"/>
          <w:szCs w:val="24"/>
        </w:rPr>
        <w:t>Many option pricing models have been created over time, all making different assumptions about the opportunity losses that investors may experience. All indicate that for nonmarketable investments, sizable discounts may be necessary. Because investors are legally prohibited from reselling stock, they incur opportunity costs that contribute to the price penalty associated with illiquidity. These discounts make sense in relation to the underlying volatility, or risk, holding duration, and, occasionally, dividend yields of the underlying investment within the context of option pricing.</w:t>
      </w:r>
      <w:r>
        <w:rPr>
          <w:sz w:val="24"/>
          <w:szCs w:val="24"/>
        </w:rPr>
        <w:t xml:space="preserve"> </w:t>
      </w:r>
      <w:r w:rsidR="00E853B6" w:rsidRPr="005E6B19">
        <w:rPr>
          <w:sz w:val="24"/>
          <w:szCs w:val="24"/>
        </w:rPr>
        <w:t>Based on the economic idea of opportunity cost, often known as the concept of foregone options, option pricing models can be used to assess DLOM. Fully marketable securities owners have access to excellent liquidity choices that allow them to diversify their holdings appropriately, profit from new and attractive investment possibilities, and realize gains at a low cost. On the other hand, nonmarketable securities investors lose out on these advantageous liquidity possibilities and incur an opportunity cost. Due to the market frictions associated with nonmarketable stock, investors require substantial discounts to offset the lost opportunities resulting from being unable to resell. It is theoretically possible for an investor to sell their nonmarketable stock by buying a hypothetical put option. The opportunity costs in terms of missed financial rewards during the security's restriction period can be estimated using the option's price, which was determined using option pricing models.</w:t>
      </w:r>
      <w:r w:rsidR="005E6B19" w:rsidRPr="005E6B19">
        <w:rPr>
          <w:sz w:val="24"/>
          <w:szCs w:val="24"/>
        </w:rPr>
        <w:t xml:space="preserve"> Famous Option Pricing Models include </w:t>
      </w:r>
      <w:r w:rsidR="00BA4329" w:rsidRPr="005E6B19">
        <w:rPr>
          <w:sz w:val="24"/>
          <w:szCs w:val="24"/>
        </w:rPr>
        <w:t xml:space="preserve">Chaffe </w:t>
      </w:r>
      <w:r w:rsidR="004733AE" w:rsidRPr="005E6B19">
        <w:rPr>
          <w:sz w:val="24"/>
          <w:szCs w:val="24"/>
        </w:rPr>
        <w:t>(1993)</w:t>
      </w:r>
      <w:r w:rsidR="00FB17F5" w:rsidRPr="005E6B19">
        <w:rPr>
          <w:sz w:val="24"/>
          <w:szCs w:val="24"/>
        </w:rPr>
        <w:t xml:space="preserve">, </w:t>
      </w:r>
      <w:r w:rsidR="00BA4329" w:rsidRPr="005E6B19">
        <w:rPr>
          <w:sz w:val="24"/>
          <w:szCs w:val="24"/>
        </w:rPr>
        <w:t xml:space="preserve">Longstaff </w:t>
      </w:r>
      <w:r w:rsidR="004733AE" w:rsidRPr="005E6B19">
        <w:rPr>
          <w:sz w:val="24"/>
          <w:szCs w:val="24"/>
        </w:rPr>
        <w:t>(1995)</w:t>
      </w:r>
      <w:r w:rsidR="00FB17F5" w:rsidRPr="005E6B19">
        <w:rPr>
          <w:sz w:val="24"/>
          <w:szCs w:val="24"/>
        </w:rPr>
        <w:t xml:space="preserve">, and </w:t>
      </w:r>
      <w:r w:rsidR="00BA4329" w:rsidRPr="005E6B19">
        <w:rPr>
          <w:sz w:val="24"/>
          <w:szCs w:val="24"/>
        </w:rPr>
        <w:t xml:space="preserve">Finnerty </w:t>
      </w:r>
      <w:r w:rsidR="004733AE" w:rsidRPr="005E6B19">
        <w:rPr>
          <w:sz w:val="24"/>
          <w:szCs w:val="24"/>
        </w:rPr>
        <w:t>(2012)</w:t>
      </w:r>
      <w:r w:rsidR="005540FF">
        <w:rPr>
          <w:sz w:val="24"/>
          <w:szCs w:val="24"/>
        </w:rPr>
        <w:t xml:space="preserve">. </w:t>
      </w:r>
    </w:p>
    <w:p w14:paraId="4649422D" w14:textId="77777777" w:rsidR="005540FF" w:rsidRDefault="005540FF" w:rsidP="008B1F7F">
      <w:pPr>
        <w:jc w:val="both"/>
        <w:rPr>
          <w:sz w:val="24"/>
          <w:szCs w:val="24"/>
        </w:rPr>
      </w:pPr>
    </w:p>
    <w:p w14:paraId="70BE8E8B" w14:textId="4100F097" w:rsidR="005540FF" w:rsidRPr="005540FF" w:rsidRDefault="005540FF" w:rsidP="008B1F7F">
      <w:pPr>
        <w:jc w:val="both"/>
        <w:rPr>
          <w:sz w:val="24"/>
          <w:szCs w:val="24"/>
        </w:rPr>
      </w:pPr>
      <w:r w:rsidRPr="005540FF">
        <w:rPr>
          <w:sz w:val="24"/>
          <w:szCs w:val="24"/>
        </w:rPr>
        <w:t>However, there are many weaknesses in Option Pricing Model</w:t>
      </w:r>
      <w:r>
        <w:rPr>
          <w:sz w:val="24"/>
          <w:szCs w:val="24"/>
        </w:rPr>
        <w:t xml:space="preserve">. </w:t>
      </w:r>
      <w:r w:rsidRPr="005540FF">
        <w:rPr>
          <w:sz w:val="24"/>
          <w:szCs w:val="24"/>
        </w:rPr>
        <w:t xml:space="preserve">In contrast to DLOM theory, the Chaffe’s model implies that the DLOM should rise when interest rates decrease. The model's applicability to dividend-paying companies is limited since payouts defy the notion of DLOM by increasing put-option value and implied DLOM. When assessing a DLOM over extended periods, the model might not be very helpful because the Black-Scholes put value decreases as the option term rises after peaking. The model "should be used as a proxy only" since it ignores other qualitative factors that have an impact on DLOM. </w:t>
      </w:r>
      <w:r>
        <w:rPr>
          <w:sz w:val="24"/>
          <w:szCs w:val="24"/>
        </w:rPr>
        <w:t>I</w:t>
      </w:r>
      <w:r w:rsidRPr="005540FF">
        <w:rPr>
          <w:sz w:val="24"/>
          <w:szCs w:val="24"/>
        </w:rPr>
        <w:t>n the Longstaff’s model</w:t>
      </w:r>
      <w:r>
        <w:rPr>
          <w:sz w:val="24"/>
          <w:szCs w:val="24"/>
        </w:rPr>
        <w:t>,</w:t>
      </w:r>
      <w:r w:rsidRPr="005540FF">
        <w:rPr>
          <w:sz w:val="24"/>
          <w:szCs w:val="24"/>
        </w:rPr>
        <w:t xml:space="preserve"> analyst is unable to include a dividend-paying assumption for the underlying security in the Longstaff model. Consequently, the model tends to overestimate the discount on dividend-paying equities because payouts theoretically reduce marketability discounts. The economic alternative offered by the model differs from the actual liquidity choice. The holder can repurchase the stock at the highest price during the option term thanks to the Longstaff model. At no time throughout the option term is the holder permitted to put stock at the going market price. Other qualitative parameters influencing the marketability discount are not taken into account by the model. </w:t>
      </w:r>
      <w:r>
        <w:rPr>
          <w:sz w:val="24"/>
          <w:szCs w:val="24"/>
        </w:rPr>
        <w:t>I</w:t>
      </w:r>
      <w:r w:rsidRPr="005540FF">
        <w:rPr>
          <w:sz w:val="24"/>
          <w:szCs w:val="24"/>
        </w:rPr>
        <w:t>n the Longstaff’s model</w:t>
      </w:r>
      <w:r>
        <w:rPr>
          <w:sz w:val="24"/>
          <w:szCs w:val="24"/>
        </w:rPr>
        <w:t xml:space="preserve">, </w:t>
      </w:r>
      <w:r w:rsidRPr="005540FF">
        <w:rPr>
          <w:sz w:val="24"/>
          <w:szCs w:val="24"/>
        </w:rPr>
        <w:t>the model's payoffs are not necessarily as profitable as those of the actual liquidity option</w:t>
      </w:r>
      <w:r>
        <w:rPr>
          <w:sz w:val="24"/>
          <w:szCs w:val="24"/>
        </w:rPr>
        <w:t xml:space="preserve"> a</w:t>
      </w:r>
      <w:r w:rsidRPr="005540FF">
        <w:rPr>
          <w:sz w:val="24"/>
          <w:szCs w:val="24"/>
        </w:rPr>
        <w:t xml:space="preserve">t expiration. At the conclusion of the option period, the holder of an average-strike put option has the option to sell at the average historical realized price. When liquidity is needed, the holder can sell at the going rate in the market thanks to liquidity. The model's sensitivity analysis shows that the predicted DLOM decreases with increasing holding term when the dividend yield is high enough. The DLOM theory is at odds with this observation. Other qualitative elements that could influence the marketability discount are not taken into account by the model. Therefore, </w:t>
      </w:r>
      <w:r w:rsidRPr="005E6B19">
        <w:rPr>
          <w:sz w:val="24"/>
          <w:szCs w:val="24"/>
        </w:rPr>
        <w:t>Option Pricing Model</w:t>
      </w:r>
      <w:r w:rsidR="009D0AB8">
        <w:rPr>
          <w:sz w:val="24"/>
          <w:szCs w:val="24"/>
        </w:rPr>
        <w:t xml:space="preserve"> </w:t>
      </w:r>
      <w:r w:rsidRPr="005540FF">
        <w:rPr>
          <w:sz w:val="24"/>
          <w:szCs w:val="24"/>
        </w:rPr>
        <w:t>is not adopted in our thesis.</w:t>
      </w:r>
    </w:p>
    <w:p w14:paraId="2C130549" w14:textId="77777777" w:rsidR="005540FF" w:rsidRPr="00E45E23" w:rsidRDefault="005540FF" w:rsidP="008B1F7F">
      <w:pPr>
        <w:jc w:val="both"/>
        <w:rPr>
          <w:sz w:val="24"/>
          <w:szCs w:val="24"/>
        </w:rPr>
      </w:pPr>
    </w:p>
    <w:p w14:paraId="1A585B2F" w14:textId="3AB53F41" w:rsidR="00BA4329" w:rsidRPr="00FB17F5" w:rsidRDefault="00BA4329" w:rsidP="008B1F7F">
      <w:pPr>
        <w:pStyle w:val="ListParagraph"/>
        <w:numPr>
          <w:ilvl w:val="0"/>
          <w:numId w:val="7"/>
        </w:numPr>
        <w:ind w:left="450" w:hanging="450"/>
        <w:jc w:val="both"/>
        <w:rPr>
          <w:sz w:val="24"/>
          <w:szCs w:val="24"/>
        </w:rPr>
      </w:pPr>
      <w:r w:rsidRPr="00FB17F5">
        <w:rPr>
          <w:sz w:val="24"/>
          <w:szCs w:val="24"/>
        </w:rPr>
        <w:t>Shareholder Cash Flow Adjustment Models</w:t>
      </w:r>
    </w:p>
    <w:p w14:paraId="2FC8639E" w14:textId="3DA2A558" w:rsidR="00BA4329" w:rsidRDefault="00A078A2" w:rsidP="008B1F7F">
      <w:pPr>
        <w:jc w:val="both"/>
        <w:rPr>
          <w:sz w:val="24"/>
          <w:szCs w:val="24"/>
        </w:rPr>
      </w:pPr>
      <w:r w:rsidRPr="00A078A2">
        <w:rPr>
          <w:sz w:val="24"/>
          <w:szCs w:val="24"/>
        </w:rPr>
        <w:t>According to the theory underlying the QMDM, a marketability discount is defined by the correlation between an enterprise's value as decided by the shareholders and the enterprise's value.  Stated differently, the enterprise value usually exceeds the value attributable to shareholders.</w:t>
      </w:r>
      <w:r>
        <w:rPr>
          <w:sz w:val="24"/>
          <w:szCs w:val="24"/>
        </w:rPr>
        <w:t xml:space="preserve"> </w:t>
      </w:r>
      <w:r w:rsidRPr="00A078A2">
        <w:rPr>
          <w:sz w:val="24"/>
          <w:szCs w:val="24"/>
        </w:rPr>
        <w:t>The QMDM's discounted cash flow inputs are all customized to take minority owners' interests in private companies into account. The subject nonmarketable minority interest is directly valued by the QMDM, but it is not used in isolation; rather, it is used in tandem with a contemporaneous enterprise valuation because the expectations of shareholders regarding cash flows, risk, and growth are closely related to the corresponding expectations regarding the enterprise.</w:t>
      </w:r>
      <w:r w:rsidR="00FB17F5">
        <w:rPr>
          <w:sz w:val="24"/>
          <w:szCs w:val="24"/>
        </w:rPr>
        <w:t xml:space="preserve"> </w:t>
      </w:r>
      <w:r w:rsidR="005E6B19">
        <w:rPr>
          <w:sz w:val="24"/>
          <w:szCs w:val="24"/>
        </w:rPr>
        <w:t>Famous</w:t>
      </w:r>
      <w:r w:rsidR="005E6B19" w:rsidRPr="005E6B19">
        <w:rPr>
          <w:sz w:val="24"/>
          <w:szCs w:val="24"/>
        </w:rPr>
        <w:t xml:space="preserve"> </w:t>
      </w:r>
      <w:r w:rsidR="005E6B19" w:rsidRPr="00FB17F5">
        <w:rPr>
          <w:sz w:val="24"/>
          <w:szCs w:val="24"/>
        </w:rPr>
        <w:t>Shareholder Cash Flow Adjustment Models</w:t>
      </w:r>
      <w:r w:rsidR="005E6B19">
        <w:rPr>
          <w:sz w:val="24"/>
          <w:szCs w:val="24"/>
        </w:rPr>
        <w:t xml:space="preserve"> include </w:t>
      </w:r>
      <w:r w:rsidR="00BA4329" w:rsidRPr="00E45E23">
        <w:rPr>
          <w:sz w:val="24"/>
          <w:szCs w:val="24"/>
        </w:rPr>
        <w:t xml:space="preserve">NERA CAPM-Based Method </w:t>
      </w:r>
      <w:r w:rsidR="004733AE" w:rsidRPr="00E45E23">
        <w:rPr>
          <w:sz w:val="24"/>
          <w:szCs w:val="24"/>
        </w:rPr>
        <w:t>(2002)</w:t>
      </w:r>
      <w:r w:rsidR="005E6B19">
        <w:rPr>
          <w:sz w:val="24"/>
          <w:szCs w:val="24"/>
        </w:rPr>
        <w:t xml:space="preserve"> and </w:t>
      </w:r>
      <w:r w:rsidR="005E6B19" w:rsidRPr="00E45E23">
        <w:rPr>
          <w:sz w:val="24"/>
          <w:szCs w:val="24"/>
        </w:rPr>
        <w:t>Quantitative Marketability Discount Model (2020)</w:t>
      </w:r>
      <w:r w:rsidR="00E0532D">
        <w:rPr>
          <w:sz w:val="24"/>
          <w:szCs w:val="24"/>
        </w:rPr>
        <w:t>.</w:t>
      </w:r>
    </w:p>
    <w:p w14:paraId="40951F98" w14:textId="77777777" w:rsidR="006C143A" w:rsidRDefault="006C143A" w:rsidP="008B1F7F">
      <w:pPr>
        <w:jc w:val="both"/>
        <w:rPr>
          <w:sz w:val="24"/>
          <w:szCs w:val="24"/>
        </w:rPr>
      </w:pPr>
    </w:p>
    <w:p w14:paraId="494CD279" w14:textId="4F047B28" w:rsidR="008D4BFC" w:rsidRPr="008D4BFC" w:rsidRDefault="006C143A" w:rsidP="008B1F7F">
      <w:pPr>
        <w:jc w:val="both"/>
        <w:rPr>
          <w:sz w:val="24"/>
          <w:szCs w:val="24"/>
        </w:rPr>
      </w:pPr>
      <w:r w:rsidRPr="008D4BFC">
        <w:rPr>
          <w:sz w:val="24"/>
          <w:szCs w:val="24"/>
        </w:rPr>
        <w:t xml:space="preserve">However, there are many weaknesses in Shareholder Cash Flow Adjustment Models . </w:t>
      </w:r>
      <w:r w:rsidR="001259AC" w:rsidRPr="008D4BFC">
        <w:rPr>
          <w:sz w:val="24"/>
          <w:szCs w:val="24"/>
        </w:rPr>
        <w:t xml:space="preserve">When considering how many assumptions are needed for the complete valuation process, criticisms of the model's requirement for assumptions seem petty. Many intricate assumptions must be made in order to arrive at the enterprise value, also known as the equity value before discounts, which serves as the foundation for the DLOM process. The valuation process involves a number of assumptions, regardless of how value is calculated: through a capitalization of cash flows that assumes past earnings will translate into future earnings; through a discounted future cash flow analysis that necessitates a wide range of cash flow, growth, and risk assumptions; or through a market approach that demands the identification of transactions and/or publicly traded companies that are comparable to the subject interest. Therefore, it seems narrow-minded to criticize the QMDM for relying too much on assumptions. For instance, page 225 of Mercer’s book Mercer's book provides a matrix of potential discounts ranging from 5% to 100%. </w:t>
      </w:r>
      <w:r w:rsidR="008D4BFC" w:rsidRPr="008D4BFC">
        <w:rPr>
          <w:sz w:val="24"/>
          <w:szCs w:val="24"/>
        </w:rPr>
        <w:t>The valuation process in NERA CAPM-Based Method also involves a number of assumptions, regardless of how value is calculated. Moreover, the equity risk premium in the Tabak model are subjective. Therefore, Shareholder Cash Flow Adjustment Model is not adopted in our thesis.</w:t>
      </w:r>
    </w:p>
    <w:p w14:paraId="645C23F8" w14:textId="2C68CC3C" w:rsidR="009271D5" w:rsidRDefault="009271D5" w:rsidP="008B1F7F">
      <w:pPr>
        <w:jc w:val="both"/>
        <w:rPr>
          <w:b/>
          <w:bCs/>
          <w:sz w:val="24"/>
          <w:szCs w:val="24"/>
          <w:u w:val="single"/>
        </w:rPr>
      </w:pPr>
    </w:p>
    <w:p w14:paraId="201B66AA" w14:textId="77777777" w:rsidR="008B1F7F" w:rsidRDefault="008B1F7F" w:rsidP="008B1F7F">
      <w:pPr>
        <w:jc w:val="both"/>
        <w:rPr>
          <w:b/>
          <w:bCs/>
          <w:sz w:val="24"/>
          <w:szCs w:val="24"/>
          <w:u w:val="single"/>
        </w:rPr>
      </w:pPr>
    </w:p>
    <w:p w14:paraId="31138930" w14:textId="77777777" w:rsidR="008B1F7F" w:rsidRDefault="008B1F7F" w:rsidP="008B1F7F">
      <w:pPr>
        <w:jc w:val="both"/>
        <w:rPr>
          <w:b/>
          <w:bCs/>
          <w:sz w:val="24"/>
          <w:szCs w:val="24"/>
          <w:u w:val="single"/>
        </w:rPr>
      </w:pPr>
    </w:p>
    <w:p w14:paraId="271E1AD4" w14:textId="7EEA6258" w:rsidR="00815B85" w:rsidRPr="008B1F7F" w:rsidRDefault="008B1F7F" w:rsidP="008B1F7F">
      <w:pPr>
        <w:jc w:val="center"/>
        <w:rPr>
          <w:b/>
          <w:bCs/>
          <w:sz w:val="24"/>
          <w:szCs w:val="24"/>
        </w:rPr>
      </w:pPr>
      <w:r w:rsidRPr="008B1F7F">
        <w:rPr>
          <w:b/>
          <w:bCs/>
          <w:sz w:val="24"/>
          <w:szCs w:val="24"/>
        </w:rPr>
        <w:t>REFERENCE</w:t>
      </w:r>
    </w:p>
    <w:p w14:paraId="64539A90" w14:textId="77777777" w:rsidR="00E534C8" w:rsidRPr="008B3DE8" w:rsidRDefault="00E534C8" w:rsidP="008B1F7F">
      <w:pPr>
        <w:spacing w:line="240" w:lineRule="auto"/>
        <w:ind w:left="720"/>
        <w:jc w:val="both"/>
        <w:rPr>
          <w:rFonts w:eastAsia="Times New Roman"/>
          <w:sz w:val="24"/>
          <w:szCs w:val="24"/>
        </w:rPr>
      </w:pPr>
    </w:p>
    <w:p w14:paraId="765D7B0C" w14:textId="06DC014C" w:rsidR="00E534C8" w:rsidRDefault="00000000" w:rsidP="008B1F7F">
      <w:pPr>
        <w:jc w:val="both"/>
        <w:rPr>
          <w:sz w:val="24"/>
          <w:szCs w:val="24"/>
        </w:rPr>
      </w:pPr>
      <w:hyperlink r:id="rId9" w:history="1">
        <w:r w:rsidR="00E534C8" w:rsidRPr="008B3DE8">
          <w:rPr>
            <w:sz w:val="24"/>
            <w:szCs w:val="24"/>
          </w:rPr>
          <w:t xml:space="preserve">Aaron M. Stumpf, </w:t>
        </w:r>
      </w:hyperlink>
      <w:r w:rsidR="00FE3088" w:rsidRPr="008B3DE8">
        <w:rPr>
          <w:sz w:val="24"/>
          <w:szCs w:val="24"/>
        </w:rPr>
        <w:t xml:space="preserve">et al. </w:t>
      </w:r>
      <w:r w:rsidR="00E534C8" w:rsidRPr="008B3DE8">
        <w:rPr>
          <w:sz w:val="24"/>
          <w:szCs w:val="24"/>
        </w:rPr>
        <w:t>(2011) ‘The SRR Restricted Stock Study’, Business Valuation Review (2011), 30 (1), pp. 7–19.</w:t>
      </w:r>
    </w:p>
    <w:p w14:paraId="7EC769FC" w14:textId="77777777" w:rsidR="00D92BCE" w:rsidRPr="008B3DE8" w:rsidRDefault="00D92BCE" w:rsidP="008B1F7F">
      <w:pPr>
        <w:pStyle w:val="FootnoteText"/>
        <w:ind w:left="720"/>
        <w:jc w:val="both"/>
        <w:rPr>
          <w:rFonts w:ascii="Arial" w:hAnsi="Arial" w:cs="Arial"/>
          <w:sz w:val="24"/>
          <w:szCs w:val="24"/>
        </w:rPr>
      </w:pPr>
    </w:p>
    <w:p w14:paraId="4339EC32" w14:textId="4EAE6BE3" w:rsidR="00D92BCE" w:rsidRPr="008B3DE8" w:rsidRDefault="00D92BCE" w:rsidP="008B1F7F">
      <w:pPr>
        <w:jc w:val="both"/>
        <w:rPr>
          <w:sz w:val="24"/>
          <w:szCs w:val="24"/>
        </w:rPr>
      </w:pPr>
      <w:r w:rsidRPr="008B3DE8">
        <w:rPr>
          <w:sz w:val="24"/>
          <w:szCs w:val="24"/>
        </w:rPr>
        <w:t>Arneson, George S. (1981) Non</w:t>
      </w:r>
      <w:r w:rsidR="008B1F7F">
        <w:rPr>
          <w:sz w:val="24"/>
          <w:szCs w:val="24"/>
        </w:rPr>
        <w:t>-</w:t>
      </w:r>
      <w:r w:rsidRPr="008B3DE8">
        <w:rPr>
          <w:sz w:val="24"/>
          <w:szCs w:val="24"/>
        </w:rPr>
        <w:t>marketability Discounts Should Exceed Fifty Percent, Taxes (January), pp. 25–31.</w:t>
      </w:r>
    </w:p>
    <w:p w14:paraId="671B4119" w14:textId="77777777" w:rsidR="00C6097E" w:rsidRDefault="00C6097E" w:rsidP="008B1F7F">
      <w:pPr>
        <w:jc w:val="both"/>
        <w:rPr>
          <w:sz w:val="24"/>
          <w:szCs w:val="24"/>
        </w:rPr>
      </w:pPr>
    </w:p>
    <w:p w14:paraId="1B9D5C23" w14:textId="77777777" w:rsidR="00C6097E" w:rsidRDefault="00C6097E" w:rsidP="008B1F7F">
      <w:pPr>
        <w:jc w:val="both"/>
        <w:rPr>
          <w:sz w:val="24"/>
          <w:szCs w:val="24"/>
        </w:rPr>
      </w:pPr>
      <w:r w:rsidRPr="00A94F56">
        <w:rPr>
          <w:sz w:val="24"/>
          <w:szCs w:val="24"/>
        </w:rPr>
        <w:t>Alberto Crisostomo</w:t>
      </w:r>
      <w:r>
        <w:rPr>
          <w:sz w:val="24"/>
          <w:szCs w:val="24"/>
        </w:rPr>
        <w:t xml:space="preserve"> (2020) </w:t>
      </w:r>
      <w:r w:rsidRPr="00A94F56">
        <w:rPr>
          <w:sz w:val="24"/>
          <w:szCs w:val="24"/>
        </w:rPr>
        <w:t>The Discount for Lack of Marketability</w:t>
      </w:r>
      <w:r>
        <w:rPr>
          <w:sz w:val="24"/>
          <w:szCs w:val="24"/>
        </w:rPr>
        <w:t xml:space="preserve">: </w:t>
      </w:r>
      <w:r w:rsidRPr="00A94F56">
        <w:rPr>
          <w:sz w:val="24"/>
          <w:szCs w:val="24"/>
        </w:rPr>
        <w:t>An Investigation of Privately Held Companies in North Italy</w:t>
      </w:r>
      <w:r>
        <w:rPr>
          <w:sz w:val="24"/>
          <w:szCs w:val="24"/>
        </w:rPr>
        <w:t xml:space="preserve">, Master Thesis, </w:t>
      </w:r>
      <w:r w:rsidRPr="005E4AB8">
        <w:rPr>
          <w:sz w:val="24"/>
          <w:szCs w:val="24"/>
        </w:rPr>
        <w:t>Ca' Foscari University</w:t>
      </w:r>
    </w:p>
    <w:p w14:paraId="3D1131A5" w14:textId="77777777" w:rsidR="00C6097E" w:rsidRPr="008B3DE8" w:rsidRDefault="00C6097E" w:rsidP="008B1F7F">
      <w:pPr>
        <w:spacing w:line="240" w:lineRule="auto"/>
        <w:jc w:val="both"/>
        <w:rPr>
          <w:rFonts w:eastAsia="Times New Roman"/>
          <w:sz w:val="24"/>
          <w:szCs w:val="24"/>
        </w:rPr>
      </w:pPr>
    </w:p>
    <w:p w14:paraId="57AA6D24" w14:textId="77777777" w:rsidR="00C6097E" w:rsidRPr="008B3DE8" w:rsidRDefault="00C6097E" w:rsidP="008B1F7F">
      <w:pPr>
        <w:jc w:val="both"/>
        <w:rPr>
          <w:sz w:val="24"/>
          <w:szCs w:val="24"/>
        </w:rPr>
      </w:pPr>
      <w:r w:rsidRPr="008B3DE8">
        <w:rPr>
          <w:sz w:val="24"/>
          <w:szCs w:val="24"/>
        </w:rPr>
        <w:t>Alfred Karlsson &amp; Emil Jönsson (2022) The Private Company Discount: An acquisition study of public and private companies on the Swedish market, Bachelor Thesis, Linnaeus University</w:t>
      </w:r>
    </w:p>
    <w:p w14:paraId="2C72F634" w14:textId="77777777" w:rsidR="00C6097E" w:rsidRPr="008B3DE8" w:rsidRDefault="00C6097E" w:rsidP="008B1F7F">
      <w:pPr>
        <w:jc w:val="both"/>
        <w:rPr>
          <w:sz w:val="24"/>
          <w:szCs w:val="24"/>
        </w:rPr>
      </w:pPr>
    </w:p>
    <w:p w14:paraId="515C0401" w14:textId="77777777" w:rsidR="00C6097E" w:rsidRPr="008B3DE8" w:rsidRDefault="00C6097E" w:rsidP="008B1F7F">
      <w:pPr>
        <w:jc w:val="both"/>
        <w:rPr>
          <w:sz w:val="24"/>
          <w:szCs w:val="24"/>
        </w:rPr>
      </w:pPr>
      <w:r w:rsidRPr="008B3DE8">
        <w:rPr>
          <w:sz w:val="24"/>
          <w:szCs w:val="24"/>
        </w:rPr>
        <w:t>Block, S. (2007) ‘The Liquidity Discount in Valuing Privately Owned Companies’, The Journal of Applied Finance, 17(2), pp, 33-40.</w:t>
      </w:r>
    </w:p>
    <w:p w14:paraId="40619A91" w14:textId="77777777" w:rsidR="00D92BCE" w:rsidRPr="008B3DE8" w:rsidRDefault="00D92BCE" w:rsidP="008B1F7F">
      <w:pPr>
        <w:spacing w:line="280" w:lineRule="exact"/>
        <w:ind w:left="720"/>
        <w:jc w:val="both"/>
        <w:rPr>
          <w:sz w:val="24"/>
          <w:szCs w:val="24"/>
        </w:rPr>
      </w:pPr>
    </w:p>
    <w:p w14:paraId="7E95CBC0" w14:textId="77777777" w:rsidR="00D259A6" w:rsidRPr="008B3DE8" w:rsidRDefault="00D259A6" w:rsidP="00D259A6">
      <w:pPr>
        <w:jc w:val="both"/>
        <w:rPr>
          <w:sz w:val="24"/>
          <w:szCs w:val="24"/>
        </w:rPr>
      </w:pPr>
      <w:r w:rsidRPr="00550A59">
        <w:rPr>
          <w:sz w:val="24"/>
          <w:szCs w:val="24"/>
        </w:rPr>
        <w:t xml:space="preserve">BVR Survey </w:t>
      </w:r>
      <w:r>
        <w:rPr>
          <w:sz w:val="24"/>
          <w:szCs w:val="24"/>
        </w:rPr>
        <w:t xml:space="preserve">(2021) </w:t>
      </w:r>
      <w:r w:rsidRPr="00550A59">
        <w:rPr>
          <w:sz w:val="24"/>
          <w:szCs w:val="24"/>
        </w:rPr>
        <w:t>Methods Used for Estimating a Discount for Lack of Marketability</w:t>
      </w:r>
      <w:r>
        <w:rPr>
          <w:sz w:val="24"/>
          <w:szCs w:val="24"/>
        </w:rPr>
        <w:t xml:space="preserve">, </w:t>
      </w:r>
      <w:r w:rsidRPr="00550A59">
        <w:rPr>
          <w:sz w:val="24"/>
          <w:szCs w:val="24"/>
        </w:rPr>
        <w:t>July 2021, Business Valuation Resources, LLC</w:t>
      </w:r>
      <w:r>
        <w:rPr>
          <w:sz w:val="24"/>
          <w:szCs w:val="24"/>
        </w:rPr>
        <w:t xml:space="preserve">. Available at: </w:t>
      </w:r>
      <w:hyperlink r:id="rId10" w:history="1">
        <w:r w:rsidRPr="00BB3C29">
          <w:rPr>
            <w:rStyle w:val="Hyperlink"/>
            <w:sz w:val="24"/>
            <w:szCs w:val="24"/>
          </w:rPr>
          <w:t>https://sub.bvresources.com/pdfs/BVR-2021-DLOM-Survey-Results.pdf</w:t>
        </w:r>
      </w:hyperlink>
      <w:r>
        <w:rPr>
          <w:sz w:val="24"/>
          <w:szCs w:val="24"/>
        </w:rPr>
        <w:t xml:space="preserve"> [Visited at September 2024]</w:t>
      </w:r>
    </w:p>
    <w:p w14:paraId="56AB8910" w14:textId="77777777" w:rsidR="00D92BCE" w:rsidRDefault="00D92BCE" w:rsidP="008B1F7F">
      <w:pPr>
        <w:jc w:val="both"/>
        <w:rPr>
          <w:sz w:val="24"/>
          <w:szCs w:val="24"/>
        </w:rPr>
      </w:pPr>
    </w:p>
    <w:p w14:paraId="0DB60614" w14:textId="77777777" w:rsidR="00D92BCE" w:rsidRPr="008B3DE8" w:rsidRDefault="00D92BCE" w:rsidP="008B1F7F">
      <w:pPr>
        <w:jc w:val="both"/>
        <w:rPr>
          <w:sz w:val="24"/>
          <w:szCs w:val="24"/>
        </w:rPr>
      </w:pPr>
      <w:r w:rsidRPr="008B3DE8">
        <w:rPr>
          <w:sz w:val="24"/>
          <w:szCs w:val="24"/>
        </w:rPr>
        <w:t>Chaffe III, D. B. (1993) ‘Option pricing as a proxy for discount for lack of marketability in private company valuations’, Business Valuation Review, pp. 182-188</w:t>
      </w:r>
    </w:p>
    <w:p w14:paraId="1B13E9E3" w14:textId="77777777" w:rsidR="00D92BCE" w:rsidRDefault="00D92BCE" w:rsidP="008B1F7F">
      <w:pPr>
        <w:jc w:val="both"/>
        <w:rPr>
          <w:sz w:val="24"/>
          <w:szCs w:val="24"/>
        </w:rPr>
      </w:pPr>
    </w:p>
    <w:p w14:paraId="66005AEA" w14:textId="77777777" w:rsidR="00D92BCE" w:rsidRPr="008B3DE8" w:rsidRDefault="00D92BCE" w:rsidP="008B1F7F">
      <w:pPr>
        <w:jc w:val="both"/>
        <w:rPr>
          <w:sz w:val="24"/>
          <w:szCs w:val="24"/>
        </w:rPr>
      </w:pPr>
      <w:r w:rsidRPr="008B3DE8">
        <w:rPr>
          <w:sz w:val="24"/>
          <w:szCs w:val="24"/>
        </w:rPr>
        <w:t>David Tabak, PhD, “A CAPM-Based Approach to Calculating Illiquidity Discounts,” NERA Economic Consulting (Marsh &amp; McLennan Companies), listed on www.nera.com, November 11, 2002.</w:t>
      </w:r>
    </w:p>
    <w:p w14:paraId="7B8EFF21" w14:textId="77777777" w:rsidR="00C6097E" w:rsidRDefault="00C6097E" w:rsidP="008B1F7F">
      <w:pPr>
        <w:jc w:val="both"/>
        <w:rPr>
          <w:sz w:val="24"/>
          <w:szCs w:val="24"/>
        </w:rPr>
      </w:pPr>
    </w:p>
    <w:p w14:paraId="3F1A13A4" w14:textId="4783BB34" w:rsidR="00C6097E" w:rsidRPr="008B3DE8" w:rsidRDefault="00C6097E" w:rsidP="008B1F7F">
      <w:pPr>
        <w:jc w:val="both"/>
        <w:rPr>
          <w:sz w:val="24"/>
          <w:szCs w:val="24"/>
        </w:rPr>
      </w:pPr>
      <w:r w:rsidRPr="008B3DE8">
        <w:rPr>
          <w:sz w:val="24"/>
          <w:szCs w:val="24"/>
        </w:rPr>
        <w:t>De Franco, Gus and Gavious, Ilanit and Richardson, Gordon D. and Jin, Justin Y.</w:t>
      </w:r>
      <w:r w:rsidR="00FC0635">
        <w:rPr>
          <w:sz w:val="24"/>
          <w:szCs w:val="24"/>
        </w:rPr>
        <w:t xml:space="preserve"> </w:t>
      </w:r>
      <w:r w:rsidR="00FC0635" w:rsidRPr="008B3DE8">
        <w:rPr>
          <w:sz w:val="24"/>
          <w:szCs w:val="24"/>
        </w:rPr>
        <w:t>(2009)</w:t>
      </w:r>
      <w:r w:rsidRPr="008B3DE8">
        <w:rPr>
          <w:sz w:val="24"/>
          <w:szCs w:val="24"/>
        </w:rPr>
        <w:t xml:space="preserve"> </w:t>
      </w:r>
      <w:r w:rsidRPr="00FC0635">
        <w:rPr>
          <w:i/>
          <w:iCs/>
          <w:sz w:val="24"/>
          <w:szCs w:val="24"/>
        </w:rPr>
        <w:t>Do Private Company Targets that Hire Big 4 Auditors Receive Higher Proceeds?</w:t>
      </w:r>
      <w:r w:rsidRPr="008B3DE8">
        <w:rPr>
          <w:sz w:val="24"/>
          <w:szCs w:val="24"/>
        </w:rPr>
        <w:t xml:space="preserve"> (June 22, 2009). Available at SSRN: </w:t>
      </w:r>
      <w:hyperlink r:id="rId11" w:tgtFrame="_blank" w:history="1">
        <w:r w:rsidRPr="008B3DE8">
          <w:t>https://ssrn.com/abstract=1640496</w:t>
        </w:r>
      </w:hyperlink>
      <w:r w:rsidRPr="008B3DE8">
        <w:rPr>
          <w:sz w:val="24"/>
          <w:szCs w:val="24"/>
        </w:rPr>
        <w:t> or </w:t>
      </w:r>
      <w:hyperlink r:id="rId12" w:tgtFrame="_blank" w:history="1">
        <w:r w:rsidRPr="008B3DE8">
          <w:t>http://dx.doi.org/10.2139/ssrn.1640496</w:t>
        </w:r>
      </w:hyperlink>
    </w:p>
    <w:p w14:paraId="4886B2FB" w14:textId="77777777" w:rsidR="00FC0635" w:rsidRDefault="00FC0635" w:rsidP="008B1F7F">
      <w:pPr>
        <w:jc w:val="both"/>
        <w:rPr>
          <w:sz w:val="24"/>
          <w:szCs w:val="24"/>
        </w:rPr>
      </w:pPr>
    </w:p>
    <w:p w14:paraId="61B60E1C" w14:textId="77777777" w:rsidR="00C6097E" w:rsidRPr="00B621A6" w:rsidRDefault="00C6097E" w:rsidP="008B1F7F">
      <w:pPr>
        <w:jc w:val="both"/>
        <w:rPr>
          <w:sz w:val="24"/>
          <w:szCs w:val="24"/>
        </w:rPr>
      </w:pPr>
      <w:r w:rsidRPr="00B621A6">
        <w:rPr>
          <w:sz w:val="24"/>
          <w:szCs w:val="24"/>
        </w:rPr>
        <w:t xml:space="preserve">DONG Jichang, JIAO Danxiao, and SUN Xilong (2017) </w:t>
      </w:r>
      <w:r>
        <w:rPr>
          <w:sz w:val="24"/>
          <w:szCs w:val="24"/>
        </w:rPr>
        <w:t>‘</w:t>
      </w:r>
      <w:r w:rsidRPr="00B621A6">
        <w:rPr>
          <w:sz w:val="24"/>
          <w:szCs w:val="24"/>
        </w:rPr>
        <w:t>Acquisition Discount and Valuation Effect of Private M&amp;As in China</w:t>
      </w:r>
      <w:r>
        <w:rPr>
          <w:sz w:val="24"/>
          <w:szCs w:val="24"/>
        </w:rPr>
        <w:t>’</w:t>
      </w:r>
      <w:r w:rsidRPr="00B621A6">
        <w:rPr>
          <w:sz w:val="24"/>
          <w:szCs w:val="24"/>
        </w:rPr>
        <w:t xml:space="preserve">, </w:t>
      </w:r>
      <w:r w:rsidRPr="00B621A6">
        <w:rPr>
          <w:i/>
          <w:iCs/>
          <w:sz w:val="24"/>
          <w:szCs w:val="24"/>
        </w:rPr>
        <w:t>Journal of Systems Science and Complexity</w:t>
      </w:r>
      <w:r w:rsidRPr="00B621A6">
        <w:rPr>
          <w:sz w:val="24"/>
          <w:szCs w:val="24"/>
        </w:rPr>
        <w:t>, 2017, № 6, p</w:t>
      </w:r>
      <w:r>
        <w:rPr>
          <w:sz w:val="24"/>
          <w:szCs w:val="24"/>
        </w:rPr>
        <w:t>p</w:t>
      </w:r>
      <w:r w:rsidRPr="00B621A6">
        <w:rPr>
          <w:sz w:val="24"/>
          <w:szCs w:val="24"/>
        </w:rPr>
        <w:t>. 1364-1381</w:t>
      </w:r>
    </w:p>
    <w:p w14:paraId="0714E0FD" w14:textId="77777777" w:rsidR="00D92BCE" w:rsidRPr="008B3DE8" w:rsidRDefault="00D92BCE" w:rsidP="008B1F7F">
      <w:pPr>
        <w:spacing w:line="280" w:lineRule="exact"/>
        <w:jc w:val="both"/>
        <w:rPr>
          <w:sz w:val="24"/>
          <w:szCs w:val="24"/>
        </w:rPr>
      </w:pPr>
    </w:p>
    <w:p w14:paraId="4707F8BE" w14:textId="77777777" w:rsidR="00D92BCE" w:rsidRPr="008B3DE8" w:rsidRDefault="00D92BCE" w:rsidP="008B1F7F">
      <w:pPr>
        <w:jc w:val="both"/>
        <w:rPr>
          <w:sz w:val="24"/>
          <w:szCs w:val="24"/>
        </w:rPr>
      </w:pPr>
      <w:r w:rsidRPr="008B3DE8">
        <w:rPr>
          <w:sz w:val="24"/>
          <w:szCs w:val="24"/>
        </w:rPr>
        <w:t>Espen Robak (2007) ‘Discounts for Illiquid Shares and Warrants: The LiquiStat Database of Transactions on the Restricted Securities Trading Network’, Pluris Valuation Advisors White Paper (January, 2007), pp. 22–32.</w:t>
      </w:r>
    </w:p>
    <w:p w14:paraId="44C7B346" w14:textId="77777777" w:rsidR="00E534C8" w:rsidRPr="008B3DE8" w:rsidRDefault="00E534C8" w:rsidP="008B1F7F">
      <w:pPr>
        <w:spacing w:line="280" w:lineRule="exact"/>
        <w:jc w:val="both"/>
        <w:rPr>
          <w:sz w:val="24"/>
          <w:szCs w:val="24"/>
        </w:rPr>
      </w:pPr>
    </w:p>
    <w:p w14:paraId="3C35696F" w14:textId="77777777" w:rsidR="00E534C8" w:rsidRDefault="00E534C8" w:rsidP="008B1F7F">
      <w:pPr>
        <w:jc w:val="both"/>
        <w:rPr>
          <w:sz w:val="24"/>
          <w:szCs w:val="24"/>
        </w:rPr>
      </w:pPr>
      <w:r w:rsidRPr="008B3DE8">
        <w:rPr>
          <w:sz w:val="24"/>
          <w:szCs w:val="24"/>
        </w:rPr>
        <w:t>Ezra Angrist, Harry Curtis III, and Daniel Kerrigan, ‘Regression Analysis and Discounts for Lack of Marketability’, Business Valuation Review (2011), 30 (1), pp. 36–48.</w:t>
      </w:r>
    </w:p>
    <w:p w14:paraId="043D66B7" w14:textId="77777777" w:rsidR="00E534C8" w:rsidRPr="008B3DE8" w:rsidRDefault="00E534C8" w:rsidP="008B1F7F">
      <w:pPr>
        <w:jc w:val="both"/>
        <w:rPr>
          <w:sz w:val="24"/>
          <w:szCs w:val="24"/>
        </w:rPr>
      </w:pPr>
    </w:p>
    <w:p w14:paraId="5DF091B8" w14:textId="77777777" w:rsidR="00E534C8" w:rsidRPr="008B3DE8" w:rsidRDefault="00E534C8" w:rsidP="008B1F7F">
      <w:pPr>
        <w:jc w:val="both"/>
        <w:rPr>
          <w:sz w:val="24"/>
          <w:szCs w:val="24"/>
        </w:rPr>
      </w:pPr>
      <w:r w:rsidRPr="008B3DE8">
        <w:rPr>
          <w:sz w:val="24"/>
          <w:szCs w:val="24"/>
        </w:rPr>
        <w:t>Finnerty, J. D. (2012) ‘An Average-Strike Put Option Model of the Marketability Discount’. The Journal of Derivatives, 9 (24), pp. 53–69.</w:t>
      </w:r>
    </w:p>
    <w:p w14:paraId="220AB97B" w14:textId="77777777" w:rsidR="00E534C8" w:rsidRPr="008B3DE8" w:rsidRDefault="00E534C8" w:rsidP="008B1F7F">
      <w:pPr>
        <w:spacing w:line="280" w:lineRule="exact"/>
        <w:ind w:left="720"/>
        <w:jc w:val="both"/>
        <w:rPr>
          <w:sz w:val="24"/>
          <w:szCs w:val="24"/>
        </w:rPr>
      </w:pPr>
    </w:p>
    <w:p w14:paraId="107A6F97" w14:textId="77777777" w:rsidR="00E534C8" w:rsidRPr="008B3DE8" w:rsidRDefault="00E534C8" w:rsidP="008B1F7F">
      <w:pPr>
        <w:jc w:val="both"/>
        <w:rPr>
          <w:sz w:val="24"/>
          <w:szCs w:val="24"/>
        </w:rPr>
      </w:pPr>
      <w:r w:rsidRPr="008B3DE8">
        <w:rPr>
          <w:sz w:val="24"/>
          <w:szCs w:val="24"/>
        </w:rPr>
        <w:t>FMV Restricted Stock Study (FMV Opinions Study), Determining Discounts for Lack of Marketability, A Companion Guide to the FMV Restricted Stock Study, 2015 edn, FMV Opinions, Inc.</w:t>
      </w:r>
    </w:p>
    <w:p w14:paraId="47673D84" w14:textId="77777777" w:rsidR="00D92BCE" w:rsidRPr="00D92BCE" w:rsidRDefault="00D92BCE" w:rsidP="008B1F7F">
      <w:pPr>
        <w:pStyle w:val="FootnoteText"/>
        <w:jc w:val="both"/>
        <w:rPr>
          <w:rFonts w:ascii="Arial" w:hAnsi="Arial" w:cs="Arial"/>
          <w:sz w:val="24"/>
          <w:szCs w:val="24"/>
        </w:rPr>
      </w:pPr>
    </w:p>
    <w:p w14:paraId="5EAFC984" w14:textId="77777777" w:rsidR="00D92BCE" w:rsidRPr="008B3DE8" w:rsidRDefault="00D92BCE" w:rsidP="008B1F7F">
      <w:pPr>
        <w:jc w:val="both"/>
        <w:rPr>
          <w:sz w:val="24"/>
          <w:szCs w:val="24"/>
        </w:rPr>
      </w:pPr>
      <w:r w:rsidRPr="008B3DE8">
        <w:rPr>
          <w:sz w:val="24"/>
          <w:szCs w:val="24"/>
        </w:rPr>
        <w:t>Francis A. Longstaff (1995) ‘How Much Can Marketability Affect Security Values?’, The Journal of Finance (December 1995), pp. 1767-1774.</w:t>
      </w:r>
    </w:p>
    <w:p w14:paraId="0F04E873" w14:textId="77777777" w:rsidR="00C6097E" w:rsidRDefault="00C6097E" w:rsidP="008B1F7F">
      <w:pPr>
        <w:jc w:val="both"/>
        <w:rPr>
          <w:sz w:val="24"/>
          <w:szCs w:val="24"/>
        </w:rPr>
      </w:pPr>
    </w:p>
    <w:p w14:paraId="4F96B340" w14:textId="2048417C" w:rsidR="00C6097E" w:rsidRPr="008B3DE8" w:rsidRDefault="00C6097E" w:rsidP="008B1F7F">
      <w:pPr>
        <w:jc w:val="both"/>
        <w:rPr>
          <w:sz w:val="24"/>
          <w:szCs w:val="24"/>
        </w:rPr>
      </w:pPr>
      <w:r w:rsidRPr="008B3DE8">
        <w:rPr>
          <w:sz w:val="24"/>
          <w:szCs w:val="24"/>
        </w:rPr>
        <w:t>Gelman, M. (1972) ‘An Economist Financial Analyst’s Approach to Valuing Stock of a Closely Held Company’, The Journal of Taxation, 36(6), pp. 353-354.</w:t>
      </w:r>
    </w:p>
    <w:p w14:paraId="1080FB74" w14:textId="77777777" w:rsidR="00DE056B" w:rsidRPr="008B3DE8" w:rsidRDefault="00DE056B" w:rsidP="008B1F7F">
      <w:pPr>
        <w:jc w:val="both"/>
        <w:rPr>
          <w:i/>
          <w:iCs/>
          <w:sz w:val="24"/>
          <w:szCs w:val="24"/>
        </w:rPr>
      </w:pPr>
    </w:p>
    <w:p w14:paraId="3F3B527A" w14:textId="77777777" w:rsidR="00DE056B" w:rsidRPr="008B3DE8" w:rsidRDefault="00DE056B" w:rsidP="008B1F7F">
      <w:pPr>
        <w:jc w:val="both"/>
        <w:rPr>
          <w:sz w:val="24"/>
          <w:szCs w:val="24"/>
        </w:rPr>
      </w:pPr>
      <w:r w:rsidRPr="008B3DE8">
        <w:rPr>
          <w:sz w:val="24"/>
          <w:szCs w:val="24"/>
        </w:rPr>
        <w:t>Hall, Lance S., and Timothy C. Polacek, “Strategies for Obtaining the Largest Valuation Discounts,” Estate Planning, January/February 1994, pp. 38-44.</w:t>
      </w:r>
    </w:p>
    <w:p w14:paraId="6375A284" w14:textId="77777777" w:rsidR="00815B85" w:rsidRPr="008B3DE8" w:rsidRDefault="00815B85" w:rsidP="008B1F7F">
      <w:pPr>
        <w:spacing w:line="280" w:lineRule="exact"/>
        <w:ind w:left="720"/>
        <w:jc w:val="both"/>
        <w:rPr>
          <w:sz w:val="24"/>
          <w:szCs w:val="24"/>
        </w:rPr>
      </w:pPr>
    </w:p>
    <w:p w14:paraId="32E88130" w14:textId="77777777" w:rsidR="00815B85" w:rsidRPr="008B3DE8" w:rsidRDefault="00815B85" w:rsidP="008B1F7F">
      <w:pPr>
        <w:jc w:val="both"/>
        <w:rPr>
          <w:sz w:val="24"/>
          <w:szCs w:val="24"/>
        </w:rPr>
      </w:pPr>
      <w:r w:rsidRPr="008B3DE8">
        <w:rPr>
          <w:sz w:val="24"/>
          <w:szCs w:val="24"/>
        </w:rPr>
        <w:t>Hertzel, M., and Smith, R. L. (1993) ‘Market Discounts and Shareholder Gains for Placing Equity Privately’, The Journal of Finance, 48(2), pp. 459-485.</w:t>
      </w:r>
    </w:p>
    <w:p w14:paraId="0F5B6EAA" w14:textId="77777777" w:rsidR="002920C4" w:rsidRDefault="002920C4" w:rsidP="008B1F7F">
      <w:pPr>
        <w:jc w:val="both"/>
        <w:rPr>
          <w:sz w:val="24"/>
          <w:szCs w:val="24"/>
        </w:rPr>
      </w:pPr>
    </w:p>
    <w:p w14:paraId="41B13777" w14:textId="77777777" w:rsidR="002920C4" w:rsidRPr="008B3DE8" w:rsidRDefault="002920C4" w:rsidP="008B1F7F">
      <w:pPr>
        <w:jc w:val="both"/>
        <w:rPr>
          <w:sz w:val="24"/>
          <w:szCs w:val="24"/>
        </w:rPr>
      </w:pPr>
      <w:r w:rsidRPr="008B3DE8">
        <w:rPr>
          <w:sz w:val="24"/>
          <w:szCs w:val="24"/>
        </w:rPr>
        <w:t>Hitchner, et al. (2017) Financial Valuation Applications and Models, 3rd edn. New Jersey: John Wiley &amp; Sons, Inc., pp. 387-389.</w:t>
      </w:r>
    </w:p>
    <w:p w14:paraId="6B79FA98" w14:textId="77777777" w:rsidR="00815B85" w:rsidRDefault="00815B85" w:rsidP="008B1F7F">
      <w:pPr>
        <w:pStyle w:val="FootnoteText"/>
        <w:jc w:val="both"/>
        <w:rPr>
          <w:rFonts w:ascii="Arial" w:hAnsi="Arial" w:cs="Arial"/>
          <w:sz w:val="24"/>
          <w:szCs w:val="24"/>
        </w:rPr>
      </w:pPr>
    </w:p>
    <w:p w14:paraId="17C322AD" w14:textId="77777777" w:rsidR="002920C4" w:rsidRDefault="002920C4" w:rsidP="008B1F7F">
      <w:pPr>
        <w:jc w:val="both"/>
        <w:rPr>
          <w:sz w:val="24"/>
          <w:szCs w:val="24"/>
        </w:rPr>
      </w:pPr>
      <w:r>
        <w:rPr>
          <w:sz w:val="24"/>
          <w:szCs w:val="24"/>
        </w:rPr>
        <w:t xml:space="preserve">International Valuation Standard (2024) International Valuation Standard Council, </w:t>
      </w:r>
      <w:r w:rsidRPr="006D6513">
        <w:rPr>
          <w:sz w:val="24"/>
          <w:szCs w:val="24"/>
        </w:rPr>
        <w:t>pp.39</w:t>
      </w:r>
    </w:p>
    <w:p w14:paraId="1D7CDABB" w14:textId="77777777" w:rsidR="002920C4" w:rsidRDefault="002920C4" w:rsidP="008B1F7F">
      <w:pPr>
        <w:jc w:val="both"/>
        <w:rPr>
          <w:sz w:val="24"/>
          <w:szCs w:val="24"/>
        </w:rPr>
      </w:pPr>
    </w:p>
    <w:p w14:paraId="4B19E959" w14:textId="77777777" w:rsidR="002920C4" w:rsidRDefault="002920C4" w:rsidP="008B1F7F">
      <w:pPr>
        <w:jc w:val="both"/>
        <w:rPr>
          <w:sz w:val="24"/>
          <w:szCs w:val="24"/>
        </w:rPr>
      </w:pPr>
      <w:r w:rsidRPr="00B53A34">
        <w:rPr>
          <w:sz w:val="24"/>
          <w:szCs w:val="24"/>
        </w:rPr>
        <w:t xml:space="preserve">James R. Hitchner </w:t>
      </w:r>
      <w:r>
        <w:rPr>
          <w:sz w:val="24"/>
          <w:szCs w:val="24"/>
        </w:rPr>
        <w:t xml:space="preserve">(2017) </w:t>
      </w:r>
      <w:r w:rsidRPr="00CA7C03">
        <w:rPr>
          <w:sz w:val="24"/>
          <w:szCs w:val="24"/>
        </w:rPr>
        <w:t>Financial Valuation Workbook</w:t>
      </w:r>
      <w:r>
        <w:rPr>
          <w:sz w:val="24"/>
          <w:szCs w:val="24"/>
        </w:rPr>
        <w:t>,</w:t>
      </w:r>
      <w:r w:rsidRPr="00B53A34">
        <w:t xml:space="preserve"> </w:t>
      </w:r>
      <w:r>
        <w:t>4</w:t>
      </w:r>
      <w:r w:rsidRPr="00B53A34">
        <w:rPr>
          <w:vertAlign w:val="superscript"/>
        </w:rPr>
        <w:t>th</w:t>
      </w:r>
      <w:r>
        <w:t xml:space="preserve"> Edn, </w:t>
      </w:r>
      <w:r w:rsidRPr="00B53A34">
        <w:rPr>
          <w:sz w:val="24"/>
          <w:szCs w:val="24"/>
        </w:rPr>
        <w:t>New Jersey</w:t>
      </w:r>
      <w:r>
        <w:rPr>
          <w:sz w:val="24"/>
          <w:szCs w:val="24"/>
        </w:rPr>
        <w:t xml:space="preserve">: </w:t>
      </w:r>
      <w:r w:rsidRPr="00B53A34">
        <w:rPr>
          <w:sz w:val="24"/>
          <w:szCs w:val="24"/>
        </w:rPr>
        <w:t xml:space="preserve">John Wiley &amp; Sons, </w:t>
      </w:r>
      <w:r>
        <w:rPr>
          <w:sz w:val="24"/>
          <w:szCs w:val="24"/>
        </w:rPr>
        <w:t>I</w:t>
      </w:r>
      <w:r w:rsidRPr="00B53A34">
        <w:rPr>
          <w:sz w:val="24"/>
          <w:szCs w:val="24"/>
        </w:rPr>
        <w:t>nc.</w:t>
      </w:r>
    </w:p>
    <w:p w14:paraId="3C19E030" w14:textId="77777777" w:rsidR="002920C4" w:rsidRDefault="002920C4" w:rsidP="008B1F7F">
      <w:pPr>
        <w:jc w:val="both"/>
        <w:rPr>
          <w:sz w:val="24"/>
          <w:szCs w:val="24"/>
        </w:rPr>
      </w:pPr>
    </w:p>
    <w:p w14:paraId="47BA57A5" w14:textId="77777777" w:rsidR="002920C4" w:rsidRDefault="002920C4" w:rsidP="008B1F7F">
      <w:pPr>
        <w:jc w:val="both"/>
        <w:rPr>
          <w:sz w:val="24"/>
          <w:szCs w:val="24"/>
        </w:rPr>
      </w:pPr>
      <w:r w:rsidRPr="00B53A34">
        <w:rPr>
          <w:sz w:val="24"/>
          <w:szCs w:val="24"/>
        </w:rPr>
        <w:t xml:space="preserve">James R. Hitchner </w:t>
      </w:r>
      <w:r>
        <w:rPr>
          <w:sz w:val="24"/>
          <w:szCs w:val="24"/>
        </w:rPr>
        <w:t xml:space="preserve">(2017), </w:t>
      </w:r>
      <w:r w:rsidRPr="00887B43">
        <w:rPr>
          <w:sz w:val="24"/>
          <w:szCs w:val="24"/>
        </w:rPr>
        <w:t>Financial Valuation Applications and Models</w:t>
      </w:r>
      <w:r>
        <w:rPr>
          <w:sz w:val="24"/>
          <w:szCs w:val="24"/>
        </w:rPr>
        <w:t>,</w:t>
      </w:r>
      <w:r w:rsidRPr="00887B43">
        <w:rPr>
          <w:sz w:val="24"/>
          <w:szCs w:val="24"/>
        </w:rPr>
        <w:t xml:space="preserve"> </w:t>
      </w:r>
      <w:r>
        <w:t>4</w:t>
      </w:r>
      <w:r w:rsidRPr="00B53A34">
        <w:rPr>
          <w:vertAlign w:val="superscript"/>
        </w:rPr>
        <w:t>th</w:t>
      </w:r>
      <w:r>
        <w:t xml:space="preserve"> Edn, </w:t>
      </w:r>
      <w:r w:rsidRPr="00B53A34">
        <w:rPr>
          <w:sz w:val="24"/>
          <w:szCs w:val="24"/>
        </w:rPr>
        <w:t>New Jersey</w:t>
      </w:r>
      <w:r>
        <w:rPr>
          <w:sz w:val="24"/>
          <w:szCs w:val="24"/>
        </w:rPr>
        <w:t xml:space="preserve">: </w:t>
      </w:r>
      <w:r w:rsidRPr="00B53A34">
        <w:rPr>
          <w:sz w:val="24"/>
          <w:szCs w:val="24"/>
        </w:rPr>
        <w:t xml:space="preserve">John Wiley &amp; Sons, </w:t>
      </w:r>
      <w:r>
        <w:rPr>
          <w:sz w:val="24"/>
          <w:szCs w:val="24"/>
        </w:rPr>
        <w:t>I</w:t>
      </w:r>
      <w:r w:rsidRPr="00B53A34">
        <w:rPr>
          <w:sz w:val="24"/>
          <w:szCs w:val="24"/>
        </w:rPr>
        <w:t>nc.</w:t>
      </w:r>
      <w:r>
        <w:rPr>
          <w:sz w:val="24"/>
          <w:szCs w:val="24"/>
        </w:rPr>
        <w:t xml:space="preserve"> pp. 392-493.</w:t>
      </w:r>
    </w:p>
    <w:p w14:paraId="52C13659" w14:textId="77777777" w:rsidR="002920C4" w:rsidRDefault="002920C4" w:rsidP="008B1F7F">
      <w:pPr>
        <w:jc w:val="both"/>
        <w:rPr>
          <w:sz w:val="24"/>
          <w:szCs w:val="24"/>
        </w:rPr>
      </w:pPr>
    </w:p>
    <w:p w14:paraId="594ED344" w14:textId="77777777" w:rsidR="002920C4" w:rsidRPr="004F59F5" w:rsidRDefault="002920C4" w:rsidP="008B1F7F">
      <w:pPr>
        <w:jc w:val="both"/>
        <w:rPr>
          <w:sz w:val="24"/>
          <w:szCs w:val="24"/>
        </w:rPr>
      </w:pPr>
      <w:r w:rsidRPr="004F59F5">
        <w:rPr>
          <w:sz w:val="24"/>
          <w:szCs w:val="24"/>
        </w:rPr>
        <w:t>Johan Van den Cruijce (2022) ‘Determinants of the Discount</w:t>
      </w:r>
      <w:r>
        <w:rPr>
          <w:sz w:val="24"/>
          <w:szCs w:val="24"/>
        </w:rPr>
        <w:t xml:space="preserve"> </w:t>
      </w:r>
      <w:r w:rsidRPr="004F59F5">
        <w:rPr>
          <w:sz w:val="24"/>
          <w:szCs w:val="24"/>
        </w:rPr>
        <w:t xml:space="preserve">for Lack of Marketability’, </w:t>
      </w:r>
      <w:r w:rsidRPr="004F59F5">
        <w:rPr>
          <w:i/>
          <w:iCs/>
          <w:sz w:val="24"/>
          <w:szCs w:val="24"/>
        </w:rPr>
        <w:t>The European Business Valuation Magazine</w:t>
      </w:r>
      <w:r w:rsidRPr="004F59F5">
        <w:rPr>
          <w:sz w:val="24"/>
          <w:szCs w:val="24"/>
        </w:rPr>
        <w:t>, 1 (2), pp. 4-11</w:t>
      </w:r>
    </w:p>
    <w:p w14:paraId="400BB6DD" w14:textId="77777777" w:rsidR="002920C4" w:rsidRPr="008B3DE8" w:rsidRDefault="002920C4" w:rsidP="008B1F7F">
      <w:pPr>
        <w:spacing w:line="240" w:lineRule="auto"/>
        <w:jc w:val="both"/>
        <w:rPr>
          <w:rFonts w:eastAsia="Times New Roman"/>
          <w:sz w:val="24"/>
          <w:szCs w:val="24"/>
        </w:rPr>
      </w:pPr>
    </w:p>
    <w:p w14:paraId="1C7309FD" w14:textId="77777777" w:rsidR="002920C4" w:rsidRPr="008B3DE8" w:rsidRDefault="002920C4" w:rsidP="008B1F7F">
      <w:pPr>
        <w:jc w:val="both"/>
        <w:rPr>
          <w:sz w:val="24"/>
          <w:szCs w:val="24"/>
        </w:rPr>
      </w:pPr>
      <w:r w:rsidRPr="008B3DE8">
        <w:rPr>
          <w:sz w:val="24"/>
          <w:szCs w:val="24"/>
        </w:rPr>
        <w:t>John D. Emory (1997), ‘The Value of Marketability as Illustrated in Initial Public Offerings of Common Stock (Eighth in a Series), November 1995 through April 1997’, Business Valuation Review 16, no. 3 (September 1997): pp. 123–124.</w:t>
      </w:r>
    </w:p>
    <w:p w14:paraId="0452F040" w14:textId="77777777" w:rsidR="002920C4" w:rsidRPr="008B3DE8" w:rsidRDefault="002920C4" w:rsidP="008B1F7F">
      <w:pPr>
        <w:pStyle w:val="FootnoteText"/>
        <w:jc w:val="both"/>
        <w:rPr>
          <w:rFonts w:ascii="Arial" w:hAnsi="Arial" w:cs="Arial"/>
          <w:sz w:val="24"/>
          <w:szCs w:val="24"/>
        </w:rPr>
      </w:pPr>
    </w:p>
    <w:p w14:paraId="7CD789B5" w14:textId="77777777" w:rsidR="002920C4" w:rsidRPr="008B3DE8" w:rsidRDefault="002920C4" w:rsidP="008B1F7F">
      <w:pPr>
        <w:jc w:val="both"/>
        <w:rPr>
          <w:sz w:val="24"/>
          <w:szCs w:val="24"/>
        </w:rPr>
      </w:pPr>
      <w:r w:rsidRPr="008B3DE8">
        <w:rPr>
          <w:sz w:val="24"/>
          <w:szCs w:val="24"/>
        </w:rPr>
        <w:t>Johnson, B. A. (1999) Restricted Stock Discounts. Shannon Pratt's Business Valuation Update, 5(3).</w:t>
      </w:r>
    </w:p>
    <w:p w14:paraId="4ACE576A" w14:textId="77777777" w:rsidR="002920C4" w:rsidRDefault="002920C4" w:rsidP="008B1F7F">
      <w:pPr>
        <w:jc w:val="both"/>
        <w:rPr>
          <w:sz w:val="24"/>
          <w:szCs w:val="24"/>
        </w:rPr>
      </w:pPr>
    </w:p>
    <w:p w14:paraId="68FC650E" w14:textId="77777777" w:rsidR="002920C4" w:rsidRPr="008B3DE8" w:rsidRDefault="002920C4" w:rsidP="008B1F7F">
      <w:pPr>
        <w:jc w:val="both"/>
        <w:rPr>
          <w:sz w:val="24"/>
          <w:szCs w:val="24"/>
        </w:rPr>
      </w:pPr>
      <w:r w:rsidRPr="008B3DE8">
        <w:rPr>
          <w:sz w:val="24"/>
          <w:szCs w:val="24"/>
        </w:rPr>
        <w:t>Kim van Oeveren (2018) The Private Company Discount- An acquisition study on private firms within the US, Master Thesis, Tilburg University</w:t>
      </w:r>
    </w:p>
    <w:p w14:paraId="609EE544" w14:textId="77777777" w:rsidR="002920C4" w:rsidRPr="008B3DE8" w:rsidRDefault="002920C4" w:rsidP="008B1F7F">
      <w:pPr>
        <w:pStyle w:val="FootnoteText"/>
        <w:jc w:val="both"/>
        <w:rPr>
          <w:rFonts w:ascii="Arial" w:hAnsi="Arial" w:cs="Arial"/>
          <w:sz w:val="24"/>
          <w:szCs w:val="24"/>
        </w:rPr>
      </w:pPr>
    </w:p>
    <w:p w14:paraId="38B38762" w14:textId="7A736273" w:rsidR="00815B85" w:rsidRPr="008B3DE8" w:rsidRDefault="00815B85" w:rsidP="008B1F7F">
      <w:pPr>
        <w:jc w:val="both"/>
        <w:rPr>
          <w:sz w:val="24"/>
          <w:szCs w:val="24"/>
        </w:rPr>
      </w:pPr>
      <w:r w:rsidRPr="008B3DE8">
        <w:rPr>
          <w:sz w:val="24"/>
          <w:szCs w:val="24"/>
        </w:rPr>
        <w:t>Kathryn F. Aschwald (2000) ‘Restricted Stock Discounts Decline as Result of 1-Year Holding Period – Studies After 1990 “No Longer Relevant” for Lack of Market ability Discounts’, Shannon Pratt’s Business Valuation Update 6, no. 5 (May 2000), pp. 1-5.</w:t>
      </w:r>
    </w:p>
    <w:p w14:paraId="10D9B7AE" w14:textId="77777777" w:rsidR="00DE056B" w:rsidRPr="008B3DE8" w:rsidRDefault="00DE056B" w:rsidP="008B1F7F">
      <w:pPr>
        <w:pStyle w:val="FootnoteText"/>
        <w:ind w:left="720"/>
        <w:jc w:val="both"/>
        <w:rPr>
          <w:rFonts w:ascii="Arial" w:hAnsi="Arial" w:cs="Arial"/>
          <w:sz w:val="24"/>
          <w:szCs w:val="24"/>
        </w:rPr>
      </w:pPr>
    </w:p>
    <w:p w14:paraId="0B68473C" w14:textId="77777777" w:rsidR="00DE056B" w:rsidRPr="008B3DE8" w:rsidRDefault="00DE056B" w:rsidP="008B1F7F">
      <w:pPr>
        <w:jc w:val="both"/>
        <w:rPr>
          <w:sz w:val="24"/>
          <w:szCs w:val="24"/>
        </w:rPr>
      </w:pPr>
      <w:r w:rsidRPr="008B3DE8">
        <w:rPr>
          <w:sz w:val="24"/>
          <w:szCs w:val="24"/>
        </w:rPr>
        <w:t>Karen H. Wruck (1989) ‘Equity Ownership Concentration and Firm Value’, The Journal of Financial Economics, 23(1989), pp. 3–28.</w:t>
      </w:r>
    </w:p>
    <w:p w14:paraId="5C9D254E" w14:textId="77777777" w:rsidR="002920C4" w:rsidRDefault="002920C4" w:rsidP="008B1F7F">
      <w:pPr>
        <w:jc w:val="both"/>
        <w:rPr>
          <w:sz w:val="24"/>
          <w:szCs w:val="24"/>
        </w:rPr>
      </w:pPr>
    </w:p>
    <w:p w14:paraId="13ACF795" w14:textId="77777777" w:rsidR="002920C4" w:rsidRPr="008B3DE8" w:rsidRDefault="002920C4" w:rsidP="008B1F7F">
      <w:pPr>
        <w:jc w:val="both"/>
        <w:rPr>
          <w:sz w:val="24"/>
          <w:szCs w:val="24"/>
        </w:rPr>
      </w:pPr>
      <w:r w:rsidRPr="008B3DE8">
        <w:rPr>
          <w:sz w:val="24"/>
          <w:szCs w:val="24"/>
        </w:rPr>
        <w:t>Koeplin, J., Sarin, A., &amp; Shapiro, A. C. (2000) ‘The Private Company Discount’, The Journal of Applied Corporate Finance, 12(4)</w:t>
      </w:r>
    </w:p>
    <w:p w14:paraId="6DA2C53A" w14:textId="77777777" w:rsidR="002920C4" w:rsidRPr="008B3DE8" w:rsidRDefault="002920C4" w:rsidP="008B1F7F">
      <w:pPr>
        <w:pStyle w:val="FootnoteText"/>
        <w:jc w:val="both"/>
        <w:rPr>
          <w:rFonts w:ascii="Arial" w:hAnsi="Arial" w:cs="Arial"/>
          <w:sz w:val="24"/>
          <w:szCs w:val="24"/>
        </w:rPr>
      </w:pPr>
    </w:p>
    <w:p w14:paraId="18752175" w14:textId="77777777" w:rsidR="002920C4" w:rsidRPr="008B3DE8" w:rsidRDefault="002920C4" w:rsidP="008B1F7F">
      <w:pPr>
        <w:jc w:val="both"/>
        <w:rPr>
          <w:sz w:val="24"/>
          <w:szCs w:val="24"/>
        </w:rPr>
      </w:pPr>
      <w:r w:rsidRPr="008B3DE8">
        <w:rPr>
          <w:sz w:val="24"/>
          <w:szCs w:val="24"/>
        </w:rPr>
        <w:t>Kooli, M., Kortas, M., &amp; L'Her, J.-F. (2003) ‘A New Examination of the Private Company Discount: The Acquisition Approach’, The Journal of Private Equity</w:t>
      </w:r>
    </w:p>
    <w:p w14:paraId="3ABE64FA" w14:textId="77777777" w:rsidR="00D92BCE" w:rsidRDefault="00D92BCE" w:rsidP="008B1F7F">
      <w:pPr>
        <w:jc w:val="both"/>
        <w:rPr>
          <w:sz w:val="24"/>
          <w:szCs w:val="24"/>
        </w:rPr>
      </w:pPr>
    </w:p>
    <w:p w14:paraId="3534A6E8" w14:textId="77777777" w:rsidR="00D92BCE" w:rsidRDefault="00D92BCE" w:rsidP="008B1F7F">
      <w:pPr>
        <w:jc w:val="both"/>
        <w:rPr>
          <w:sz w:val="24"/>
          <w:szCs w:val="24"/>
        </w:rPr>
      </w:pPr>
      <w:r w:rsidRPr="009C4EB9">
        <w:rPr>
          <w:sz w:val="24"/>
          <w:szCs w:val="24"/>
        </w:rPr>
        <w:t>Leslie Rodríguez-Valencia</w:t>
      </w:r>
      <w:r w:rsidRPr="009C4EB9">
        <w:rPr>
          <w:rFonts w:hint="eastAsia"/>
          <w:sz w:val="24"/>
          <w:szCs w:val="24"/>
        </w:rPr>
        <w:t xml:space="preserve">, </w:t>
      </w:r>
      <w:r w:rsidRPr="009C4EB9">
        <w:rPr>
          <w:sz w:val="24"/>
          <w:szCs w:val="24"/>
        </w:rPr>
        <w:t>Prosper Lamothe-Fernández</w:t>
      </w:r>
      <w:r w:rsidRPr="009C4EB9">
        <w:rPr>
          <w:rFonts w:hint="eastAsia"/>
          <w:sz w:val="24"/>
          <w:szCs w:val="24"/>
        </w:rPr>
        <w:t xml:space="preserve">, and </w:t>
      </w:r>
      <w:r w:rsidRPr="009C4EB9">
        <w:rPr>
          <w:sz w:val="24"/>
          <w:szCs w:val="24"/>
        </w:rPr>
        <w:t>David Alaminos</w:t>
      </w:r>
      <w:r>
        <w:rPr>
          <w:rFonts w:hint="eastAsia"/>
          <w:sz w:val="24"/>
          <w:szCs w:val="24"/>
        </w:rPr>
        <w:t xml:space="preserve"> (2023) </w:t>
      </w:r>
    </w:p>
    <w:p w14:paraId="3B5011C4" w14:textId="77777777" w:rsidR="00DE056B" w:rsidRDefault="00DE056B" w:rsidP="008B1F7F">
      <w:pPr>
        <w:jc w:val="both"/>
        <w:rPr>
          <w:sz w:val="24"/>
          <w:szCs w:val="24"/>
        </w:rPr>
      </w:pPr>
    </w:p>
    <w:p w14:paraId="09C664EC" w14:textId="77777777" w:rsidR="00DE056B" w:rsidRPr="008B3DE8" w:rsidRDefault="00DE056B" w:rsidP="008B1F7F">
      <w:pPr>
        <w:jc w:val="both"/>
        <w:rPr>
          <w:sz w:val="24"/>
          <w:szCs w:val="24"/>
        </w:rPr>
      </w:pPr>
      <w:r w:rsidRPr="008B3DE8">
        <w:rPr>
          <w:sz w:val="24"/>
          <w:szCs w:val="24"/>
        </w:rPr>
        <w:t>Maher, J. Michael (1976) ‘Discounts for Lack of Marketability for Closely Held Business Interests’, Taxes – The Tax Magazine, pp. 562-571.</w:t>
      </w:r>
    </w:p>
    <w:p w14:paraId="0FD610B5" w14:textId="77777777" w:rsidR="00DE056B" w:rsidRPr="008B3DE8" w:rsidRDefault="00DE056B" w:rsidP="008B1F7F">
      <w:pPr>
        <w:pStyle w:val="FootnoteText"/>
        <w:ind w:left="720"/>
        <w:jc w:val="both"/>
        <w:rPr>
          <w:rFonts w:ascii="Arial" w:hAnsi="Arial" w:cs="Arial"/>
          <w:sz w:val="24"/>
          <w:szCs w:val="24"/>
          <w:lang w:val="en-US"/>
        </w:rPr>
      </w:pPr>
    </w:p>
    <w:p w14:paraId="224B9AD7" w14:textId="77777777" w:rsidR="00DE056B" w:rsidRPr="008B3DE8" w:rsidRDefault="00DE056B" w:rsidP="008B1F7F">
      <w:pPr>
        <w:jc w:val="both"/>
        <w:rPr>
          <w:sz w:val="24"/>
          <w:szCs w:val="24"/>
        </w:rPr>
      </w:pPr>
      <w:r w:rsidRPr="008B3DE8">
        <w:rPr>
          <w:sz w:val="24"/>
          <w:szCs w:val="24"/>
        </w:rPr>
        <w:t xml:space="preserve">Mercer (2020) </w:t>
      </w:r>
      <w:r w:rsidRPr="008B3DE8">
        <w:rPr>
          <w:i/>
          <w:iCs/>
          <w:sz w:val="24"/>
          <w:szCs w:val="24"/>
        </w:rPr>
        <w:t>Business Valuation: An Integrated Theory</w:t>
      </w:r>
      <w:r w:rsidRPr="008B3DE8">
        <w:rPr>
          <w:sz w:val="24"/>
          <w:szCs w:val="24"/>
        </w:rPr>
        <w:t>, 3rd edn, New Jersey: John Wiley &amp; Sons, Inc. pp. 175-176</w:t>
      </w:r>
    </w:p>
    <w:p w14:paraId="3543158A" w14:textId="77777777" w:rsidR="00DE056B" w:rsidRDefault="00DE056B" w:rsidP="008B1F7F">
      <w:pPr>
        <w:jc w:val="both"/>
        <w:rPr>
          <w:sz w:val="24"/>
          <w:szCs w:val="24"/>
        </w:rPr>
      </w:pPr>
    </w:p>
    <w:p w14:paraId="699E212D" w14:textId="77777777" w:rsidR="00DE056B" w:rsidRDefault="00DE056B" w:rsidP="008B1F7F">
      <w:pPr>
        <w:jc w:val="both"/>
        <w:rPr>
          <w:sz w:val="24"/>
          <w:szCs w:val="24"/>
        </w:rPr>
      </w:pPr>
      <w:r w:rsidRPr="009737E6">
        <w:rPr>
          <w:sz w:val="24"/>
          <w:szCs w:val="24"/>
        </w:rPr>
        <w:t>Michael Gregory</w:t>
      </w:r>
      <w:r>
        <w:rPr>
          <w:rFonts w:hint="eastAsia"/>
          <w:sz w:val="24"/>
          <w:szCs w:val="24"/>
        </w:rPr>
        <w:t xml:space="preserve"> (2024)</w:t>
      </w:r>
      <w:r w:rsidRPr="009737E6">
        <w:rPr>
          <w:sz w:val="24"/>
          <w:szCs w:val="24"/>
        </w:rPr>
        <w:t xml:space="preserve"> ‘Gregory Reveals What’s Going on With</w:t>
      </w:r>
      <w:r>
        <w:rPr>
          <w:rFonts w:hint="eastAsia"/>
          <w:sz w:val="24"/>
          <w:szCs w:val="24"/>
        </w:rPr>
        <w:t xml:space="preserve"> </w:t>
      </w:r>
      <w:r w:rsidRPr="009737E6">
        <w:rPr>
          <w:sz w:val="24"/>
          <w:szCs w:val="24"/>
        </w:rPr>
        <w:t>the IRS and Tax Valuations’</w:t>
      </w:r>
      <w:r>
        <w:rPr>
          <w:rFonts w:hint="eastAsia"/>
          <w:b/>
          <w:bCs/>
          <w:sz w:val="24"/>
          <w:szCs w:val="24"/>
        </w:rPr>
        <w:t>,</w:t>
      </w:r>
      <w:r w:rsidRPr="009737E6">
        <w:rPr>
          <w:sz w:val="24"/>
          <w:szCs w:val="24"/>
        </w:rPr>
        <w:t xml:space="preserve"> </w:t>
      </w:r>
      <w:r>
        <w:rPr>
          <w:rFonts w:hint="eastAsia"/>
          <w:sz w:val="24"/>
          <w:szCs w:val="24"/>
        </w:rPr>
        <w:t xml:space="preserve"> </w:t>
      </w:r>
      <w:r w:rsidRPr="009737E6">
        <w:rPr>
          <w:i/>
          <w:iCs/>
          <w:sz w:val="24"/>
          <w:szCs w:val="24"/>
        </w:rPr>
        <w:t>Business Valuation Update</w:t>
      </w:r>
      <w:r w:rsidRPr="008B3DE8">
        <w:rPr>
          <w:sz w:val="24"/>
          <w:szCs w:val="24"/>
        </w:rPr>
        <w:t xml:space="preserve">, </w:t>
      </w:r>
      <w:r>
        <w:rPr>
          <w:rFonts w:hint="eastAsia"/>
          <w:sz w:val="24"/>
          <w:szCs w:val="24"/>
        </w:rPr>
        <w:t>B</w:t>
      </w:r>
      <w:r w:rsidRPr="009737E6">
        <w:rPr>
          <w:sz w:val="24"/>
          <w:szCs w:val="24"/>
        </w:rPr>
        <w:t>usiness Valuation Resources,</w:t>
      </w:r>
      <w:r>
        <w:rPr>
          <w:rFonts w:hint="eastAsia"/>
          <w:sz w:val="24"/>
          <w:szCs w:val="24"/>
        </w:rPr>
        <w:t xml:space="preserve"> </w:t>
      </w:r>
      <w:r w:rsidRPr="009737E6">
        <w:rPr>
          <w:sz w:val="24"/>
          <w:szCs w:val="24"/>
        </w:rPr>
        <w:t>LLC</w:t>
      </w:r>
      <w:r>
        <w:rPr>
          <w:rFonts w:hint="eastAsia"/>
          <w:sz w:val="24"/>
          <w:szCs w:val="24"/>
        </w:rPr>
        <w:t>, August 2024</w:t>
      </w:r>
    </w:p>
    <w:p w14:paraId="240C4BB3" w14:textId="77777777" w:rsidR="00815B85" w:rsidRPr="008B3DE8" w:rsidRDefault="00815B85" w:rsidP="008B1F7F">
      <w:pPr>
        <w:spacing w:line="280" w:lineRule="exact"/>
        <w:jc w:val="both"/>
        <w:rPr>
          <w:sz w:val="24"/>
          <w:szCs w:val="24"/>
        </w:rPr>
      </w:pPr>
    </w:p>
    <w:p w14:paraId="0DE87F67" w14:textId="497FEE97" w:rsidR="00815B85" w:rsidRDefault="00815B85" w:rsidP="008B1F7F">
      <w:pPr>
        <w:jc w:val="both"/>
        <w:rPr>
          <w:sz w:val="24"/>
          <w:szCs w:val="24"/>
        </w:rPr>
      </w:pPr>
      <w:r w:rsidRPr="008B3DE8">
        <w:rPr>
          <w:sz w:val="24"/>
          <w:szCs w:val="24"/>
        </w:rPr>
        <w:t>Michael J. Barclay, Clifford G. Holderness, and Dennis P. Sheehan (2007) ‘Private Placements and Managerial Entrenchment’, The Journal of Corporate Finance, 13 (2007), pp. 461–484.</w:t>
      </w:r>
    </w:p>
    <w:p w14:paraId="26068C69" w14:textId="77777777" w:rsidR="00DE056B" w:rsidRPr="00DE056B" w:rsidRDefault="00DE056B" w:rsidP="008B1F7F">
      <w:pPr>
        <w:jc w:val="both"/>
        <w:rPr>
          <w:sz w:val="24"/>
          <w:szCs w:val="24"/>
        </w:rPr>
      </w:pPr>
    </w:p>
    <w:p w14:paraId="35E4EA3F" w14:textId="77777777" w:rsidR="00DE056B" w:rsidRPr="008B3DE8" w:rsidRDefault="00DE056B" w:rsidP="008B1F7F">
      <w:pPr>
        <w:jc w:val="both"/>
        <w:rPr>
          <w:sz w:val="24"/>
          <w:szCs w:val="24"/>
        </w:rPr>
      </w:pPr>
      <w:r w:rsidRPr="008B3DE8">
        <w:rPr>
          <w:sz w:val="24"/>
          <w:szCs w:val="24"/>
        </w:rPr>
        <w:t>Moroney, Robert E. (1973) ‘Most Courts Overvalue Closely Held Stocks’, Taxes – The Tax Magazine, pp. 144-155.</w:t>
      </w:r>
    </w:p>
    <w:p w14:paraId="1DE06C45" w14:textId="77777777" w:rsidR="00DE056B" w:rsidRPr="008B3DE8" w:rsidRDefault="00DE056B" w:rsidP="008B1F7F">
      <w:pPr>
        <w:pStyle w:val="FootnoteText"/>
        <w:jc w:val="both"/>
        <w:rPr>
          <w:rFonts w:ascii="Arial" w:hAnsi="Arial" w:cs="Arial"/>
          <w:sz w:val="24"/>
          <w:szCs w:val="24"/>
        </w:rPr>
      </w:pPr>
    </w:p>
    <w:p w14:paraId="45A65108" w14:textId="77777777" w:rsidR="00DE056B" w:rsidRPr="008B3DE8" w:rsidRDefault="00DE056B" w:rsidP="008B1F7F">
      <w:pPr>
        <w:jc w:val="both"/>
        <w:rPr>
          <w:sz w:val="24"/>
          <w:szCs w:val="24"/>
        </w:rPr>
      </w:pPr>
      <w:r w:rsidRPr="008B3DE8">
        <w:rPr>
          <w:sz w:val="24"/>
          <w:szCs w:val="24"/>
        </w:rPr>
        <w:t xml:space="preserve">Mukesh Bajaj, Stephen P. Ferris, David J. Denis, and Atulya Sarin (2001) ‘Firm Value and Marketability Discounts’, The Journal of Corporation Law </w:t>
      </w:r>
    </w:p>
    <w:p w14:paraId="19110FC9" w14:textId="77777777" w:rsidR="00DE056B" w:rsidRPr="008B3DE8" w:rsidRDefault="00DE056B" w:rsidP="008B1F7F">
      <w:pPr>
        <w:pStyle w:val="FootnoteText"/>
        <w:jc w:val="both"/>
        <w:rPr>
          <w:rFonts w:ascii="Arial" w:hAnsi="Arial" w:cs="Arial"/>
          <w:sz w:val="24"/>
          <w:szCs w:val="24"/>
        </w:rPr>
      </w:pPr>
    </w:p>
    <w:p w14:paraId="3E9762DE" w14:textId="77777777" w:rsidR="00DE056B" w:rsidRDefault="00DE056B" w:rsidP="008B1F7F">
      <w:pPr>
        <w:jc w:val="both"/>
        <w:rPr>
          <w:sz w:val="24"/>
          <w:szCs w:val="24"/>
        </w:rPr>
      </w:pPr>
      <w:r w:rsidRPr="008B3DE8">
        <w:rPr>
          <w:sz w:val="24"/>
          <w:szCs w:val="24"/>
        </w:rPr>
        <w:t>Officer, M. S. (2006) ‘The price of corporate liquidity: Acquisition discounts for unlisted targets’, The Journal of Financial Economics, pp. 571-598.</w:t>
      </w:r>
    </w:p>
    <w:p w14:paraId="50B8B81D" w14:textId="77777777" w:rsidR="00DE056B" w:rsidRPr="008B3DE8" w:rsidRDefault="00DE056B" w:rsidP="008B1F7F">
      <w:pPr>
        <w:pStyle w:val="FootnoteText"/>
        <w:jc w:val="both"/>
        <w:rPr>
          <w:rFonts w:ascii="Arial" w:hAnsi="Arial" w:cs="Arial"/>
          <w:sz w:val="24"/>
          <w:szCs w:val="24"/>
        </w:rPr>
      </w:pPr>
    </w:p>
    <w:p w14:paraId="597C05BA" w14:textId="77777777" w:rsidR="00DE056B" w:rsidRPr="008B3DE8" w:rsidRDefault="00DE056B" w:rsidP="008B1F7F">
      <w:pPr>
        <w:jc w:val="both"/>
        <w:rPr>
          <w:sz w:val="24"/>
          <w:szCs w:val="24"/>
        </w:rPr>
      </w:pPr>
      <w:r w:rsidRPr="008B3DE8">
        <w:rPr>
          <w:sz w:val="24"/>
          <w:szCs w:val="24"/>
        </w:rPr>
        <w:t>Paglia, J. K., &amp; Harjoto, M. A. (2010) ‘The Discount for Lack of Marketability in Privately Owned Companies: A Multiples Approach’, The Journal of Business Valuation and Economic Loss, 5(1), pp. 1-26.</w:t>
      </w:r>
    </w:p>
    <w:p w14:paraId="05F49E92" w14:textId="77777777" w:rsidR="00DE056B" w:rsidRDefault="00DE056B" w:rsidP="008B1F7F">
      <w:pPr>
        <w:jc w:val="both"/>
        <w:rPr>
          <w:sz w:val="24"/>
          <w:szCs w:val="24"/>
        </w:rPr>
      </w:pPr>
    </w:p>
    <w:p w14:paraId="1473ED08" w14:textId="77777777" w:rsidR="00DE056B" w:rsidRPr="008B3DE8" w:rsidRDefault="00DE056B" w:rsidP="008B1F7F">
      <w:pPr>
        <w:jc w:val="both"/>
        <w:rPr>
          <w:sz w:val="24"/>
          <w:szCs w:val="24"/>
        </w:rPr>
      </w:pPr>
      <w:r w:rsidRPr="008B3DE8">
        <w:rPr>
          <w:sz w:val="24"/>
          <w:szCs w:val="24"/>
        </w:rPr>
        <w:t>Peter L. Lohrey, ‘The Dodd-Frank Act and the Private Company Discount: An Empirical Investigation, American Accounting Association’, The Journal of Forensic Accounting Research, 5(1), pp. 298–318</w:t>
      </w:r>
    </w:p>
    <w:p w14:paraId="4C057399" w14:textId="77777777" w:rsidR="00D92BCE" w:rsidRDefault="00D92BCE" w:rsidP="008B1F7F">
      <w:pPr>
        <w:jc w:val="both"/>
        <w:rPr>
          <w:sz w:val="24"/>
          <w:szCs w:val="24"/>
        </w:rPr>
      </w:pPr>
    </w:p>
    <w:p w14:paraId="083089A1" w14:textId="77777777" w:rsidR="00D92BCE" w:rsidRDefault="00D92BCE" w:rsidP="008B1F7F">
      <w:pPr>
        <w:jc w:val="both"/>
        <w:rPr>
          <w:sz w:val="24"/>
          <w:szCs w:val="24"/>
        </w:rPr>
      </w:pPr>
      <w:r w:rsidRPr="001F389C">
        <w:rPr>
          <w:sz w:val="24"/>
          <w:szCs w:val="24"/>
        </w:rPr>
        <w:t xml:space="preserve">Patrick Rozario and Kenneth Ma (2024), </w:t>
      </w:r>
      <w:r>
        <w:rPr>
          <w:sz w:val="24"/>
          <w:szCs w:val="24"/>
        </w:rPr>
        <w:t xml:space="preserve">Control Premium &amp; Discount For Lack of Marketability Study, Issue 3, </w:t>
      </w:r>
      <w:r w:rsidRPr="001F389C">
        <w:rPr>
          <w:sz w:val="24"/>
          <w:szCs w:val="24"/>
        </w:rPr>
        <w:t>Moore Hong Kong</w:t>
      </w:r>
    </w:p>
    <w:p w14:paraId="2FDB900F" w14:textId="77777777" w:rsidR="00DE056B" w:rsidRPr="008B3DE8" w:rsidRDefault="00DE056B" w:rsidP="008B1F7F">
      <w:pPr>
        <w:spacing w:line="280" w:lineRule="exact"/>
        <w:ind w:left="720"/>
        <w:jc w:val="both"/>
        <w:rPr>
          <w:sz w:val="24"/>
          <w:szCs w:val="24"/>
        </w:rPr>
      </w:pPr>
    </w:p>
    <w:p w14:paraId="15326CE3" w14:textId="77777777" w:rsidR="00DE056B" w:rsidRPr="008B3DE8" w:rsidRDefault="00DE056B" w:rsidP="008B1F7F">
      <w:pPr>
        <w:jc w:val="both"/>
        <w:rPr>
          <w:sz w:val="24"/>
          <w:szCs w:val="24"/>
        </w:rPr>
      </w:pPr>
      <w:r w:rsidRPr="008B3DE8">
        <w:rPr>
          <w:sz w:val="24"/>
          <w:szCs w:val="24"/>
        </w:rPr>
        <w:t>Pittock, William F., and Charles H. Stryker, “Revenue Ruling 77-276 Revisited, “SRC Quarterly Reports, Spring 1983, pp. 1-3.</w:t>
      </w:r>
    </w:p>
    <w:p w14:paraId="1D7DAC8D" w14:textId="77777777" w:rsidR="00DE056B" w:rsidRDefault="00DE056B" w:rsidP="008B1F7F">
      <w:pPr>
        <w:jc w:val="both"/>
        <w:rPr>
          <w:sz w:val="24"/>
          <w:szCs w:val="24"/>
        </w:rPr>
      </w:pPr>
    </w:p>
    <w:p w14:paraId="6BC25180" w14:textId="658C631C" w:rsidR="005F31B9" w:rsidRDefault="005F31B9" w:rsidP="008B1F7F">
      <w:pPr>
        <w:jc w:val="both"/>
        <w:rPr>
          <w:sz w:val="24"/>
          <w:szCs w:val="24"/>
        </w:rPr>
      </w:pPr>
      <w:r>
        <w:rPr>
          <w:sz w:val="24"/>
          <w:szCs w:val="24"/>
        </w:rPr>
        <w:t xml:space="preserve">RICS (2024), </w:t>
      </w:r>
      <w:r w:rsidRPr="00151B5F">
        <w:rPr>
          <w:i/>
          <w:iCs/>
          <w:sz w:val="24"/>
          <w:szCs w:val="24"/>
        </w:rPr>
        <w:t xml:space="preserve">The Royal Institute of Chartered Surveyors </w:t>
      </w:r>
      <w:r w:rsidR="003D2D8A" w:rsidRPr="00151B5F">
        <w:rPr>
          <w:i/>
          <w:iCs/>
          <w:sz w:val="24"/>
          <w:szCs w:val="24"/>
        </w:rPr>
        <w:t xml:space="preserve">- </w:t>
      </w:r>
      <w:r w:rsidRPr="00151B5F">
        <w:rPr>
          <w:i/>
          <w:iCs/>
          <w:sz w:val="24"/>
          <w:szCs w:val="24"/>
        </w:rPr>
        <w:t>Valuation Global Standard</w:t>
      </w:r>
      <w:r>
        <w:rPr>
          <w:sz w:val="24"/>
          <w:szCs w:val="24"/>
        </w:rPr>
        <w:t xml:space="preserve">, </w:t>
      </w:r>
      <w:r w:rsidR="00CC1823">
        <w:rPr>
          <w:sz w:val="24"/>
          <w:szCs w:val="24"/>
        </w:rPr>
        <w:t>London: t</w:t>
      </w:r>
      <w:r w:rsidR="003D2D8A">
        <w:rPr>
          <w:sz w:val="24"/>
          <w:szCs w:val="24"/>
        </w:rPr>
        <w:t>he Royal Institute of Chartered Surveyors,</w:t>
      </w:r>
      <w:r w:rsidR="00E30434">
        <w:rPr>
          <w:sz w:val="24"/>
          <w:szCs w:val="24"/>
        </w:rPr>
        <w:t xml:space="preserve"> </w:t>
      </w:r>
      <w:r w:rsidR="001B77A3">
        <w:rPr>
          <w:sz w:val="24"/>
          <w:szCs w:val="24"/>
        </w:rPr>
        <w:t>p.39</w:t>
      </w:r>
      <w:r w:rsidR="00920CFC">
        <w:rPr>
          <w:sz w:val="24"/>
          <w:szCs w:val="24"/>
        </w:rPr>
        <w:t>.</w:t>
      </w:r>
    </w:p>
    <w:p w14:paraId="51A09F62" w14:textId="77777777" w:rsidR="005F31B9" w:rsidRPr="008B3DE8" w:rsidRDefault="005F31B9" w:rsidP="008B1F7F">
      <w:pPr>
        <w:jc w:val="both"/>
        <w:rPr>
          <w:sz w:val="24"/>
          <w:szCs w:val="24"/>
        </w:rPr>
      </w:pPr>
    </w:p>
    <w:p w14:paraId="795152F1" w14:textId="77777777" w:rsidR="00DE056B" w:rsidRPr="008B3DE8" w:rsidRDefault="00DE056B" w:rsidP="008B1F7F">
      <w:pPr>
        <w:jc w:val="both"/>
        <w:rPr>
          <w:sz w:val="24"/>
          <w:szCs w:val="24"/>
        </w:rPr>
      </w:pPr>
      <w:r w:rsidRPr="008B3DE8">
        <w:rPr>
          <w:sz w:val="24"/>
          <w:szCs w:val="24"/>
        </w:rPr>
        <w:t>Securities and Exchange Commission (1971) Discounts Involved in Purchases of Common Stock Institutional Investor Study Report. Do. No. 92-64, Part 5, pp. 2444- 2456.</w:t>
      </w:r>
    </w:p>
    <w:p w14:paraId="43D7B454" w14:textId="77777777" w:rsidR="00DE056B" w:rsidRPr="008B3DE8" w:rsidRDefault="00DE056B" w:rsidP="008B1F7F">
      <w:pPr>
        <w:pStyle w:val="FootnoteText"/>
        <w:jc w:val="both"/>
        <w:rPr>
          <w:rFonts w:ascii="Arial" w:hAnsi="Arial" w:cs="Arial"/>
          <w:sz w:val="24"/>
          <w:szCs w:val="24"/>
        </w:rPr>
      </w:pPr>
    </w:p>
    <w:p w14:paraId="452DD8FE" w14:textId="77777777" w:rsidR="00DE056B" w:rsidRPr="008B3DE8" w:rsidRDefault="00DE056B" w:rsidP="008B1F7F">
      <w:pPr>
        <w:jc w:val="both"/>
        <w:rPr>
          <w:sz w:val="24"/>
          <w:szCs w:val="24"/>
        </w:rPr>
      </w:pPr>
      <w:r w:rsidRPr="008B3DE8">
        <w:rPr>
          <w:sz w:val="24"/>
          <w:szCs w:val="24"/>
        </w:rPr>
        <w:t>Shannon P. Pratt, Business (2009) Valuation Discounts and Premiums, 2nd edn. New York: John Wiley &amp; Sons, pp. 84.</w:t>
      </w:r>
    </w:p>
    <w:p w14:paraId="7E94E4ED" w14:textId="77777777" w:rsidR="00815B85" w:rsidRDefault="00815B85" w:rsidP="008B1F7F">
      <w:pPr>
        <w:jc w:val="both"/>
        <w:rPr>
          <w:sz w:val="24"/>
          <w:szCs w:val="24"/>
        </w:rPr>
      </w:pPr>
    </w:p>
    <w:p w14:paraId="311F5B26" w14:textId="393A4F0C" w:rsidR="00815B85" w:rsidRDefault="00DE056B" w:rsidP="008B1F7F">
      <w:pPr>
        <w:jc w:val="both"/>
        <w:rPr>
          <w:sz w:val="24"/>
          <w:szCs w:val="24"/>
        </w:rPr>
      </w:pPr>
      <w:r w:rsidRPr="008B3DE8">
        <w:rPr>
          <w:sz w:val="24"/>
          <w:szCs w:val="24"/>
        </w:rPr>
        <w:t xml:space="preserve">Shannon P. Pratt </w:t>
      </w:r>
      <w:r w:rsidR="00815B85" w:rsidRPr="00AE2DE7">
        <w:rPr>
          <w:sz w:val="24"/>
          <w:szCs w:val="24"/>
        </w:rPr>
        <w:t>(2012) Business Valuation discounts and Premiums</w:t>
      </w:r>
      <w:r w:rsidR="00815B85">
        <w:rPr>
          <w:sz w:val="24"/>
          <w:szCs w:val="24"/>
        </w:rPr>
        <w:t>, 2</w:t>
      </w:r>
      <w:r w:rsidR="00815B85" w:rsidRPr="00CE61F1">
        <w:rPr>
          <w:sz w:val="24"/>
          <w:szCs w:val="24"/>
          <w:vertAlign w:val="superscript"/>
        </w:rPr>
        <w:t>nd</w:t>
      </w:r>
      <w:r w:rsidR="00815B85">
        <w:rPr>
          <w:sz w:val="24"/>
          <w:szCs w:val="24"/>
        </w:rPr>
        <w:t xml:space="preserve"> Edn, New Jersey: </w:t>
      </w:r>
      <w:r w:rsidR="00815B85" w:rsidRPr="00CE61F1">
        <w:rPr>
          <w:sz w:val="24"/>
          <w:szCs w:val="24"/>
        </w:rPr>
        <w:t>John Wiley &amp; Sons, Inc</w:t>
      </w:r>
      <w:r w:rsidR="00815B85">
        <w:rPr>
          <w:sz w:val="24"/>
          <w:szCs w:val="24"/>
        </w:rPr>
        <w:t>.</w:t>
      </w:r>
    </w:p>
    <w:p w14:paraId="3045AC8D" w14:textId="77777777" w:rsidR="00DE056B" w:rsidRPr="008B3DE8" w:rsidRDefault="00DE056B" w:rsidP="008B1F7F">
      <w:pPr>
        <w:ind w:left="720"/>
        <w:jc w:val="both"/>
        <w:rPr>
          <w:sz w:val="24"/>
          <w:szCs w:val="24"/>
        </w:rPr>
      </w:pPr>
    </w:p>
    <w:p w14:paraId="7BF962C1" w14:textId="06D29A77" w:rsidR="00DE056B" w:rsidRPr="008B3DE8" w:rsidRDefault="00DE056B" w:rsidP="008B1F7F">
      <w:pPr>
        <w:jc w:val="both"/>
        <w:rPr>
          <w:sz w:val="24"/>
          <w:szCs w:val="24"/>
        </w:rPr>
      </w:pPr>
      <w:r w:rsidRPr="008B3DE8">
        <w:rPr>
          <w:sz w:val="24"/>
          <w:szCs w:val="24"/>
        </w:rPr>
        <w:t xml:space="preserve">Shannon P. Pratt (2022), Valuing a Business: The Analysis and Appraisal of Closely Held Companies, 6th </w:t>
      </w:r>
      <w:r>
        <w:rPr>
          <w:sz w:val="24"/>
          <w:szCs w:val="24"/>
        </w:rPr>
        <w:t>E</w:t>
      </w:r>
      <w:r w:rsidRPr="008B3DE8">
        <w:rPr>
          <w:sz w:val="24"/>
          <w:szCs w:val="24"/>
        </w:rPr>
        <w:t>dn, New York: McGraw-Hill, pp. 425.</w:t>
      </w:r>
    </w:p>
    <w:p w14:paraId="7659B232" w14:textId="77777777" w:rsidR="00DE056B" w:rsidRPr="008B3DE8" w:rsidRDefault="00DE056B" w:rsidP="008B1F7F">
      <w:pPr>
        <w:pStyle w:val="FootnoteText"/>
        <w:ind w:left="720"/>
        <w:jc w:val="both"/>
        <w:rPr>
          <w:rFonts w:ascii="Arial" w:hAnsi="Arial" w:cs="Arial"/>
          <w:sz w:val="24"/>
          <w:szCs w:val="24"/>
        </w:rPr>
      </w:pPr>
    </w:p>
    <w:p w14:paraId="6A162152" w14:textId="77777777" w:rsidR="00DE056B" w:rsidRPr="008B3DE8" w:rsidRDefault="00DE056B" w:rsidP="008B1F7F">
      <w:pPr>
        <w:jc w:val="both"/>
        <w:rPr>
          <w:sz w:val="24"/>
          <w:szCs w:val="24"/>
        </w:rPr>
      </w:pPr>
      <w:r w:rsidRPr="008B3DE8">
        <w:rPr>
          <w:sz w:val="24"/>
          <w:szCs w:val="24"/>
        </w:rPr>
        <w:t>Stout Risius Ross (2023) The Stout Restricted Stock Study Companion Guide, 2023 edn, Stout Risius Ross, LLC</w:t>
      </w:r>
    </w:p>
    <w:p w14:paraId="00B823C8" w14:textId="77777777" w:rsidR="00DE056B" w:rsidRPr="008B3DE8" w:rsidRDefault="00DE056B" w:rsidP="008B1F7F">
      <w:pPr>
        <w:pStyle w:val="FootnoteText"/>
        <w:ind w:left="720"/>
        <w:jc w:val="both"/>
        <w:rPr>
          <w:rFonts w:ascii="Arial" w:hAnsi="Arial" w:cs="Arial"/>
          <w:sz w:val="24"/>
          <w:szCs w:val="24"/>
        </w:rPr>
      </w:pPr>
    </w:p>
    <w:p w14:paraId="33416BD3" w14:textId="77777777" w:rsidR="00DE056B" w:rsidRPr="008B3DE8" w:rsidRDefault="00DE056B" w:rsidP="008B1F7F">
      <w:pPr>
        <w:jc w:val="both"/>
        <w:rPr>
          <w:sz w:val="24"/>
          <w:szCs w:val="24"/>
        </w:rPr>
      </w:pPr>
      <w:r w:rsidRPr="008B3DE8">
        <w:rPr>
          <w:sz w:val="24"/>
          <w:szCs w:val="24"/>
        </w:rPr>
        <w:t>Trout, R. R. (1977) Estimation of the discount associated with the transfer of restricted securities. Taxes, 55, pp. 381–385..</w:t>
      </w:r>
    </w:p>
    <w:p w14:paraId="2E51889C" w14:textId="77777777" w:rsidR="00C6097E" w:rsidRDefault="00C6097E" w:rsidP="008B1F7F">
      <w:pPr>
        <w:jc w:val="both"/>
        <w:rPr>
          <w:sz w:val="24"/>
          <w:szCs w:val="24"/>
        </w:rPr>
      </w:pPr>
    </w:p>
    <w:p w14:paraId="49BC8907" w14:textId="77777777" w:rsidR="00C6097E" w:rsidRPr="008B3DE8" w:rsidRDefault="00C6097E" w:rsidP="008B1F7F">
      <w:pPr>
        <w:jc w:val="both"/>
        <w:rPr>
          <w:sz w:val="24"/>
          <w:szCs w:val="24"/>
        </w:rPr>
      </w:pPr>
      <w:r w:rsidRPr="008B3DE8">
        <w:rPr>
          <w:sz w:val="24"/>
          <w:szCs w:val="24"/>
        </w:rPr>
        <w:t>Valuation Advisors Lack of Marketability Discount Study—DLOM Database (Discount for Lack of  Marketability), Business Valuation Resources, 2022</w:t>
      </w:r>
    </w:p>
    <w:p w14:paraId="6BF31676" w14:textId="77777777" w:rsidR="00DE056B" w:rsidRPr="008B3DE8" w:rsidRDefault="00DE056B" w:rsidP="008B1F7F">
      <w:pPr>
        <w:spacing w:line="280" w:lineRule="exact"/>
        <w:jc w:val="both"/>
        <w:rPr>
          <w:sz w:val="24"/>
          <w:szCs w:val="24"/>
        </w:rPr>
      </w:pPr>
    </w:p>
    <w:p w14:paraId="67B1A26D" w14:textId="77777777" w:rsidR="00DE056B" w:rsidRPr="008B3DE8" w:rsidRDefault="00DE056B" w:rsidP="008B1F7F">
      <w:pPr>
        <w:spacing w:line="280" w:lineRule="exact"/>
        <w:ind w:left="720"/>
        <w:jc w:val="both"/>
        <w:rPr>
          <w:sz w:val="24"/>
          <w:szCs w:val="24"/>
        </w:rPr>
      </w:pPr>
    </w:p>
    <w:p w14:paraId="24B12FA7" w14:textId="77777777" w:rsidR="00DE056B" w:rsidRPr="008B3DE8" w:rsidRDefault="00DE056B" w:rsidP="008B1F7F">
      <w:pPr>
        <w:jc w:val="both"/>
        <w:rPr>
          <w:sz w:val="24"/>
          <w:szCs w:val="24"/>
        </w:rPr>
      </w:pPr>
      <w:r w:rsidRPr="008B3DE8">
        <w:rPr>
          <w:sz w:val="24"/>
          <w:szCs w:val="24"/>
        </w:rPr>
        <w:t>William Harris (2011), ‘Trugman Valuation Advisors, Inc. (TVA), Restricted Stock Study’, Business Valuation Review (Winter 2011): pp. 132–139.</w:t>
      </w:r>
    </w:p>
    <w:p w14:paraId="3850F833" w14:textId="77777777" w:rsidR="00DE056B" w:rsidRPr="008B3DE8" w:rsidRDefault="00DE056B" w:rsidP="008B1F7F">
      <w:pPr>
        <w:spacing w:line="280" w:lineRule="exact"/>
        <w:ind w:left="720"/>
        <w:jc w:val="both"/>
        <w:rPr>
          <w:sz w:val="24"/>
          <w:szCs w:val="24"/>
        </w:rPr>
      </w:pPr>
    </w:p>
    <w:p w14:paraId="154E88F5" w14:textId="77777777" w:rsidR="00DE056B" w:rsidRPr="008B3DE8" w:rsidRDefault="00DE056B" w:rsidP="008B1F7F">
      <w:pPr>
        <w:jc w:val="both"/>
        <w:rPr>
          <w:sz w:val="24"/>
          <w:szCs w:val="24"/>
        </w:rPr>
      </w:pPr>
      <w:r w:rsidRPr="008B3DE8">
        <w:rPr>
          <w:sz w:val="24"/>
          <w:szCs w:val="24"/>
        </w:rPr>
        <w:t>William L. Silber (1991) ‘Discounts of Restricted Stock: The Impact of Illiquidity on Stock Prices’, The Financial Analysts Journal, pp. 60–64.</w:t>
      </w:r>
    </w:p>
    <w:p w14:paraId="55CA6E98" w14:textId="77777777" w:rsidR="000273C0" w:rsidRDefault="000273C0" w:rsidP="008B1F7F">
      <w:pPr>
        <w:jc w:val="both"/>
        <w:rPr>
          <w:sz w:val="24"/>
          <w:szCs w:val="24"/>
        </w:rPr>
      </w:pPr>
    </w:p>
    <w:p w14:paraId="52019290" w14:textId="6386DC97" w:rsidR="000273C0" w:rsidRDefault="000273C0" w:rsidP="008B1F7F">
      <w:pPr>
        <w:jc w:val="both"/>
        <w:rPr>
          <w:sz w:val="24"/>
          <w:szCs w:val="24"/>
        </w:rPr>
      </w:pPr>
      <w:r w:rsidRPr="00650D22">
        <w:rPr>
          <w:sz w:val="24"/>
          <w:szCs w:val="24"/>
        </w:rPr>
        <w:t xml:space="preserve">Z. Christopher Mercer, et al. (2011) </w:t>
      </w:r>
      <w:r w:rsidRPr="00650D22">
        <w:rPr>
          <w:i/>
          <w:iCs/>
          <w:sz w:val="24"/>
          <w:szCs w:val="24"/>
        </w:rPr>
        <w:t>IRS DLOM Job Aid – Discount for Lack of Marketability</w:t>
      </w:r>
      <w:r>
        <w:rPr>
          <w:sz w:val="24"/>
          <w:szCs w:val="24"/>
        </w:rPr>
        <w:t xml:space="preserve">, </w:t>
      </w:r>
      <w:r w:rsidRPr="000273C0">
        <w:rPr>
          <w:sz w:val="24"/>
          <w:szCs w:val="24"/>
        </w:rPr>
        <w:t>Mercer Capital</w:t>
      </w:r>
      <w:r>
        <w:rPr>
          <w:sz w:val="24"/>
          <w:szCs w:val="24"/>
        </w:rPr>
        <w:t xml:space="preserve"> Limited.</w:t>
      </w:r>
      <w:r w:rsidR="0087547F">
        <w:rPr>
          <w:sz w:val="24"/>
          <w:szCs w:val="24"/>
        </w:rPr>
        <w:t xml:space="preserve"> Available at :</w:t>
      </w:r>
      <w:r w:rsidR="00600865" w:rsidRPr="00600865">
        <w:t xml:space="preserve"> </w:t>
      </w:r>
      <w:hyperlink r:id="rId13" w:history="1">
        <w:r w:rsidR="00600865" w:rsidRPr="008B1F7F">
          <w:rPr>
            <w:rStyle w:val="Hyperlink"/>
            <w:color w:val="auto"/>
            <w:sz w:val="24"/>
            <w:szCs w:val="24"/>
          </w:rPr>
          <w:t>https://www.mercercapital.com/content/uploads/DLOM_Webinar_IRS-DLOM-Job-Aid_09-15-11.pdf</w:t>
        </w:r>
      </w:hyperlink>
      <w:r w:rsidR="00600865" w:rsidRPr="008B1F7F">
        <w:rPr>
          <w:sz w:val="24"/>
          <w:szCs w:val="24"/>
        </w:rPr>
        <w:t xml:space="preserve"> </w:t>
      </w:r>
      <w:r w:rsidR="00600865">
        <w:rPr>
          <w:sz w:val="24"/>
          <w:szCs w:val="24"/>
        </w:rPr>
        <w:t>[visited Sep, 2024]</w:t>
      </w:r>
    </w:p>
    <w:p w14:paraId="5A94369F" w14:textId="77777777" w:rsidR="009271D5" w:rsidRDefault="009271D5" w:rsidP="008B1F7F">
      <w:pPr>
        <w:jc w:val="both"/>
        <w:rPr>
          <w:b/>
          <w:bCs/>
          <w:sz w:val="24"/>
          <w:szCs w:val="24"/>
          <w:u w:val="single"/>
        </w:rPr>
      </w:pPr>
    </w:p>
    <w:p w14:paraId="2091349A" w14:textId="77777777" w:rsidR="009271D5" w:rsidRDefault="009271D5" w:rsidP="008B1F7F">
      <w:pPr>
        <w:jc w:val="both"/>
        <w:rPr>
          <w:b/>
          <w:bCs/>
          <w:sz w:val="24"/>
          <w:szCs w:val="24"/>
          <w:u w:val="single"/>
        </w:rPr>
      </w:pPr>
    </w:p>
    <w:p w14:paraId="6FA6793C" w14:textId="25CCE3A9" w:rsidR="00096F03" w:rsidRPr="008B1F7F" w:rsidRDefault="008B1F7F" w:rsidP="008B1F7F">
      <w:pPr>
        <w:jc w:val="center"/>
        <w:rPr>
          <w:b/>
          <w:bCs/>
          <w:sz w:val="24"/>
          <w:szCs w:val="24"/>
        </w:rPr>
      </w:pPr>
      <w:bookmarkStart w:id="3" w:name="_Hlk176633564"/>
      <w:r w:rsidRPr="008B1F7F">
        <w:rPr>
          <w:b/>
          <w:bCs/>
          <w:sz w:val="24"/>
          <w:szCs w:val="24"/>
        </w:rPr>
        <w:t>ANNOTATED BIBLIOGRAPHY</w:t>
      </w:r>
    </w:p>
    <w:bookmarkEnd w:id="3"/>
    <w:p w14:paraId="0CAAF9B1" w14:textId="77777777" w:rsidR="0040202D" w:rsidRPr="008B3DE8" w:rsidRDefault="0040202D" w:rsidP="008B1F7F">
      <w:pPr>
        <w:spacing w:line="240" w:lineRule="auto"/>
        <w:jc w:val="both"/>
        <w:rPr>
          <w:rFonts w:eastAsia="Times New Roman"/>
          <w:sz w:val="24"/>
          <w:szCs w:val="24"/>
        </w:rPr>
      </w:pPr>
    </w:p>
    <w:p w14:paraId="1639B18D" w14:textId="7EE59F29" w:rsidR="0040202D" w:rsidRDefault="00FE3088" w:rsidP="008B1F7F">
      <w:pPr>
        <w:jc w:val="both"/>
        <w:rPr>
          <w:sz w:val="24"/>
          <w:szCs w:val="24"/>
        </w:rPr>
      </w:pPr>
      <w:r w:rsidRPr="00FE3088">
        <w:t xml:space="preserve">Aaron M. Stumpf, et al. (2011) </w:t>
      </w:r>
      <w:r w:rsidR="0040202D" w:rsidRPr="008B3DE8">
        <w:rPr>
          <w:sz w:val="24"/>
          <w:szCs w:val="24"/>
        </w:rPr>
        <w:t>‘The SRR Restricted Stock Study’, Business Valuation Review (2011), 30 (1), pp. 7–19.</w:t>
      </w:r>
    </w:p>
    <w:p w14:paraId="3E5D352E" w14:textId="77777777" w:rsidR="0040202D" w:rsidRDefault="0040202D" w:rsidP="008B1F7F">
      <w:pPr>
        <w:jc w:val="both"/>
        <w:rPr>
          <w:sz w:val="24"/>
          <w:szCs w:val="24"/>
        </w:rPr>
      </w:pPr>
    </w:p>
    <w:p w14:paraId="18CE0014" w14:textId="77777777" w:rsidR="0040202D" w:rsidRPr="008B3DE8" w:rsidRDefault="0040202D" w:rsidP="008B1F7F">
      <w:pPr>
        <w:ind w:left="720"/>
        <w:jc w:val="both"/>
        <w:rPr>
          <w:sz w:val="24"/>
          <w:szCs w:val="24"/>
        </w:rPr>
      </w:pPr>
      <w:r w:rsidRPr="008B3DE8">
        <w:rPr>
          <w:sz w:val="24"/>
          <w:szCs w:val="24"/>
        </w:rPr>
        <w:t xml:space="preserve">SRR determined the discount for the sample of 98 transactions by comparing the transaction price to the price one day before the announcement. </w:t>
      </w:r>
    </w:p>
    <w:p w14:paraId="31E5B4FE" w14:textId="77777777" w:rsidR="0040202D" w:rsidRDefault="0040202D" w:rsidP="008B1F7F">
      <w:pPr>
        <w:jc w:val="both"/>
        <w:rPr>
          <w:sz w:val="24"/>
          <w:szCs w:val="24"/>
        </w:rPr>
      </w:pPr>
    </w:p>
    <w:p w14:paraId="545D30D1" w14:textId="77777777" w:rsidR="0040202D" w:rsidRDefault="0040202D" w:rsidP="008B1F7F">
      <w:pPr>
        <w:jc w:val="both"/>
        <w:rPr>
          <w:sz w:val="24"/>
          <w:szCs w:val="24"/>
        </w:rPr>
      </w:pPr>
      <w:r w:rsidRPr="00A94F56">
        <w:rPr>
          <w:sz w:val="24"/>
          <w:szCs w:val="24"/>
        </w:rPr>
        <w:t>Alberto Crisostomo</w:t>
      </w:r>
      <w:r>
        <w:rPr>
          <w:sz w:val="24"/>
          <w:szCs w:val="24"/>
        </w:rPr>
        <w:t xml:space="preserve"> (2020) </w:t>
      </w:r>
      <w:r w:rsidRPr="00A94F56">
        <w:rPr>
          <w:sz w:val="24"/>
          <w:szCs w:val="24"/>
        </w:rPr>
        <w:t>The Discount for Lack of Marketability</w:t>
      </w:r>
      <w:r>
        <w:rPr>
          <w:sz w:val="24"/>
          <w:szCs w:val="24"/>
        </w:rPr>
        <w:t xml:space="preserve">: </w:t>
      </w:r>
      <w:r w:rsidRPr="00A94F56">
        <w:rPr>
          <w:sz w:val="24"/>
          <w:szCs w:val="24"/>
        </w:rPr>
        <w:t>An Investigation of Privately Held Companies in North Italy</w:t>
      </w:r>
      <w:r>
        <w:rPr>
          <w:sz w:val="24"/>
          <w:szCs w:val="24"/>
        </w:rPr>
        <w:t xml:space="preserve">, Master Thesis, </w:t>
      </w:r>
      <w:r w:rsidRPr="005E4AB8">
        <w:rPr>
          <w:sz w:val="24"/>
          <w:szCs w:val="24"/>
        </w:rPr>
        <w:t>Ca' Foscari University</w:t>
      </w:r>
    </w:p>
    <w:p w14:paraId="162692C7" w14:textId="77777777" w:rsidR="0040202D" w:rsidRDefault="0040202D" w:rsidP="008B1F7F">
      <w:pPr>
        <w:jc w:val="both"/>
        <w:rPr>
          <w:sz w:val="24"/>
          <w:szCs w:val="24"/>
        </w:rPr>
      </w:pPr>
    </w:p>
    <w:p w14:paraId="60D98F64" w14:textId="77777777" w:rsidR="0040202D" w:rsidRDefault="0040202D" w:rsidP="008B1F7F">
      <w:pPr>
        <w:ind w:left="720"/>
        <w:jc w:val="both"/>
        <w:rPr>
          <w:sz w:val="24"/>
          <w:szCs w:val="24"/>
        </w:rPr>
      </w:pPr>
      <w:r w:rsidRPr="003F527B">
        <w:rPr>
          <w:sz w:val="24"/>
          <w:szCs w:val="24"/>
        </w:rPr>
        <w:t>Alberto Crisostomo provides a thorough analysis of the DLOM's concept, outlining the aspects that have the greatest impact on its computation as well as how it has evolved over time. He finds that the discount for lack of marketability ranges from 23,96% to 32,44%.</w:t>
      </w:r>
    </w:p>
    <w:p w14:paraId="155EEAE3" w14:textId="77777777" w:rsidR="0040202D" w:rsidRPr="008B3DE8" w:rsidRDefault="0040202D" w:rsidP="008B1F7F">
      <w:pPr>
        <w:spacing w:line="240" w:lineRule="auto"/>
        <w:ind w:left="720"/>
        <w:jc w:val="both"/>
        <w:rPr>
          <w:rFonts w:eastAsia="Times New Roman"/>
          <w:sz w:val="24"/>
          <w:szCs w:val="24"/>
        </w:rPr>
      </w:pPr>
    </w:p>
    <w:p w14:paraId="7565CE18" w14:textId="77777777" w:rsidR="0040202D" w:rsidRPr="008B3DE8" w:rsidRDefault="0040202D" w:rsidP="008B1F7F">
      <w:pPr>
        <w:jc w:val="both"/>
        <w:rPr>
          <w:sz w:val="24"/>
          <w:szCs w:val="24"/>
        </w:rPr>
      </w:pPr>
      <w:r w:rsidRPr="008B3DE8">
        <w:rPr>
          <w:sz w:val="24"/>
          <w:szCs w:val="24"/>
        </w:rPr>
        <w:t>Alfred Karlsson &amp; Emil Jönsson (2022) The Private Company Discount: An acquisition study of public and private companies on the Swedish market, Bachelor Thesis, Linnaeus University</w:t>
      </w:r>
    </w:p>
    <w:p w14:paraId="5DA0616F" w14:textId="77777777" w:rsidR="0040202D" w:rsidRPr="008B3DE8" w:rsidRDefault="0040202D" w:rsidP="008B1F7F">
      <w:pPr>
        <w:pStyle w:val="FootnoteText"/>
        <w:ind w:left="720"/>
        <w:jc w:val="both"/>
        <w:rPr>
          <w:rFonts w:ascii="Arial" w:hAnsi="Arial" w:cs="Arial"/>
          <w:sz w:val="24"/>
          <w:szCs w:val="24"/>
        </w:rPr>
      </w:pPr>
    </w:p>
    <w:p w14:paraId="6CC6BCC2" w14:textId="77777777" w:rsidR="0040202D" w:rsidRPr="008B3DE8" w:rsidRDefault="0040202D" w:rsidP="008B1F7F">
      <w:pPr>
        <w:ind w:left="720"/>
        <w:jc w:val="both"/>
        <w:rPr>
          <w:sz w:val="24"/>
          <w:szCs w:val="24"/>
        </w:rPr>
      </w:pPr>
      <w:r w:rsidRPr="008B3DE8">
        <w:rPr>
          <w:sz w:val="24"/>
          <w:szCs w:val="24"/>
        </w:rPr>
        <w:t>The study will be performed on the Swedish market and all data have been</w:t>
      </w:r>
      <w:r w:rsidRPr="008B3DE8">
        <w:rPr>
          <w:sz w:val="24"/>
          <w:szCs w:val="24"/>
        </w:rPr>
        <w:br/>
        <w:t>collected through Thomson Reuters Eikon Refinitiv. A minimum of one million US dollars must be the reported deal value for each deal that is offered, and at least 50% of the company's shares must be acquired.</w:t>
      </w:r>
    </w:p>
    <w:p w14:paraId="1F444BB9" w14:textId="77777777" w:rsidR="0040202D" w:rsidRPr="008B3DE8" w:rsidRDefault="0040202D" w:rsidP="008B1F7F">
      <w:pPr>
        <w:pStyle w:val="FootnoteText"/>
        <w:ind w:left="720"/>
        <w:jc w:val="both"/>
        <w:rPr>
          <w:rFonts w:ascii="Arial" w:hAnsi="Arial" w:cs="Arial"/>
          <w:sz w:val="24"/>
          <w:szCs w:val="24"/>
        </w:rPr>
      </w:pPr>
    </w:p>
    <w:p w14:paraId="1A19CBC1" w14:textId="5EF50D77" w:rsidR="0040202D" w:rsidRPr="008B3DE8" w:rsidRDefault="0040202D" w:rsidP="008B1F7F">
      <w:pPr>
        <w:jc w:val="both"/>
        <w:rPr>
          <w:sz w:val="24"/>
          <w:szCs w:val="24"/>
        </w:rPr>
      </w:pPr>
      <w:r w:rsidRPr="008B3DE8">
        <w:rPr>
          <w:sz w:val="24"/>
          <w:szCs w:val="24"/>
        </w:rPr>
        <w:t>Arneson, George S. (1981) Non</w:t>
      </w:r>
      <w:r w:rsidR="00E67FDF">
        <w:rPr>
          <w:sz w:val="24"/>
          <w:szCs w:val="24"/>
        </w:rPr>
        <w:t>-</w:t>
      </w:r>
      <w:r w:rsidRPr="008B3DE8">
        <w:rPr>
          <w:sz w:val="24"/>
          <w:szCs w:val="24"/>
        </w:rPr>
        <w:t>marketability Discounts Should Exceed Fifty Percent, Taxes (January), pp. 25–31.</w:t>
      </w:r>
    </w:p>
    <w:p w14:paraId="6AAA72E4" w14:textId="77777777" w:rsidR="0040202D" w:rsidRPr="008B3DE8" w:rsidRDefault="0040202D" w:rsidP="008B1F7F">
      <w:pPr>
        <w:spacing w:line="280" w:lineRule="exact"/>
        <w:ind w:left="720"/>
        <w:jc w:val="both"/>
        <w:rPr>
          <w:sz w:val="24"/>
          <w:szCs w:val="24"/>
        </w:rPr>
      </w:pPr>
    </w:p>
    <w:p w14:paraId="2806957B" w14:textId="77777777" w:rsidR="0040202D" w:rsidRPr="008B3DE8" w:rsidRDefault="0040202D" w:rsidP="008B1F7F">
      <w:pPr>
        <w:ind w:left="720"/>
        <w:jc w:val="both"/>
        <w:rPr>
          <w:sz w:val="24"/>
          <w:szCs w:val="24"/>
        </w:rPr>
      </w:pPr>
      <w:r w:rsidRPr="008B3DE8">
        <w:rPr>
          <w:sz w:val="24"/>
          <w:szCs w:val="24"/>
        </w:rPr>
        <w:t xml:space="preserve">Arneson assessed research on investment firms' acquisitions of letter stock. He cited research by Maher and Moroney, which suggested that a closely held company's DLOM should be approximately 35 percent. </w:t>
      </w:r>
    </w:p>
    <w:p w14:paraId="1FA164CE" w14:textId="77777777" w:rsidR="0040202D" w:rsidRDefault="0040202D" w:rsidP="008B1F7F">
      <w:pPr>
        <w:jc w:val="both"/>
        <w:rPr>
          <w:sz w:val="24"/>
          <w:szCs w:val="24"/>
        </w:rPr>
      </w:pPr>
    </w:p>
    <w:p w14:paraId="0DA4F381" w14:textId="77777777" w:rsidR="0040202D" w:rsidRPr="008B3DE8" w:rsidRDefault="0040202D" w:rsidP="008B1F7F">
      <w:pPr>
        <w:jc w:val="both"/>
        <w:rPr>
          <w:sz w:val="24"/>
          <w:szCs w:val="24"/>
        </w:rPr>
      </w:pPr>
      <w:r w:rsidRPr="008B3DE8">
        <w:rPr>
          <w:sz w:val="24"/>
          <w:szCs w:val="24"/>
        </w:rPr>
        <w:t>Block, S. (2007) ‘The Liquidity Discount in Valuing Privately Owned Companies’, The Journal of Applied Finance, 17(2), pp, 33-40.</w:t>
      </w:r>
    </w:p>
    <w:p w14:paraId="0C1E45FA" w14:textId="77777777" w:rsidR="0040202D" w:rsidRPr="008B3DE8" w:rsidRDefault="0040202D" w:rsidP="008B1F7F">
      <w:pPr>
        <w:pStyle w:val="FootnoteText"/>
        <w:ind w:left="720"/>
        <w:jc w:val="both"/>
        <w:rPr>
          <w:rFonts w:ascii="Arial" w:hAnsi="Arial" w:cs="Arial"/>
          <w:sz w:val="24"/>
          <w:szCs w:val="24"/>
        </w:rPr>
      </w:pPr>
    </w:p>
    <w:p w14:paraId="006F3E72" w14:textId="77777777" w:rsidR="0040202D" w:rsidRPr="008B3DE8" w:rsidRDefault="0040202D" w:rsidP="008B1F7F">
      <w:pPr>
        <w:ind w:left="720"/>
        <w:jc w:val="both"/>
        <w:rPr>
          <w:sz w:val="24"/>
          <w:szCs w:val="24"/>
        </w:rPr>
      </w:pPr>
      <w:r w:rsidRPr="008B3DE8">
        <w:rPr>
          <w:sz w:val="24"/>
          <w:szCs w:val="24"/>
        </w:rPr>
        <w:t>Private company discount indications of 14% based on enterprise value to book value pricing multiple analyses and 24% based on enterprise value to revenue pricing multiple analyses were reported by the Block study, as published in 2007.</w:t>
      </w:r>
    </w:p>
    <w:p w14:paraId="46BB5ED9" w14:textId="77777777" w:rsidR="0040202D" w:rsidRPr="008B3DE8" w:rsidRDefault="0040202D" w:rsidP="008B1F7F">
      <w:pPr>
        <w:spacing w:line="280" w:lineRule="exact"/>
        <w:ind w:left="720"/>
        <w:jc w:val="both"/>
        <w:rPr>
          <w:sz w:val="24"/>
          <w:szCs w:val="24"/>
        </w:rPr>
      </w:pPr>
    </w:p>
    <w:p w14:paraId="1D3296F5" w14:textId="3C2CC665" w:rsidR="0040202D" w:rsidRPr="008B3DE8" w:rsidRDefault="0040202D" w:rsidP="008B1F7F">
      <w:pPr>
        <w:jc w:val="both"/>
        <w:rPr>
          <w:sz w:val="24"/>
          <w:szCs w:val="24"/>
        </w:rPr>
      </w:pPr>
      <w:r w:rsidRPr="00550A59">
        <w:rPr>
          <w:sz w:val="24"/>
          <w:szCs w:val="24"/>
        </w:rPr>
        <w:t xml:space="preserve">BVR Survey </w:t>
      </w:r>
      <w:r w:rsidR="00D259A6">
        <w:rPr>
          <w:sz w:val="24"/>
          <w:szCs w:val="24"/>
        </w:rPr>
        <w:t xml:space="preserve">(2021) </w:t>
      </w:r>
      <w:r w:rsidRPr="00550A59">
        <w:rPr>
          <w:sz w:val="24"/>
          <w:szCs w:val="24"/>
        </w:rPr>
        <w:t>Methods Used for Estimating a Discount for Lack of Marketability</w:t>
      </w:r>
      <w:r w:rsidR="00D259A6">
        <w:rPr>
          <w:sz w:val="24"/>
          <w:szCs w:val="24"/>
        </w:rPr>
        <w:t xml:space="preserve">, </w:t>
      </w:r>
      <w:r w:rsidRPr="00550A59">
        <w:rPr>
          <w:sz w:val="24"/>
          <w:szCs w:val="24"/>
        </w:rPr>
        <w:t>July 2021, Business Valuation Resources, LLC</w:t>
      </w:r>
      <w:r w:rsidR="00C4113A">
        <w:rPr>
          <w:sz w:val="24"/>
          <w:szCs w:val="24"/>
        </w:rPr>
        <w:t xml:space="preserve">. Available at: </w:t>
      </w:r>
      <w:hyperlink r:id="rId14" w:history="1">
        <w:r w:rsidR="00C4113A" w:rsidRPr="00BB3C29">
          <w:rPr>
            <w:rStyle w:val="Hyperlink"/>
            <w:sz w:val="24"/>
            <w:szCs w:val="24"/>
          </w:rPr>
          <w:t>https://sub.bvresources.com/pdfs/BVR-2021-DLOM-Survey-Results.pdf</w:t>
        </w:r>
      </w:hyperlink>
      <w:r w:rsidR="00C4113A">
        <w:rPr>
          <w:sz w:val="24"/>
          <w:szCs w:val="24"/>
        </w:rPr>
        <w:t xml:space="preserve"> [Visited at September 2024]</w:t>
      </w:r>
    </w:p>
    <w:p w14:paraId="38D5F811" w14:textId="77777777" w:rsidR="0040202D" w:rsidRDefault="0040202D" w:rsidP="008B1F7F">
      <w:pPr>
        <w:ind w:left="720"/>
        <w:jc w:val="both"/>
        <w:rPr>
          <w:sz w:val="24"/>
          <w:szCs w:val="24"/>
        </w:rPr>
      </w:pPr>
    </w:p>
    <w:p w14:paraId="039A6D76" w14:textId="77777777" w:rsidR="0040202D" w:rsidRPr="008B3DE8" w:rsidRDefault="0040202D" w:rsidP="008B1F7F">
      <w:pPr>
        <w:ind w:left="720"/>
        <w:jc w:val="both"/>
        <w:rPr>
          <w:sz w:val="24"/>
          <w:szCs w:val="24"/>
        </w:rPr>
      </w:pPr>
      <w:r w:rsidRPr="008B3DE8">
        <w:rPr>
          <w:sz w:val="24"/>
          <w:szCs w:val="24"/>
        </w:rPr>
        <w:t>BVR Survey questioned 202 interviewees whether they would apply a DLOM to a 100% interest in a private company. Among the 202 interviewees, 67 (33.17%) answered “Yes”, 54 (26.73%) answered "No”, and 81 (40.10%) answered "Maybe”.</w:t>
      </w:r>
    </w:p>
    <w:p w14:paraId="5665EDB4" w14:textId="77777777" w:rsidR="0040202D" w:rsidRDefault="0040202D" w:rsidP="008B1F7F">
      <w:pPr>
        <w:jc w:val="both"/>
        <w:rPr>
          <w:sz w:val="24"/>
          <w:szCs w:val="24"/>
        </w:rPr>
      </w:pPr>
    </w:p>
    <w:p w14:paraId="1F5D082E" w14:textId="77777777" w:rsidR="0040202D" w:rsidRPr="008B3DE8" w:rsidRDefault="0040202D" w:rsidP="008B1F7F">
      <w:pPr>
        <w:jc w:val="both"/>
        <w:rPr>
          <w:sz w:val="24"/>
          <w:szCs w:val="24"/>
        </w:rPr>
      </w:pPr>
      <w:r w:rsidRPr="008B3DE8">
        <w:rPr>
          <w:sz w:val="24"/>
          <w:szCs w:val="24"/>
        </w:rPr>
        <w:t>Chaffe III, D. B. (1993) ‘Option pricing as a proxy for discount for lack of marketability in private company valuations’, Business Valuation Review, pp. 182-188</w:t>
      </w:r>
    </w:p>
    <w:p w14:paraId="4F0F94DE" w14:textId="77777777" w:rsidR="0040202D" w:rsidRPr="008B3DE8" w:rsidRDefault="0040202D" w:rsidP="008B1F7F">
      <w:pPr>
        <w:pStyle w:val="FootnoteText"/>
        <w:ind w:left="720"/>
        <w:jc w:val="both"/>
        <w:rPr>
          <w:rFonts w:ascii="Arial" w:hAnsi="Arial" w:cs="Arial"/>
          <w:sz w:val="24"/>
          <w:szCs w:val="24"/>
          <w:lang w:val="en-US"/>
        </w:rPr>
      </w:pPr>
    </w:p>
    <w:p w14:paraId="23CEDF6B" w14:textId="77777777" w:rsidR="0040202D" w:rsidRPr="008B3DE8" w:rsidRDefault="0040202D" w:rsidP="008B1F7F">
      <w:pPr>
        <w:ind w:left="720"/>
        <w:jc w:val="both"/>
        <w:rPr>
          <w:sz w:val="24"/>
          <w:szCs w:val="24"/>
        </w:rPr>
      </w:pPr>
      <w:r w:rsidRPr="008B3DE8">
        <w:rPr>
          <w:sz w:val="24"/>
          <w:szCs w:val="24"/>
        </w:rPr>
        <w:t xml:space="preserve">Chaffe proposed that a Black-Scholes option pricing model at-the-money European put option might be used to replicate the marketability discount. An ATM European put option is a financial instrument that gives the holder the choice, but not the duty, to sell shares at the option's expiration date in accordance with the stock's strike price. </w:t>
      </w:r>
    </w:p>
    <w:p w14:paraId="525DCC62" w14:textId="77777777" w:rsidR="0040202D" w:rsidRPr="00800ADE" w:rsidRDefault="0040202D" w:rsidP="008B1F7F">
      <w:pPr>
        <w:pStyle w:val="FootnoteText"/>
        <w:ind w:left="720"/>
        <w:jc w:val="both"/>
        <w:rPr>
          <w:rFonts w:ascii="Arial" w:hAnsi="Arial" w:cs="Arial"/>
          <w:sz w:val="24"/>
          <w:szCs w:val="24"/>
        </w:rPr>
      </w:pPr>
    </w:p>
    <w:p w14:paraId="7376B480" w14:textId="77777777" w:rsidR="0040202D" w:rsidRPr="008B3DE8" w:rsidRDefault="0040202D" w:rsidP="008B1F7F">
      <w:pPr>
        <w:jc w:val="both"/>
        <w:rPr>
          <w:sz w:val="24"/>
          <w:szCs w:val="24"/>
        </w:rPr>
      </w:pPr>
      <w:r w:rsidRPr="008B3DE8">
        <w:rPr>
          <w:sz w:val="24"/>
          <w:szCs w:val="24"/>
        </w:rPr>
        <w:t>David Tabak, PhD, “A CAPM-Based Approach to Calculating Illiquidity Discounts,” NERA Economic Consulting (Marsh &amp; McLennan Companies), listed on www.nera.com, November 11, 2002.</w:t>
      </w:r>
    </w:p>
    <w:p w14:paraId="2BF777BB" w14:textId="77777777" w:rsidR="0040202D" w:rsidRPr="008B3DE8" w:rsidRDefault="0040202D" w:rsidP="008B1F7F">
      <w:pPr>
        <w:pStyle w:val="FootnoteText"/>
        <w:ind w:left="720"/>
        <w:jc w:val="both"/>
        <w:rPr>
          <w:rFonts w:ascii="Arial" w:hAnsi="Arial" w:cs="Arial"/>
          <w:sz w:val="24"/>
          <w:szCs w:val="24"/>
        </w:rPr>
      </w:pPr>
    </w:p>
    <w:p w14:paraId="4FB903B2" w14:textId="77777777" w:rsidR="0040202D" w:rsidRDefault="0040202D" w:rsidP="008B1F7F">
      <w:pPr>
        <w:ind w:left="720"/>
        <w:jc w:val="both"/>
        <w:rPr>
          <w:sz w:val="24"/>
          <w:szCs w:val="24"/>
        </w:rPr>
      </w:pPr>
      <w:r>
        <w:rPr>
          <w:sz w:val="24"/>
          <w:szCs w:val="24"/>
        </w:rPr>
        <w:t>It</w:t>
      </w:r>
      <w:r w:rsidRPr="008B3DE8">
        <w:rPr>
          <w:sz w:val="24"/>
          <w:szCs w:val="24"/>
        </w:rPr>
        <w:t xml:space="preserve"> integrated the two assumptions into an excess required rate of return that can be objectively evaluated, whereas the QMDM requires separate assumptions for the expected growth rate of the asset and the investor's necessary rate of return.</w:t>
      </w:r>
    </w:p>
    <w:p w14:paraId="07CF9770" w14:textId="77777777" w:rsidR="0040202D" w:rsidRPr="008B3DE8" w:rsidRDefault="0040202D" w:rsidP="008B1F7F">
      <w:pPr>
        <w:pStyle w:val="FootnoteText"/>
        <w:ind w:left="720"/>
        <w:jc w:val="both"/>
        <w:rPr>
          <w:rFonts w:ascii="Arial" w:hAnsi="Arial" w:cs="Arial"/>
          <w:sz w:val="24"/>
          <w:szCs w:val="24"/>
        </w:rPr>
      </w:pPr>
    </w:p>
    <w:p w14:paraId="41F15A03" w14:textId="77777777" w:rsidR="0040202D" w:rsidRPr="008B3DE8" w:rsidRDefault="0040202D" w:rsidP="008B1F7F">
      <w:pPr>
        <w:jc w:val="both"/>
        <w:rPr>
          <w:sz w:val="24"/>
          <w:szCs w:val="24"/>
        </w:rPr>
      </w:pPr>
      <w:r w:rsidRPr="008B3DE8">
        <w:rPr>
          <w:sz w:val="24"/>
          <w:szCs w:val="24"/>
        </w:rPr>
        <w:t>De Franco, Gus and Gavious, Ilanit and Richardson, Gordon D. and Jin, Justin Y., Do Private Company Targets that Hire Big 4 Auditors Receive Higher Proceeds? (June 22, 2009). Available at SSRN: </w:t>
      </w:r>
      <w:hyperlink r:id="rId15" w:tgtFrame="_blank" w:history="1">
        <w:r w:rsidRPr="008B3DE8">
          <w:t>https://ssrn.com/abstract=1640496</w:t>
        </w:r>
      </w:hyperlink>
      <w:r w:rsidRPr="008B3DE8">
        <w:rPr>
          <w:sz w:val="24"/>
          <w:szCs w:val="24"/>
        </w:rPr>
        <w:t> or </w:t>
      </w:r>
      <w:hyperlink r:id="rId16" w:tgtFrame="_blank" w:history="1">
        <w:r w:rsidRPr="008B3DE8">
          <w:t>http://dx.doi.org/10.2139/ssrn.1640496</w:t>
        </w:r>
      </w:hyperlink>
    </w:p>
    <w:p w14:paraId="6316F303" w14:textId="77777777" w:rsidR="0040202D" w:rsidRPr="008B3DE8" w:rsidRDefault="0040202D" w:rsidP="008B1F7F">
      <w:pPr>
        <w:pStyle w:val="FootnoteText"/>
        <w:ind w:left="720"/>
        <w:jc w:val="both"/>
        <w:rPr>
          <w:rFonts w:ascii="Arial" w:hAnsi="Arial" w:cs="Arial"/>
          <w:sz w:val="24"/>
          <w:szCs w:val="24"/>
        </w:rPr>
      </w:pPr>
    </w:p>
    <w:p w14:paraId="0275B6B3" w14:textId="77777777" w:rsidR="0040202D" w:rsidRPr="008B3DE8" w:rsidRDefault="0040202D" w:rsidP="008B1F7F">
      <w:pPr>
        <w:ind w:left="720"/>
        <w:jc w:val="both"/>
        <w:rPr>
          <w:sz w:val="24"/>
          <w:szCs w:val="24"/>
        </w:rPr>
      </w:pPr>
      <w:r>
        <w:rPr>
          <w:sz w:val="24"/>
          <w:szCs w:val="24"/>
        </w:rPr>
        <w:t>It</w:t>
      </w:r>
      <w:r w:rsidRPr="008B3DE8">
        <w:rPr>
          <w:sz w:val="24"/>
          <w:szCs w:val="24"/>
        </w:rPr>
        <w:t xml:space="preserve"> contrasted purchases of public corporations in 2006 with private acquisitions of 100% ownership stakes in privately owned U.S. companies. There were 2,249 public enterprises and 673 private companies in the sample. According to the survey, marketability reductions ranged from 21% to 37% when purchasing private businesses.</w:t>
      </w:r>
    </w:p>
    <w:p w14:paraId="78EEA71F" w14:textId="77777777" w:rsidR="0040202D" w:rsidRDefault="0040202D" w:rsidP="008B1F7F">
      <w:pPr>
        <w:ind w:left="720"/>
        <w:jc w:val="both"/>
        <w:rPr>
          <w:sz w:val="24"/>
          <w:szCs w:val="24"/>
        </w:rPr>
      </w:pPr>
    </w:p>
    <w:p w14:paraId="768E5602" w14:textId="77777777" w:rsidR="0040202D" w:rsidRPr="00B621A6" w:rsidRDefault="0040202D" w:rsidP="008B1F7F">
      <w:pPr>
        <w:jc w:val="both"/>
        <w:rPr>
          <w:sz w:val="24"/>
          <w:szCs w:val="24"/>
        </w:rPr>
      </w:pPr>
      <w:r w:rsidRPr="00B621A6">
        <w:rPr>
          <w:sz w:val="24"/>
          <w:szCs w:val="24"/>
        </w:rPr>
        <w:t xml:space="preserve">DONG Jichang, JIAO Danxiao, and SUN Xilong (2017) </w:t>
      </w:r>
      <w:r>
        <w:rPr>
          <w:sz w:val="24"/>
          <w:szCs w:val="24"/>
        </w:rPr>
        <w:t>‘</w:t>
      </w:r>
      <w:r w:rsidRPr="00B621A6">
        <w:rPr>
          <w:sz w:val="24"/>
          <w:szCs w:val="24"/>
        </w:rPr>
        <w:t>Acquisition Discount and Valuation Effect of Private M&amp;As in China</w:t>
      </w:r>
      <w:r>
        <w:rPr>
          <w:sz w:val="24"/>
          <w:szCs w:val="24"/>
        </w:rPr>
        <w:t>’</w:t>
      </w:r>
      <w:r w:rsidRPr="00B621A6">
        <w:rPr>
          <w:sz w:val="24"/>
          <w:szCs w:val="24"/>
        </w:rPr>
        <w:t xml:space="preserve">, </w:t>
      </w:r>
      <w:r w:rsidRPr="00B621A6">
        <w:rPr>
          <w:i/>
          <w:iCs/>
          <w:sz w:val="24"/>
          <w:szCs w:val="24"/>
        </w:rPr>
        <w:t>Journal of Systems Science and Complexity</w:t>
      </w:r>
      <w:r w:rsidRPr="00B621A6">
        <w:rPr>
          <w:sz w:val="24"/>
          <w:szCs w:val="24"/>
        </w:rPr>
        <w:t>, 2017, № 6, p</w:t>
      </w:r>
      <w:r>
        <w:rPr>
          <w:sz w:val="24"/>
          <w:szCs w:val="24"/>
        </w:rPr>
        <w:t>p</w:t>
      </w:r>
      <w:r w:rsidRPr="00B621A6">
        <w:rPr>
          <w:sz w:val="24"/>
          <w:szCs w:val="24"/>
        </w:rPr>
        <w:t>. 1364-1381</w:t>
      </w:r>
    </w:p>
    <w:p w14:paraId="4D868456" w14:textId="77777777" w:rsidR="0040202D" w:rsidRDefault="0040202D" w:rsidP="008B1F7F">
      <w:pPr>
        <w:jc w:val="both"/>
        <w:rPr>
          <w:b/>
          <w:bCs/>
          <w:i/>
          <w:iCs/>
          <w:sz w:val="24"/>
          <w:szCs w:val="24"/>
        </w:rPr>
      </w:pPr>
    </w:p>
    <w:p w14:paraId="3C8FA997" w14:textId="77777777" w:rsidR="0040202D" w:rsidRDefault="0040202D" w:rsidP="008B1F7F">
      <w:pPr>
        <w:ind w:left="720"/>
        <w:jc w:val="both"/>
        <w:rPr>
          <w:sz w:val="24"/>
          <w:szCs w:val="24"/>
        </w:rPr>
      </w:pPr>
      <w:r w:rsidRPr="00B621A6">
        <w:rPr>
          <w:sz w:val="24"/>
          <w:szCs w:val="24"/>
        </w:rPr>
        <w:t>The authors came to the conclusion that unlisted companies in China are sold at a lower price than listed companies after deciding to use an acquisition strategy to create an acquisition discount for unlisted targets. The liquidity demand and the properties of the bilateral trading components are the primary determinants of the deeper discount.</w:t>
      </w:r>
    </w:p>
    <w:p w14:paraId="6E69D13B" w14:textId="77777777" w:rsidR="0040202D" w:rsidRPr="008B3DE8" w:rsidRDefault="0040202D" w:rsidP="008B1F7F">
      <w:pPr>
        <w:spacing w:line="280" w:lineRule="exact"/>
        <w:ind w:left="720"/>
        <w:jc w:val="both"/>
        <w:rPr>
          <w:sz w:val="24"/>
          <w:szCs w:val="24"/>
        </w:rPr>
      </w:pPr>
    </w:p>
    <w:p w14:paraId="6C8CBA4B" w14:textId="77777777" w:rsidR="0040202D" w:rsidRPr="008B3DE8" w:rsidRDefault="0040202D" w:rsidP="008B1F7F">
      <w:pPr>
        <w:jc w:val="both"/>
        <w:rPr>
          <w:sz w:val="24"/>
          <w:szCs w:val="24"/>
        </w:rPr>
      </w:pPr>
      <w:r w:rsidRPr="008B3DE8">
        <w:rPr>
          <w:sz w:val="24"/>
          <w:szCs w:val="24"/>
        </w:rPr>
        <w:t>Espen Robak (2007) ‘Discounts for Illiquid Shares and Warrants: The LiquiStat Database of Transactions on the Restricted Securities Trading Network’, Pluris Valuation Advisors White Paper (January, 2007), pp. 22–32.</w:t>
      </w:r>
    </w:p>
    <w:p w14:paraId="6DD3C4CE" w14:textId="77777777" w:rsidR="0040202D" w:rsidRPr="008B3DE8" w:rsidRDefault="0040202D" w:rsidP="008B1F7F">
      <w:pPr>
        <w:ind w:left="720"/>
        <w:jc w:val="both"/>
        <w:rPr>
          <w:sz w:val="24"/>
          <w:szCs w:val="24"/>
        </w:rPr>
      </w:pPr>
    </w:p>
    <w:p w14:paraId="703212E3" w14:textId="77777777" w:rsidR="0040202D" w:rsidRPr="008B3DE8" w:rsidRDefault="0040202D" w:rsidP="008B1F7F">
      <w:pPr>
        <w:ind w:left="720"/>
        <w:jc w:val="both"/>
        <w:rPr>
          <w:sz w:val="24"/>
          <w:szCs w:val="24"/>
        </w:rPr>
      </w:pPr>
      <w:r w:rsidRPr="008B3DE8">
        <w:rPr>
          <w:sz w:val="24"/>
          <w:szCs w:val="24"/>
        </w:rPr>
        <w:t xml:space="preserve">The Pluris Valuation Advisors’ Database of private sales transactions provided the 61 transactions used in this analysis. The transactions were facilitated by Restricted Stock Partners of New York, who established the Restricted Securities Trading Network. </w:t>
      </w:r>
    </w:p>
    <w:p w14:paraId="4C0B78A3" w14:textId="77777777" w:rsidR="0040202D" w:rsidRPr="008B3DE8" w:rsidRDefault="0040202D" w:rsidP="008B1F7F">
      <w:pPr>
        <w:spacing w:line="280" w:lineRule="exact"/>
        <w:ind w:left="720"/>
        <w:jc w:val="both"/>
        <w:rPr>
          <w:sz w:val="24"/>
          <w:szCs w:val="24"/>
        </w:rPr>
      </w:pPr>
    </w:p>
    <w:p w14:paraId="6F1FEDE3" w14:textId="77777777" w:rsidR="0040202D" w:rsidRPr="008B3DE8" w:rsidRDefault="0040202D" w:rsidP="008B1F7F">
      <w:pPr>
        <w:jc w:val="both"/>
        <w:rPr>
          <w:sz w:val="24"/>
          <w:szCs w:val="24"/>
        </w:rPr>
      </w:pPr>
      <w:r w:rsidRPr="008B3DE8">
        <w:rPr>
          <w:sz w:val="24"/>
          <w:szCs w:val="24"/>
        </w:rPr>
        <w:t>Ezra Angrist, Harry Curtis III, and Daniel Kerrigan, ‘Regression Analysis and Discounts for Lack of Marketability’, Business Valuation Review (2011), 30 (1), pp. 36–48.</w:t>
      </w:r>
    </w:p>
    <w:p w14:paraId="36F61427" w14:textId="77777777" w:rsidR="0040202D" w:rsidRPr="008B3DE8" w:rsidRDefault="0040202D" w:rsidP="008B1F7F">
      <w:pPr>
        <w:spacing w:line="240" w:lineRule="auto"/>
        <w:ind w:left="720"/>
        <w:jc w:val="both"/>
        <w:rPr>
          <w:rFonts w:eastAsia="Times New Roman"/>
          <w:sz w:val="24"/>
          <w:szCs w:val="24"/>
        </w:rPr>
      </w:pPr>
    </w:p>
    <w:p w14:paraId="196FEB38" w14:textId="77777777" w:rsidR="0040202D" w:rsidRPr="008B3DE8" w:rsidRDefault="0040202D" w:rsidP="008B1F7F">
      <w:pPr>
        <w:ind w:left="720"/>
        <w:jc w:val="both"/>
        <w:rPr>
          <w:sz w:val="24"/>
          <w:szCs w:val="24"/>
        </w:rPr>
      </w:pPr>
      <w:r>
        <w:rPr>
          <w:sz w:val="24"/>
          <w:szCs w:val="24"/>
        </w:rPr>
        <w:t>It</w:t>
      </w:r>
      <w:r w:rsidRPr="008B3DE8">
        <w:rPr>
          <w:sz w:val="24"/>
          <w:szCs w:val="24"/>
        </w:rPr>
        <w:t xml:space="preserve"> conducted an analysis of the discounts on restricted stocks as compared to their openly traded counterparts. Numerous updates have been made to this study, the most recent of which examined data from 1980 to 2009. </w:t>
      </w:r>
    </w:p>
    <w:p w14:paraId="759F8F05" w14:textId="77777777" w:rsidR="0040202D" w:rsidRPr="00B02004" w:rsidRDefault="0040202D" w:rsidP="008B1F7F">
      <w:pPr>
        <w:pStyle w:val="FootnoteText"/>
        <w:ind w:left="720"/>
        <w:jc w:val="both"/>
        <w:rPr>
          <w:rFonts w:ascii="Arial" w:hAnsi="Arial" w:cs="Arial"/>
          <w:sz w:val="24"/>
          <w:szCs w:val="24"/>
        </w:rPr>
      </w:pPr>
    </w:p>
    <w:p w14:paraId="053E9E31" w14:textId="77777777" w:rsidR="0040202D" w:rsidRPr="008B3DE8" w:rsidRDefault="0040202D" w:rsidP="008B1F7F">
      <w:pPr>
        <w:jc w:val="both"/>
        <w:rPr>
          <w:sz w:val="24"/>
          <w:szCs w:val="24"/>
        </w:rPr>
      </w:pPr>
      <w:r w:rsidRPr="008B3DE8">
        <w:rPr>
          <w:sz w:val="24"/>
          <w:szCs w:val="24"/>
        </w:rPr>
        <w:t>Finnerty, J. D. (2012) ‘An Average-Strike Put Option Model of the Marketability Discount’. The Journal of Derivatives, 9 (24), pp. 53–69.</w:t>
      </w:r>
    </w:p>
    <w:p w14:paraId="4E477C84" w14:textId="77777777" w:rsidR="0040202D" w:rsidRPr="008B3DE8" w:rsidRDefault="0040202D" w:rsidP="008B1F7F">
      <w:pPr>
        <w:pStyle w:val="FootnoteText"/>
        <w:ind w:left="720"/>
        <w:jc w:val="both"/>
        <w:rPr>
          <w:rFonts w:ascii="Arial" w:hAnsi="Arial" w:cs="Arial"/>
          <w:sz w:val="24"/>
          <w:szCs w:val="24"/>
          <w:lang w:val="en-US"/>
        </w:rPr>
      </w:pPr>
    </w:p>
    <w:p w14:paraId="2780AF11" w14:textId="77777777" w:rsidR="0040202D" w:rsidRPr="008B3DE8" w:rsidRDefault="0040202D" w:rsidP="008B1F7F">
      <w:pPr>
        <w:ind w:left="720"/>
        <w:jc w:val="both"/>
        <w:rPr>
          <w:sz w:val="24"/>
          <w:szCs w:val="24"/>
        </w:rPr>
      </w:pPr>
      <w:r w:rsidRPr="008B3DE8">
        <w:rPr>
          <w:sz w:val="24"/>
          <w:szCs w:val="24"/>
        </w:rPr>
        <w:t xml:space="preserve">Finnerty created a model to estimate DLOM using an average-strike put option. Asian options, such as average-strike put options, are a sort of exotic option where the holder has the choice—but not the obligation—to sell the stock at the average realized price during the option's term. </w:t>
      </w:r>
    </w:p>
    <w:p w14:paraId="0EC8F439" w14:textId="77777777" w:rsidR="0040202D" w:rsidRPr="008B3DE8" w:rsidRDefault="0040202D" w:rsidP="008B1F7F">
      <w:pPr>
        <w:ind w:left="720"/>
        <w:jc w:val="both"/>
        <w:rPr>
          <w:sz w:val="24"/>
          <w:szCs w:val="24"/>
        </w:rPr>
      </w:pPr>
      <w:r w:rsidRPr="008B3DE8">
        <w:rPr>
          <w:sz w:val="24"/>
          <w:szCs w:val="24"/>
        </w:rPr>
        <w:t xml:space="preserve"> </w:t>
      </w:r>
    </w:p>
    <w:p w14:paraId="4E4DE867" w14:textId="77777777" w:rsidR="0040202D" w:rsidRPr="008B3DE8" w:rsidRDefault="0040202D" w:rsidP="008B1F7F">
      <w:pPr>
        <w:jc w:val="both"/>
        <w:rPr>
          <w:sz w:val="24"/>
          <w:szCs w:val="24"/>
        </w:rPr>
      </w:pPr>
      <w:r w:rsidRPr="008B3DE8">
        <w:rPr>
          <w:sz w:val="24"/>
          <w:szCs w:val="24"/>
        </w:rPr>
        <w:t>FMV Restricted Stock Study (FMV Opinions Study), Determining Discounts for Lack of Marketability, A Companion Guide to the FMV Restricted Stock Study, 2015 edn, FMV Opinions, Inc.</w:t>
      </w:r>
    </w:p>
    <w:p w14:paraId="1DD98C04" w14:textId="77777777" w:rsidR="0040202D" w:rsidRPr="008B3DE8" w:rsidRDefault="0040202D" w:rsidP="008B1F7F">
      <w:pPr>
        <w:spacing w:line="280" w:lineRule="exact"/>
        <w:ind w:left="720"/>
        <w:jc w:val="both"/>
        <w:rPr>
          <w:sz w:val="24"/>
          <w:szCs w:val="24"/>
        </w:rPr>
      </w:pPr>
    </w:p>
    <w:p w14:paraId="3DDD2BB4" w14:textId="77777777" w:rsidR="0040202D" w:rsidRPr="008B3DE8" w:rsidRDefault="0040202D" w:rsidP="008B1F7F">
      <w:pPr>
        <w:ind w:left="720"/>
        <w:jc w:val="both"/>
        <w:rPr>
          <w:sz w:val="24"/>
          <w:szCs w:val="24"/>
        </w:rPr>
      </w:pPr>
      <w:r w:rsidRPr="008B3DE8">
        <w:rPr>
          <w:sz w:val="24"/>
          <w:szCs w:val="24"/>
        </w:rPr>
        <w:t xml:space="preserve">Recurrent examinations of the restricted stock transactions in its exclusive transaction database were first published by FMV Opinions </w:t>
      </w:r>
      <w:r w:rsidRPr="008B3DE8">
        <w:rPr>
          <w:rFonts w:eastAsia="Times New Roman"/>
          <w:color w:val="242021"/>
          <w:sz w:val="24"/>
          <w:szCs w:val="24"/>
        </w:rPr>
        <w:t xml:space="preserve">Inc. </w:t>
      </w:r>
      <w:r w:rsidRPr="008B3DE8">
        <w:rPr>
          <w:sz w:val="24"/>
          <w:szCs w:val="24"/>
        </w:rPr>
        <w:t xml:space="preserve">in 2001. The studies have been released annually in more recent years. </w:t>
      </w:r>
    </w:p>
    <w:p w14:paraId="68E25F58" w14:textId="77777777" w:rsidR="0040202D" w:rsidRDefault="0040202D" w:rsidP="008B1F7F">
      <w:pPr>
        <w:jc w:val="both"/>
        <w:rPr>
          <w:sz w:val="24"/>
          <w:szCs w:val="24"/>
        </w:rPr>
      </w:pPr>
    </w:p>
    <w:p w14:paraId="4F70B3B2" w14:textId="77777777" w:rsidR="0040202D" w:rsidRPr="008B3DE8" w:rsidRDefault="0040202D" w:rsidP="008B1F7F">
      <w:pPr>
        <w:jc w:val="both"/>
        <w:rPr>
          <w:sz w:val="24"/>
          <w:szCs w:val="24"/>
        </w:rPr>
      </w:pPr>
      <w:r w:rsidRPr="008B3DE8">
        <w:rPr>
          <w:sz w:val="24"/>
          <w:szCs w:val="24"/>
        </w:rPr>
        <w:t>Francis A. Longstaff (1995) ‘How Much Can Marketability Affect Security Values?’, The Journal of Finance (December 1995), pp. 1767-1774.</w:t>
      </w:r>
    </w:p>
    <w:p w14:paraId="31AA8FC1" w14:textId="77777777" w:rsidR="0040202D" w:rsidRPr="008B3DE8" w:rsidRDefault="0040202D" w:rsidP="008B1F7F">
      <w:pPr>
        <w:pStyle w:val="FootnoteText"/>
        <w:ind w:left="720"/>
        <w:jc w:val="both"/>
        <w:rPr>
          <w:rFonts w:ascii="Arial" w:hAnsi="Arial" w:cs="Arial"/>
          <w:sz w:val="24"/>
          <w:szCs w:val="24"/>
          <w:lang w:val="en-US"/>
        </w:rPr>
      </w:pPr>
    </w:p>
    <w:p w14:paraId="77599BA7" w14:textId="77777777" w:rsidR="0040202D" w:rsidRPr="008B3DE8" w:rsidRDefault="0040202D" w:rsidP="008B1F7F">
      <w:pPr>
        <w:ind w:left="720"/>
        <w:jc w:val="both"/>
        <w:rPr>
          <w:sz w:val="24"/>
          <w:szCs w:val="24"/>
        </w:rPr>
      </w:pPr>
      <w:r w:rsidRPr="008B3DE8">
        <w:rPr>
          <w:sz w:val="24"/>
          <w:szCs w:val="24"/>
        </w:rPr>
        <w:t xml:space="preserve">Using a lookback put option, Longstaff offered an alternative approach for calculating DLOM. The right, but not the responsibility, to "look back" and sell the stock for the highest realized price during the option's term is granted to the holder of a lookback put option. </w:t>
      </w:r>
    </w:p>
    <w:p w14:paraId="43B54CE1" w14:textId="77777777" w:rsidR="0040202D" w:rsidRDefault="0040202D" w:rsidP="008B1F7F">
      <w:pPr>
        <w:jc w:val="both"/>
        <w:rPr>
          <w:sz w:val="24"/>
          <w:szCs w:val="24"/>
        </w:rPr>
      </w:pPr>
    </w:p>
    <w:p w14:paraId="1D532D48" w14:textId="77777777" w:rsidR="0040202D" w:rsidRPr="008B3DE8" w:rsidRDefault="0040202D" w:rsidP="008B1F7F">
      <w:pPr>
        <w:jc w:val="both"/>
        <w:rPr>
          <w:sz w:val="24"/>
          <w:szCs w:val="24"/>
        </w:rPr>
      </w:pPr>
      <w:r w:rsidRPr="008B3DE8">
        <w:rPr>
          <w:sz w:val="24"/>
          <w:szCs w:val="24"/>
        </w:rPr>
        <w:t>Gelman, M. (1972) ‘An Economist Financial Analyst’s Approach to Valuing Stock of a Closely Held Company’, The Journal of Taxation, 36(6), pp. 353-354.</w:t>
      </w:r>
    </w:p>
    <w:p w14:paraId="1AFCD8F5" w14:textId="77777777" w:rsidR="0040202D" w:rsidRPr="008B3DE8" w:rsidRDefault="0040202D" w:rsidP="008B1F7F">
      <w:pPr>
        <w:pStyle w:val="FootnoteText"/>
        <w:ind w:left="720"/>
        <w:jc w:val="both"/>
        <w:rPr>
          <w:rFonts w:ascii="Arial" w:hAnsi="Arial" w:cs="Arial"/>
          <w:sz w:val="24"/>
          <w:szCs w:val="24"/>
        </w:rPr>
      </w:pPr>
    </w:p>
    <w:p w14:paraId="711BF283" w14:textId="77777777" w:rsidR="0040202D" w:rsidRPr="008B3DE8" w:rsidRDefault="0040202D" w:rsidP="008B1F7F">
      <w:pPr>
        <w:ind w:left="720"/>
        <w:jc w:val="both"/>
        <w:rPr>
          <w:sz w:val="24"/>
          <w:szCs w:val="24"/>
        </w:rPr>
      </w:pPr>
      <w:r w:rsidRPr="008B3DE8">
        <w:rPr>
          <w:sz w:val="24"/>
          <w:szCs w:val="24"/>
        </w:rPr>
        <w:t xml:space="preserve">Gelman examined four investment corporations' 1968–1970 purchases of restricted securities. According to Gelman, investment firms purchase the equities straight from the business or, occasionally, from stockholders who are selling their holdings. Restricted securities are typically acquired for a significant discount to freely-marketable securities of the same class as the firm because their transferability is restricted. </w:t>
      </w:r>
    </w:p>
    <w:p w14:paraId="58337EAE" w14:textId="77777777" w:rsidR="0040202D" w:rsidRPr="008B3DE8" w:rsidRDefault="0040202D" w:rsidP="008B1F7F">
      <w:pPr>
        <w:ind w:left="720"/>
        <w:jc w:val="both"/>
        <w:rPr>
          <w:i/>
          <w:iCs/>
          <w:sz w:val="24"/>
          <w:szCs w:val="24"/>
        </w:rPr>
      </w:pPr>
    </w:p>
    <w:p w14:paraId="4A8FB30D" w14:textId="77777777" w:rsidR="0040202D" w:rsidRPr="008B3DE8" w:rsidRDefault="0040202D" w:rsidP="008B1F7F">
      <w:pPr>
        <w:jc w:val="both"/>
        <w:rPr>
          <w:sz w:val="24"/>
          <w:szCs w:val="24"/>
        </w:rPr>
      </w:pPr>
      <w:r w:rsidRPr="008B3DE8">
        <w:rPr>
          <w:sz w:val="24"/>
          <w:szCs w:val="24"/>
        </w:rPr>
        <w:t>Hall, Lance S., and Timothy C. Polacek, “Strategies for Obtaining the Largest Valuation Discounts,” Estate Planning, January/February 1994, pp. 38-44.</w:t>
      </w:r>
    </w:p>
    <w:p w14:paraId="05D4CB66" w14:textId="77777777" w:rsidR="0040202D" w:rsidRPr="008B3DE8" w:rsidRDefault="0040202D" w:rsidP="008B1F7F">
      <w:pPr>
        <w:pStyle w:val="FootnoteText"/>
        <w:ind w:left="720"/>
        <w:jc w:val="both"/>
        <w:rPr>
          <w:rFonts w:ascii="Arial" w:hAnsi="Arial" w:cs="Arial"/>
          <w:sz w:val="24"/>
          <w:szCs w:val="24"/>
        </w:rPr>
      </w:pPr>
    </w:p>
    <w:p w14:paraId="4F8BBB15" w14:textId="77777777" w:rsidR="0040202D" w:rsidRPr="008B3DE8" w:rsidRDefault="0040202D" w:rsidP="008B1F7F">
      <w:pPr>
        <w:ind w:left="720"/>
        <w:jc w:val="both"/>
        <w:rPr>
          <w:sz w:val="24"/>
          <w:szCs w:val="24"/>
        </w:rPr>
      </w:pPr>
      <w:r>
        <w:rPr>
          <w:sz w:val="24"/>
          <w:szCs w:val="24"/>
        </w:rPr>
        <w:t>It</w:t>
      </w:r>
      <w:r w:rsidRPr="008B3DE8">
        <w:rPr>
          <w:sz w:val="24"/>
          <w:szCs w:val="24"/>
        </w:rPr>
        <w:t xml:space="preserve"> reviewed actual Tax Court cases where a DLOM was allowed. The research conducted by Hall and Polacek affirms that the extent of the discount is frequently determined by the amount of the subject company's earnings, revenues, and the exchange on which the unrestricted stock was sold.</w:t>
      </w:r>
    </w:p>
    <w:p w14:paraId="3E94E2DB" w14:textId="77777777" w:rsidR="0040202D" w:rsidRPr="008B3DE8" w:rsidRDefault="0040202D" w:rsidP="008B1F7F">
      <w:pPr>
        <w:spacing w:line="280" w:lineRule="exact"/>
        <w:ind w:left="720"/>
        <w:jc w:val="both"/>
        <w:rPr>
          <w:sz w:val="24"/>
          <w:szCs w:val="24"/>
        </w:rPr>
      </w:pPr>
    </w:p>
    <w:p w14:paraId="70CFB74F" w14:textId="77777777" w:rsidR="0040202D" w:rsidRPr="008B3DE8" w:rsidRDefault="0040202D" w:rsidP="008B1F7F">
      <w:pPr>
        <w:jc w:val="both"/>
        <w:rPr>
          <w:sz w:val="24"/>
          <w:szCs w:val="24"/>
        </w:rPr>
      </w:pPr>
      <w:r w:rsidRPr="008B3DE8">
        <w:rPr>
          <w:sz w:val="24"/>
          <w:szCs w:val="24"/>
        </w:rPr>
        <w:t>Hertzel, M., and Smith, R. L. (1993) ‘Market Discounts and Shareholder Gains for Placing Equity Privately’, The Journal of Finance, 48(2), pp. 459-485.</w:t>
      </w:r>
    </w:p>
    <w:p w14:paraId="6BB8440A" w14:textId="77777777" w:rsidR="0040202D" w:rsidRPr="008B3DE8" w:rsidRDefault="0040202D" w:rsidP="008B1F7F">
      <w:pPr>
        <w:ind w:left="720"/>
        <w:jc w:val="both"/>
        <w:rPr>
          <w:i/>
          <w:iCs/>
          <w:sz w:val="24"/>
          <w:szCs w:val="24"/>
        </w:rPr>
      </w:pPr>
    </w:p>
    <w:p w14:paraId="171714AB" w14:textId="77777777" w:rsidR="0040202D" w:rsidRPr="008B3DE8" w:rsidRDefault="0040202D" w:rsidP="008B1F7F">
      <w:pPr>
        <w:ind w:left="720"/>
        <w:jc w:val="both"/>
        <w:rPr>
          <w:sz w:val="24"/>
          <w:szCs w:val="24"/>
        </w:rPr>
      </w:pPr>
      <w:r w:rsidRPr="008B3DE8">
        <w:rPr>
          <w:sz w:val="24"/>
          <w:szCs w:val="24"/>
        </w:rPr>
        <w:t xml:space="preserve">In order to determine the causes of discounts on private placements and the ensuing aberrant returns, Hertzel and Smith conducted a study on private placements. "While the illiquidity of unregistered shares offers some insight, it is unclear why investors want such significant discounts and why companies are prepared to grant them. </w:t>
      </w:r>
    </w:p>
    <w:p w14:paraId="6B80A049" w14:textId="77777777" w:rsidR="0040202D" w:rsidRPr="008B3DE8" w:rsidRDefault="0040202D" w:rsidP="008B1F7F">
      <w:pPr>
        <w:spacing w:line="280" w:lineRule="exact"/>
        <w:ind w:left="720"/>
        <w:jc w:val="both"/>
        <w:rPr>
          <w:sz w:val="24"/>
          <w:szCs w:val="24"/>
        </w:rPr>
      </w:pPr>
    </w:p>
    <w:p w14:paraId="40920B41" w14:textId="77777777" w:rsidR="0040202D" w:rsidRPr="008B3DE8" w:rsidRDefault="0040202D" w:rsidP="008B1F7F">
      <w:pPr>
        <w:jc w:val="both"/>
        <w:rPr>
          <w:sz w:val="24"/>
          <w:szCs w:val="24"/>
        </w:rPr>
      </w:pPr>
      <w:r w:rsidRPr="008B3DE8">
        <w:rPr>
          <w:sz w:val="24"/>
          <w:szCs w:val="24"/>
        </w:rPr>
        <w:t>Hitchner, et al. (2017) Financial Valuation Applications and Models, 3rd edn. New Jersey: John Wiley &amp; Sons, Inc., pp. 387-389.</w:t>
      </w:r>
    </w:p>
    <w:p w14:paraId="3DC68478" w14:textId="77777777" w:rsidR="0040202D" w:rsidRPr="008B3DE8" w:rsidRDefault="0040202D" w:rsidP="008B1F7F">
      <w:pPr>
        <w:spacing w:line="240" w:lineRule="auto"/>
        <w:ind w:left="720"/>
        <w:jc w:val="both"/>
        <w:rPr>
          <w:rFonts w:eastAsia="Times New Roman"/>
          <w:sz w:val="24"/>
          <w:szCs w:val="24"/>
        </w:rPr>
      </w:pPr>
    </w:p>
    <w:p w14:paraId="03D4D0DB" w14:textId="77777777" w:rsidR="0040202D" w:rsidRPr="008B3DE8" w:rsidRDefault="0040202D" w:rsidP="008B1F7F">
      <w:pPr>
        <w:ind w:left="720"/>
        <w:jc w:val="both"/>
        <w:rPr>
          <w:sz w:val="24"/>
          <w:szCs w:val="24"/>
        </w:rPr>
      </w:pPr>
      <w:r w:rsidRPr="008B3DE8">
        <w:rPr>
          <w:sz w:val="24"/>
          <w:szCs w:val="24"/>
        </w:rPr>
        <w:t xml:space="preserve">In order to ascertain whether the DLOM was higher for transactions that were the furthest from the IPO date, Hitchner/Morris conducted an analysis on the Emory Study data for the period January 1980 through June 1995. </w:t>
      </w:r>
    </w:p>
    <w:p w14:paraId="165D0C32" w14:textId="77777777" w:rsidR="0040202D" w:rsidRPr="008B3DE8" w:rsidRDefault="0040202D" w:rsidP="008B1F7F">
      <w:pPr>
        <w:pStyle w:val="FootnoteText"/>
        <w:ind w:left="720"/>
        <w:jc w:val="both"/>
        <w:rPr>
          <w:rFonts w:ascii="Arial" w:hAnsi="Arial" w:cs="Arial"/>
          <w:sz w:val="24"/>
          <w:szCs w:val="24"/>
        </w:rPr>
      </w:pPr>
    </w:p>
    <w:p w14:paraId="0AA99B35" w14:textId="77777777" w:rsidR="0040202D" w:rsidRPr="008B3DE8" w:rsidRDefault="0040202D" w:rsidP="008B1F7F">
      <w:pPr>
        <w:jc w:val="both"/>
        <w:rPr>
          <w:sz w:val="24"/>
          <w:szCs w:val="24"/>
        </w:rPr>
      </w:pPr>
      <w:r w:rsidRPr="008B3DE8">
        <w:rPr>
          <w:sz w:val="24"/>
          <w:szCs w:val="24"/>
        </w:rPr>
        <w:t>John D. Emory (1997), ‘The Value of Marketability as Illustrated in Initial Public Offerings of Common Stock (Eighth in a Series), November 1995 through April 1997’, Business Valuation Review 16, no. 3 (September 1997): pp. 123–124.</w:t>
      </w:r>
    </w:p>
    <w:p w14:paraId="27B3E6D8" w14:textId="77777777" w:rsidR="0040202D" w:rsidRDefault="0040202D" w:rsidP="008B1F7F">
      <w:pPr>
        <w:ind w:left="720"/>
        <w:jc w:val="both"/>
        <w:rPr>
          <w:sz w:val="24"/>
          <w:szCs w:val="24"/>
        </w:rPr>
      </w:pPr>
    </w:p>
    <w:p w14:paraId="3BABB4DA" w14:textId="77777777" w:rsidR="0040202D" w:rsidRPr="008B3DE8" w:rsidRDefault="0040202D" w:rsidP="008B1F7F">
      <w:pPr>
        <w:ind w:left="720"/>
        <w:jc w:val="both"/>
        <w:rPr>
          <w:sz w:val="24"/>
          <w:szCs w:val="24"/>
        </w:rPr>
      </w:pPr>
      <w:r w:rsidRPr="008B3DE8">
        <w:rPr>
          <w:sz w:val="24"/>
          <w:szCs w:val="24"/>
        </w:rPr>
        <w:t xml:space="preserve">Emory examined the prospectuses for nearly 4,000 transactions to find transactions that happened little more than five months before the IPO for studies spanning the years January 1980 to December 2000. </w:t>
      </w:r>
    </w:p>
    <w:p w14:paraId="4545D481" w14:textId="77777777" w:rsidR="0040202D" w:rsidRPr="008B3DE8" w:rsidRDefault="0040202D" w:rsidP="008B1F7F">
      <w:pPr>
        <w:pStyle w:val="FootnoteText"/>
        <w:ind w:left="720"/>
        <w:jc w:val="both"/>
        <w:rPr>
          <w:rFonts w:ascii="Arial" w:hAnsi="Arial" w:cs="Arial"/>
          <w:sz w:val="24"/>
          <w:szCs w:val="24"/>
        </w:rPr>
      </w:pPr>
    </w:p>
    <w:p w14:paraId="22F63361" w14:textId="77777777" w:rsidR="0040202D" w:rsidRPr="008B3DE8" w:rsidRDefault="0040202D" w:rsidP="008B1F7F">
      <w:pPr>
        <w:jc w:val="both"/>
        <w:rPr>
          <w:sz w:val="24"/>
          <w:szCs w:val="24"/>
        </w:rPr>
      </w:pPr>
      <w:r w:rsidRPr="008B3DE8">
        <w:rPr>
          <w:sz w:val="24"/>
          <w:szCs w:val="24"/>
        </w:rPr>
        <w:t>Johnson, B. A. (1999) Restricted Stock Discounts. Shannon Pratt's Business Valuation Update, 5(3).</w:t>
      </w:r>
    </w:p>
    <w:p w14:paraId="5A1DD3E6" w14:textId="77777777" w:rsidR="0040202D" w:rsidRPr="008B3DE8" w:rsidRDefault="0040202D" w:rsidP="008B1F7F">
      <w:pPr>
        <w:pStyle w:val="FootnoteText"/>
        <w:ind w:left="720"/>
        <w:jc w:val="both"/>
        <w:rPr>
          <w:rFonts w:ascii="Arial" w:hAnsi="Arial" w:cs="Arial"/>
          <w:i/>
          <w:iCs/>
          <w:sz w:val="24"/>
          <w:szCs w:val="24"/>
        </w:rPr>
      </w:pPr>
    </w:p>
    <w:p w14:paraId="4556F938" w14:textId="77777777" w:rsidR="0040202D" w:rsidRPr="008B3DE8" w:rsidRDefault="0040202D" w:rsidP="008B1F7F">
      <w:pPr>
        <w:ind w:left="720"/>
        <w:jc w:val="both"/>
        <w:rPr>
          <w:sz w:val="24"/>
          <w:szCs w:val="24"/>
        </w:rPr>
      </w:pPr>
      <w:r>
        <w:rPr>
          <w:sz w:val="24"/>
          <w:szCs w:val="24"/>
        </w:rPr>
        <w:t>It</w:t>
      </w:r>
      <w:r w:rsidRPr="008B3DE8">
        <w:rPr>
          <w:sz w:val="24"/>
          <w:szCs w:val="24"/>
        </w:rPr>
        <w:t xml:space="preserve"> examined seventy-two private placements that took place between 1991 and 1995. The five years that followed the relaxation of Rule 144 restrictions under Rule 144A, which let eligible institutional investors to trade unregistered securities without registering them, were represented by this era. </w:t>
      </w:r>
    </w:p>
    <w:p w14:paraId="34A3AAF1" w14:textId="77777777" w:rsidR="0040202D" w:rsidRDefault="0040202D" w:rsidP="008B1F7F">
      <w:pPr>
        <w:jc w:val="both"/>
        <w:rPr>
          <w:sz w:val="24"/>
          <w:szCs w:val="24"/>
        </w:rPr>
      </w:pPr>
    </w:p>
    <w:p w14:paraId="05E1B1FA" w14:textId="77777777" w:rsidR="0040202D" w:rsidRDefault="0040202D" w:rsidP="008B1F7F">
      <w:pPr>
        <w:jc w:val="both"/>
        <w:rPr>
          <w:sz w:val="24"/>
          <w:szCs w:val="24"/>
        </w:rPr>
      </w:pPr>
      <w:r w:rsidRPr="00B53A34">
        <w:rPr>
          <w:sz w:val="24"/>
          <w:szCs w:val="24"/>
        </w:rPr>
        <w:t xml:space="preserve">James R. Hitchner </w:t>
      </w:r>
      <w:r>
        <w:rPr>
          <w:sz w:val="24"/>
          <w:szCs w:val="24"/>
        </w:rPr>
        <w:t xml:space="preserve">(2017), </w:t>
      </w:r>
      <w:r w:rsidRPr="00887B43">
        <w:rPr>
          <w:sz w:val="24"/>
          <w:szCs w:val="24"/>
        </w:rPr>
        <w:t>Financial Valuation Applications and Models</w:t>
      </w:r>
      <w:r>
        <w:rPr>
          <w:sz w:val="24"/>
          <w:szCs w:val="24"/>
        </w:rPr>
        <w:t>,</w:t>
      </w:r>
      <w:r w:rsidRPr="00887B43">
        <w:rPr>
          <w:sz w:val="24"/>
          <w:szCs w:val="24"/>
        </w:rPr>
        <w:t xml:space="preserve"> </w:t>
      </w:r>
      <w:r>
        <w:t>4</w:t>
      </w:r>
      <w:r w:rsidRPr="00B53A34">
        <w:rPr>
          <w:vertAlign w:val="superscript"/>
        </w:rPr>
        <w:t>th</w:t>
      </w:r>
      <w:r>
        <w:t xml:space="preserve"> Edn, </w:t>
      </w:r>
      <w:r w:rsidRPr="00B53A34">
        <w:rPr>
          <w:sz w:val="24"/>
          <w:szCs w:val="24"/>
        </w:rPr>
        <w:t>New Jersey</w:t>
      </w:r>
      <w:r>
        <w:rPr>
          <w:sz w:val="24"/>
          <w:szCs w:val="24"/>
        </w:rPr>
        <w:t xml:space="preserve">: </w:t>
      </w:r>
      <w:r w:rsidRPr="00B53A34">
        <w:rPr>
          <w:sz w:val="24"/>
          <w:szCs w:val="24"/>
        </w:rPr>
        <w:t xml:space="preserve">John Wiley &amp; Sons, </w:t>
      </w:r>
      <w:r>
        <w:rPr>
          <w:sz w:val="24"/>
          <w:szCs w:val="24"/>
        </w:rPr>
        <w:t>I</w:t>
      </w:r>
      <w:r w:rsidRPr="00B53A34">
        <w:rPr>
          <w:sz w:val="24"/>
          <w:szCs w:val="24"/>
        </w:rPr>
        <w:t>nc.</w:t>
      </w:r>
      <w:r>
        <w:rPr>
          <w:sz w:val="24"/>
          <w:szCs w:val="24"/>
        </w:rPr>
        <w:t xml:space="preserve"> pp. 392-493.</w:t>
      </w:r>
    </w:p>
    <w:p w14:paraId="3E756FCE" w14:textId="77777777" w:rsidR="0040202D" w:rsidRDefault="0040202D" w:rsidP="008B1F7F">
      <w:pPr>
        <w:jc w:val="both"/>
        <w:rPr>
          <w:sz w:val="24"/>
          <w:szCs w:val="24"/>
        </w:rPr>
      </w:pPr>
    </w:p>
    <w:p w14:paraId="3A4EFD37" w14:textId="77777777" w:rsidR="0040202D" w:rsidRDefault="0040202D" w:rsidP="008B1F7F">
      <w:pPr>
        <w:ind w:left="720"/>
        <w:jc w:val="both"/>
        <w:rPr>
          <w:sz w:val="24"/>
          <w:szCs w:val="24"/>
        </w:rPr>
      </w:pPr>
      <w:r w:rsidRPr="00887B43">
        <w:rPr>
          <w:sz w:val="24"/>
          <w:szCs w:val="24"/>
        </w:rPr>
        <w:t>It gives an overview of research that supports discounts for unmarketability and talks about what kinds of underlying income streams these discounts would apply to.</w:t>
      </w:r>
    </w:p>
    <w:p w14:paraId="0354F67C" w14:textId="77777777" w:rsidR="0040202D" w:rsidRDefault="0040202D" w:rsidP="008B1F7F">
      <w:pPr>
        <w:jc w:val="both"/>
        <w:rPr>
          <w:sz w:val="24"/>
          <w:szCs w:val="24"/>
        </w:rPr>
      </w:pPr>
    </w:p>
    <w:p w14:paraId="6D809BCE" w14:textId="77777777" w:rsidR="0040202D" w:rsidRDefault="0040202D" w:rsidP="008B1F7F">
      <w:pPr>
        <w:jc w:val="both"/>
        <w:rPr>
          <w:sz w:val="24"/>
          <w:szCs w:val="24"/>
        </w:rPr>
      </w:pPr>
      <w:r w:rsidRPr="00B53A34">
        <w:rPr>
          <w:sz w:val="24"/>
          <w:szCs w:val="24"/>
        </w:rPr>
        <w:t xml:space="preserve">James R. Hitchner </w:t>
      </w:r>
      <w:r>
        <w:rPr>
          <w:sz w:val="24"/>
          <w:szCs w:val="24"/>
        </w:rPr>
        <w:t xml:space="preserve">(2017) </w:t>
      </w:r>
      <w:r w:rsidRPr="00CA7C03">
        <w:rPr>
          <w:sz w:val="24"/>
          <w:szCs w:val="24"/>
        </w:rPr>
        <w:t>Financial Valuation Workbook</w:t>
      </w:r>
      <w:r>
        <w:rPr>
          <w:sz w:val="24"/>
          <w:szCs w:val="24"/>
        </w:rPr>
        <w:t>,</w:t>
      </w:r>
      <w:r w:rsidRPr="00B53A34">
        <w:t xml:space="preserve"> </w:t>
      </w:r>
      <w:r>
        <w:t>4</w:t>
      </w:r>
      <w:r w:rsidRPr="00B53A34">
        <w:rPr>
          <w:vertAlign w:val="superscript"/>
        </w:rPr>
        <w:t>th</w:t>
      </w:r>
      <w:r>
        <w:t xml:space="preserve"> Edn, </w:t>
      </w:r>
      <w:r w:rsidRPr="00B53A34">
        <w:rPr>
          <w:sz w:val="24"/>
          <w:szCs w:val="24"/>
        </w:rPr>
        <w:t>New Jersey</w:t>
      </w:r>
      <w:r>
        <w:rPr>
          <w:sz w:val="24"/>
          <w:szCs w:val="24"/>
        </w:rPr>
        <w:t xml:space="preserve">: </w:t>
      </w:r>
      <w:r w:rsidRPr="00B53A34">
        <w:rPr>
          <w:sz w:val="24"/>
          <w:szCs w:val="24"/>
        </w:rPr>
        <w:t xml:space="preserve">John Wiley &amp; Sons, </w:t>
      </w:r>
      <w:r>
        <w:rPr>
          <w:sz w:val="24"/>
          <w:szCs w:val="24"/>
        </w:rPr>
        <w:t>I</w:t>
      </w:r>
      <w:r w:rsidRPr="00B53A34">
        <w:rPr>
          <w:sz w:val="24"/>
          <w:szCs w:val="24"/>
        </w:rPr>
        <w:t>nc.</w:t>
      </w:r>
    </w:p>
    <w:p w14:paraId="79E626D8" w14:textId="77777777" w:rsidR="0040202D" w:rsidRDefault="0040202D" w:rsidP="008B1F7F">
      <w:pPr>
        <w:jc w:val="both"/>
        <w:rPr>
          <w:sz w:val="24"/>
          <w:szCs w:val="24"/>
        </w:rPr>
      </w:pPr>
    </w:p>
    <w:p w14:paraId="0D6D2ABA" w14:textId="77777777" w:rsidR="0040202D" w:rsidRPr="008B3DE8" w:rsidRDefault="0040202D" w:rsidP="008B1F7F">
      <w:pPr>
        <w:pStyle w:val="FootnoteText"/>
        <w:ind w:left="720"/>
        <w:jc w:val="both"/>
        <w:rPr>
          <w:rFonts w:ascii="Arial" w:hAnsi="Arial" w:cs="Arial"/>
          <w:sz w:val="24"/>
          <w:szCs w:val="24"/>
        </w:rPr>
      </w:pPr>
      <w:r w:rsidRPr="00B53A34">
        <w:rPr>
          <w:sz w:val="24"/>
          <w:szCs w:val="24"/>
        </w:rPr>
        <w:t>This book includes valuation techniques that professionals can use to prepare business valuations and discount for lack of marketability, as well as educational exercises that walk the reader through a thorough business valuation.</w:t>
      </w:r>
    </w:p>
    <w:p w14:paraId="300CD798" w14:textId="77777777" w:rsidR="0040202D" w:rsidRPr="008B3DE8" w:rsidRDefault="0040202D" w:rsidP="008B1F7F">
      <w:pPr>
        <w:spacing w:line="240" w:lineRule="auto"/>
        <w:jc w:val="both"/>
        <w:rPr>
          <w:rFonts w:eastAsia="Times New Roman"/>
          <w:sz w:val="24"/>
          <w:szCs w:val="24"/>
        </w:rPr>
      </w:pPr>
    </w:p>
    <w:p w14:paraId="77B7BAA2" w14:textId="77777777" w:rsidR="0040202D" w:rsidRDefault="0040202D" w:rsidP="008B1F7F">
      <w:pPr>
        <w:jc w:val="both"/>
        <w:rPr>
          <w:sz w:val="24"/>
          <w:szCs w:val="24"/>
        </w:rPr>
      </w:pPr>
    </w:p>
    <w:p w14:paraId="5E7FBF94" w14:textId="77777777" w:rsidR="0040202D" w:rsidRPr="004F59F5" w:rsidRDefault="0040202D" w:rsidP="008B1F7F">
      <w:pPr>
        <w:jc w:val="both"/>
        <w:rPr>
          <w:sz w:val="24"/>
          <w:szCs w:val="24"/>
        </w:rPr>
      </w:pPr>
      <w:r w:rsidRPr="004F59F5">
        <w:rPr>
          <w:sz w:val="24"/>
          <w:szCs w:val="24"/>
        </w:rPr>
        <w:t>Johan Van den Cruijce (2022) ‘Determinants of the Discount</w:t>
      </w:r>
      <w:r>
        <w:rPr>
          <w:sz w:val="24"/>
          <w:szCs w:val="24"/>
        </w:rPr>
        <w:t xml:space="preserve"> </w:t>
      </w:r>
      <w:r w:rsidRPr="004F59F5">
        <w:rPr>
          <w:sz w:val="24"/>
          <w:szCs w:val="24"/>
        </w:rPr>
        <w:t xml:space="preserve">for Lack of Marketability’, </w:t>
      </w:r>
      <w:r w:rsidRPr="004F59F5">
        <w:rPr>
          <w:i/>
          <w:iCs/>
          <w:sz w:val="24"/>
          <w:szCs w:val="24"/>
        </w:rPr>
        <w:t>The European Business Valuation Magazine</w:t>
      </w:r>
      <w:r w:rsidRPr="004F59F5">
        <w:rPr>
          <w:sz w:val="24"/>
          <w:szCs w:val="24"/>
        </w:rPr>
        <w:t>, 1 (2), pp. 4-11</w:t>
      </w:r>
    </w:p>
    <w:p w14:paraId="65E56BCD" w14:textId="77777777" w:rsidR="0040202D" w:rsidRDefault="0040202D" w:rsidP="008B1F7F">
      <w:pPr>
        <w:jc w:val="both"/>
        <w:rPr>
          <w:b/>
          <w:bCs/>
          <w:sz w:val="24"/>
          <w:szCs w:val="24"/>
          <w:lang w:val="en-US"/>
        </w:rPr>
      </w:pPr>
    </w:p>
    <w:p w14:paraId="2D658BEA" w14:textId="77777777" w:rsidR="0040202D" w:rsidRDefault="0040202D" w:rsidP="008B1F7F">
      <w:pPr>
        <w:ind w:left="720"/>
        <w:jc w:val="both"/>
        <w:rPr>
          <w:sz w:val="24"/>
          <w:szCs w:val="24"/>
        </w:rPr>
      </w:pPr>
      <w:r w:rsidRPr="00957EFB">
        <w:rPr>
          <w:sz w:val="24"/>
          <w:szCs w:val="24"/>
        </w:rPr>
        <w:t>He provide evidence of factors that contribute to a more accurate approach and demonstrate how the industry practice of using average DLOMs to value any private company produces inaccurate results.</w:t>
      </w:r>
    </w:p>
    <w:p w14:paraId="2BB54DD3" w14:textId="77777777" w:rsidR="0040202D" w:rsidRPr="008B3DE8" w:rsidRDefault="0040202D" w:rsidP="008B1F7F">
      <w:pPr>
        <w:pStyle w:val="FootnoteText"/>
        <w:ind w:left="720"/>
        <w:jc w:val="both"/>
        <w:rPr>
          <w:rFonts w:ascii="Arial" w:hAnsi="Arial" w:cs="Arial"/>
          <w:sz w:val="24"/>
          <w:szCs w:val="24"/>
        </w:rPr>
      </w:pPr>
    </w:p>
    <w:p w14:paraId="65776BDF" w14:textId="77777777" w:rsidR="0040202D" w:rsidRPr="008B3DE8" w:rsidRDefault="0040202D" w:rsidP="008B1F7F">
      <w:pPr>
        <w:jc w:val="both"/>
        <w:rPr>
          <w:sz w:val="24"/>
          <w:szCs w:val="24"/>
        </w:rPr>
      </w:pPr>
      <w:r w:rsidRPr="008B3DE8">
        <w:rPr>
          <w:sz w:val="24"/>
          <w:szCs w:val="24"/>
        </w:rPr>
        <w:t>Karen H. Wruck (1989) ‘Equity Ownership Concentration and Firm Value’, The Journal of Financial Economics, 23(1989), pp. 3–28.</w:t>
      </w:r>
    </w:p>
    <w:p w14:paraId="31722A25" w14:textId="77777777" w:rsidR="0040202D" w:rsidRPr="008B3DE8" w:rsidRDefault="0040202D" w:rsidP="008B1F7F">
      <w:pPr>
        <w:spacing w:line="280" w:lineRule="exact"/>
        <w:ind w:left="720"/>
        <w:jc w:val="both"/>
        <w:rPr>
          <w:sz w:val="24"/>
          <w:szCs w:val="24"/>
        </w:rPr>
      </w:pPr>
    </w:p>
    <w:p w14:paraId="03C7A902" w14:textId="77777777" w:rsidR="0040202D" w:rsidRDefault="0040202D" w:rsidP="008B1F7F">
      <w:pPr>
        <w:ind w:left="720"/>
        <w:jc w:val="both"/>
        <w:rPr>
          <w:sz w:val="24"/>
          <w:szCs w:val="24"/>
        </w:rPr>
      </w:pPr>
      <w:r w:rsidRPr="008B3DE8">
        <w:rPr>
          <w:sz w:val="24"/>
          <w:szCs w:val="24"/>
        </w:rPr>
        <w:t>Dr. Wruck looked into the impact of ownership concentration on the value of the company as well as the reasons behind the typical anomalous return that comes from the news of a private equity sale as opposed to the negative</w:t>
      </w:r>
    </w:p>
    <w:p w14:paraId="1DAB63DB" w14:textId="77777777" w:rsidR="0040202D" w:rsidRPr="008B3DE8" w:rsidRDefault="0040202D" w:rsidP="008B1F7F">
      <w:pPr>
        <w:pStyle w:val="FootnoteText"/>
        <w:ind w:left="720"/>
        <w:jc w:val="both"/>
        <w:rPr>
          <w:rFonts w:ascii="Arial" w:hAnsi="Arial" w:cs="Arial"/>
          <w:sz w:val="24"/>
          <w:szCs w:val="24"/>
        </w:rPr>
      </w:pPr>
    </w:p>
    <w:p w14:paraId="53228FE4" w14:textId="77777777" w:rsidR="0040202D" w:rsidRPr="008B3DE8" w:rsidRDefault="0040202D" w:rsidP="008B1F7F">
      <w:pPr>
        <w:jc w:val="both"/>
        <w:rPr>
          <w:rFonts w:eastAsia="Times New Roman"/>
          <w:sz w:val="24"/>
          <w:szCs w:val="24"/>
        </w:rPr>
      </w:pPr>
      <w:r w:rsidRPr="008B3DE8">
        <w:rPr>
          <w:sz w:val="24"/>
          <w:szCs w:val="24"/>
        </w:rPr>
        <w:t>Kathryn F. Aschwald (2000) ‘Restricted Stock Discounts Decline as Result of 1-Year Holding Period – Studies After 1990 “No Longer Relevant” for Lack of Market ability Discounts’, Shannon Pratt’s Business Valuation Update 6, no. 5 (May 2000), pp. 1-5.</w:t>
      </w:r>
      <w:r w:rsidRPr="008B3DE8">
        <w:rPr>
          <w:sz w:val="24"/>
          <w:szCs w:val="24"/>
        </w:rPr>
        <w:br/>
      </w:r>
    </w:p>
    <w:p w14:paraId="6FF6F4AB" w14:textId="77777777" w:rsidR="0040202D" w:rsidRPr="008B3DE8" w:rsidRDefault="0040202D" w:rsidP="008B1F7F">
      <w:pPr>
        <w:ind w:left="720"/>
        <w:jc w:val="both"/>
        <w:rPr>
          <w:sz w:val="24"/>
          <w:szCs w:val="24"/>
        </w:rPr>
      </w:pPr>
      <w:r w:rsidRPr="008B3DE8">
        <w:rPr>
          <w:sz w:val="24"/>
          <w:szCs w:val="24"/>
        </w:rPr>
        <w:t>For the indicated periods, only private equity placements were analysed in the two studies. The value of the stock swapped in acquisitions is determined by the two studies using long restriction periods and economic variables unique to the Company.</w:t>
      </w:r>
    </w:p>
    <w:p w14:paraId="701531F7" w14:textId="77777777" w:rsidR="0040202D" w:rsidRDefault="0040202D" w:rsidP="008B1F7F">
      <w:pPr>
        <w:jc w:val="both"/>
        <w:rPr>
          <w:sz w:val="24"/>
          <w:szCs w:val="24"/>
        </w:rPr>
      </w:pPr>
    </w:p>
    <w:p w14:paraId="782AB5A8" w14:textId="77777777" w:rsidR="0040202D" w:rsidRPr="008B3DE8" w:rsidRDefault="0040202D" w:rsidP="008B1F7F">
      <w:pPr>
        <w:jc w:val="both"/>
        <w:rPr>
          <w:sz w:val="24"/>
          <w:szCs w:val="24"/>
        </w:rPr>
      </w:pPr>
      <w:r w:rsidRPr="008B3DE8">
        <w:rPr>
          <w:sz w:val="24"/>
          <w:szCs w:val="24"/>
        </w:rPr>
        <w:t>Kim van Oeveren (2018) The Private Company Discount- An acquisition study on private firms within the US, Master Thesis, Tilburg University</w:t>
      </w:r>
    </w:p>
    <w:p w14:paraId="1987E1A6" w14:textId="77777777" w:rsidR="0040202D" w:rsidRPr="008B3DE8" w:rsidRDefault="0040202D" w:rsidP="008B1F7F">
      <w:pPr>
        <w:ind w:left="720"/>
        <w:jc w:val="both"/>
        <w:rPr>
          <w:sz w:val="24"/>
          <w:szCs w:val="24"/>
        </w:rPr>
      </w:pPr>
    </w:p>
    <w:p w14:paraId="0CE85B46" w14:textId="77777777" w:rsidR="0040202D" w:rsidRPr="008B3DE8" w:rsidRDefault="0040202D" w:rsidP="008B1F7F">
      <w:pPr>
        <w:ind w:left="720"/>
        <w:jc w:val="both"/>
        <w:rPr>
          <w:sz w:val="24"/>
          <w:szCs w:val="24"/>
        </w:rPr>
      </w:pPr>
      <w:r w:rsidRPr="008B3DE8">
        <w:rPr>
          <w:sz w:val="24"/>
          <w:szCs w:val="24"/>
        </w:rPr>
        <w:t xml:space="preserve">The sample takes into account all domestic M&amp;A deals that were done in the US between 1985 and 2017. The SDC Platinum database is where the data came from. All completed deals up to 31/12/2017 are included. It only took into account deals that have disclosed value. </w:t>
      </w:r>
    </w:p>
    <w:p w14:paraId="49024839" w14:textId="77777777" w:rsidR="0040202D" w:rsidRDefault="0040202D" w:rsidP="008B1F7F">
      <w:pPr>
        <w:jc w:val="both"/>
        <w:rPr>
          <w:sz w:val="24"/>
          <w:szCs w:val="24"/>
        </w:rPr>
      </w:pPr>
    </w:p>
    <w:p w14:paraId="77998A98" w14:textId="77777777" w:rsidR="0040202D" w:rsidRPr="008B3DE8" w:rsidRDefault="0040202D" w:rsidP="008B1F7F">
      <w:pPr>
        <w:jc w:val="both"/>
        <w:rPr>
          <w:sz w:val="24"/>
          <w:szCs w:val="24"/>
        </w:rPr>
      </w:pPr>
      <w:r w:rsidRPr="008B3DE8">
        <w:rPr>
          <w:sz w:val="24"/>
          <w:szCs w:val="24"/>
        </w:rPr>
        <w:t>Koeplin, J., Sarin, A., &amp; Shapiro, A. C. (2000) ‘The Private Company Discount’, The Journal of Applied Corporate Finance, 12(4)</w:t>
      </w:r>
    </w:p>
    <w:p w14:paraId="5866EBE4" w14:textId="77777777" w:rsidR="0040202D" w:rsidRPr="008B3DE8" w:rsidRDefault="0040202D" w:rsidP="008B1F7F">
      <w:pPr>
        <w:ind w:left="720"/>
        <w:jc w:val="both"/>
        <w:rPr>
          <w:sz w:val="24"/>
          <w:szCs w:val="24"/>
        </w:rPr>
      </w:pPr>
    </w:p>
    <w:p w14:paraId="7F7481A3" w14:textId="77777777" w:rsidR="0040202D" w:rsidRPr="008B3DE8" w:rsidRDefault="0040202D" w:rsidP="008B1F7F">
      <w:pPr>
        <w:ind w:left="720"/>
        <w:jc w:val="both"/>
        <w:rPr>
          <w:sz w:val="24"/>
          <w:szCs w:val="24"/>
        </w:rPr>
      </w:pPr>
      <w:r>
        <w:rPr>
          <w:sz w:val="24"/>
          <w:szCs w:val="24"/>
        </w:rPr>
        <w:t>It</w:t>
      </w:r>
      <w:r w:rsidRPr="008B3DE8">
        <w:rPr>
          <w:sz w:val="24"/>
          <w:szCs w:val="24"/>
        </w:rPr>
        <w:t xml:space="preserve"> shows matching pairs of transactions for acquisitions made between 1984 and 1998. These are made by finding a public business transaction for every purchase made by a private company during that time frame. </w:t>
      </w:r>
    </w:p>
    <w:p w14:paraId="339E3510" w14:textId="77777777" w:rsidR="0040202D" w:rsidRPr="008B3DE8" w:rsidRDefault="0040202D" w:rsidP="008B1F7F">
      <w:pPr>
        <w:pStyle w:val="FootnoteText"/>
        <w:ind w:left="720"/>
        <w:jc w:val="both"/>
        <w:rPr>
          <w:rFonts w:ascii="Arial" w:hAnsi="Arial" w:cs="Arial"/>
          <w:sz w:val="24"/>
          <w:szCs w:val="24"/>
        </w:rPr>
      </w:pPr>
    </w:p>
    <w:p w14:paraId="5766818D" w14:textId="77777777" w:rsidR="0040202D" w:rsidRPr="008B3DE8" w:rsidRDefault="0040202D" w:rsidP="008B1F7F">
      <w:pPr>
        <w:jc w:val="both"/>
        <w:rPr>
          <w:sz w:val="24"/>
          <w:szCs w:val="24"/>
        </w:rPr>
      </w:pPr>
      <w:r w:rsidRPr="008B3DE8">
        <w:rPr>
          <w:sz w:val="24"/>
          <w:szCs w:val="24"/>
        </w:rPr>
        <w:t>Kooli, M., Kortas, M., &amp; L'Her, J.-F. (2003) ‘A New Examination of the Private Company Discount: The Acquisition Approach’, The Journal of Private Equity</w:t>
      </w:r>
    </w:p>
    <w:p w14:paraId="1284D6CA" w14:textId="77777777" w:rsidR="0040202D" w:rsidRPr="008B3DE8" w:rsidRDefault="0040202D" w:rsidP="008B1F7F">
      <w:pPr>
        <w:pStyle w:val="FootnoteText"/>
        <w:ind w:left="720"/>
        <w:jc w:val="both"/>
        <w:rPr>
          <w:rFonts w:ascii="Arial" w:hAnsi="Arial" w:cs="Arial"/>
          <w:i/>
          <w:iCs/>
          <w:sz w:val="24"/>
          <w:szCs w:val="24"/>
        </w:rPr>
      </w:pPr>
    </w:p>
    <w:p w14:paraId="0D30D1B0" w14:textId="77777777" w:rsidR="0040202D" w:rsidRPr="008B3DE8" w:rsidRDefault="0040202D" w:rsidP="008B1F7F">
      <w:pPr>
        <w:ind w:left="720"/>
        <w:jc w:val="both"/>
        <w:rPr>
          <w:sz w:val="24"/>
          <w:szCs w:val="24"/>
        </w:rPr>
      </w:pPr>
      <w:r w:rsidRPr="008B3DE8">
        <w:rPr>
          <w:sz w:val="24"/>
          <w:szCs w:val="24"/>
        </w:rPr>
        <w:t xml:space="preserve">A study conducted in 2003 by Kooli was based on a sample of 331 private firm transactions that occurred between 1995 and 2002 and were found through a search of the SDC and Done Deals databases. It's interesting that Kooli did not leave out financial firms. </w:t>
      </w:r>
    </w:p>
    <w:p w14:paraId="24E8F94C" w14:textId="77777777" w:rsidR="0040202D" w:rsidRDefault="0040202D" w:rsidP="008B1F7F">
      <w:pPr>
        <w:ind w:left="720"/>
        <w:jc w:val="both"/>
        <w:rPr>
          <w:sz w:val="24"/>
          <w:szCs w:val="24"/>
        </w:rPr>
      </w:pPr>
    </w:p>
    <w:p w14:paraId="18B0A078" w14:textId="77777777" w:rsidR="0040202D" w:rsidRDefault="0040202D" w:rsidP="008B1F7F">
      <w:pPr>
        <w:jc w:val="both"/>
        <w:rPr>
          <w:sz w:val="24"/>
          <w:szCs w:val="24"/>
        </w:rPr>
      </w:pPr>
      <w:r w:rsidRPr="009C4EB9">
        <w:rPr>
          <w:sz w:val="24"/>
          <w:szCs w:val="24"/>
        </w:rPr>
        <w:t>Leslie Rodríguez-Valencia</w:t>
      </w:r>
      <w:r w:rsidRPr="009C4EB9">
        <w:rPr>
          <w:rFonts w:hint="eastAsia"/>
          <w:sz w:val="24"/>
          <w:szCs w:val="24"/>
        </w:rPr>
        <w:t xml:space="preserve">, </w:t>
      </w:r>
      <w:r w:rsidRPr="009C4EB9">
        <w:rPr>
          <w:sz w:val="24"/>
          <w:szCs w:val="24"/>
        </w:rPr>
        <w:t>Prosper Lamothe-Fernández</w:t>
      </w:r>
      <w:r w:rsidRPr="009C4EB9">
        <w:rPr>
          <w:rFonts w:hint="eastAsia"/>
          <w:sz w:val="24"/>
          <w:szCs w:val="24"/>
        </w:rPr>
        <w:t xml:space="preserve">, and </w:t>
      </w:r>
      <w:r w:rsidRPr="009C4EB9">
        <w:rPr>
          <w:sz w:val="24"/>
          <w:szCs w:val="24"/>
        </w:rPr>
        <w:t>David Alaminos</w:t>
      </w:r>
      <w:r>
        <w:rPr>
          <w:rFonts w:hint="eastAsia"/>
          <w:sz w:val="24"/>
          <w:szCs w:val="24"/>
        </w:rPr>
        <w:t xml:space="preserve"> (2023) </w:t>
      </w:r>
    </w:p>
    <w:p w14:paraId="4B08D67D" w14:textId="77777777" w:rsidR="0040202D" w:rsidRDefault="0040202D" w:rsidP="008B1F7F">
      <w:pPr>
        <w:jc w:val="both"/>
        <w:rPr>
          <w:sz w:val="24"/>
          <w:szCs w:val="24"/>
        </w:rPr>
      </w:pPr>
    </w:p>
    <w:p w14:paraId="2D194A69" w14:textId="77777777" w:rsidR="0040202D" w:rsidRDefault="0040202D" w:rsidP="008B1F7F">
      <w:pPr>
        <w:ind w:left="720"/>
        <w:jc w:val="both"/>
        <w:rPr>
          <w:sz w:val="24"/>
          <w:szCs w:val="24"/>
        </w:rPr>
      </w:pPr>
      <w:r w:rsidRPr="009C4EB9">
        <w:rPr>
          <w:sz w:val="24"/>
          <w:szCs w:val="24"/>
        </w:rPr>
        <w:t xml:space="preserve">Through the use of a comparable multiples technique and a private discount approach that incorporates value estimates derived from discounted cash flow predictions, this study seeks to compare the market values of small and medium-sized enterprises (SMEs) that are publicly listed and those that are privately held in alternative stock exchanges. </w:t>
      </w:r>
    </w:p>
    <w:p w14:paraId="3E485F2F" w14:textId="77777777" w:rsidR="0040202D" w:rsidRPr="008B3DE8" w:rsidRDefault="0040202D" w:rsidP="008B1F7F">
      <w:pPr>
        <w:pStyle w:val="FootnoteText"/>
        <w:ind w:left="720"/>
        <w:jc w:val="both"/>
        <w:rPr>
          <w:rFonts w:ascii="Arial" w:hAnsi="Arial" w:cs="Arial"/>
          <w:sz w:val="24"/>
          <w:szCs w:val="24"/>
        </w:rPr>
      </w:pPr>
    </w:p>
    <w:p w14:paraId="79785B06" w14:textId="77777777" w:rsidR="0040202D" w:rsidRPr="008B3DE8" w:rsidRDefault="0040202D" w:rsidP="008B1F7F">
      <w:pPr>
        <w:jc w:val="both"/>
        <w:rPr>
          <w:sz w:val="24"/>
          <w:szCs w:val="24"/>
        </w:rPr>
      </w:pPr>
      <w:r w:rsidRPr="008B3DE8">
        <w:rPr>
          <w:sz w:val="24"/>
          <w:szCs w:val="24"/>
        </w:rPr>
        <w:t>Maher, J. Michael (1976) ‘Discounts for Lack of Marketability for Closely Held Business Interests’, Taxes – The Tax Magazine, pp. 562-571.</w:t>
      </w:r>
    </w:p>
    <w:p w14:paraId="1948E3ED" w14:textId="77777777" w:rsidR="0040202D" w:rsidRPr="008B3DE8" w:rsidRDefault="0040202D" w:rsidP="008B1F7F">
      <w:pPr>
        <w:pStyle w:val="FootnoteText"/>
        <w:ind w:left="720"/>
        <w:jc w:val="both"/>
        <w:rPr>
          <w:rFonts w:ascii="Arial" w:hAnsi="Arial" w:cs="Arial"/>
          <w:sz w:val="24"/>
          <w:szCs w:val="24"/>
        </w:rPr>
      </w:pPr>
    </w:p>
    <w:p w14:paraId="1C5CC08F" w14:textId="77777777" w:rsidR="0040202D" w:rsidRPr="008B3DE8" w:rsidRDefault="0040202D" w:rsidP="008B1F7F">
      <w:pPr>
        <w:ind w:left="720"/>
        <w:jc w:val="both"/>
        <w:rPr>
          <w:sz w:val="24"/>
          <w:szCs w:val="24"/>
        </w:rPr>
      </w:pPr>
      <w:r>
        <w:rPr>
          <w:sz w:val="24"/>
          <w:szCs w:val="24"/>
        </w:rPr>
        <w:t>It</w:t>
      </w:r>
      <w:r w:rsidRPr="008B3DE8">
        <w:rPr>
          <w:sz w:val="24"/>
          <w:szCs w:val="24"/>
        </w:rPr>
        <w:t xml:space="preserve"> conducted a further well-researched analysis, which was published in Taxes, on the lack of marketability discounts for closely held business ownership interests. Maher's analytical approach was comparable to Moroney's in that it contrasted the market prices of limited equities with the prices paid for stocks that were not restricted. </w:t>
      </w:r>
    </w:p>
    <w:p w14:paraId="2D53F00A" w14:textId="77777777" w:rsidR="0040202D" w:rsidRDefault="0040202D" w:rsidP="008B1F7F">
      <w:pPr>
        <w:jc w:val="both"/>
        <w:rPr>
          <w:sz w:val="24"/>
          <w:szCs w:val="24"/>
        </w:rPr>
      </w:pPr>
    </w:p>
    <w:p w14:paraId="082C6B0E" w14:textId="77777777" w:rsidR="0040202D" w:rsidRPr="008B3DE8" w:rsidRDefault="0040202D" w:rsidP="008B1F7F">
      <w:pPr>
        <w:jc w:val="both"/>
        <w:rPr>
          <w:sz w:val="24"/>
          <w:szCs w:val="24"/>
        </w:rPr>
      </w:pPr>
      <w:r w:rsidRPr="008B3DE8">
        <w:rPr>
          <w:sz w:val="24"/>
          <w:szCs w:val="24"/>
        </w:rPr>
        <w:t xml:space="preserve">Mercer (2020) </w:t>
      </w:r>
      <w:r w:rsidRPr="008B3DE8">
        <w:rPr>
          <w:i/>
          <w:iCs/>
          <w:sz w:val="24"/>
          <w:szCs w:val="24"/>
        </w:rPr>
        <w:t>Business Valuation: An Integrated Theory</w:t>
      </w:r>
      <w:r w:rsidRPr="008B3DE8">
        <w:rPr>
          <w:sz w:val="24"/>
          <w:szCs w:val="24"/>
        </w:rPr>
        <w:t>, 3rd edn, New Jersey: John Wiley &amp; Sons, Inc. pp. 175-176</w:t>
      </w:r>
    </w:p>
    <w:p w14:paraId="2B13AD23" w14:textId="77777777" w:rsidR="0040202D" w:rsidRPr="008B3DE8" w:rsidRDefault="0040202D" w:rsidP="008B1F7F">
      <w:pPr>
        <w:ind w:left="720"/>
        <w:jc w:val="both"/>
        <w:rPr>
          <w:sz w:val="24"/>
          <w:szCs w:val="24"/>
        </w:rPr>
      </w:pPr>
    </w:p>
    <w:p w14:paraId="2CE5E245" w14:textId="77777777" w:rsidR="0040202D" w:rsidRPr="008B3DE8" w:rsidRDefault="0040202D" w:rsidP="008B1F7F">
      <w:pPr>
        <w:ind w:left="720"/>
        <w:jc w:val="both"/>
        <w:rPr>
          <w:sz w:val="24"/>
          <w:szCs w:val="24"/>
        </w:rPr>
      </w:pPr>
      <w:r w:rsidRPr="008B3DE8">
        <w:rPr>
          <w:sz w:val="24"/>
          <w:szCs w:val="24"/>
        </w:rPr>
        <w:t>Mercer’s QMDM is a shareholder-level cash flow model. All the discounted cash flow inputs in QMDM, however, are customized to take into account the interests of private company owners, such as the long-term growth rate, discount rate, and distribution of dividends.</w:t>
      </w:r>
    </w:p>
    <w:p w14:paraId="0A2640A5" w14:textId="77777777" w:rsidR="0040202D" w:rsidRDefault="0040202D" w:rsidP="008B1F7F">
      <w:pPr>
        <w:jc w:val="both"/>
        <w:rPr>
          <w:sz w:val="24"/>
          <w:szCs w:val="24"/>
        </w:rPr>
      </w:pPr>
    </w:p>
    <w:p w14:paraId="788AA9AB" w14:textId="77777777" w:rsidR="0040202D" w:rsidRDefault="0040202D" w:rsidP="008B1F7F">
      <w:pPr>
        <w:jc w:val="both"/>
        <w:rPr>
          <w:sz w:val="24"/>
          <w:szCs w:val="24"/>
        </w:rPr>
      </w:pPr>
      <w:r w:rsidRPr="009737E6">
        <w:rPr>
          <w:sz w:val="24"/>
          <w:szCs w:val="24"/>
        </w:rPr>
        <w:t>Michael Gregory</w:t>
      </w:r>
      <w:r>
        <w:rPr>
          <w:rFonts w:hint="eastAsia"/>
          <w:sz w:val="24"/>
          <w:szCs w:val="24"/>
        </w:rPr>
        <w:t xml:space="preserve"> (2024)</w:t>
      </w:r>
      <w:r w:rsidRPr="009737E6">
        <w:rPr>
          <w:sz w:val="24"/>
          <w:szCs w:val="24"/>
        </w:rPr>
        <w:t xml:space="preserve"> ‘Gregory Reveals What’s Going on With</w:t>
      </w:r>
      <w:r>
        <w:rPr>
          <w:rFonts w:hint="eastAsia"/>
          <w:sz w:val="24"/>
          <w:szCs w:val="24"/>
        </w:rPr>
        <w:t xml:space="preserve"> </w:t>
      </w:r>
      <w:r w:rsidRPr="009737E6">
        <w:rPr>
          <w:sz w:val="24"/>
          <w:szCs w:val="24"/>
        </w:rPr>
        <w:t>the IRS and Tax Valuations’</w:t>
      </w:r>
      <w:r>
        <w:rPr>
          <w:rFonts w:hint="eastAsia"/>
          <w:b/>
          <w:bCs/>
          <w:sz w:val="24"/>
          <w:szCs w:val="24"/>
        </w:rPr>
        <w:t>,</w:t>
      </w:r>
      <w:r w:rsidRPr="009737E6">
        <w:rPr>
          <w:sz w:val="24"/>
          <w:szCs w:val="24"/>
        </w:rPr>
        <w:t xml:space="preserve"> </w:t>
      </w:r>
      <w:r>
        <w:rPr>
          <w:rFonts w:hint="eastAsia"/>
          <w:sz w:val="24"/>
          <w:szCs w:val="24"/>
        </w:rPr>
        <w:t xml:space="preserve"> </w:t>
      </w:r>
      <w:r w:rsidRPr="009737E6">
        <w:rPr>
          <w:i/>
          <w:iCs/>
          <w:sz w:val="24"/>
          <w:szCs w:val="24"/>
        </w:rPr>
        <w:t>Business Valuation Update</w:t>
      </w:r>
      <w:r w:rsidRPr="008B3DE8">
        <w:rPr>
          <w:sz w:val="24"/>
          <w:szCs w:val="24"/>
        </w:rPr>
        <w:t xml:space="preserve">, </w:t>
      </w:r>
      <w:r>
        <w:rPr>
          <w:rFonts w:hint="eastAsia"/>
          <w:sz w:val="24"/>
          <w:szCs w:val="24"/>
        </w:rPr>
        <w:t>B</w:t>
      </w:r>
      <w:r w:rsidRPr="009737E6">
        <w:rPr>
          <w:sz w:val="24"/>
          <w:szCs w:val="24"/>
        </w:rPr>
        <w:t>usiness Valuation Resources,</w:t>
      </w:r>
      <w:r>
        <w:rPr>
          <w:rFonts w:hint="eastAsia"/>
          <w:sz w:val="24"/>
          <w:szCs w:val="24"/>
        </w:rPr>
        <w:t xml:space="preserve"> </w:t>
      </w:r>
      <w:r w:rsidRPr="009737E6">
        <w:rPr>
          <w:sz w:val="24"/>
          <w:szCs w:val="24"/>
        </w:rPr>
        <w:t>LLC</w:t>
      </w:r>
      <w:r>
        <w:rPr>
          <w:rFonts w:hint="eastAsia"/>
          <w:sz w:val="24"/>
          <w:szCs w:val="24"/>
        </w:rPr>
        <w:t>, August 2024</w:t>
      </w:r>
    </w:p>
    <w:p w14:paraId="7A9BFA02" w14:textId="77777777" w:rsidR="0040202D" w:rsidRDefault="0040202D" w:rsidP="008B1F7F">
      <w:pPr>
        <w:jc w:val="both"/>
        <w:rPr>
          <w:sz w:val="24"/>
          <w:szCs w:val="24"/>
        </w:rPr>
      </w:pPr>
    </w:p>
    <w:p w14:paraId="4CD3065A" w14:textId="5582C5EF" w:rsidR="0040202D" w:rsidRDefault="0040202D" w:rsidP="008B1F7F">
      <w:pPr>
        <w:ind w:left="720"/>
        <w:jc w:val="both"/>
        <w:rPr>
          <w:sz w:val="24"/>
          <w:szCs w:val="24"/>
        </w:rPr>
      </w:pPr>
      <w:r w:rsidRPr="00B35AD4">
        <w:rPr>
          <w:sz w:val="24"/>
          <w:szCs w:val="24"/>
        </w:rPr>
        <w:t xml:space="preserve">Gregory provided a helpful chart about debt liability management (DLOM) that illustrates appropriate DLOM approaches for different kinds of organizations and circumstances, as per the IRS's input. </w:t>
      </w:r>
    </w:p>
    <w:p w14:paraId="56A78CA0" w14:textId="77777777" w:rsidR="0040202D" w:rsidRPr="008B3DE8" w:rsidRDefault="0040202D" w:rsidP="008B1F7F">
      <w:pPr>
        <w:spacing w:line="280" w:lineRule="exact"/>
        <w:ind w:left="720"/>
        <w:jc w:val="both"/>
        <w:rPr>
          <w:sz w:val="24"/>
          <w:szCs w:val="24"/>
        </w:rPr>
      </w:pPr>
    </w:p>
    <w:p w14:paraId="74CABF79" w14:textId="77777777" w:rsidR="0040202D" w:rsidRPr="008B3DE8" w:rsidRDefault="0040202D" w:rsidP="008B1F7F">
      <w:pPr>
        <w:jc w:val="both"/>
        <w:rPr>
          <w:sz w:val="24"/>
          <w:szCs w:val="24"/>
        </w:rPr>
      </w:pPr>
      <w:r w:rsidRPr="008B3DE8">
        <w:rPr>
          <w:sz w:val="24"/>
          <w:szCs w:val="24"/>
        </w:rPr>
        <w:t>Michael J. Barclay, Clifford G. Holderness, and Dennis P. Sheehan (2007) ‘Private Placements and Managerial Entrenchment’, The Journal of Corporate Finance, 13 (2007), pp. 461–484.</w:t>
      </w:r>
    </w:p>
    <w:p w14:paraId="21206DA2" w14:textId="77777777" w:rsidR="0040202D" w:rsidRPr="008B3DE8" w:rsidRDefault="0040202D" w:rsidP="008B1F7F">
      <w:pPr>
        <w:spacing w:line="280" w:lineRule="exact"/>
        <w:ind w:left="720"/>
        <w:jc w:val="both"/>
        <w:rPr>
          <w:sz w:val="24"/>
          <w:szCs w:val="24"/>
        </w:rPr>
      </w:pPr>
    </w:p>
    <w:p w14:paraId="741AB03F" w14:textId="77777777" w:rsidR="0040202D" w:rsidRPr="008B3DE8" w:rsidRDefault="0040202D" w:rsidP="008B1F7F">
      <w:pPr>
        <w:ind w:left="720"/>
        <w:jc w:val="both"/>
        <w:rPr>
          <w:sz w:val="24"/>
          <w:szCs w:val="24"/>
        </w:rPr>
      </w:pPr>
      <w:r w:rsidRPr="008B3DE8">
        <w:rPr>
          <w:sz w:val="24"/>
          <w:szCs w:val="24"/>
        </w:rPr>
        <w:t xml:space="preserve">To find out why purchasers and sellers of private placements of stock do such, Barclay et al. conducted an extensive study on private placements of large-percentage blocks of stock. From 1979 to 1997, a sample of 594 private placement deals were found by searching the Dow Jones News Service database. </w:t>
      </w:r>
    </w:p>
    <w:p w14:paraId="3EE85D45" w14:textId="77777777" w:rsidR="0040202D" w:rsidRPr="008B3DE8" w:rsidRDefault="0040202D" w:rsidP="008B1F7F">
      <w:pPr>
        <w:pStyle w:val="FootnoteText"/>
        <w:jc w:val="both"/>
        <w:rPr>
          <w:rFonts w:ascii="Arial" w:hAnsi="Arial" w:cs="Arial"/>
          <w:sz w:val="24"/>
          <w:szCs w:val="24"/>
        </w:rPr>
      </w:pPr>
    </w:p>
    <w:p w14:paraId="734EE79F" w14:textId="77777777" w:rsidR="0040202D" w:rsidRPr="008B3DE8" w:rsidRDefault="0040202D" w:rsidP="008B1F7F">
      <w:pPr>
        <w:jc w:val="both"/>
        <w:rPr>
          <w:sz w:val="24"/>
          <w:szCs w:val="24"/>
        </w:rPr>
      </w:pPr>
      <w:r w:rsidRPr="008B3DE8">
        <w:rPr>
          <w:sz w:val="24"/>
          <w:szCs w:val="24"/>
        </w:rPr>
        <w:t>Moroney, Robert E. (1973) ‘Most Courts Overvalue Closely Held Stocks’, Taxes – The Tax Magazine, pp. 144-155.</w:t>
      </w:r>
    </w:p>
    <w:p w14:paraId="3518AA82" w14:textId="77777777" w:rsidR="0040202D" w:rsidRPr="008B3DE8" w:rsidRDefault="0040202D" w:rsidP="008B1F7F">
      <w:pPr>
        <w:pStyle w:val="FootnoteText"/>
        <w:ind w:left="720"/>
        <w:jc w:val="both"/>
        <w:rPr>
          <w:rFonts w:ascii="Arial" w:hAnsi="Arial" w:cs="Arial"/>
          <w:sz w:val="24"/>
          <w:szCs w:val="24"/>
        </w:rPr>
      </w:pPr>
    </w:p>
    <w:p w14:paraId="0E521EDD" w14:textId="77777777" w:rsidR="0040202D" w:rsidRPr="008B3DE8" w:rsidRDefault="0040202D" w:rsidP="008B1F7F">
      <w:pPr>
        <w:ind w:left="720"/>
        <w:jc w:val="both"/>
        <w:rPr>
          <w:sz w:val="24"/>
          <w:szCs w:val="24"/>
        </w:rPr>
      </w:pPr>
      <w:r w:rsidRPr="008B3DE8">
        <w:rPr>
          <w:sz w:val="24"/>
          <w:szCs w:val="24"/>
        </w:rPr>
        <w:t xml:space="preserve">Moroney analysis the price of 146 acquisitions of restricted stock by 10 investment companies. Moroney compares the evidence of the real cash deals with the lower average price reductions determined by most previous court rulings on gift and estate tax issues due to lack of marketability. </w:t>
      </w:r>
    </w:p>
    <w:p w14:paraId="7F76AB65" w14:textId="77777777" w:rsidR="0040202D" w:rsidRPr="008B3DE8" w:rsidRDefault="0040202D" w:rsidP="008B1F7F">
      <w:pPr>
        <w:pStyle w:val="FootnoteText"/>
        <w:ind w:left="720"/>
        <w:jc w:val="both"/>
        <w:rPr>
          <w:rFonts w:ascii="Arial" w:hAnsi="Arial" w:cs="Arial"/>
          <w:sz w:val="24"/>
          <w:szCs w:val="24"/>
          <w:lang w:val="en-US"/>
        </w:rPr>
      </w:pPr>
    </w:p>
    <w:p w14:paraId="069A3ADB" w14:textId="77777777" w:rsidR="0040202D" w:rsidRDefault="0040202D" w:rsidP="008B1F7F">
      <w:pPr>
        <w:jc w:val="both"/>
        <w:rPr>
          <w:sz w:val="24"/>
          <w:szCs w:val="24"/>
        </w:rPr>
      </w:pPr>
    </w:p>
    <w:p w14:paraId="65D08C18" w14:textId="77777777" w:rsidR="0040202D" w:rsidRPr="008B3DE8" w:rsidRDefault="0040202D" w:rsidP="008B1F7F">
      <w:pPr>
        <w:jc w:val="both"/>
        <w:rPr>
          <w:sz w:val="24"/>
          <w:szCs w:val="24"/>
        </w:rPr>
      </w:pPr>
      <w:r w:rsidRPr="008B3DE8">
        <w:rPr>
          <w:sz w:val="24"/>
          <w:szCs w:val="24"/>
        </w:rPr>
        <w:t xml:space="preserve">Mukesh Bajaj, Stephen P. Ferris, David J. Denis, and Atulya Sarin (2001) ‘Firm Value and Marketability Discounts’, The Journal of Corporation Law </w:t>
      </w:r>
    </w:p>
    <w:p w14:paraId="0C9B58D4" w14:textId="77777777" w:rsidR="0040202D" w:rsidRPr="008B3DE8" w:rsidRDefault="0040202D" w:rsidP="008B1F7F">
      <w:pPr>
        <w:spacing w:line="280" w:lineRule="exact"/>
        <w:ind w:left="720"/>
        <w:jc w:val="both"/>
        <w:rPr>
          <w:sz w:val="24"/>
          <w:szCs w:val="24"/>
        </w:rPr>
      </w:pPr>
    </w:p>
    <w:p w14:paraId="3EAB63E7" w14:textId="77777777" w:rsidR="0040202D" w:rsidRPr="008B3DE8" w:rsidRDefault="0040202D" w:rsidP="008B1F7F">
      <w:pPr>
        <w:ind w:left="720"/>
        <w:jc w:val="both"/>
        <w:rPr>
          <w:sz w:val="24"/>
          <w:szCs w:val="24"/>
        </w:rPr>
      </w:pPr>
      <w:r w:rsidRPr="008B3DE8">
        <w:rPr>
          <w:sz w:val="24"/>
          <w:szCs w:val="24"/>
        </w:rPr>
        <w:t xml:space="preserve">Bajaj located every private placement that was finished between January 1, 1990, and December 31, 1995, and that was recorded in Securities Data Corporation's electronic database. Information from the Dow Jones News Retrieval Service was compared to the data. </w:t>
      </w:r>
    </w:p>
    <w:p w14:paraId="5024792C" w14:textId="77777777" w:rsidR="0040202D" w:rsidRPr="008B3DE8" w:rsidRDefault="0040202D" w:rsidP="008B1F7F">
      <w:pPr>
        <w:pStyle w:val="FootnoteText"/>
        <w:ind w:left="720"/>
        <w:jc w:val="both"/>
        <w:rPr>
          <w:rFonts w:ascii="Arial" w:hAnsi="Arial" w:cs="Arial"/>
          <w:sz w:val="24"/>
          <w:szCs w:val="24"/>
        </w:rPr>
      </w:pPr>
    </w:p>
    <w:p w14:paraId="2249682D" w14:textId="77777777" w:rsidR="0040202D" w:rsidRPr="008B3DE8" w:rsidRDefault="0040202D" w:rsidP="008B1F7F">
      <w:pPr>
        <w:jc w:val="both"/>
        <w:rPr>
          <w:sz w:val="24"/>
          <w:szCs w:val="24"/>
        </w:rPr>
      </w:pPr>
      <w:r w:rsidRPr="008B3DE8">
        <w:rPr>
          <w:sz w:val="24"/>
          <w:szCs w:val="24"/>
        </w:rPr>
        <w:t>Officer, M. S. (2006) ‘The price of corporate liquidity: Acquisition discounts for unlisted targets’, The Journal of Financial Economics, pp. 571-598.</w:t>
      </w:r>
    </w:p>
    <w:p w14:paraId="752E3BFE" w14:textId="77777777" w:rsidR="0040202D" w:rsidRPr="008B3DE8" w:rsidRDefault="0040202D" w:rsidP="008B1F7F">
      <w:pPr>
        <w:pStyle w:val="FootnoteText"/>
        <w:ind w:left="720"/>
        <w:jc w:val="both"/>
        <w:rPr>
          <w:rFonts w:ascii="Arial" w:hAnsi="Arial" w:cs="Arial"/>
          <w:sz w:val="24"/>
          <w:szCs w:val="24"/>
        </w:rPr>
      </w:pPr>
    </w:p>
    <w:p w14:paraId="09C08194" w14:textId="77777777" w:rsidR="0040202D" w:rsidRPr="008B3DE8" w:rsidRDefault="0040202D" w:rsidP="008B1F7F">
      <w:pPr>
        <w:ind w:left="720"/>
        <w:jc w:val="both"/>
        <w:rPr>
          <w:sz w:val="24"/>
          <w:szCs w:val="24"/>
        </w:rPr>
      </w:pPr>
      <w:r w:rsidRPr="008B3DE8">
        <w:rPr>
          <w:sz w:val="24"/>
          <w:szCs w:val="24"/>
        </w:rPr>
        <w:t xml:space="preserve">Officer compared "acquisition multiples for unlisted targets to acquisition multiples for portfolios of comparable (industry- and size-matched) publicly-traded targets" in a study that employed a methodology akin to that of Koeplin and Kooli. </w:t>
      </w:r>
    </w:p>
    <w:p w14:paraId="3937B972" w14:textId="77777777" w:rsidR="0040202D" w:rsidRPr="008B3DE8" w:rsidRDefault="0040202D" w:rsidP="008B1F7F">
      <w:pPr>
        <w:pStyle w:val="FootnoteText"/>
        <w:ind w:left="720"/>
        <w:jc w:val="both"/>
        <w:rPr>
          <w:rFonts w:ascii="Arial" w:hAnsi="Arial" w:cs="Arial"/>
          <w:sz w:val="24"/>
          <w:szCs w:val="24"/>
        </w:rPr>
      </w:pPr>
    </w:p>
    <w:p w14:paraId="29D22A79" w14:textId="77777777" w:rsidR="0040202D" w:rsidRPr="008B3DE8" w:rsidRDefault="0040202D" w:rsidP="008B1F7F">
      <w:pPr>
        <w:pStyle w:val="FootnoteText"/>
        <w:ind w:left="720"/>
        <w:jc w:val="both"/>
        <w:rPr>
          <w:rFonts w:ascii="Arial" w:hAnsi="Arial" w:cs="Arial"/>
          <w:sz w:val="24"/>
          <w:szCs w:val="24"/>
        </w:rPr>
      </w:pPr>
    </w:p>
    <w:p w14:paraId="7EB4388C" w14:textId="77777777" w:rsidR="0040202D" w:rsidRPr="008B3DE8" w:rsidRDefault="0040202D" w:rsidP="008B1F7F">
      <w:pPr>
        <w:jc w:val="both"/>
        <w:rPr>
          <w:sz w:val="24"/>
          <w:szCs w:val="24"/>
        </w:rPr>
      </w:pPr>
      <w:r w:rsidRPr="008B3DE8">
        <w:rPr>
          <w:sz w:val="24"/>
          <w:szCs w:val="24"/>
        </w:rPr>
        <w:t>Paglia, J. K., &amp; Harjoto, M. A. (2010) ‘The Discount for Lack of Marketability in Privately Owned Companies: A Multiples Approach’, The Journal of Business Valuation and Economic Loss, 5(1), pp. 1-26.</w:t>
      </w:r>
    </w:p>
    <w:p w14:paraId="62EA55D5" w14:textId="77777777" w:rsidR="0040202D" w:rsidRPr="008B3DE8" w:rsidRDefault="0040202D" w:rsidP="008B1F7F">
      <w:pPr>
        <w:pStyle w:val="FootnoteText"/>
        <w:ind w:left="720"/>
        <w:jc w:val="both"/>
        <w:rPr>
          <w:rFonts w:ascii="Arial" w:hAnsi="Arial" w:cs="Arial"/>
          <w:sz w:val="24"/>
          <w:szCs w:val="24"/>
        </w:rPr>
      </w:pPr>
    </w:p>
    <w:p w14:paraId="52EBB9B3" w14:textId="77777777" w:rsidR="0040202D" w:rsidRPr="008B3DE8" w:rsidRDefault="0040202D" w:rsidP="008B1F7F">
      <w:pPr>
        <w:ind w:left="720"/>
        <w:jc w:val="both"/>
        <w:rPr>
          <w:sz w:val="24"/>
          <w:szCs w:val="24"/>
        </w:rPr>
      </w:pPr>
      <w:r w:rsidRPr="008B3DE8">
        <w:rPr>
          <w:sz w:val="24"/>
          <w:szCs w:val="24"/>
        </w:rPr>
        <w:t>An analysis of 674</w:t>
      </w:r>
      <w:r>
        <w:rPr>
          <w:sz w:val="24"/>
          <w:szCs w:val="24"/>
        </w:rPr>
        <w:t xml:space="preserve"> </w:t>
      </w:r>
      <w:r w:rsidRPr="008B3DE8">
        <w:rPr>
          <w:sz w:val="24"/>
          <w:szCs w:val="24"/>
        </w:rPr>
        <w:t xml:space="preserve">private firm transaction multiples in comparison to publicly traded guideline market trading price multiples was released by Paglia in 2010. </w:t>
      </w:r>
    </w:p>
    <w:p w14:paraId="383FE264" w14:textId="77777777" w:rsidR="0040202D" w:rsidRDefault="0040202D" w:rsidP="008B1F7F">
      <w:pPr>
        <w:jc w:val="both"/>
        <w:rPr>
          <w:sz w:val="24"/>
          <w:szCs w:val="24"/>
        </w:rPr>
      </w:pPr>
    </w:p>
    <w:p w14:paraId="05DCF26B" w14:textId="77777777" w:rsidR="0040202D" w:rsidRDefault="0040202D" w:rsidP="008B1F7F">
      <w:pPr>
        <w:jc w:val="both"/>
        <w:rPr>
          <w:sz w:val="24"/>
          <w:szCs w:val="24"/>
        </w:rPr>
      </w:pPr>
      <w:r w:rsidRPr="001F389C">
        <w:rPr>
          <w:sz w:val="24"/>
          <w:szCs w:val="24"/>
        </w:rPr>
        <w:t xml:space="preserve">Patrick Rozario and Kenneth Ma (2024), </w:t>
      </w:r>
      <w:r>
        <w:rPr>
          <w:sz w:val="24"/>
          <w:szCs w:val="24"/>
        </w:rPr>
        <w:t xml:space="preserve">Control Premium &amp; Discount For Lack of Marketability Study, Issue 3, </w:t>
      </w:r>
      <w:r w:rsidRPr="001F389C">
        <w:rPr>
          <w:sz w:val="24"/>
          <w:szCs w:val="24"/>
        </w:rPr>
        <w:t>Moore Hong Kong</w:t>
      </w:r>
    </w:p>
    <w:p w14:paraId="084CAF6B" w14:textId="77777777" w:rsidR="0040202D" w:rsidRDefault="0040202D" w:rsidP="008B1F7F">
      <w:pPr>
        <w:jc w:val="both"/>
        <w:rPr>
          <w:sz w:val="24"/>
          <w:szCs w:val="24"/>
        </w:rPr>
      </w:pPr>
    </w:p>
    <w:p w14:paraId="00F2465C" w14:textId="77777777" w:rsidR="0040202D" w:rsidRPr="00957EFB" w:rsidRDefault="0040202D" w:rsidP="008B1F7F">
      <w:pPr>
        <w:ind w:left="720"/>
        <w:jc w:val="both"/>
        <w:rPr>
          <w:sz w:val="24"/>
          <w:szCs w:val="24"/>
        </w:rPr>
      </w:pPr>
      <w:r w:rsidRPr="001F389C">
        <w:rPr>
          <w:sz w:val="24"/>
          <w:szCs w:val="24"/>
        </w:rPr>
        <w:t>It quarterly summarised the circulars included valuation reports with the adoption of discounts for lack of marketability in Hong Kong Stock Exchange</w:t>
      </w:r>
      <w:r>
        <w:rPr>
          <w:sz w:val="24"/>
          <w:szCs w:val="24"/>
        </w:rPr>
        <w:t>.</w:t>
      </w:r>
    </w:p>
    <w:p w14:paraId="6981EA85" w14:textId="77777777" w:rsidR="0040202D" w:rsidRDefault="0040202D" w:rsidP="008B1F7F">
      <w:pPr>
        <w:jc w:val="both"/>
        <w:rPr>
          <w:sz w:val="24"/>
          <w:szCs w:val="24"/>
        </w:rPr>
      </w:pPr>
    </w:p>
    <w:p w14:paraId="380EEBE0" w14:textId="77777777" w:rsidR="0040202D" w:rsidRPr="008B3DE8" w:rsidRDefault="0040202D" w:rsidP="008B1F7F">
      <w:pPr>
        <w:jc w:val="both"/>
        <w:rPr>
          <w:sz w:val="24"/>
          <w:szCs w:val="24"/>
        </w:rPr>
      </w:pPr>
      <w:r w:rsidRPr="008B3DE8">
        <w:rPr>
          <w:sz w:val="24"/>
          <w:szCs w:val="24"/>
        </w:rPr>
        <w:t>Peter L. Lohrey, ‘The Dodd-Frank Act and the Private Company Discount: An Empirical Investigation, American Accounting Association’, The Journal of Forensic Accounting Research, 5(1), pp. 298–318</w:t>
      </w:r>
    </w:p>
    <w:p w14:paraId="2F7BC379" w14:textId="77777777" w:rsidR="0040202D" w:rsidRPr="008B3DE8" w:rsidRDefault="0040202D" w:rsidP="008B1F7F">
      <w:pPr>
        <w:spacing w:line="240" w:lineRule="auto"/>
        <w:ind w:left="720"/>
        <w:jc w:val="both"/>
        <w:rPr>
          <w:rFonts w:eastAsia="Times New Roman"/>
          <w:sz w:val="24"/>
          <w:szCs w:val="24"/>
        </w:rPr>
      </w:pPr>
    </w:p>
    <w:p w14:paraId="3A06BD4B" w14:textId="77777777" w:rsidR="0040202D" w:rsidRPr="008B3DE8" w:rsidRDefault="0040202D" w:rsidP="008B1F7F">
      <w:pPr>
        <w:ind w:left="720"/>
        <w:jc w:val="both"/>
        <w:rPr>
          <w:sz w:val="24"/>
          <w:szCs w:val="24"/>
        </w:rPr>
      </w:pPr>
      <w:r w:rsidRPr="008B3DE8">
        <w:rPr>
          <w:sz w:val="24"/>
          <w:szCs w:val="24"/>
        </w:rPr>
        <w:t>This study uses acquisition data to perform an empirical investigation into value of private companies. It reviews the literature that examines whether unlisted target companies are acquired at a discount compared to the prices paid for publicly</w:t>
      </w:r>
      <w:r>
        <w:rPr>
          <w:rFonts w:hint="eastAsia"/>
          <w:sz w:val="24"/>
          <w:szCs w:val="24"/>
        </w:rPr>
        <w:t xml:space="preserve"> </w:t>
      </w:r>
      <w:r w:rsidRPr="008B3DE8">
        <w:rPr>
          <w:sz w:val="24"/>
          <w:szCs w:val="24"/>
        </w:rPr>
        <w:t>traded target companies.</w:t>
      </w:r>
    </w:p>
    <w:p w14:paraId="2F98B2E6" w14:textId="77777777" w:rsidR="0040202D" w:rsidRPr="008B3DE8" w:rsidRDefault="0040202D" w:rsidP="008B1F7F">
      <w:pPr>
        <w:spacing w:line="280" w:lineRule="exact"/>
        <w:ind w:left="720"/>
        <w:jc w:val="both"/>
        <w:rPr>
          <w:sz w:val="24"/>
          <w:szCs w:val="24"/>
        </w:rPr>
      </w:pPr>
    </w:p>
    <w:p w14:paraId="1013F46E" w14:textId="77777777" w:rsidR="0040202D" w:rsidRPr="008B3DE8" w:rsidRDefault="0040202D" w:rsidP="008B1F7F">
      <w:pPr>
        <w:jc w:val="both"/>
        <w:rPr>
          <w:sz w:val="24"/>
          <w:szCs w:val="24"/>
        </w:rPr>
      </w:pPr>
      <w:r w:rsidRPr="008B3DE8">
        <w:rPr>
          <w:sz w:val="24"/>
          <w:szCs w:val="24"/>
        </w:rPr>
        <w:t>Pittock, William F., and Charles H. Stryker, “Revenue Ruling 77-276 Revisited, “SRC Quarterly Reports, Spring 1983, pp. 1-3.</w:t>
      </w:r>
    </w:p>
    <w:p w14:paraId="6894CF63" w14:textId="77777777" w:rsidR="0040202D" w:rsidRPr="008B3DE8" w:rsidRDefault="0040202D" w:rsidP="008B1F7F">
      <w:pPr>
        <w:pStyle w:val="FootnoteText"/>
        <w:ind w:left="720"/>
        <w:jc w:val="both"/>
        <w:rPr>
          <w:rFonts w:ascii="Arial" w:hAnsi="Arial" w:cs="Arial"/>
          <w:sz w:val="24"/>
          <w:szCs w:val="24"/>
        </w:rPr>
      </w:pPr>
    </w:p>
    <w:p w14:paraId="2FE50858" w14:textId="77777777" w:rsidR="0040202D" w:rsidRPr="008B3DE8" w:rsidRDefault="0040202D" w:rsidP="008B1F7F">
      <w:pPr>
        <w:ind w:left="720"/>
        <w:jc w:val="both"/>
        <w:rPr>
          <w:sz w:val="24"/>
          <w:szCs w:val="24"/>
        </w:rPr>
      </w:pPr>
      <w:r>
        <w:rPr>
          <w:sz w:val="24"/>
          <w:szCs w:val="24"/>
        </w:rPr>
        <w:t>It</w:t>
      </w:r>
      <w:r w:rsidRPr="008B3DE8">
        <w:rPr>
          <w:sz w:val="24"/>
          <w:szCs w:val="24"/>
        </w:rPr>
        <w:t xml:space="preserve"> examined 28 restricted stock purchases following the format of the SEC Study on letter stock. They discovered that the median discount at which limited stocks sold was 45 percent by comparing their value to public equities issued by the same corporation.</w:t>
      </w:r>
    </w:p>
    <w:p w14:paraId="007DE9B8" w14:textId="77777777" w:rsidR="0040202D" w:rsidRPr="008B3DE8" w:rsidRDefault="0040202D" w:rsidP="008B1F7F">
      <w:pPr>
        <w:ind w:left="720"/>
        <w:jc w:val="both"/>
        <w:rPr>
          <w:sz w:val="24"/>
          <w:szCs w:val="24"/>
        </w:rPr>
      </w:pPr>
      <w:r w:rsidRPr="008B3DE8">
        <w:rPr>
          <w:sz w:val="24"/>
          <w:szCs w:val="24"/>
        </w:rPr>
        <w:t>return that comes from the announcement of a securities offering to the public.</w:t>
      </w:r>
    </w:p>
    <w:p w14:paraId="797BF1D6" w14:textId="77777777" w:rsidR="0040202D" w:rsidRPr="008B3DE8" w:rsidRDefault="0040202D" w:rsidP="008B1F7F">
      <w:pPr>
        <w:pStyle w:val="FootnoteText"/>
        <w:ind w:left="720"/>
        <w:jc w:val="both"/>
        <w:rPr>
          <w:rFonts w:ascii="Arial" w:hAnsi="Arial" w:cs="Arial"/>
          <w:sz w:val="24"/>
          <w:szCs w:val="24"/>
        </w:rPr>
      </w:pPr>
    </w:p>
    <w:p w14:paraId="22F98F36" w14:textId="77777777" w:rsidR="0040202D" w:rsidRPr="008B3DE8" w:rsidRDefault="0040202D" w:rsidP="008B1F7F">
      <w:pPr>
        <w:jc w:val="both"/>
        <w:rPr>
          <w:sz w:val="24"/>
          <w:szCs w:val="24"/>
        </w:rPr>
      </w:pPr>
      <w:r w:rsidRPr="008B3DE8">
        <w:rPr>
          <w:sz w:val="24"/>
          <w:szCs w:val="24"/>
        </w:rPr>
        <w:t>Shannon P. Pratt, Business (2009) Valuation Discounts and Premiums, 2nd edn. New York: John Wiley &amp; Sons, pp. 84.</w:t>
      </w:r>
    </w:p>
    <w:p w14:paraId="5AF7E25B" w14:textId="77777777" w:rsidR="0040202D" w:rsidRPr="008B3DE8" w:rsidRDefault="0040202D" w:rsidP="008B1F7F">
      <w:pPr>
        <w:spacing w:line="280" w:lineRule="exact"/>
        <w:ind w:left="720"/>
        <w:jc w:val="both"/>
        <w:rPr>
          <w:sz w:val="24"/>
          <w:szCs w:val="24"/>
        </w:rPr>
      </w:pPr>
    </w:p>
    <w:p w14:paraId="72B3B1CB" w14:textId="77777777" w:rsidR="0040202D" w:rsidRPr="008B3DE8" w:rsidRDefault="0040202D" w:rsidP="008B1F7F">
      <w:pPr>
        <w:ind w:left="720"/>
        <w:jc w:val="both"/>
        <w:rPr>
          <w:sz w:val="24"/>
          <w:szCs w:val="24"/>
        </w:rPr>
      </w:pPr>
      <w:r w:rsidRPr="008B3DE8">
        <w:rPr>
          <w:sz w:val="24"/>
          <w:szCs w:val="24"/>
        </w:rPr>
        <w:t xml:space="preserve">The purpose of the study was to present more recent data on DLOM for restricted stock transactions. Shannon Pratt (2012) claims that the report was initially created to bolster his claims in a Tax Court case. </w:t>
      </w:r>
    </w:p>
    <w:p w14:paraId="72B8B8CC" w14:textId="77777777" w:rsidR="0040202D" w:rsidRDefault="0040202D" w:rsidP="008B1F7F">
      <w:pPr>
        <w:jc w:val="both"/>
        <w:rPr>
          <w:sz w:val="24"/>
          <w:szCs w:val="24"/>
        </w:rPr>
      </w:pPr>
    </w:p>
    <w:p w14:paraId="33965449" w14:textId="77777777" w:rsidR="0040202D" w:rsidRDefault="0040202D" w:rsidP="008B1F7F">
      <w:pPr>
        <w:jc w:val="both"/>
        <w:rPr>
          <w:sz w:val="24"/>
          <w:szCs w:val="24"/>
        </w:rPr>
      </w:pPr>
      <w:r w:rsidRPr="00AE2DE7">
        <w:rPr>
          <w:sz w:val="24"/>
          <w:szCs w:val="24"/>
        </w:rPr>
        <w:t>SHANNON P. PRATT (2012) Business Valuation discounts and Premiums</w:t>
      </w:r>
      <w:r>
        <w:rPr>
          <w:sz w:val="24"/>
          <w:szCs w:val="24"/>
        </w:rPr>
        <w:t>, 2</w:t>
      </w:r>
      <w:r w:rsidRPr="00CE61F1">
        <w:rPr>
          <w:sz w:val="24"/>
          <w:szCs w:val="24"/>
          <w:vertAlign w:val="superscript"/>
        </w:rPr>
        <w:t>nd</w:t>
      </w:r>
      <w:r>
        <w:rPr>
          <w:sz w:val="24"/>
          <w:szCs w:val="24"/>
        </w:rPr>
        <w:t xml:space="preserve"> Edn, New Jersey: </w:t>
      </w:r>
      <w:r w:rsidRPr="00CE61F1">
        <w:rPr>
          <w:sz w:val="24"/>
          <w:szCs w:val="24"/>
        </w:rPr>
        <w:t>John Wiley &amp; Sons, Inc</w:t>
      </w:r>
      <w:r>
        <w:rPr>
          <w:sz w:val="24"/>
          <w:szCs w:val="24"/>
        </w:rPr>
        <w:t>.</w:t>
      </w:r>
    </w:p>
    <w:p w14:paraId="292C36D5" w14:textId="77777777" w:rsidR="0040202D" w:rsidRDefault="0040202D" w:rsidP="008B1F7F">
      <w:pPr>
        <w:jc w:val="both"/>
        <w:rPr>
          <w:sz w:val="24"/>
          <w:szCs w:val="24"/>
        </w:rPr>
      </w:pPr>
    </w:p>
    <w:p w14:paraId="204059B4" w14:textId="77777777" w:rsidR="0040202D" w:rsidRDefault="0040202D" w:rsidP="008B1F7F">
      <w:pPr>
        <w:ind w:left="720"/>
        <w:jc w:val="both"/>
        <w:rPr>
          <w:sz w:val="24"/>
          <w:szCs w:val="24"/>
        </w:rPr>
      </w:pPr>
      <w:r w:rsidRPr="00D21CAB">
        <w:rPr>
          <w:sz w:val="24"/>
          <w:szCs w:val="24"/>
        </w:rPr>
        <w:t>Shannon Pratt skilfully and logically explains the various discounts or premiums that may be applicable, depending on the basic valuation approach used, and how the valuation approaches used affect the level. Shannon Pratt addresses the three basic approaches to conducting a valuation: the income approach, the market approach, and the asset approach.</w:t>
      </w:r>
    </w:p>
    <w:p w14:paraId="5FBE1D70" w14:textId="77777777" w:rsidR="0040202D" w:rsidRPr="00A7659B" w:rsidRDefault="0040202D" w:rsidP="008B1F7F">
      <w:pPr>
        <w:ind w:left="720"/>
        <w:jc w:val="both"/>
        <w:rPr>
          <w:sz w:val="24"/>
          <w:szCs w:val="24"/>
        </w:rPr>
      </w:pPr>
    </w:p>
    <w:p w14:paraId="1B7C43BB" w14:textId="77777777" w:rsidR="0040202D" w:rsidRPr="008B3DE8" w:rsidRDefault="0040202D" w:rsidP="008B1F7F">
      <w:pPr>
        <w:jc w:val="both"/>
        <w:rPr>
          <w:sz w:val="24"/>
          <w:szCs w:val="24"/>
        </w:rPr>
      </w:pPr>
      <w:r w:rsidRPr="008B3DE8">
        <w:rPr>
          <w:sz w:val="24"/>
          <w:szCs w:val="24"/>
        </w:rPr>
        <w:t>Shannon P. Pratt (2022), Valuing a Business: The Analysis and Appraisal of Closely Held Companies, 6th edn, New York: McGraw-Hill, pp. 425.</w:t>
      </w:r>
    </w:p>
    <w:p w14:paraId="093F21F2" w14:textId="77777777" w:rsidR="0040202D" w:rsidRPr="008B3DE8" w:rsidRDefault="0040202D" w:rsidP="008B1F7F">
      <w:pPr>
        <w:spacing w:line="280" w:lineRule="exact"/>
        <w:ind w:left="720"/>
        <w:jc w:val="both"/>
        <w:rPr>
          <w:sz w:val="24"/>
          <w:szCs w:val="24"/>
        </w:rPr>
      </w:pPr>
    </w:p>
    <w:p w14:paraId="5605FF8E" w14:textId="77777777" w:rsidR="0040202D" w:rsidRPr="008B3DE8" w:rsidRDefault="0040202D" w:rsidP="008B1F7F">
      <w:pPr>
        <w:ind w:left="720"/>
        <w:jc w:val="both"/>
        <w:rPr>
          <w:sz w:val="24"/>
          <w:szCs w:val="24"/>
        </w:rPr>
      </w:pPr>
      <w:r w:rsidRPr="008B3DE8">
        <w:rPr>
          <w:sz w:val="24"/>
          <w:szCs w:val="24"/>
        </w:rPr>
        <w:t xml:space="preserve">The purpose of the study was to present more recent data on DLOM for restricted stock transactions. Shannon Pratt (2012) claims that the report was initially created to bolster his claims in a Tax Court case. He eliminated all the blatant insider trades, corrected the price to reflect the date's difference from the IPO's pricing, and took industry P/E ratios into consideration. </w:t>
      </w:r>
    </w:p>
    <w:p w14:paraId="3F29BEBB" w14:textId="77777777" w:rsidR="0040202D" w:rsidRPr="008B3DE8" w:rsidRDefault="0040202D" w:rsidP="008B1F7F">
      <w:pPr>
        <w:ind w:left="720"/>
        <w:jc w:val="both"/>
        <w:rPr>
          <w:sz w:val="24"/>
          <w:szCs w:val="24"/>
        </w:rPr>
      </w:pPr>
    </w:p>
    <w:p w14:paraId="3F86E519" w14:textId="77777777" w:rsidR="0040202D" w:rsidRPr="008B3DE8" w:rsidRDefault="0040202D" w:rsidP="008B1F7F">
      <w:pPr>
        <w:jc w:val="both"/>
        <w:rPr>
          <w:sz w:val="24"/>
          <w:szCs w:val="24"/>
        </w:rPr>
      </w:pPr>
      <w:r w:rsidRPr="008B3DE8">
        <w:rPr>
          <w:sz w:val="24"/>
          <w:szCs w:val="24"/>
        </w:rPr>
        <w:t>Securities and Exchange Commission (1971) Discounts Involved in Purchases of Common Stock Institutional Investor Study Report. Do. No. 92-64, Part 5, pp. 2444- 2456.</w:t>
      </w:r>
    </w:p>
    <w:p w14:paraId="350FCFC4" w14:textId="77777777" w:rsidR="0040202D" w:rsidRPr="008B3DE8" w:rsidRDefault="0040202D" w:rsidP="008B1F7F">
      <w:pPr>
        <w:pStyle w:val="FootnoteText"/>
        <w:ind w:left="720"/>
        <w:jc w:val="both"/>
        <w:rPr>
          <w:rFonts w:ascii="Arial" w:hAnsi="Arial" w:cs="Arial"/>
          <w:sz w:val="24"/>
          <w:szCs w:val="24"/>
          <w:lang w:val="en-US"/>
        </w:rPr>
      </w:pPr>
    </w:p>
    <w:p w14:paraId="3AA26A52" w14:textId="77777777" w:rsidR="0040202D" w:rsidRPr="008B3DE8" w:rsidRDefault="0040202D" w:rsidP="008B1F7F">
      <w:pPr>
        <w:ind w:left="720"/>
        <w:jc w:val="both"/>
        <w:rPr>
          <w:sz w:val="24"/>
          <w:szCs w:val="24"/>
        </w:rPr>
      </w:pPr>
      <w:r>
        <w:rPr>
          <w:sz w:val="24"/>
          <w:szCs w:val="24"/>
        </w:rPr>
        <w:t>It</w:t>
      </w:r>
      <w:r w:rsidRPr="008B3DE8">
        <w:rPr>
          <w:sz w:val="24"/>
          <w:szCs w:val="24"/>
        </w:rPr>
        <w:t xml:space="preserve"> compared the prices at which transactions of restricted securities were made to the prices of publicly traded stocks from the same companies in a study that was published in March 1971 and reviewed purchases of restricted securities by investment companies for the period of January 1, 1966, through June 30, 1969. </w:t>
      </w:r>
    </w:p>
    <w:p w14:paraId="03D596A5" w14:textId="77777777" w:rsidR="0040202D" w:rsidRDefault="0040202D" w:rsidP="008B1F7F">
      <w:pPr>
        <w:jc w:val="both"/>
        <w:rPr>
          <w:sz w:val="24"/>
          <w:szCs w:val="24"/>
        </w:rPr>
      </w:pPr>
    </w:p>
    <w:p w14:paraId="3400FD07" w14:textId="77777777" w:rsidR="0040202D" w:rsidRPr="008B3DE8" w:rsidRDefault="0040202D" w:rsidP="008B1F7F">
      <w:pPr>
        <w:jc w:val="both"/>
        <w:rPr>
          <w:sz w:val="24"/>
          <w:szCs w:val="24"/>
        </w:rPr>
      </w:pPr>
      <w:r w:rsidRPr="008B3DE8">
        <w:rPr>
          <w:sz w:val="24"/>
          <w:szCs w:val="24"/>
        </w:rPr>
        <w:t>Stout Risius Ross (2023) The Stout Restricted Stock Study Companion Guide, 2023 edn, Stout Risius Ross, LLC</w:t>
      </w:r>
    </w:p>
    <w:p w14:paraId="24F7BB27" w14:textId="77777777" w:rsidR="0040202D" w:rsidRPr="008B3DE8" w:rsidRDefault="0040202D" w:rsidP="008B1F7F">
      <w:pPr>
        <w:ind w:left="720"/>
        <w:jc w:val="both"/>
        <w:rPr>
          <w:sz w:val="24"/>
          <w:szCs w:val="24"/>
        </w:rPr>
      </w:pPr>
    </w:p>
    <w:p w14:paraId="4ED39731" w14:textId="77777777" w:rsidR="0040202D" w:rsidRPr="008B3DE8" w:rsidRDefault="0040202D" w:rsidP="008B1F7F">
      <w:pPr>
        <w:ind w:left="720"/>
        <w:jc w:val="both"/>
        <w:rPr>
          <w:sz w:val="24"/>
          <w:szCs w:val="24"/>
        </w:rPr>
      </w:pPr>
      <w:r w:rsidRPr="008B3DE8">
        <w:rPr>
          <w:sz w:val="24"/>
          <w:szCs w:val="24"/>
        </w:rPr>
        <w:t xml:space="preserve">Searches conducted across multiple sources, such as 10K Wizard, Security Data Corp., EDGAR and EDGAR Pro, Dow Jones News Retrieval, Disclosure CompactD, and S&amp;P Corporate Transactions Records, yielded the majority of the transactions included in the study. </w:t>
      </w:r>
    </w:p>
    <w:p w14:paraId="265C0C58" w14:textId="77777777" w:rsidR="0040202D" w:rsidRPr="008B3DE8" w:rsidRDefault="0040202D" w:rsidP="008B1F7F">
      <w:pPr>
        <w:pStyle w:val="FootnoteText"/>
        <w:ind w:left="720"/>
        <w:jc w:val="both"/>
        <w:rPr>
          <w:rFonts w:ascii="Arial" w:hAnsi="Arial" w:cs="Arial"/>
          <w:sz w:val="24"/>
          <w:szCs w:val="24"/>
        </w:rPr>
      </w:pPr>
    </w:p>
    <w:p w14:paraId="345241C5" w14:textId="77777777" w:rsidR="0040202D" w:rsidRPr="008B3DE8" w:rsidRDefault="0040202D" w:rsidP="008B1F7F">
      <w:pPr>
        <w:jc w:val="both"/>
        <w:rPr>
          <w:sz w:val="24"/>
          <w:szCs w:val="24"/>
        </w:rPr>
      </w:pPr>
      <w:r w:rsidRPr="008B3DE8">
        <w:rPr>
          <w:sz w:val="24"/>
          <w:szCs w:val="24"/>
        </w:rPr>
        <w:t>Trout, R. R. (1977) Estimation of the discount associated with the transfer of restricted securities. Taxes, 55, pp. 381–385..</w:t>
      </w:r>
    </w:p>
    <w:p w14:paraId="52B1E613" w14:textId="77777777" w:rsidR="0040202D" w:rsidRPr="008B3DE8" w:rsidRDefault="0040202D" w:rsidP="008B1F7F">
      <w:pPr>
        <w:pStyle w:val="FootnoteText"/>
        <w:ind w:left="720"/>
        <w:jc w:val="both"/>
        <w:rPr>
          <w:rFonts w:ascii="Arial" w:hAnsi="Arial" w:cs="Arial"/>
          <w:sz w:val="24"/>
          <w:szCs w:val="24"/>
          <w:lang w:val="en-US"/>
        </w:rPr>
      </w:pPr>
    </w:p>
    <w:p w14:paraId="0DD459FF" w14:textId="77777777" w:rsidR="0040202D" w:rsidRPr="008B3DE8" w:rsidRDefault="0040202D" w:rsidP="008B1F7F">
      <w:pPr>
        <w:ind w:left="720"/>
        <w:jc w:val="both"/>
        <w:rPr>
          <w:sz w:val="24"/>
          <w:szCs w:val="24"/>
        </w:rPr>
      </w:pPr>
      <w:r w:rsidRPr="008B3DE8">
        <w:rPr>
          <w:sz w:val="24"/>
          <w:szCs w:val="24"/>
        </w:rPr>
        <w:t xml:space="preserve">Robert Trout conducted research on mutual fund purchases of limited stocks, just like Gelman. His period of time was 1968–1972. He made use of three additional fund in addition to the three Gelman had studied. </w:t>
      </w:r>
    </w:p>
    <w:p w14:paraId="268D3F1D" w14:textId="77777777" w:rsidR="0040202D" w:rsidRPr="008B3DE8" w:rsidRDefault="0040202D" w:rsidP="008B1F7F">
      <w:pPr>
        <w:spacing w:line="280" w:lineRule="exact"/>
        <w:ind w:left="720"/>
        <w:jc w:val="both"/>
        <w:rPr>
          <w:sz w:val="24"/>
          <w:szCs w:val="24"/>
        </w:rPr>
      </w:pPr>
    </w:p>
    <w:p w14:paraId="13BB0D36" w14:textId="77777777" w:rsidR="0040202D" w:rsidRPr="008B3DE8" w:rsidRDefault="0040202D" w:rsidP="008B1F7F">
      <w:pPr>
        <w:jc w:val="both"/>
        <w:rPr>
          <w:sz w:val="24"/>
          <w:szCs w:val="24"/>
        </w:rPr>
      </w:pPr>
      <w:r w:rsidRPr="008B3DE8">
        <w:rPr>
          <w:sz w:val="24"/>
          <w:szCs w:val="24"/>
        </w:rPr>
        <w:t>Valuation Advisors Lack of Marketability Discount Study—DLOM Database (Discount for Lack of  Marketability), Business Valuation Resources, 2022</w:t>
      </w:r>
    </w:p>
    <w:p w14:paraId="09F683A6" w14:textId="77777777" w:rsidR="0040202D" w:rsidRPr="008B3DE8" w:rsidRDefault="0040202D" w:rsidP="008B1F7F">
      <w:pPr>
        <w:spacing w:line="280" w:lineRule="exact"/>
        <w:ind w:left="720"/>
        <w:jc w:val="both"/>
        <w:rPr>
          <w:sz w:val="24"/>
          <w:szCs w:val="24"/>
        </w:rPr>
      </w:pPr>
    </w:p>
    <w:p w14:paraId="51251F2A" w14:textId="77777777" w:rsidR="0040202D" w:rsidRPr="008B3DE8" w:rsidRDefault="0040202D" w:rsidP="008B1F7F">
      <w:pPr>
        <w:ind w:left="720"/>
        <w:jc w:val="both"/>
        <w:rPr>
          <w:sz w:val="24"/>
          <w:szCs w:val="24"/>
        </w:rPr>
      </w:pPr>
      <w:r>
        <w:rPr>
          <w:sz w:val="24"/>
          <w:szCs w:val="24"/>
        </w:rPr>
        <w:t>It</w:t>
      </w:r>
      <w:r w:rsidRPr="008B3DE8">
        <w:rPr>
          <w:sz w:val="24"/>
          <w:szCs w:val="24"/>
        </w:rPr>
        <w:t xml:space="preserve"> conducts a comparative analysis between the pre-IPO prices of common stock, convertible preferred stock, and common stock options and the IPO stock price. </w:t>
      </w:r>
    </w:p>
    <w:p w14:paraId="18298060" w14:textId="77777777" w:rsidR="0040202D" w:rsidRPr="008B3DE8" w:rsidRDefault="0040202D" w:rsidP="008B1F7F">
      <w:pPr>
        <w:spacing w:line="280" w:lineRule="exact"/>
        <w:ind w:left="720"/>
        <w:jc w:val="both"/>
        <w:rPr>
          <w:sz w:val="24"/>
          <w:szCs w:val="24"/>
        </w:rPr>
      </w:pPr>
    </w:p>
    <w:p w14:paraId="0B2EAEDB" w14:textId="77777777" w:rsidR="0040202D" w:rsidRPr="008B3DE8" w:rsidRDefault="0040202D" w:rsidP="008B1F7F">
      <w:pPr>
        <w:jc w:val="both"/>
        <w:rPr>
          <w:sz w:val="24"/>
          <w:szCs w:val="24"/>
        </w:rPr>
      </w:pPr>
      <w:r w:rsidRPr="008B3DE8">
        <w:rPr>
          <w:sz w:val="24"/>
          <w:szCs w:val="24"/>
        </w:rPr>
        <w:t>William Harris (2011), ‘Trugman Valuation Advisors, Inc. (TVA), Restricted Stock Study’, Business Valuation Review (Winter 2011): pp. 132–139.</w:t>
      </w:r>
    </w:p>
    <w:p w14:paraId="18F6C215" w14:textId="77777777" w:rsidR="0040202D" w:rsidRPr="008B3DE8" w:rsidRDefault="0040202D" w:rsidP="008B1F7F">
      <w:pPr>
        <w:spacing w:line="280" w:lineRule="exact"/>
        <w:ind w:left="720"/>
        <w:jc w:val="both"/>
        <w:rPr>
          <w:sz w:val="24"/>
          <w:szCs w:val="24"/>
        </w:rPr>
      </w:pPr>
    </w:p>
    <w:p w14:paraId="4D804DC9" w14:textId="77777777" w:rsidR="0040202D" w:rsidRPr="00516B04" w:rsidRDefault="0040202D" w:rsidP="008B1F7F">
      <w:pPr>
        <w:ind w:left="720"/>
        <w:jc w:val="both"/>
        <w:rPr>
          <w:sz w:val="24"/>
          <w:szCs w:val="24"/>
        </w:rPr>
      </w:pPr>
      <w:r>
        <w:rPr>
          <w:sz w:val="24"/>
          <w:szCs w:val="24"/>
        </w:rPr>
        <w:t>It</w:t>
      </w:r>
      <w:r w:rsidRPr="00516B04">
        <w:rPr>
          <w:sz w:val="24"/>
          <w:szCs w:val="24"/>
        </w:rPr>
        <w:t xml:space="preserve"> examines stock discounts that occurred between January 2007 and December 2008, a time of intense financial market volatility and widespread investor concern. In the first study, 80 transactions were examined to see if greater indicated DLOM was a direct result of the economic downturn. </w:t>
      </w:r>
    </w:p>
    <w:p w14:paraId="4E34EDA9" w14:textId="77777777" w:rsidR="0040202D" w:rsidRPr="008B3DE8" w:rsidRDefault="0040202D" w:rsidP="008B1F7F">
      <w:pPr>
        <w:spacing w:line="280" w:lineRule="exact"/>
        <w:ind w:left="720"/>
        <w:jc w:val="both"/>
        <w:rPr>
          <w:sz w:val="24"/>
          <w:szCs w:val="24"/>
        </w:rPr>
      </w:pPr>
    </w:p>
    <w:p w14:paraId="5F8E5DD6" w14:textId="77777777" w:rsidR="0040202D" w:rsidRPr="008B3DE8" w:rsidRDefault="0040202D" w:rsidP="008B1F7F">
      <w:pPr>
        <w:jc w:val="both"/>
        <w:rPr>
          <w:sz w:val="24"/>
          <w:szCs w:val="24"/>
        </w:rPr>
      </w:pPr>
      <w:r w:rsidRPr="008B3DE8">
        <w:rPr>
          <w:sz w:val="24"/>
          <w:szCs w:val="24"/>
        </w:rPr>
        <w:t>William L. Silber (1991) ‘Discounts of Restricted Stock: The Impact of Illiquidity on Stock Prices’, The Financial Analysts Journal, pp. 60–64.</w:t>
      </w:r>
    </w:p>
    <w:p w14:paraId="73B2B4BA" w14:textId="77777777" w:rsidR="0040202D" w:rsidRPr="008B3DE8" w:rsidRDefault="0040202D" w:rsidP="008B1F7F">
      <w:pPr>
        <w:spacing w:line="280" w:lineRule="exact"/>
        <w:ind w:left="720"/>
        <w:jc w:val="both"/>
        <w:rPr>
          <w:sz w:val="24"/>
          <w:szCs w:val="24"/>
        </w:rPr>
      </w:pPr>
    </w:p>
    <w:p w14:paraId="29CC498B" w14:textId="77777777" w:rsidR="0040202D" w:rsidRPr="008B3DE8" w:rsidRDefault="0040202D" w:rsidP="008B1F7F">
      <w:pPr>
        <w:ind w:left="720"/>
        <w:jc w:val="both"/>
        <w:rPr>
          <w:sz w:val="24"/>
          <w:szCs w:val="24"/>
        </w:rPr>
      </w:pPr>
      <w:r w:rsidRPr="008B3DE8">
        <w:rPr>
          <w:sz w:val="24"/>
          <w:szCs w:val="24"/>
        </w:rPr>
        <w:t xml:space="preserve">The study's objective is to present proof of the influence of liquidity on restricted stock pricing. It's interesting to note that Silber included marketability as a variable in his formulas. Silber used the block size expressed as a percentage of the total number of outstanding shares to determine marketability. </w:t>
      </w:r>
    </w:p>
    <w:p w14:paraId="58A0CAF8" w14:textId="77777777" w:rsidR="00A02CE5" w:rsidRDefault="00A02CE5" w:rsidP="00D21CAB">
      <w:pPr>
        <w:rPr>
          <w:sz w:val="24"/>
          <w:szCs w:val="24"/>
        </w:rPr>
      </w:pPr>
    </w:p>
    <w:sectPr w:rsidR="00A02C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536F0C" w14:textId="77777777" w:rsidR="00BD0D27" w:rsidRDefault="00BD0D27" w:rsidP="006C143A">
      <w:pPr>
        <w:spacing w:line="240" w:lineRule="auto"/>
      </w:pPr>
      <w:r>
        <w:separator/>
      </w:r>
    </w:p>
  </w:endnote>
  <w:endnote w:type="continuationSeparator" w:id="0">
    <w:p w14:paraId="7703F9BD" w14:textId="77777777" w:rsidR="00BD0D27" w:rsidRDefault="00BD0D27" w:rsidP="006C14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Montserrat-Regular">
    <w:altName w:val="Montserra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E6CC7" w14:textId="77777777" w:rsidR="00BD0D27" w:rsidRDefault="00BD0D27" w:rsidP="006C143A">
      <w:pPr>
        <w:spacing w:line="240" w:lineRule="auto"/>
      </w:pPr>
      <w:r>
        <w:separator/>
      </w:r>
    </w:p>
  </w:footnote>
  <w:footnote w:type="continuationSeparator" w:id="0">
    <w:p w14:paraId="29B7B6BD" w14:textId="77777777" w:rsidR="00BD0D27" w:rsidRDefault="00BD0D27" w:rsidP="006C14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302A6"/>
    <w:multiLevelType w:val="hybridMultilevel"/>
    <w:tmpl w:val="0382DB8A"/>
    <w:lvl w:ilvl="0" w:tplc="DC64A03E">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20DC4320"/>
    <w:multiLevelType w:val="hybridMultilevel"/>
    <w:tmpl w:val="1340C050"/>
    <w:lvl w:ilvl="0" w:tplc="FA423858">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211B361B"/>
    <w:multiLevelType w:val="hybridMultilevel"/>
    <w:tmpl w:val="0A628C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1091AC2"/>
    <w:multiLevelType w:val="hybridMultilevel"/>
    <w:tmpl w:val="0382DB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C3A70F2"/>
    <w:multiLevelType w:val="hybridMultilevel"/>
    <w:tmpl w:val="0A628C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3935502"/>
    <w:multiLevelType w:val="hybridMultilevel"/>
    <w:tmpl w:val="0382DB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27E2619"/>
    <w:multiLevelType w:val="hybridMultilevel"/>
    <w:tmpl w:val="0A628CD4"/>
    <w:lvl w:ilvl="0" w:tplc="DC0A2A38">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191068897">
    <w:abstractNumId w:val="0"/>
  </w:num>
  <w:num w:numId="2" w16cid:durableId="1186747306">
    <w:abstractNumId w:val="6"/>
  </w:num>
  <w:num w:numId="3" w16cid:durableId="1436170903">
    <w:abstractNumId w:val="2"/>
  </w:num>
  <w:num w:numId="4" w16cid:durableId="1058161797">
    <w:abstractNumId w:val="4"/>
  </w:num>
  <w:num w:numId="5" w16cid:durableId="1240602012">
    <w:abstractNumId w:val="3"/>
  </w:num>
  <w:num w:numId="6" w16cid:durableId="35929909">
    <w:abstractNumId w:val="5"/>
  </w:num>
  <w:num w:numId="7" w16cid:durableId="1790391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438"/>
    <w:rsid w:val="00001791"/>
    <w:rsid w:val="000049A4"/>
    <w:rsid w:val="0001334A"/>
    <w:rsid w:val="000150C1"/>
    <w:rsid w:val="0002179A"/>
    <w:rsid w:val="000218EC"/>
    <w:rsid w:val="00025CB4"/>
    <w:rsid w:val="000271B5"/>
    <w:rsid w:val="000273C0"/>
    <w:rsid w:val="000312A9"/>
    <w:rsid w:val="00036E1B"/>
    <w:rsid w:val="00040A4C"/>
    <w:rsid w:val="00043439"/>
    <w:rsid w:val="000464C4"/>
    <w:rsid w:val="00050248"/>
    <w:rsid w:val="000543EA"/>
    <w:rsid w:val="000543FD"/>
    <w:rsid w:val="000568DB"/>
    <w:rsid w:val="000607DE"/>
    <w:rsid w:val="00064174"/>
    <w:rsid w:val="00065CA8"/>
    <w:rsid w:val="000750B7"/>
    <w:rsid w:val="00096F03"/>
    <w:rsid w:val="000B3359"/>
    <w:rsid w:val="000B6D5B"/>
    <w:rsid w:val="000C0C7F"/>
    <w:rsid w:val="000C0E23"/>
    <w:rsid w:val="000C4248"/>
    <w:rsid w:val="000E1E3E"/>
    <w:rsid w:val="000F4171"/>
    <w:rsid w:val="001021AF"/>
    <w:rsid w:val="00103DEF"/>
    <w:rsid w:val="0010460D"/>
    <w:rsid w:val="0011411F"/>
    <w:rsid w:val="00122F24"/>
    <w:rsid w:val="001259AC"/>
    <w:rsid w:val="00126A73"/>
    <w:rsid w:val="00133E52"/>
    <w:rsid w:val="00134131"/>
    <w:rsid w:val="00134774"/>
    <w:rsid w:val="00136766"/>
    <w:rsid w:val="001375D0"/>
    <w:rsid w:val="001441A4"/>
    <w:rsid w:val="00151B5F"/>
    <w:rsid w:val="00156A94"/>
    <w:rsid w:val="001570AF"/>
    <w:rsid w:val="00170738"/>
    <w:rsid w:val="0017557A"/>
    <w:rsid w:val="00182E16"/>
    <w:rsid w:val="00185568"/>
    <w:rsid w:val="00186CA6"/>
    <w:rsid w:val="001A13A5"/>
    <w:rsid w:val="001A224C"/>
    <w:rsid w:val="001A294D"/>
    <w:rsid w:val="001A32CD"/>
    <w:rsid w:val="001A651D"/>
    <w:rsid w:val="001A7129"/>
    <w:rsid w:val="001B3113"/>
    <w:rsid w:val="001B5C5F"/>
    <w:rsid w:val="001B63B2"/>
    <w:rsid w:val="001B77A3"/>
    <w:rsid w:val="001C0FFF"/>
    <w:rsid w:val="001D270F"/>
    <w:rsid w:val="001D7F4D"/>
    <w:rsid w:val="001F02D4"/>
    <w:rsid w:val="001F389C"/>
    <w:rsid w:val="001F404A"/>
    <w:rsid w:val="00205C32"/>
    <w:rsid w:val="00207DAF"/>
    <w:rsid w:val="00220B93"/>
    <w:rsid w:val="002249A7"/>
    <w:rsid w:val="00226150"/>
    <w:rsid w:val="002309FA"/>
    <w:rsid w:val="00233B81"/>
    <w:rsid w:val="00246D0E"/>
    <w:rsid w:val="002536C9"/>
    <w:rsid w:val="002560D5"/>
    <w:rsid w:val="00260352"/>
    <w:rsid w:val="00264424"/>
    <w:rsid w:val="00270157"/>
    <w:rsid w:val="0027607C"/>
    <w:rsid w:val="002818D1"/>
    <w:rsid w:val="00281B30"/>
    <w:rsid w:val="002839D3"/>
    <w:rsid w:val="00284C7F"/>
    <w:rsid w:val="002865DB"/>
    <w:rsid w:val="002920C4"/>
    <w:rsid w:val="002960F1"/>
    <w:rsid w:val="002A62C2"/>
    <w:rsid w:val="002B03E8"/>
    <w:rsid w:val="002B24CF"/>
    <w:rsid w:val="002C4216"/>
    <w:rsid w:val="002C4A3E"/>
    <w:rsid w:val="002D0158"/>
    <w:rsid w:val="002D5290"/>
    <w:rsid w:val="002E3FF5"/>
    <w:rsid w:val="00306CF2"/>
    <w:rsid w:val="00312856"/>
    <w:rsid w:val="00312BF1"/>
    <w:rsid w:val="0032660A"/>
    <w:rsid w:val="00326B6F"/>
    <w:rsid w:val="003278B3"/>
    <w:rsid w:val="0033117D"/>
    <w:rsid w:val="0033691C"/>
    <w:rsid w:val="0034387F"/>
    <w:rsid w:val="00350000"/>
    <w:rsid w:val="003610EC"/>
    <w:rsid w:val="00367400"/>
    <w:rsid w:val="00367667"/>
    <w:rsid w:val="00367810"/>
    <w:rsid w:val="0037201D"/>
    <w:rsid w:val="003807EF"/>
    <w:rsid w:val="00384DBE"/>
    <w:rsid w:val="003855E8"/>
    <w:rsid w:val="00385CDC"/>
    <w:rsid w:val="00394164"/>
    <w:rsid w:val="003A1864"/>
    <w:rsid w:val="003B106E"/>
    <w:rsid w:val="003B1E80"/>
    <w:rsid w:val="003B5371"/>
    <w:rsid w:val="003B5E45"/>
    <w:rsid w:val="003C0EE0"/>
    <w:rsid w:val="003C19A5"/>
    <w:rsid w:val="003C23F3"/>
    <w:rsid w:val="003C4A1F"/>
    <w:rsid w:val="003D2D8A"/>
    <w:rsid w:val="003D4ED6"/>
    <w:rsid w:val="003E37D2"/>
    <w:rsid w:val="003E53B7"/>
    <w:rsid w:val="003F527B"/>
    <w:rsid w:val="00401B25"/>
    <w:rsid w:val="0040202D"/>
    <w:rsid w:val="00404225"/>
    <w:rsid w:val="00405F7E"/>
    <w:rsid w:val="00407591"/>
    <w:rsid w:val="00410487"/>
    <w:rsid w:val="004113F0"/>
    <w:rsid w:val="00412C25"/>
    <w:rsid w:val="00417D81"/>
    <w:rsid w:val="00425992"/>
    <w:rsid w:val="004259D3"/>
    <w:rsid w:val="0042682E"/>
    <w:rsid w:val="00431236"/>
    <w:rsid w:val="00437830"/>
    <w:rsid w:val="0044363C"/>
    <w:rsid w:val="00452CCD"/>
    <w:rsid w:val="004538DA"/>
    <w:rsid w:val="00455ACE"/>
    <w:rsid w:val="00461C19"/>
    <w:rsid w:val="00470CFE"/>
    <w:rsid w:val="004733AE"/>
    <w:rsid w:val="00474979"/>
    <w:rsid w:val="00476EFD"/>
    <w:rsid w:val="00481C3C"/>
    <w:rsid w:val="0048226A"/>
    <w:rsid w:val="00483DDF"/>
    <w:rsid w:val="0048548D"/>
    <w:rsid w:val="00492FF1"/>
    <w:rsid w:val="00495629"/>
    <w:rsid w:val="004A757E"/>
    <w:rsid w:val="004B46EE"/>
    <w:rsid w:val="004B470A"/>
    <w:rsid w:val="004C3FC7"/>
    <w:rsid w:val="004C5D0B"/>
    <w:rsid w:val="004D316B"/>
    <w:rsid w:val="004F5960"/>
    <w:rsid w:val="004F59F5"/>
    <w:rsid w:val="00501D73"/>
    <w:rsid w:val="00502F3F"/>
    <w:rsid w:val="005078C0"/>
    <w:rsid w:val="00516B04"/>
    <w:rsid w:val="00517AAF"/>
    <w:rsid w:val="00522193"/>
    <w:rsid w:val="00523AD4"/>
    <w:rsid w:val="00532D4F"/>
    <w:rsid w:val="00533309"/>
    <w:rsid w:val="005353FF"/>
    <w:rsid w:val="00535D06"/>
    <w:rsid w:val="00542804"/>
    <w:rsid w:val="00550A59"/>
    <w:rsid w:val="00553103"/>
    <w:rsid w:val="005540FF"/>
    <w:rsid w:val="005547EF"/>
    <w:rsid w:val="00556DF4"/>
    <w:rsid w:val="005611B6"/>
    <w:rsid w:val="005663ED"/>
    <w:rsid w:val="005670C0"/>
    <w:rsid w:val="00570B20"/>
    <w:rsid w:val="00575BDC"/>
    <w:rsid w:val="005A77BE"/>
    <w:rsid w:val="005B69DD"/>
    <w:rsid w:val="005B7588"/>
    <w:rsid w:val="005C4F6C"/>
    <w:rsid w:val="005D2C29"/>
    <w:rsid w:val="005D4E3B"/>
    <w:rsid w:val="005D4E7E"/>
    <w:rsid w:val="005D50B5"/>
    <w:rsid w:val="005D69EB"/>
    <w:rsid w:val="005D6D61"/>
    <w:rsid w:val="005E1A3F"/>
    <w:rsid w:val="005E4AB8"/>
    <w:rsid w:val="005E6B19"/>
    <w:rsid w:val="005E7B4D"/>
    <w:rsid w:val="005E7B9C"/>
    <w:rsid w:val="005F0B78"/>
    <w:rsid w:val="005F22C2"/>
    <w:rsid w:val="005F24DF"/>
    <w:rsid w:val="005F31B9"/>
    <w:rsid w:val="005F36BD"/>
    <w:rsid w:val="005F7A32"/>
    <w:rsid w:val="00600865"/>
    <w:rsid w:val="00601F5E"/>
    <w:rsid w:val="006053A9"/>
    <w:rsid w:val="00606A95"/>
    <w:rsid w:val="00614977"/>
    <w:rsid w:val="00615721"/>
    <w:rsid w:val="00617C80"/>
    <w:rsid w:val="006233CE"/>
    <w:rsid w:val="00624DBF"/>
    <w:rsid w:val="006325B1"/>
    <w:rsid w:val="006374EA"/>
    <w:rsid w:val="00641309"/>
    <w:rsid w:val="0064194F"/>
    <w:rsid w:val="00644873"/>
    <w:rsid w:val="00645AD2"/>
    <w:rsid w:val="00650D22"/>
    <w:rsid w:val="006531A7"/>
    <w:rsid w:val="006545BF"/>
    <w:rsid w:val="00656DA4"/>
    <w:rsid w:val="006636A9"/>
    <w:rsid w:val="00663D9D"/>
    <w:rsid w:val="00671ED3"/>
    <w:rsid w:val="00673343"/>
    <w:rsid w:val="00680C54"/>
    <w:rsid w:val="00693406"/>
    <w:rsid w:val="00693F34"/>
    <w:rsid w:val="006967B8"/>
    <w:rsid w:val="00697918"/>
    <w:rsid w:val="006A128A"/>
    <w:rsid w:val="006A2891"/>
    <w:rsid w:val="006A644B"/>
    <w:rsid w:val="006A7466"/>
    <w:rsid w:val="006C143A"/>
    <w:rsid w:val="006C4441"/>
    <w:rsid w:val="006C59A4"/>
    <w:rsid w:val="006D6513"/>
    <w:rsid w:val="006F7D46"/>
    <w:rsid w:val="007113BC"/>
    <w:rsid w:val="007113E7"/>
    <w:rsid w:val="007207A3"/>
    <w:rsid w:val="00721233"/>
    <w:rsid w:val="0072538B"/>
    <w:rsid w:val="007347FB"/>
    <w:rsid w:val="00744C0E"/>
    <w:rsid w:val="00747B02"/>
    <w:rsid w:val="00751C0F"/>
    <w:rsid w:val="00761B5B"/>
    <w:rsid w:val="0076279E"/>
    <w:rsid w:val="00764461"/>
    <w:rsid w:val="007654EB"/>
    <w:rsid w:val="00767DD6"/>
    <w:rsid w:val="007755F0"/>
    <w:rsid w:val="007768A9"/>
    <w:rsid w:val="00790809"/>
    <w:rsid w:val="007922D2"/>
    <w:rsid w:val="00794309"/>
    <w:rsid w:val="007B5C77"/>
    <w:rsid w:val="007C0EBE"/>
    <w:rsid w:val="007C11E0"/>
    <w:rsid w:val="007C56E8"/>
    <w:rsid w:val="007C79CF"/>
    <w:rsid w:val="007C7F80"/>
    <w:rsid w:val="007D67AB"/>
    <w:rsid w:val="007F2054"/>
    <w:rsid w:val="00800B58"/>
    <w:rsid w:val="00804747"/>
    <w:rsid w:val="00804ADA"/>
    <w:rsid w:val="00806BB3"/>
    <w:rsid w:val="00815B85"/>
    <w:rsid w:val="008160A7"/>
    <w:rsid w:val="008166D9"/>
    <w:rsid w:val="00817C95"/>
    <w:rsid w:val="00824BD2"/>
    <w:rsid w:val="0083383E"/>
    <w:rsid w:val="0085181B"/>
    <w:rsid w:val="008561A5"/>
    <w:rsid w:val="00860FF0"/>
    <w:rsid w:val="00864A2C"/>
    <w:rsid w:val="00871438"/>
    <w:rsid w:val="00872F70"/>
    <w:rsid w:val="0087547F"/>
    <w:rsid w:val="00885600"/>
    <w:rsid w:val="00887B43"/>
    <w:rsid w:val="0089067B"/>
    <w:rsid w:val="00891CA9"/>
    <w:rsid w:val="00892100"/>
    <w:rsid w:val="008944D2"/>
    <w:rsid w:val="0089656C"/>
    <w:rsid w:val="008A01A5"/>
    <w:rsid w:val="008A1830"/>
    <w:rsid w:val="008A2C85"/>
    <w:rsid w:val="008B1F7F"/>
    <w:rsid w:val="008B3DE8"/>
    <w:rsid w:val="008B79B5"/>
    <w:rsid w:val="008C7FB2"/>
    <w:rsid w:val="008D466F"/>
    <w:rsid w:val="008D4BFC"/>
    <w:rsid w:val="008D4F62"/>
    <w:rsid w:val="008D55DA"/>
    <w:rsid w:val="008E080B"/>
    <w:rsid w:val="008E0F3B"/>
    <w:rsid w:val="008E1591"/>
    <w:rsid w:val="008E5405"/>
    <w:rsid w:val="008E74C1"/>
    <w:rsid w:val="008F0FD8"/>
    <w:rsid w:val="008F2026"/>
    <w:rsid w:val="008F431C"/>
    <w:rsid w:val="008F53BA"/>
    <w:rsid w:val="008F7221"/>
    <w:rsid w:val="0091325D"/>
    <w:rsid w:val="0091410F"/>
    <w:rsid w:val="00920CFC"/>
    <w:rsid w:val="0092705F"/>
    <w:rsid w:val="009271D5"/>
    <w:rsid w:val="00936A70"/>
    <w:rsid w:val="0094511D"/>
    <w:rsid w:val="009535B9"/>
    <w:rsid w:val="0095625F"/>
    <w:rsid w:val="00957A74"/>
    <w:rsid w:val="00957EFB"/>
    <w:rsid w:val="009631F5"/>
    <w:rsid w:val="00971B9A"/>
    <w:rsid w:val="009737E6"/>
    <w:rsid w:val="00974557"/>
    <w:rsid w:val="00975EA6"/>
    <w:rsid w:val="00983ED0"/>
    <w:rsid w:val="00987AF6"/>
    <w:rsid w:val="00990C10"/>
    <w:rsid w:val="00991846"/>
    <w:rsid w:val="009A52C8"/>
    <w:rsid w:val="009A63C2"/>
    <w:rsid w:val="009B169C"/>
    <w:rsid w:val="009B4BD6"/>
    <w:rsid w:val="009B4FAB"/>
    <w:rsid w:val="009C0887"/>
    <w:rsid w:val="009C4EB9"/>
    <w:rsid w:val="009D0AB8"/>
    <w:rsid w:val="009E48EE"/>
    <w:rsid w:val="009E564A"/>
    <w:rsid w:val="009F539F"/>
    <w:rsid w:val="009F55C6"/>
    <w:rsid w:val="00A00631"/>
    <w:rsid w:val="00A02CE5"/>
    <w:rsid w:val="00A078A2"/>
    <w:rsid w:val="00A1226B"/>
    <w:rsid w:val="00A1600B"/>
    <w:rsid w:val="00A20562"/>
    <w:rsid w:val="00A335C8"/>
    <w:rsid w:val="00A35E1B"/>
    <w:rsid w:val="00A367EC"/>
    <w:rsid w:val="00A40CE6"/>
    <w:rsid w:val="00A6448F"/>
    <w:rsid w:val="00A65606"/>
    <w:rsid w:val="00A75FC2"/>
    <w:rsid w:val="00A81176"/>
    <w:rsid w:val="00A876D5"/>
    <w:rsid w:val="00A87736"/>
    <w:rsid w:val="00A91DB1"/>
    <w:rsid w:val="00A94F56"/>
    <w:rsid w:val="00AA0B35"/>
    <w:rsid w:val="00AA161C"/>
    <w:rsid w:val="00AB477E"/>
    <w:rsid w:val="00AB5ACF"/>
    <w:rsid w:val="00AB7098"/>
    <w:rsid w:val="00AB72CD"/>
    <w:rsid w:val="00AC1134"/>
    <w:rsid w:val="00AC28B4"/>
    <w:rsid w:val="00AC2A37"/>
    <w:rsid w:val="00AE1280"/>
    <w:rsid w:val="00AE2DE7"/>
    <w:rsid w:val="00B038E7"/>
    <w:rsid w:val="00B06CA0"/>
    <w:rsid w:val="00B06E61"/>
    <w:rsid w:val="00B06F2C"/>
    <w:rsid w:val="00B10376"/>
    <w:rsid w:val="00B128DD"/>
    <w:rsid w:val="00B14882"/>
    <w:rsid w:val="00B35AD4"/>
    <w:rsid w:val="00B4300A"/>
    <w:rsid w:val="00B430B0"/>
    <w:rsid w:val="00B53A34"/>
    <w:rsid w:val="00B60AA6"/>
    <w:rsid w:val="00B621A6"/>
    <w:rsid w:val="00B643ED"/>
    <w:rsid w:val="00B65194"/>
    <w:rsid w:val="00B66F92"/>
    <w:rsid w:val="00B7524C"/>
    <w:rsid w:val="00B7664D"/>
    <w:rsid w:val="00B81687"/>
    <w:rsid w:val="00B829B6"/>
    <w:rsid w:val="00B85163"/>
    <w:rsid w:val="00B96026"/>
    <w:rsid w:val="00BA059E"/>
    <w:rsid w:val="00BA4329"/>
    <w:rsid w:val="00BB21D5"/>
    <w:rsid w:val="00BB3075"/>
    <w:rsid w:val="00BB6321"/>
    <w:rsid w:val="00BB7A9C"/>
    <w:rsid w:val="00BC1741"/>
    <w:rsid w:val="00BD0D27"/>
    <w:rsid w:val="00BE1A60"/>
    <w:rsid w:val="00BE1F34"/>
    <w:rsid w:val="00BE4D04"/>
    <w:rsid w:val="00BE624D"/>
    <w:rsid w:val="00BE7FBB"/>
    <w:rsid w:val="00BF1871"/>
    <w:rsid w:val="00BF2724"/>
    <w:rsid w:val="00BF65A3"/>
    <w:rsid w:val="00BF6716"/>
    <w:rsid w:val="00BF7DD8"/>
    <w:rsid w:val="00C0101A"/>
    <w:rsid w:val="00C017D7"/>
    <w:rsid w:val="00C107F0"/>
    <w:rsid w:val="00C14FC8"/>
    <w:rsid w:val="00C15709"/>
    <w:rsid w:val="00C166A1"/>
    <w:rsid w:val="00C17C2A"/>
    <w:rsid w:val="00C2183C"/>
    <w:rsid w:val="00C326E2"/>
    <w:rsid w:val="00C37A38"/>
    <w:rsid w:val="00C4113A"/>
    <w:rsid w:val="00C457E7"/>
    <w:rsid w:val="00C45C68"/>
    <w:rsid w:val="00C46656"/>
    <w:rsid w:val="00C5055E"/>
    <w:rsid w:val="00C540E9"/>
    <w:rsid w:val="00C577AB"/>
    <w:rsid w:val="00C6097E"/>
    <w:rsid w:val="00C7330E"/>
    <w:rsid w:val="00C80495"/>
    <w:rsid w:val="00C835B0"/>
    <w:rsid w:val="00C93802"/>
    <w:rsid w:val="00CA2BD8"/>
    <w:rsid w:val="00CA47F6"/>
    <w:rsid w:val="00CA4D4D"/>
    <w:rsid w:val="00CA7C03"/>
    <w:rsid w:val="00CB5A80"/>
    <w:rsid w:val="00CB5F9F"/>
    <w:rsid w:val="00CC1823"/>
    <w:rsid w:val="00CC2AEE"/>
    <w:rsid w:val="00CD2767"/>
    <w:rsid w:val="00CE0F9B"/>
    <w:rsid w:val="00CE328C"/>
    <w:rsid w:val="00CE61F1"/>
    <w:rsid w:val="00D0207F"/>
    <w:rsid w:val="00D13BEB"/>
    <w:rsid w:val="00D20FFD"/>
    <w:rsid w:val="00D210B2"/>
    <w:rsid w:val="00D21CAB"/>
    <w:rsid w:val="00D259A6"/>
    <w:rsid w:val="00D318A1"/>
    <w:rsid w:val="00D42A18"/>
    <w:rsid w:val="00D43F41"/>
    <w:rsid w:val="00D600D6"/>
    <w:rsid w:val="00D61F50"/>
    <w:rsid w:val="00D729E7"/>
    <w:rsid w:val="00D8010D"/>
    <w:rsid w:val="00D8248D"/>
    <w:rsid w:val="00D83FF3"/>
    <w:rsid w:val="00D8701C"/>
    <w:rsid w:val="00D92BCE"/>
    <w:rsid w:val="00D93962"/>
    <w:rsid w:val="00D95542"/>
    <w:rsid w:val="00DA18AA"/>
    <w:rsid w:val="00DA2A05"/>
    <w:rsid w:val="00DA42C9"/>
    <w:rsid w:val="00DA4706"/>
    <w:rsid w:val="00DA7475"/>
    <w:rsid w:val="00DA7792"/>
    <w:rsid w:val="00DC0D03"/>
    <w:rsid w:val="00DC139C"/>
    <w:rsid w:val="00DC2419"/>
    <w:rsid w:val="00DC5239"/>
    <w:rsid w:val="00DD1F66"/>
    <w:rsid w:val="00DE056B"/>
    <w:rsid w:val="00DE4843"/>
    <w:rsid w:val="00DE5493"/>
    <w:rsid w:val="00E00023"/>
    <w:rsid w:val="00E0532D"/>
    <w:rsid w:val="00E11E21"/>
    <w:rsid w:val="00E122DB"/>
    <w:rsid w:val="00E1327F"/>
    <w:rsid w:val="00E16DAF"/>
    <w:rsid w:val="00E234BC"/>
    <w:rsid w:val="00E30434"/>
    <w:rsid w:val="00E3185A"/>
    <w:rsid w:val="00E40A2D"/>
    <w:rsid w:val="00E424B9"/>
    <w:rsid w:val="00E4342D"/>
    <w:rsid w:val="00E43B8F"/>
    <w:rsid w:val="00E45E23"/>
    <w:rsid w:val="00E50FE2"/>
    <w:rsid w:val="00E527FB"/>
    <w:rsid w:val="00E534C8"/>
    <w:rsid w:val="00E601BF"/>
    <w:rsid w:val="00E60E04"/>
    <w:rsid w:val="00E64CBB"/>
    <w:rsid w:val="00E67773"/>
    <w:rsid w:val="00E67FDF"/>
    <w:rsid w:val="00E74D09"/>
    <w:rsid w:val="00E7616B"/>
    <w:rsid w:val="00E76FA2"/>
    <w:rsid w:val="00E77315"/>
    <w:rsid w:val="00E83FA3"/>
    <w:rsid w:val="00E846EB"/>
    <w:rsid w:val="00E853B6"/>
    <w:rsid w:val="00EA0126"/>
    <w:rsid w:val="00EB738A"/>
    <w:rsid w:val="00EB74DE"/>
    <w:rsid w:val="00EC387C"/>
    <w:rsid w:val="00EC6BC1"/>
    <w:rsid w:val="00ED36A1"/>
    <w:rsid w:val="00ED5268"/>
    <w:rsid w:val="00EE1ECF"/>
    <w:rsid w:val="00EF3F83"/>
    <w:rsid w:val="00EF481B"/>
    <w:rsid w:val="00F128E6"/>
    <w:rsid w:val="00F12BB6"/>
    <w:rsid w:val="00F245F3"/>
    <w:rsid w:val="00F2493E"/>
    <w:rsid w:val="00F30E23"/>
    <w:rsid w:val="00F33628"/>
    <w:rsid w:val="00F401CD"/>
    <w:rsid w:val="00F456FB"/>
    <w:rsid w:val="00F52D51"/>
    <w:rsid w:val="00F61265"/>
    <w:rsid w:val="00F6401E"/>
    <w:rsid w:val="00F67648"/>
    <w:rsid w:val="00F72D30"/>
    <w:rsid w:val="00F7554D"/>
    <w:rsid w:val="00F77612"/>
    <w:rsid w:val="00F82781"/>
    <w:rsid w:val="00F92F40"/>
    <w:rsid w:val="00F94428"/>
    <w:rsid w:val="00F97201"/>
    <w:rsid w:val="00FB1325"/>
    <w:rsid w:val="00FB17F5"/>
    <w:rsid w:val="00FB78EF"/>
    <w:rsid w:val="00FC03BA"/>
    <w:rsid w:val="00FC0635"/>
    <w:rsid w:val="00FC6840"/>
    <w:rsid w:val="00FD3983"/>
    <w:rsid w:val="00FD6793"/>
    <w:rsid w:val="00FD7C2B"/>
    <w:rsid w:val="00FE00F3"/>
    <w:rsid w:val="00FE3088"/>
    <w:rsid w:val="00FE6745"/>
    <w:rsid w:val="00FE6972"/>
    <w:rsid w:val="00FE7A37"/>
    <w:rsid w:val="00FF5CC7"/>
    <w:rsid w:val="00FF71C7"/>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B03E"/>
  <w15:chartTrackingRefBased/>
  <w15:docId w15:val="{8AF3CDC6-05FA-4CB8-BE94-8D5976310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D36A1"/>
    <w:pPr>
      <w:spacing w:after="0" w:line="360" w:lineRule="auto"/>
    </w:pPr>
    <w:rPr>
      <w:rFonts w:ascii="Arial" w:eastAsia="等线" w:hAnsi="Arial" w:cs="Arial"/>
      <w:kern w:val="0"/>
      <w:sz w:val="22"/>
      <w:szCs w:val="22"/>
      <w14:ligatures w14:val="none"/>
    </w:rPr>
  </w:style>
  <w:style w:type="paragraph" w:styleId="Heading1">
    <w:name w:val="heading 1"/>
    <w:basedOn w:val="Normal"/>
    <w:next w:val="Normal"/>
    <w:link w:val="Heading1Char"/>
    <w:uiPriority w:val="9"/>
    <w:qFormat/>
    <w:rsid w:val="008714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4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4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4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4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4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4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4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4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4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14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14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4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4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4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4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4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438"/>
    <w:rPr>
      <w:rFonts w:eastAsiaTheme="majorEastAsia" w:cstheme="majorBidi"/>
      <w:color w:val="272727" w:themeColor="text1" w:themeTint="D8"/>
    </w:rPr>
  </w:style>
  <w:style w:type="paragraph" w:styleId="Title">
    <w:name w:val="Title"/>
    <w:basedOn w:val="Normal"/>
    <w:next w:val="Normal"/>
    <w:link w:val="TitleChar"/>
    <w:uiPriority w:val="10"/>
    <w:qFormat/>
    <w:rsid w:val="00871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4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438"/>
    <w:pPr>
      <w:spacing w:before="160"/>
      <w:jc w:val="center"/>
    </w:pPr>
    <w:rPr>
      <w:i/>
      <w:iCs/>
      <w:color w:val="404040" w:themeColor="text1" w:themeTint="BF"/>
    </w:rPr>
  </w:style>
  <w:style w:type="character" w:customStyle="1" w:styleId="QuoteChar">
    <w:name w:val="Quote Char"/>
    <w:basedOn w:val="DefaultParagraphFont"/>
    <w:link w:val="Quote"/>
    <w:uiPriority w:val="29"/>
    <w:rsid w:val="00871438"/>
    <w:rPr>
      <w:i/>
      <w:iCs/>
      <w:color w:val="404040" w:themeColor="text1" w:themeTint="BF"/>
    </w:rPr>
  </w:style>
  <w:style w:type="paragraph" w:styleId="ListParagraph">
    <w:name w:val="List Paragraph"/>
    <w:basedOn w:val="Normal"/>
    <w:uiPriority w:val="34"/>
    <w:qFormat/>
    <w:rsid w:val="00871438"/>
    <w:pPr>
      <w:ind w:left="720"/>
      <w:contextualSpacing/>
    </w:pPr>
  </w:style>
  <w:style w:type="character" w:styleId="IntenseEmphasis">
    <w:name w:val="Intense Emphasis"/>
    <w:basedOn w:val="DefaultParagraphFont"/>
    <w:uiPriority w:val="21"/>
    <w:qFormat/>
    <w:rsid w:val="00871438"/>
    <w:rPr>
      <w:i/>
      <w:iCs/>
      <w:color w:val="0F4761" w:themeColor="accent1" w:themeShade="BF"/>
    </w:rPr>
  </w:style>
  <w:style w:type="paragraph" w:styleId="IntenseQuote">
    <w:name w:val="Intense Quote"/>
    <w:basedOn w:val="Normal"/>
    <w:next w:val="Normal"/>
    <w:link w:val="IntenseQuoteChar"/>
    <w:uiPriority w:val="30"/>
    <w:qFormat/>
    <w:rsid w:val="008714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438"/>
    <w:rPr>
      <w:i/>
      <w:iCs/>
      <w:color w:val="0F4761" w:themeColor="accent1" w:themeShade="BF"/>
    </w:rPr>
  </w:style>
  <w:style w:type="character" w:styleId="IntenseReference">
    <w:name w:val="Intense Reference"/>
    <w:basedOn w:val="DefaultParagraphFont"/>
    <w:uiPriority w:val="32"/>
    <w:qFormat/>
    <w:rsid w:val="00871438"/>
    <w:rPr>
      <w:b/>
      <w:bCs/>
      <w:smallCaps/>
      <w:color w:val="0F4761" w:themeColor="accent1" w:themeShade="BF"/>
      <w:spacing w:val="5"/>
    </w:rPr>
  </w:style>
  <w:style w:type="paragraph" w:styleId="FootnoteText">
    <w:name w:val="footnote text"/>
    <w:basedOn w:val="Normal"/>
    <w:link w:val="FootnoteTextChar"/>
    <w:uiPriority w:val="99"/>
    <w:semiHidden/>
    <w:unhideWhenUsed/>
    <w:rsid w:val="00ED36A1"/>
    <w:rPr>
      <w:rFonts w:ascii="Aptos" w:hAnsi="Aptos" w:cs="Times New Roman"/>
      <w:kern w:val="2"/>
      <w:sz w:val="20"/>
      <w:szCs w:val="20"/>
    </w:rPr>
  </w:style>
  <w:style w:type="character" w:customStyle="1" w:styleId="FootnoteTextChar">
    <w:name w:val="Footnote Text Char"/>
    <w:basedOn w:val="DefaultParagraphFont"/>
    <w:link w:val="FootnoteText"/>
    <w:uiPriority w:val="99"/>
    <w:semiHidden/>
    <w:rsid w:val="00ED36A1"/>
    <w:rPr>
      <w:rFonts w:ascii="Aptos" w:eastAsia="等线" w:hAnsi="Aptos" w:cs="Times New Roman"/>
      <w:sz w:val="20"/>
      <w:szCs w:val="20"/>
      <w14:ligatures w14:val="none"/>
    </w:rPr>
  </w:style>
  <w:style w:type="character" w:styleId="FootnoteReference">
    <w:name w:val="footnote reference"/>
    <w:uiPriority w:val="99"/>
    <w:semiHidden/>
    <w:unhideWhenUsed/>
    <w:rsid w:val="00ED36A1"/>
    <w:rPr>
      <w:vertAlign w:val="superscript"/>
    </w:rPr>
  </w:style>
  <w:style w:type="paragraph" w:styleId="BodyText">
    <w:name w:val="Body Text"/>
    <w:basedOn w:val="Normal"/>
    <w:link w:val="BodyTextChar"/>
    <w:uiPriority w:val="1"/>
    <w:qFormat/>
    <w:rsid w:val="005D4E7E"/>
    <w:rPr>
      <w:b/>
      <w:bCs/>
      <w:u w:val="single"/>
    </w:rPr>
  </w:style>
  <w:style w:type="character" w:customStyle="1" w:styleId="BodyTextChar">
    <w:name w:val="Body Text Char"/>
    <w:basedOn w:val="DefaultParagraphFont"/>
    <w:link w:val="BodyText"/>
    <w:uiPriority w:val="99"/>
    <w:rsid w:val="005D4E7E"/>
    <w:rPr>
      <w:rFonts w:ascii="Arial" w:eastAsia="等线" w:hAnsi="Arial" w:cs="Arial"/>
      <w:b/>
      <w:bCs/>
      <w:kern w:val="0"/>
      <w:sz w:val="22"/>
      <w:szCs w:val="22"/>
      <w:u w:val="single"/>
      <w14:ligatures w14:val="none"/>
    </w:rPr>
  </w:style>
  <w:style w:type="character" w:styleId="Hyperlink">
    <w:name w:val="Hyperlink"/>
    <w:basedOn w:val="DefaultParagraphFont"/>
    <w:uiPriority w:val="99"/>
    <w:unhideWhenUsed/>
    <w:rsid w:val="002818D1"/>
    <w:rPr>
      <w:color w:val="467886" w:themeColor="hyperlink"/>
      <w:u w:val="single"/>
    </w:rPr>
  </w:style>
  <w:style w:type="character" w:styleId="UnresolvedMention">
    <w:name w:val="Unresolved Mention"/>
    <w:basedOn w:val="DefaultParagraphFont"/>
    <w:uiPriority w:val="99"/>
    <w:semiHidden/>
    <w:unhideWhenUsed/>
    <w:rsid w:val="002818D1"/>
    <w:rPr>
      <w:color w:val="605E5C"/>
      <w:shd w:val="clear" w:color="auto" w:fill="E1DFDD"/>
    </w:rPr>
  </w:style>
  <w:style w:type="character" w:customStyle="1" w:styleId="fontstyle01">
    <w:name w:val="fontstyle01"/>
    <w:basedOn w:val="DefaultParagraphFont"/>
    <w:rsid w:val="001F389C"/>
    <w:rPr>
      <w:rFonts w:ascii="Montserrat-Regular" w:hAnsi="Montserrat-Regular" w:hint="default"/>
      <w:b w:val="0"/>
      <w:bCs w:val="0"/>
      <w:i w:val="0"/>
      <w:iCs w:val="0"/>
      <w:color w:val="3C3C3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442148">
      <w:bodyDiv w:val="1"/>
      <w:marLeft w:val="0"/>
      <w:marRight w:val="0"/>
      <w:marTop w:val="0"/>
      <w:marBottom w:val="0"/>
      <w:divBdr>
        <w:top w:val="none" w:sz="0" w:space="0" w:color="auto"/>
        <w:left w:val="none" w:sz="0" w:space="0" w:color="auto"/>
        <w:bottom w:val="none" w:sz="0" w:space="0" w:color="auto"/>
        <w:right w:val="none" w:sz="0" w:space="0" w:color="auto"/>
      </w:divBdr>
      <w:divsChild>
        <w:div w:id="3944628">
          <w:marLeft w:val="0"/>
          <w:marRight w:val="0"/>
          <w:marTop w:val="0"/>
          <w:marBottom w:val="0"/>
          <w:divBdr>
            <w:top w:val="none" w:sz="0" w:space="0" w:color="auto"/>
            <w:left w:val="none" w:sz="0" w:space="0" w:color="auto"/>
            <w:bottom w:val="none" w:sz="0" w:space="0" w:color="auto"/>
            <w:right w:val="none" w:sz="0" w:space="0" w:color="auto"/>
          </w:divBdr>
        </w:div>
        <w:div w:id="1865748680">
          <w:marLeft w:val="0"/>
          <w:marRight w:val="0"/>
          <w:marTop w:val="0"/>
          <w:marBottom w:val="0"/>
          <w:divBdr>
            <w:top w:val="none" w:sz="0" w:space="0" w:color="auto"/>
            <w:left w:val="none" w:sz="0" w:space="0" w:color="auto"/>
            <w:bottom w:val="none" w:sz="0" w:space="0" w:color="auto"/>
            <w:right w:val="none" w:sz="0" w:space="0" w:color="auto"/>
          </w:divBdr>
        </w:div>
        <w:div w:id="1321156459">
          <w:marLeft w:val="0"/>
          <w:marRight w:val="0"/>
          <w:marTop w:val="0"/>
          <w:marBottom w:val="0"/>
          <w:divBdr>
            <w:top w:val="none" w:sz="0" w:space="0" w:color="auto"/>
            <w:left w:val="none" w:sz="0" w:space="0" w:color="auto"/>
            <w:bottom w:val="none" w:sz="0" w:space="0" w:color="auto"/>
            <w:right w:val="none" w:sz="0" w:space="0" w:color="auto"/>
          </w:divBdr>
        </w:div>
      </w:divsChild>
    </w:div>
    <w:div w:id="311099645">
      <w:bodyDiv w:val="1"/>
      <w:marLeft w:val="0"/>
      <w:marRight w:val="0"/>
      <w:marTop w:val="0"/>
      <w:marBottom w:val="0"/>
      <w:divBdr>
        <w:top w:val="none" w:sz="0" w:space="0" w:color="auto"/>
        <w:left w:val="none" w:sz="0" w:space="0" w:color="auto"/>
        <w:bottom w:val="none" w:sz="0" w:space="0" w:color="auto"/>
        <w:right w:val="none" w:sz="0" w:space="0" w:color="auto"/>
      </w:divBdr>
    </w:div>
    <w:div w:id="375200754">
      <w:bodyDiv w:val="1"/>
      <w:marLeft w:val="0"/>
      <w:marRight w:val="0"/>
      <w:marTop w:val="0"/>
      <w:marBottom w:val="0"/>
      <w:divBdr>
        <w:top w:val="none" w:sz="0" w:space="0" w:color="auto"/>
        <w:left w:val="none" w:sz="0" w:space="0" w:color="auto"/>
        <w:bottom w:val="none" w:sz="0" w:space="0" w:color="auto"/>
        <w:right w:val="none" w:sz="0" w:space="0" w:color="auto"/>
      </w:divBdr>
      <w:divsChild>
        <w:div w:id="1205211837">
          <w:marLeft w:val="0"/>
          <w:marRight w:val="0"/>
          <w:marTop w:val="0"/>
          <w:marBottom w:val="0"/>
          <w:divBdr>
            <w:top w:val="none" w:sz="0" w:space="0" w:color="auto"/>
            <w:left w:val="none" w:sz="0" w:space="0" w:color="auto"/>
            <w:bottom w:val="none" w:sz="0" w:space="0" w:color="auto"/>
            <w:right w:val="none" w:sz="0" w:space="0" w:color="auto"/>
          </w:divBdr>
        </w:div>
        <w:div w:id="2083790056">
          <w:marLeft w:val="0"/>
          <w:marRight w:val="0"/>
          <w:marTop w:val="0"/>
          <w:marBottom w:val="0"/>
          <w:divBdr>
            <w:top w:val="none" w:sz="0" w:space="0" w:color="auto"/>
            <w:left w:val="none" w:sz="0" w:space="0" w:color="auto"/>
            <w:bottom w:val="none" w:sz="0" w:space="0" w:color="auto"/>
            <w:right w:val="none" w:sz="0" w:space="0" w:color="auto"/>
          </w:divBdr>
        </w:div>
        <w:div w:id="2038463150">
          <w:marLeft w:val="0"/>
          <w:marRight w:val="0"/>
          <w:marTop w:val="0"/>
          <w:marBottom w:val="0"/>
          <w:divBdr>
            <w:top w:val="none" w:sz="0" w:space="0" w:color="auto"/>
            <w:left w:val="none" w:sz="0" w:space="0" w:color="auto"/>
            <w:bottom w:val="none" w:sz="0" w:space="0" w:color="auto"/>
            <w:right w:val="none" w:sz="0" w:space="0" w:color="auto"/>
          </w:divBdr>
        </w:div>
      </w:divsChild>
    </w:div>
    <w:div w:id="849679430">
      <w:bodyDiv w:val="1"/>
      <w:marLeft w:val="0"/>
      <w:marRight w:val="0"/>
      <w:marTop w:val="0"/>
      <w:marBottom w:val="0"/>
      <w:divBdr>
        <w:top w:val="none" w:sz="0" w:space="0" w:color="auto"/>
        <w:left w:val="none" w:sz="0" w:space="0" w:color="auto"/>
        <w:bottom w:val="none" w:sz="0" w:space="0" w:color="auto"/>
        <w:right w:val="none" w:sz="0" w:space="0" w:color="auto"/>
      </w:divBdr>
    </w:div>
    <w:div w:id="1243249016">
      <w:bodyDiv w:val="1"/>
      <w:marLeft w:val="0"/>
      <w:marRight w:val="0"/>
      <w:marTop w:val="0"/>
      <w:marBottom w:val="0"/>
      <w:divBdr>
        <w:top w:val="none" w:sz="0" w:space="0" w:color="auto"/>
        <w:left w:val="none" w:sz="0" w:space="0" w:color="auto"/>
        <w:bottom w:val="none" w:sz="0" w:space="0" w:color="auto"/>
        <w:right w:val="none" w:sz="0" w:space="0" w:color="auto"/>
      </w:divBdr>
    </w:div>
    <w:div w:id="186778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https://www.mercercapital.com/content/uploads/DLOM_Webinar_IRS-DLOM-Job-Aid_09-15-11.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x.doi.org/10.2139/ssrn.164049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x.doi.org/10.2139/ssrn.164049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srn.com/abstract=1640496" TargetMode="External"/><Relationship Id="rId5" Type="http://schemas.openxmlformats.org/officeDocument/2006/relationships/footnotes" Target="footnotes.xml"/><Relationship Id="rId15" Type="http://schemas.openxmlformats.org/officeDocument/2006/relationships/hyperlink" Target="https://ssrn.com/abstract=1640496" TargetMode="External"/><Relationship Id="rId10" Type="http://schemas.openxmlformats.org/officeDocument/2006/relationships/hyperlink" Target="https://sub.bvresources.com/pdfs/BVR-2021-DLOM-Survey-Results.pdf" TargetMode="External"/><Relationship Id="rId4" Type="http://schemas.openxmlformats.org/officeDocument/2006/relationships/webSettings" Target="webSettings.xml"/><Relationship Id="rId9" Type="http://schemas.openxmlformats.org/officeDocument/2006/relationships/hyperlink" Target="javascript:;" TargetMode="External"/><Relationship Id="rId14" Type="http://schemas.openxmlformats.org/officeDocument/2006/relationships/hyperlink" Target="https://sub.bvresources.com/pdfs/BVR-2021-DLOM-Survey-Resul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7682</Words>
  <Characters>43790</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Hung</dc:creator>
  <cp:keywords/>
  <dc:description/>
  <cp:lastModifiedBy>Paul Hung</cp:lastModifiedBy>
  <cp:revision>549</cp:revision>
  <dcterms:created xsi:type="dcterms:W3CDTF">2024-09-04T05:50:00Z</dcterms:created>
  <dcterms:modified xsi:type="dcterms:W3CDTF">2024-09-08T05:38:00Z</dcterms:modified>
</cp:coreProperties>
</file>