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CC"/>
  <w:body>
    <w:p w14:paraId="0DB1D9D4" w14:textId="4EF11F5D" w:rsidR="009055EF" w:rsidRPr="009055EF" w:rsidRDefault="009055EF" w:rsidP="009055E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14:ligatures w14:val="none"/>
        </w:rPr>
      </w:pPr>
      <w:r w:rsidRPr="009055EF">
        <w:rPr>
          <w:rFonts w:ascii="Times New Roman" w:eastAsia="Times New Roman" w:hAnsi="Times New Roman" w:cs="Times New Roman"/>
          <w:b/>
          <w:bCs/>
          <w:kern w:val="36"/>
          <w14:ligatures w14:val="none"/>
        </w:rPr>
        <w:t>Finding Your Way Around This Module</w:t>
      </w:r>
      <w:r w:rsidR="00742C06">
        <w:rPr>
          <w:rFonts w:ascii="Times New Roman" w:eastAsia="Times New Roman" w:hAnsi="Times New Roman" w:cs="Times New Roman"/>
          <w:b/>
          <w:bCs/>
          <w:kern w:val="36"/>
          <w14:ligatures w14:val="none"/>
        </w:rPr>
        <w:t xml:space="preserve"> 7010</w:t>
      </w:r>
    </w:p>
    <w:p w14:paraId="2B1B4F13" w14:textId="77777777" w:rsidR="009055EF" w:rsidRPr="009055EF" w:rsidRDefault="009055EF" w:rsidP="009055E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9055E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General and weekly tiles</w:t>
      </w:r>
    </w:p>
    <w:p w14:paraId="51B5497E" w14:textId="77777777" w:rsidR="009055EF" w:rsidRPr="009055EF" w:rsidRDefault="009055EF" w:rsidP="009055E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055EF">
        <w:rPr>
          <w:rFonts w:ascii="Times New Roman" w:eastAsia="Times New Roman" w:hAnsi="Times New Roman" w:cs="Times New Roman"/>
          <w:kern w:val="0"/>
          <w14:ligatures w14:val="none"/>
        </w:rPr>
        <w:t>Table 1. What you will find in the General tile and the 12 weekly tiles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69"/>
        <w:gridCol w:w="6870"/>
        <w:gridCol w:w="4219"/>
      </w:tblGrid>
      <w:tr w:rsidR="009055EF" w:rsidRPr="009055EF" w14:paraId="753EA6B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2D14C7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Tile</w:t>
            </w:r>
          </w:p>
        </w:tc>
        <w:tc>
          <w:tcPr>
            <w:tcW w:w="0" w:type="auto"/>
            <w:vAlign w:val="center"/>
            <w:hideMark/>
          </w:tcPr>
          <w:p w14:paraId="226EC44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you will find there</w:t>
            </w:r>
          </w:p>
        </w:tc>
        <w:tc>
          <w:tcPr>
            <w:tcW w:w="0" w:type="auto"/>
            <w:vAlign w:val="center"/>
            <w:hideMark/>
          </w:tcPr>
          <w:p w14:paraId="0E6C8BDF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Turn to it when</w:t>
            </w:r>
          </w:p>
        </w:tc>
      </w:tr>
      <w:tr w:rsidR="009055EF" w:rsidRPr="009055EF" w14:paraId="4D80F0E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8E262C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General</w:t>
            </w:r>
          </w:p>
        </w:tc>
        <w:tc>
          <w:tcPr>
            <w:tcW w:w="0" w:type="auto"/>
            <w:vAlign w:val="center"/>
            <w:hideMark/>
          </w:tcPr>
          <w:p w14:paraId="0B5B5DA6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The module welcome, the assignment brief, the Turnitin submission points for your ethics form, participant information sheet, consent sheet and written report, announcements, the online reading list and key pre-reading</w:t>
            </w:r>
          </w:p>
        </w:tc>
        <w:tc>
          <w:tcPr>
            <w:tcW w:w="0" w:type="auto"/>
            <w:vAlign w:val="center"/>
            <w:hideMark/>
          </w:tcPr>
          <w:p w14:paraId="4B245FED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need the assignment brief, a deadline or a submission point</w:t>
            </w:r>
          </w:p>
        </w:tc>
      </w:tr>
      <w:tr w:rsidR="009055EF" w:rsidRPr="009055EF" w14:paraId="5ADFB43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A66D50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1 Publishing and Choosing Your Journal</w:t>
            </w:r>
          </w:p>
        </w:tc>
        <w:tc>
          <w:tcPr>
            <w:tcW w:w="0" w:type="auto"/>
            <w:vAlign w:val="center"/>
            <w:hideMark/>
          </w:tcPr>
          <w:p w14:paraId="19BC7406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The session presentation on dissemination and impact, calls for papers from leading publishers, open access and Retraction Watch, ORCID registration, blogging examples and peer review courses</w:t>
            </w:r>
          </w:p>
        </w:tc>
        <w:tc>
          <w:tcPr>
            <w:tcW w:w="0" w:type="auto"/>
            <w:vAlign w:val="center"/>
            <w:hideMark/>
          </w:tcPr>
          <w:p w14:paraId="6DBBDB7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choosing journals for Part A and setting up your researcher profile</w:t>
            </w:r>
          </w:p>
        </w:tc>
      </w:tr>
      <w:tr w:rsidR="009055EF" w:rsidRPr="009055EF" w14:paraId="729DEE5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121E43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1 Further Resources: Impact and Your Researcher Profile</w:t>
            </w:r>
          </w:p>
        </w:tc>
        <w:tc>
          <w:tcPr>
            <w:tcW w:w="0" w:type="auto"/>
            <w:vAlign w:val="center"/>
            <w:hideMark/>
          </w:tcPr>
          <w:p w14:paraId="791FE09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Slides on blogging as a researcher, researcher development activities, guidance on social media and metrics, and the Research Excellence Framework (REF)</w:t>
            </w:r>
          </w:p>
        </w:tc>
        <w:tc>
          <w:tcPr>
            <w:tcW w:w="0" w:type="auto"/>
            <w:vAlign w:val="center"/>
            <w:hideMark/>
          </w:tcPr>
          <w:p w14:paraId="56F791B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to go further with your online presence or understand how research impact is judged</w:t>
            </w:r>
          </w:p>
        </w:tc>
      </w:tr>
      <w:tr w:rsidR="009055EF" w:rsidRPr="009055EF" w14:paraId="4DF66C4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CEAAFF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2 Pilot Studies and Ethics 1</w:t>
            </w:r>
          </w:p>
        </w:tc>
        <w:tc>
          <w:tcPr>
            <w:tcW w:w="0" w:type="auto"/>
            <w:vAlign w:val="center"/>
            <w:hideMark/>
          </w:tcPr>
          <w:p w14:paraId="2682D57A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Pilot studies slides, the pilot study schedule, key readings on piloting qualitative research, a published DBA pilot study, the blank PG2 form and the Part One participant information and consent templates</w:t>
            </w:r>
          </w:p>
        </w:tc>
        <w:tc>
          <w:tcPr>
            <w:tcW w:w="0" w:type="auto"/>
            <w:vAlign w:val="center"/>
            <w:hideMark/>
          </w:tcPr>
          <w:p w14:paraId="04445ED3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planning your pilot and starting your PG2</w:t>
            </w:r>
          </w:p>
        </w:tc>
      </w:tr>
      <w:tr w:rsidR="009055EF" w:rsidRPr="009055EF" w14:paraId="063CC7C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A5301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3 Ethics 2: Submitting the PG2</w:t>
            </w:r>
          </w:p>
        </w:tc>
        <w:tc>
          <w:tcPr>
            <w:tcW w:w="0" w:type="auto"/>
            <w:vAlign w:val="center"/>
            <w:hideMark/>
          </w:tcPr>
          <w:p w14:paraId="3932E10F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Ethics form slides, guidance on ethical risks, completed example participant information and consent sheets, exemplar PG1 applications and a complex ethics form exemplar</w:t>
            </w:r>
          </w:p>
        </w:tc>
        <w:tc>
          <w:tcPr>
            <w:tcW w:w="0" w:type="auto"/>
            <w:vAlign w:val="center"/>
            <w:hideMark/>
          </w:tcPr>
          <w:p w14:paraId="6FF0DC35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finishing your PG2 and want to see what a strong application looks like</w:t>
            </w:r>
          </w:p>
        </w:tc>
      </w:tr>
      <w:tr w:rsidR="009055EF" w:rsidRPr="009055EF" w14:paraId="2144ACF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C9E8B3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4 Literature Review, Theory and the Gap</w:t>
            </w:r>
          </w:p>
        </w:tc>
        <w:tc>
          <w:tcPr>
            <w:tcW w:w="0" w:type="auto"/>
            <w:vAlign w:val="center"/>
            <w:hideMark/>
          </w:tcPr>
          <w:p w14:paraId="30F1041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Literature review slides and activities, two theory folders with slides, handouts and a student companion, readings on the role of theory, and sample size and sampling guidance</w:t>
            </w:r>
          </w:p>
        </w:tc>
        <w:tc>
          <w:tcPr>
            <w:tcW w:w="0" w:type="auto"/>
            <w:vAlign w:val="center"/>
            <w:hideMark/>
          </w:tcPr>
          <w:p w14:paraId="2936401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building your literature review, positioning your theoretical framework or deciding how many people to interview</w:t>
            </w:r>
          </w:p>
        </w:tc>
      </w:tr>
      <w:tr w:rsidR="009055EF" w:rsidRPr="009055EF" w14:paraId="7319B14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AD0D1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5 From the Gap to the Interview Guide</w:t>
            </w:r>
          </w:p>
        </w:tc>
        <w:tc>
          <w:tcPr>
            <w:tcW w:w="0" w:type="auto"/>
            <w:vAlign w:val="center"/>
            <w:hideMark/>
          </w:tcPr>
          <w:p w14:paraId="23DC51D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The Interview Questions Workbook with example and blank templates, readings on developing an interview guide, and resources on positionality and reflexivity</w:t>
            </w:r>
          </w:p>
        </w:tc>
        <w:tc>
          <w:tcPr>
            <w:tcW w:w="0" w:type="auto"/>
            <w:vAlign w:val="center"/>
            <w:hideMark/>
          </w:tcPr>
          <w:p w14:paraId="563CBC8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drafting your interview guide and your positionality note</w:t>
            </w:r>
          </w:p>
        </w:tc>
      </w:tr>
      <w:tr w:rsidR="009055EF" w:rsidRPr="009055EF" w14:paraId="41B4720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B2E50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lastRenderedPageBreak/>
              <w:t>Week 6 Conducting Qualitative Interviews</w:t>
            </w:r>
          </w:p>
        </w:tc>
        <w:tc>
          <w:tcPr>
            <w:tcW w:w="0" w:type="auto"/>
            <w:vAlign w:val="center"/>
            <w:hideMark/>
          </w:tcPr>
          <w:p w14:paraId="59084D13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Qualitative interviews slides and tables, and readings on ambiguity, online interviewing and the embodied interview</w:t>
            </w:r>
          </w:p>
        </w:tc>
        <w:tc>
          <w:tcPr>
            <w:tcW w:w="0" w:type="auto"/>
            <w:vAlign w:val="center"/>
            <w:hideMark/>
          </w:tcPr>
          <w:p w14:paraId="2E81B97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preparing for your mock and pilot interviews</w:t>
            </w:r>
          </w:p>
        </w:tc>
      </w:tr>
      <w:tr w:rsidR="009055EF" w:rsidRPr="009055EF" w14:paraId="5FC54FC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875D0C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7 Transcription, Translation and Verbatim</w:t>
            </w:r>
          </w:p>
        </w:tc>
        <w:tc>
          <w:tcPr>
            <w:tcW w:w="0" w:type="auto"/>
            <w:vAlign w:val="center"/>
            <w:hideMark/>
          </w:tcPr>
          <w:p w14:paraId="5E095B6A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An example verbatim transcript and guidance on translating and analysing interview data</w:t>
            </w:r>
          </w:p>
        </w:tc>
        <w:tc>
          <w:tcPr>
            <w:tcW w:w="0" w:type="auto"/>
            <w:vAlign w:val="center"/>
            <w:hideMark/>
          </w:tcPr>
          <w:p w14:paraId="2804EB58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transcribing your interviews or working with interviews not conducted in English</w:t>
            </w:r>
          </w:p>
        </w:tc>
      </w:tr>
      <w:tr w:rsidR="009055EF" w:rsidRPr="009055EF" w14:paraId="01312B7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928A11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8 Thematic Analysis 1</w:t>
            </w:r>
          </w:p>
        </w:tc>
        <w:tc>
          <w:tcPr>
            <w:tcW w:w="0" w:type="auto"/>
            <w:vAlign w:val="center"/>
            <w:hideMark/>
          </w:tcPr>
          <w:p w14:paraId="23C782EC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An introduction to thematic data analysis, Braun and Clarke (2006), qualitative data analysis slides and a practice task</w:t>
            </w:r>
          </w:p>
        </w:tc>
        <w:tc>
          <w:tcPr>
            <w:tcW w:w="0" w:type="auto"/>
            <w:vAlign w:val="center"/>
            <w:hideMark/>
          </w:tcPr>
          <w:p w14:paraId="37F65BEC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familiarising yourself with your data and starting to code</w:t>
            </w:r>
          </w:p>
        </w:tc>
      </w:tr>
      <w:tr w:rsidR="009055EF" w:rsidRPr="009055EF" w14:paraId="731B525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5CB5E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9 Thematic Analysis 2</w:t>
            </w:r>
          </w:p>
        </w:tc>
        <w:tc>
          <w:tcPr>
            <w:tcW w:w="0" w:type="auto"/>
            <w:vAlign w:val="center"/>
            <w:hideMark/>
          </w:tcPr>
          <w:p w14:paraId="3DBAC0E0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 step-by-step guide to data analysis, Miles and Huberman, a worked example, qualitative data analysis slides and a Braun and Clarke summary</w:t>
            </w:r>
          </w:p>
        </w:tc>
        <w:tc>
          <w:tcPr>
            <w:tcW w:w="0" w:type="auto"/>
            <w:vAlign w:val="center"/>
            <w:hideMark/>
          </w:tcPr>
          <w:p w14:paraId="4086168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moving from codes to themes</w:t>
            </w:r>
          </w:p>
        </w:tc>
      </w:tr>
      <w:tr w:rsidR="009055EF" w:rsidRPr="009055EF" w14:paraId="57B9828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32EC3B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10 Quality, Trustworthiness and Returning to Participants</w:t>
            </w:r>
          </w:p>
        </w:tc>
        <w:tc>
          <w:tcPr>
            <w:tcW w:w="0" w:type="auto"/>
            <w:vAlign w:val="center"/>
            <w:hideMark/>
          </w:tcPr>
          <w:p w14:paraId="0E9D93CA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Trustworthiness slides, Lincoln and Guba, Patton, readings on member checking and three quality companion resources</w:t>
            </w:r>
          </w:p>
        </w:tc>
        <w:tc>
          <w:tcPr>
            <w:tcW w:w="0" w:type="auto"/>
            <w:vAlign w:val="center"/>
            <w:hideMark/>
          </w:tcPr>
          <w:p w14:paraId="4E3B65B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building your audit trail and deciding whether to return to participants</w:t>
            </w:r>
          </w:p>
        </w:tc>
      </w:tr>
      <w:tr w:rsidR="009055EF" w:rsidRPr="009055EF" w14:paraId="7769BD6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D08016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11 Writing the Pilot Article</w:t>
            </w:r>
          </w:p>
        </w:tc>
        <w:tc>
          <w:tcPr>
            <w:tcW w:w="0" w:type="auto"/>
            <w:vAlign w:val="center"/>
            <w:hideMark/>
          </w:tcPr>
          <w:p w14:paraId="13CE6AB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Guidance on writing the methodology of a pilot study, a published pilot case, slides on writing about trustworthiness and the MIRACLE framework for thick description</w:t>
            </w:r>
          </w:p>
        </w:tc>
        <w:tc>
          <w:tcPr>
            <w:tcW w:w="0" w:type="auto"/>
            <w:vAlign w:val="center"/>
            <w:hideMark/>
          </w:tcPr>
          <w:p w14:paraId="70E0B41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drafting your methodology, findings and discussion</w:t>
            </w:r>
          </w:p>
        </w:tc>
      </w:tr>
      <w:tr w:rsidR="009055EF" w:rsidRPr="009055EF" w14:paraId="72E8108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E93292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Week 12 Contribution, Practice and Submission</w:t>
            </w:r>
          </w:p>
        </w:tc>
        <w:tc>
          <w:tcPr>
            <w:tcW w:w="0" w:type="auto"/>
            <w:vAlign w:val="center"/>
            <w:hideMark/>
          </w:tcPr>
          <w:p w14:paraId="5E9E7AD5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Readings on practitioner research and impact, an impact case study, REF links, the Intended Impact Statement, abstract examples and readings on dissemination</w:t>
            </w:r>
          </w:p>
        </w:tc>
        <w:tc>
          <w:tcPr>
            <w:tcW w:w="0" w:type="auto"/>
            <w:vAlign w:val="center"/>
            <w:hideMark/>
          </w:tcPr>
          <w:p w14:paraId="00DB2A0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writing your abstract, conclusion and reflective commentary before submission</w:t>
            </w:r>
          </w:p>
        </w:tc>
      </w:tr>
    </w:tbl>
    <w:p w14:paraId="4BCFF266" w14:textId="77777777" w:rsidR="009055EF" w:rsidRPr="009055EF" w:rsidRDefault="009055EF" w:rsidP="009055E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9055E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Supplementary tiles</w:t>
      </w:r>
    </w:p>
    <w:p w14:paraId="03931E22" w14:textId="77777777" w:rsidR="009055EF" w:rsidRPr="009055EF" w:rsidRDefault="009055EF" w:rsidP="009055E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9055EF">
        <w:rPr>
          <w:rFonts w:ascii="Times New Roman" w:eastAsia="Times New Roman" w:hAnsi="Times New Roman" w:cs="Times New Roman"/>
          <w:kern w:val="0"/>
          <w14:ligatures w14:val="none"/>
        </w:rPr>
        <w:t>Table 2. What you will find in the Supplementary tiles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11"/>
        <w:gridCol w:w="7765"/>
        <w:gridCol w:w="3682"/>
      </w:tblGrid>
      <w:tr w:rsidR="009055EF" w:rsidRPr="009055EF" w14:paraId="3133778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DF7A11E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Tile</w:t>
            </w:r>
          </w:p>
        </w:tc>
        <w:tc>
          <w:tcPr>
            <w:tcW w:w="0" w:type="auto"/>
            <w:vAlign w:val="center"/>
            <w:hideMark/>
          </w:tcPr>
          <w:p w14:paraId="5FECE08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you will find there</w:t>
            </w:r>
          </w:p>
        </w:tc>
        <w:tc>
          <w:tcPr>
            <w:tcW w:w="0" w:type="auto"/>
            <w:vAlign w:val="center"/>
            <w:hideMark/>
          </w:tcPr>
          <w:p w14:paraId="1D6E72B6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Turn to it when</w:t>
            </w:r>
          </w:p>
        </w:tc>
      </w:tr>
      <w:tr w:rsidR="009055EF" w:rsidRPr="009055EF" w14:paraId="5A7A8DF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7D2D7E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Qualitative Data Analysis Methods</w:t>
            </w:r>
          </w:p>
        </w:tc>
        <w:tc>
          <w:tcPr>
            <w:tcW w:w="0" w:type="auto"/>
            <w:vAlign w:val="center"/>
            <w:hideMark/>
          </w:tcPr>
          <w:p w14:paraId="4346FE2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One of the richest tiles on the page: readings on thematic analysis (including a worked example of reflexive thematic analysis), the framework method, template analysis, content analysis and discourse analysis, business examples that map codes to themes, slides and a practice task</w:t>
            </w:r>
          </w:p>
        </w:tc>
        <w:tc>
          <w:tcPr>
            <w:tcW w:w="0" w:type="auto"/>
            <w:vAlign w:val="center"/>
            <w:hideMark/>
          </w:tcPr>
          <w:p w14:paraId="1590438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need to choose and justify your analysis method, or want to see analysis worked through step by step</w:t>
            </w:r>
          </w:p>
        </w:tc>
      </w:tr>
      <w:tr w:rsidR="009055EF" w:rsidRPr="009055EF" w14:paraId="13C36D6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A44DD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lastRenderedPageBreak/>
              <w:t>Supplementary: Exemplar Theses and Proposals</w:t>
            </w:r>
          </w:p>
        </w:tc>
        <w:tc>
          <w:tcPr>
            <w:tcW w:w="0" w:type="auto"/>
            <w:vAlign w:val="center"/>
            <w:hideMark/>
          </w:tcPr>
          <w:p w14:paraId="7C4AEB2C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Completed doctoral theses, example research proposals and further reading on assessing qualitative research</w:t>
            </w:r>
          </w:p>
        </w:tc>
        <w:tc>
          <w:tcPr>
            <w:tcW w:w="0" w:type="auto"/>
            <w:vAlign w:val="center"/>
            <w:hideMark/>
          </w:tcPr>
          <w:p w14:paraId="612CEE6B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to see how other doctoral researchers have structured and written their work</w:t>
            </w:r>
          </w:p>
        </w:tc>
      </w:tr>
      <w:tr w:rsidR="009055EF" w:rsidRPr="009055EF" w14:paraId="02A9272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486C18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Evaluating Research Impact</w:t>
            </w:r>
          </w:p>
        </w:tc>
        <w:tc>
          <w:tcPr>
            <w:tcW w:w="0" w:type="auto"/>
            <w:vAlign w:val="center"/>
            <w:hideMark/>
          </w:tcPr>
          <w:p w14:paraId="3467BB9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Readings on evaluating impact, an analysis of REF impact case studies, responsible use of metrics, open access, making a research podcast and practical impact toolkits</w:t>
            </w:r>
          </w:p>
        </w:tc>
        <w:tc>
          <w:tcPr>
            <w:tcW w:w="0" w:type="auto"/>
            <w:vAlign w:val="center"/>
            <w:hideMark/>
          </w:tcPr>
          <w:p w14:paraId="0A949F1F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thinking about the practitioner contribution and impact of your research</w:t>
            </w:r>
          </w:p>
        </w:tc>
      </w:tr>
      <w:tr w:rsidR="009055EF" w:rsidRPr="009055EF" w14:paraId="579F576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E4EDFAD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Aliens</w:t>
            </w:r>
          </w:p>
        </w:tc>
        <w:tc>
          <w:tcPr>
            <w:tcW w:w="0" w:type="auto"/>
            <w:vAlign w:val="center"/>
            <w:hideMark/>
          </w:tcPr>
          <w:p w14:paraId="22E7BCA7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The SUPER TABLE and the Alien Visual Guide, which set out the research paradigms through the Seven Aliens</w:t>
            </w:r>
          </w:p>
        </w:tc>
        <w:tc>
          <w:tcPr>
            <w:tcW w:w="0" w:type="auto"/>
            <w:vAlign w:val="center"/>
            <w:hideMark/>
          </w:tcPr>
          <w:p w14:paraId="2F3D241E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a quick reminder of where your study sits philosophically</w:t>
            </w:r>
          </w:p>
        </w:tc>
      </w:tr>
      <w:tr w:rsidR="009055EF" w:rsidRPr="009055EF" w14:paraId="1B4C5BD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6E82531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Paradigms Refresher</w:t>
            </w:r>
          </w:p>
        </w:tc>
        <w:tc>
          <w:tcPr>
            <w:tcW w:w="0" w:type="auto"/>
            <w:vAlign w:val="center"/>
            <w:hideMark/>
          </w:tcPr>
          <w:p w14:paraId="62E7936D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Revisiting paradigms slides and two comprehensive paradigm comparison tables</w:t>
            </w:r>
          </w:p>
        </w:tc>
        <w:tc>
          <w:tcPr>
            <w:tcW w:w="0" w:type="auto"/>
            <w:vAlign w:val="center"/>
            <w:hideMark/>
          </w:tcPr>
          <w:p w14:paraId="690FB980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to revisit the paradigms in more depth before writing your methodology</w:t>
            </w:r>
          </w:p>
        </w:tc>
      </w:tr>
      <w:tr w:rsidR="009055EF" w:rsidRPr="009055EF" w14:paraId="1E56CAE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B6BEFA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Revisiting Paradigms</w:t>
            </w:r>
          </w:p>
        </w:tc>
        <w:tc>
          <w:tcPr>
            <w:tcW w:w="0" w:type="auto"/>
            <w:vAlign w:val="center"/>
            <w:hideMark/>
          </w:tcPr>
          <w:p w14:paraId="56D54AAE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Short slides on ontology, epistemology, what a paradigm is and when to use it</w:t>
            </w:r>
          </w:p>
        </w:tc>
        <w:tc>
          <w:tcPr>
            <w:tcW w:w="0" w:type="auto"/>
            <w:vAlign w:val="center"/>
            <w:hideMark/>
          </w:tcPr>
          <w:p w14:paraId="4F9EE8D3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a short, focused explanation of one philosophical idea</w:t>
            </w:r>
          </w:p>
        </w:tc>
      </w:tr>
      <w:tr w:rsidR="009055EF" w:rsidRPr="009055EF" w14:paraId="04AF2ED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B3017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Thinking about Quants</w:t>
            </w:r>
          </w:p>
        </w:tc>
        <w:tc>
          <w:tcPr>
            <w:tcW w:w="0" w:type="auto"/>
            <w:vAlign w:val="center"/>
            <w:hideMark/>
          </w:tcPr>
          <w:p w14:paraId="284C349C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Resources on quantitative thinking</w:t>
            </w:r>
          </w:p>
        </w:tc>
        <w:tc>
          <w:tcPr>
            <w:tcW w:w="0" w:type="auto"/>
            <w:vAlign w:val="center"/>
            <w:hideMark/>
          </w:tcPr>
          <w:p w14:paraId="0E8AFA40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to compare your qualitative approach with quantitative research</w:t>
            </w:r>
          </w:p>
        </w:tc>
      </w:tr>
      <w:tr w:rsidR="009055EF" w:rsidRPr="009055EF" w14:paraId="10252FD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FA57DF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Conferences, Posters and Roundtables</w:t>
            </w:r>
          </w:p>
        </w:tc>
        <w:tc>
          <w:tcPr>
            <w:tcW w:w="0" w:type="auto"/>
            <w:vAlign w:val="center"/>
            <w:hideMark/>
          </w:tcPr>
          <w:p w14:paraId="1ADD8675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Guidance on academic posters and conference papers, an example poster and a poster upload point</w:t>
            </w:r>
          </w:p>
        </w:tc>
        <w:tc>
          <w:tcPr>
            <w:tcW w:w="0" w:type="auto"/>
            <w:vAlign w:val="center"/>
            <w:hideMark/>
          </w:tcPr>
          <w:p w14:paraId="3F7BEC4E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preparing to present your research at a conference or doctoral symposium</w:t>
            </w:r>
          </w:p>
        </w:tc>
      </w:tr>
      <w:tr w:rsidR="009055EF" w:rsidRPr="009055EF" w14:paraId="2AE6E05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A9648E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Being a Reviewer</w:t>
            </w:r>
          </w:p>
        </w:tc>
        <w:tc>
          <w:tcPr>
            <w:tcW w:w="0" w:type="auto"/>
            <w:vAlign w:val="center"/>
            <w:hideMark/>
          </w:tcPr>
          <w:p w14:paraId="66839BC9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Publisher guides on peer review, guidelines for the review task and an upload point for your review</w:t>
            </w:r>
          </w:p>
        </w:tc>
        <w:tc>
          <w:tcPr>
            <w:tcW w:w="0" w:type="auto"/>
            <w:vAlign w:val="center"/>
            <w:hideMark/>
          </w:tcPr>
          <w:p w14:paraId="61FC6621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are reviewing a paper or want to understand what reviewers look for</w:t>
            </w:r>
          </w:p>
        </w:tc>
      </w:tr>
      <w:tr w:rsidR="009055EF" w:rsidRPr="009055EF" w14:paraId="4D99A1E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639806F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Writing</w:t>
            </w:r>
          </w:p>
        </w:tc>
        <w:tc>
          <w:tcPr>
            <w:tcW w:w="0" w:type="auto"/>
            <w:vAlign w:val="center"/>
            <w:hideMark/>
          </w:tcPr>
          <w:p w14:paraId="170114D1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Writing activities and resources</w:t>
            </w:r>
          </w:p>
        </w:tc>
        <w:tc>
          <w:tcPr>
            <w:tcW w:w="0" w:type="auto"/>
            <w:vAlign w:val="center"/>
            <w:hideMark/>
          </w:tcPr>
          <w:p w14:paraId="1F885E6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to develop your academic and practitioner writing</w:t>
            </w:r>
          </w:p>
        </w:tc>
      </w:tr>
      <w:tr w:rsidR="009055EF" w:rsidRPr="009055EF" w14:paraId="5F4ABB2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9E40B2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Core Textbooks</w:t>
            </w:r>
          </w:p>
        </w:tc>
        <w:tc>
          <w:tcPr>
            <w:tcW w:w="0" w:type="auto"/>
            <w:vAlign w:val="center"/>
            <w:hideMark/>
          </w:tcPr>
          <w:p w14:paraId="5C8BDB63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Full text research methods textbooks by Denscombe, Burke Johnson and Gay et al.</w:t>
            </w:r>
          </w:p>
        </w:tc>
        <w:tc>
          <w:tcPr>
            <w:tcW w:w="0" w:type="auto"/>
            <w:vAlign w:val="center"/>
            <w:hideMark/>
          </w:tcPr>
          <w:p w14:paraId="7C6C3C1A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need a clear textbook explanation of a research methods topic</w:t>
            </w:r>
          </w:p>
        </w:tc>
      </w:tr>
      <w:tr w:rsidR="009055EF" w:rsidRPr="009055EF" w14:paraId="61EC997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FB0EB4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Supplementary: Programme Handbooks</w:t>
            </w:r>
          </w:p>
        </w:tc>
        <w:tc>
          <w:tcPr>
            <w:tcW w:w="0" w:type="auto"/>
            <w:vAlign w:val="center"/>
            <w:hideMark/>
          </w:tcPr>
          <w:p w14:paraId="4A6FDE11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The DBA Programme of Study Handbook and the DBA Module Directory</w:t>
            </w:r>
          </w:p>
        </w:tc>
        <w:tc>
          <w:tcPr>
            <w:tcW w:w="0" w:type="auto"/>
            <w:vAlign w:val="center"/>
            <w:hideMark/>
          </w:tcPr>
          <w:p w14:paraId="40A70160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need programme regulations or information about other DBA modules</w:t>
            </w:r>
          </w:p>
        </w:tc>
      </w:tr>
      <w:tr w:rsidR="009055EF" w:rsidRPr="009055EF" w14:paraId="6AD3E7F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CC9338A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lastRenderedPageBreak/>
              <w:t>Dr Helen Lee PPTs</w:t>
            </w:r>
          </w:p>
        </w:tc>
        <w:tc>
          <w:tcPr>
            <w:tcW w:w="0" w:type="auto"/>
            <w:vAlign w:val="center"/>
            <w:hideMark/>
          </w:tcPr>
          <w:p w14:paraId="5DCB1AE2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Dr Helen Lee's session slides on ethics, paradigms, thematic analysis, interviews, NVivo and abstract writing</w:t>
            </w:r>
          </w:p>
        </w:tc>
        <w:tc>
          <w:tcPr>
            <w:tcW w:w="0" w:type="auto"/>
            <w:vAlign w:val="center"/>
            <w:hideMark/>
          </w:tcPr>
          <w:p w14:paraId="53D34391" w14:textId="77777777" w:rsidR="009055EF" w:rsidRPr="009055EF" w:rsidRDefault="009055EF" w:rsidP="009055E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9055EF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want a second explanation of a topic covered in the weekly tiles</w:t>
            </w:r>
          </w:p>
        </w:tc>
      </w:tr>
    </w:tbl>
    <w:p w14:paraId="7BE15E29" w14:textId="77777777" w:rsidR="008D05F0" w:rsidRPr="009055EF" w:rsidRDefault="008D05F0">
      <w:pPr>
        <w:rPr>
          <w:rFonts w:ascii="Times New Roman" w:hAnsi="Times New Roman" w:cs="Times New Roman"/>
        </w:rPr>
      </w:pPr>
    </w:p>
    <w:sectPr w:rsidR="008D05F0" w:rsidRPr="009055EF" w:rsidSect="009055E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5EF"/>
    <w:rsid w:val="00325C07"/>
    <w:rsid w:val="00742C06"/>
    <w:rsid w:val="008D05F0"/>
    <w:rsid w:val="00905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</o:shapedefaults>
    <o:shapelayout v:ext="edit">
      <o:idmap v:ext="edit" data="1"/>
    </o:shapelayout>
  </w:shapeDefaults>
  <w:decimalSymbol w:val="."/>
  <w:listSeparator w:val=","/>
  <w14:docId w14:val="0DD75F95"/>
  <w15:chartTrackingRefBased/>
  <w15:docId w15:val="{DA2896D4-B68E-4ABB-9AD3-0FBED5124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55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55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55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55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55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55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55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55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55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55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055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55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55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55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55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55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55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55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55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55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55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55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55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55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55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55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55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55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55E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055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ldoc-mention">
    <w:name w:val="ldoc-mention"/>
    <w:basedOn w:val="DefaultParagraphFont"/>
    <w:rsid w:val="009055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1023</Words>
  <Characters>5836</Characters>
  <Application>Microsoft Office Word</Application>
  <DocSecurity>0</DocSecurity>
  <Lines>48</Lines>
  <Paragraphs>13</Paragraphs>
  <ScaleCrop>false</ScaleCrop>
  <Company/>
  <LinksUpToDate>false</LinksUpToDate>
  <CharactersWithSpaces>6846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2026-10-01T13:28:00Z</dcterms:created>
  <dcterms:modified xsi:type="dcterms:W3CDTF">2026-10-01T13:30:00Z</dcterms:modified>
</cp:coreProperties>
</file>