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9A24D" w14:textId="360A6DC1" w:rsidR="00970616" w:rsidRPr="00A6478A" w:rsidRDefault="006B024F" w:rsidP="00314ECD">
      <w:pPr>
        <w:pageBreakBefore/>
        <w:widowControl w:val="0"/>
        <w:pBdr>
          <w:top w:val="nil"/>
          <w:left w:val="nil"/>
          <w:bottom w:val="nil"/>
          <w:right w:val="nil"/>
          <w:between w:val="nil"/>
        </w:pBdr>
        <w:tabs>
          <w:tab w:val="right" w:pos="9498"/>
        </w:tabs>
        <w:spacing w:after="0"/>
        <w:jc w:val="center"/>
        <w:rPr>
          <w:b/>
          <w:color w:val="000000"/>
          <w:sz w:val="32"/>
          <w:szCs w:val="32"/>
        </w:rPr>
      </w:pPr>
      <w:r w:rsidRPr="00A6478A">
        <w:rPr>
          <w:b/>
          <w:sz w:val="32"/>
          <w:szCs w:val="32"/>
        </w:rPr>
        <w:t xml:space="preserve">Living well: A Life course approach to Health &amp; Wellbeing </w:t>
      </w:r>
    </w:p>
    <w:p w14:paraId="0CC44515" w14:textId="23BCDEAD" w:rsidR="00970616" w:rsidRPr="00A6478A" w:rsidRDefault="00970616" w:rsidP="00C12CBD">
      <w:pPr>
        <w:pBdr>
          <w:top w:val="nil"/>
          <w:left w:val="nil"/>
          <w:bottom w:val="nil"/>
          <w:right w:val="nil"/>
          <w:between w:val="nil"/>
        </w:pBdr>
        <w:spacing w:after="0"/>
        <w:rPr>
          <w:b/>
          <w:color w:val="104F75"/>
          <w:sz w:val="32"/>
          <w:szCs w:val="32"/>
        </w:rPr>
      </w:pPr>
    </w:p>
    <w:p w14:paraId="609AF9B0" w14:textId="6AB63C03" w:rsidR="00970616" w:rsidRPr="00A6478A" w:rsidRDefault="00C12CBD" w:rsidP="00C12CBD">
      <w:pPr>
        <w:pBdr>
          <w:top w:val="nil"/>
          <w:left w:val="nil"/>
          <w:bottom w:val="nil"/>
          <w:right w:val="nil"/>
          <w:between w:val="nil"/>
        </w:pBdr>
        <w:spacing w:after="0"/>
        <w:rPr>
          <w:b/>
          <w:color w:val="104F75"/>
          <w:sz w:val="48"/>
          <w:szCs w:val="48"/>
        </w:rPr>
      </w:pPr>
      <w:r>
        <w:rPr>
          <w:b/>
          <w:color w:val="000000"/>
          <w:sz w:val="32"/>
          <w:szCs w:val="32"/>
        </w:rPr>
        <w:t>Liliana-Rodica Enache-Decu 2234981</w:t>
      </w:r>
    </w:p>
    <w:p w14:paraId="3469C495" w14:textId="77777777" w:rsidR="00970616" w:rsidRPr="00A6478A" w:rsidRDefault="006B024F" w:rsidP="00A6478A">
      <w:r w:rsidRPr="00A6478A">
        <w:br w:type="page"/>
      </w:r>
    </w:p>
    <w:p w14:paraId="58A75454" w14:textId="77777777" w:rsidR="00970616" w:rsidRPr="00A6478A" w:rsidRDefault="006B024F" w:rsidP="00A6478A">
      <w:pPr>
        <w:spacing w:after="0"/>
        <w:jc w:val="center"/>
        <w:rPr>
          <w:b/>
        </w:rPr>
      </w:pPr>
      <w:r w:rsidRPr="00A6478A">
        <w:rPr>
          <w:b/>
        </w:rPr>
        <w:lastRenderedPageBreak/>
        <w:t xml:space="preserve">Abstract  </w:t>
      </w:r>
    </w:p>
    <w:p w14:paraId="265B104E" w14:textId="77777777" w:rsidR="00970616" w:rsidRPr="00A6478A" w:rsidRDefault="006B024F" w:rsidP="00A6478A">
      <w:pPr>
        <w:spacing w:after="0"/>
      </w:pPr>
      <w:r w:rsidRPr="00A6478A">
        <w:t xml:space="preserve">The report has highlighted the focus on the lifestyle choices in different life courses that influences health and wellbeing. It has also included the early life experiences influence, social determinants and mental health on health inequalities within the UK. The discussion also included recommendations highlighting cross-sector collaboration, solving structural issues and early intervention for the enhancement of the future health. </w:t>
      </w:r>
    </w:p>
    <w:p w14:paraId="0E8D487F" w14:textId="77777777" w:rsidR="00970616" w:rsidRPr="00A6478A" w:rsidRDefault="00970616" w:rsidP="00A6478A">
      <w:pPr>
        <w:pBdr>
          <w:top w:val="nil"/>
          <w:left w:val="nil"/>
          <w:bottom w:val="nil"/>
          <w:right w:val="nil"/>
          <w:between w:val="nil"/>
        </w:pBdr>
        <w:spacing w:after="0"/>
        <w:jc w:val="left"/>
        <w:rPr>
          <w:color w:val="000000"/>
        </w:rPr>
      </w:pPr>
    </w:p>
    <w:p w14:paraId="5D22E08A" w14:textId="77777777" w:rsidR="00970616" w:rsidRPr="00A6478A" w:rsidRDefault="00970616" w:rsidP="00A6478A">
      <w:pPr>
        <w:pBdr>
          <w:top w:val="nil"/>
          <w:left w:val="nil"/>
          <w:bottom w:val="nil"/>
          <w:right w:val="nil"/>
          <w:between w:val="nil"/>
        </w:pBdr>
        <w:spacing w:after="0"/>
        <w:jc w:val="left"/>
        <w:rPr>
          <w:color w:val="000000"/>
        </w:rPr>
      </w:pPr>
    </w:p>
    <w:p w14:paraId="1E0CF503" w14:textId="77777777" w:rsidR="00970616" w:rsidRPr="00A6478A" w:rsidRDefault="00970616" w:rsidP="00A6478A">
      <w:pPr>
        <w:pBdr>
          <w:top w:val="nil"/>
          <w:left w:val="nil"/>
          <w:bottom w:val="nil"/>
          <w:right w:val="nil"/>
          <w:between w:val="nil"/>
        </w:pBdr>
        <w:spacing w:after="0"/>
        <w:jc w:val="left"/>
        <w:rPr>
          <w:color w:val="000000"/>
        </w:rPr>
      </w:pPr>
    </w:p>
    <w:p w14:paraId="722036A0" w14:textId="77777777" w:rsidR="00970616" w:rsidRPr="00A6478A" w:rsidRDefault="00970616" w:rsidP="00A6478A">
      <w:pPr>
        <w:pBdr>
          <w:top w:val="nil"/>
          <w:left w:val="nil"/>
          <w:bottom w:val="nil"/>
          <w:right w:val="nil"/>
          <w:between w:val="nil"/>
        </w:pBdr>
        <w:spacing w:after="0"/>
        <w:jc w:val="left"/>
        <w:rPr>
          <w:color w:val="000000"/>
        </w:rPr>
      </w:pPr>
    </w:p>
    <w:p w14:paraId="58DC7D5A" w14:textId="77777777" w:rsidR="00970616" w:rsidRPr="00A6478A" w:rsidRDefault="00970616" w:rsidP="00A6478A">
      <w:pPr>
        <w:pBdr>
          <w:top w:val="nil"/>
          <w:left w:val="nil"/>
          <w:bottom w:val="nil"/>
          <w:right w:val="nil"/>
          <w:between w:val="nil"/>
        </w:pBdr>
        <w:spacing w:after="0"/>
        <w:jc w:val="left"/>
        <w:rPr>
          <w:color w:val="000000"/>
        </w:rPr>
      </w:pPr>
    </w:p>
    <w:p w14:paraId="1DC1CED2" w14:textId="77777777" w:rsidR="00970616" w:rsidRPr="00A6478A" w:rsidRDefault="00970616" w:rsidP="00A6478A">
      <w:pPr>
        <w:pBdr>
          <w:top w:val="nil"/>
          <w:left w:val="nil"/>
          <w:bottom w:val="nil"/>
          <w:right w:val="nil"/>
          <w:between w:val="nil"/>
        </w:pBdr>
        <w:spacing w:after="0"/>
        <w:jc w:val="left"/>
        <w:rPr>
          <w:color w:val="000000"/>
        </w:rPr>
      </w:pPr>
    </w:p>
    <w:p w14:paraId="2F28220F" w14:textId="77777777" w:rsidR="00970616" w:rsidRPr="00A6478A" w:rsidRDefault="00970616" w:rsidP="00A6478A">
      <w:pPr>
        <w:pBdr>
          <w:top w:val="nil"/>
          <w:left w:val="nil"/>
          <w:bottom w:val="nil"/>
          <w:right w:val="nil"/>
          <w:between w:val="nil"/>
        </w:pBdr>
        <w:spacing w:after="0"/>
        <w:jc w:val="left"/>
        <w:rPr>
          <w:color w:val="000000"/>
        </w:rPr>
      </w:pPr>
    </w:p>
    <w:p w14:paraId="31AF7623"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3353EAA4" w14:textId="77777777" w:rsidR="00970616" w:rsidRPr="00A6478A" w:rsidRDefault="00970616" w:rsidP="00A6478A">
      <w:pPr>
        <w:pBdr>
          <w:top w:val="nil"/>
          <w:left w:val="nil"/>
          <w:bottom w:val="nil"/>
          <w:right w:val="nil"/>
          <w:between w:val="nil"/>
        </w:pBdr>
        <w:tabs>
          <w:tab w:val="right" w:pos="9498"/>
        </w:tabs>
        <w:spacing w:after="0"/>
        <w:jc w:val="left"/>
        <w:rPr>
          <w:color w:val="000000"/>
        </w:rPr>
      </w:pPr>
    </w:p>
    <w:p w14:paraId="355D6BD2" w14:textId="77777777" w:rsidR="00970616" w:rsidRPr="00A6478A" w:rsidRDefault="00970616" w:rsidP="00A6478A">
      <w:pPr>
        <w:pBdr>
          <w:top w:val="nil"/>
          <w:left w:val="nil"/>
          <w:bottom w:val="nil"/>
          <w:right w:val="nil"/>
          <w:between w:val="nil"/>
        </w:pBdr>
        <w:spacing w:after="0"/>
        <w:jc w:val="left"/>
        <w:rPr>
          <w:color w:val="000000"/>
        </w:rPr>
      </w:pPr>
    </w:p>
    <w:p w14:paraId="5BFE33C0" w14:textId="77777777" w:rsidR="00970616" w:rsidRPr="00A6478A" w:rsidRDefault="006B024F" w:rsidP="00A6478A">
      <w:pPr>
        <w:pStyle w:val="Heading1"/>
        <w:numPr>
          <w:ilvl w:val="0"/>
          <w:numId w:val="2"/>
        </w:numPr>
        <w:tabs>
          <w:tab w:val="left" w:pos="0"/>
        </w:tabs>
        <w:spacing w:after="0" w:line="360" w:lineRule="auto"/>
        <w:rPr>
          <w:color w:val="000000"/>
        </w:rPr>
      </w:pPr>
      <w:bookmarkStart w:id="0" w:name="_nkoqmxhi9vo9" w:colFirst="0" w:colLast="0"/>
      <w:bookmarkEnd w:id="0"/>
      <w:r w:rsidRPr="00A6478A">
        <w:br w:type="page"/>
      </w:r>
    </w:p>
    <w:bookmarkStart w:id="1" w:name="_4dbumdymuk2o" w:colFirst="0" w:colLast="0" w:displacedByCustomXml="next"/>
    <w:bookmarkEnd w:id="1" w:displacedByCustomXml="next"/>
    <w:sdt>
      <w:sdtPr>
        <w:id w:val="760406765"/>
        <w:docPartObj>
          <w:docPartGallery w:val="Table of Contents"/>
          <w:docPartUnique/>
        </w:docPartObj>
      </w:sdtPr>
      <w:sdtEndPr>
        <w:rPr>
          <w:rFonts w:ascii="Arial" w:eastAsia="Arial" w:hAnsi="Arial" w:cs="Arial"/>
          <w:b/>
          <w:bCs/>
          <w:noProof/>
          <w:color w:val="auto"/>
          <w:sz w:val="24"/>
          <w:szCs w:val="24"/>
          <w:lang w:val="en-GB" w:eastAsia="en-IN"/>
        </w:rPr>
      </w:sdtEndPr>
      <w:sdtContent>
        <w:p w14:paraId="6B206124" w14:textId="24456E67" w:rsidR="00833920" w:rsidRDefault="00833920">
          <w:pPr>
            <w:pStyle w:val="TOCHeading"/>
          </w:pPr>
          <w:r>
            <w:t>Contents</w:t>
          </w:r>
        </w:p>
        <w:p w14:paraId="5F48F654" w14:textId="79542831" w:rsidR="00833920" w:rsidRDefault="00833920">
          <w:pPr>
            <w:pStyle w:val="TOC1"/>
            <w:tabs>
              <w:tab w:val="right" w:leader="dot" w:pos="9486"/>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197503861" w:history="1">
            <w:r w:rsidRPr="006E7815">
              <w:rPr>
                <w:rStyle w:val="Hyperlink"/>
                <w:noProof/>
              </w:rPr>
              <w:t>1. Introduction</w:t>
            </w:r>
            <w:r>
              <w:rPr>
                <w:noProof/>
                <w:webHidden/>
              </w:rPr>
              <w:tab/>
            </w:r>
            <w:r>
              <w:rPr>
                <w:noProof/>
                <w:webHidden/>
              </w:rPr>
              <w:fldChar w:fldCharType="begin"/>
            </w:r>
            <w:r>
              <w:rPr>
                <w:noProof/>
                <w:webHidden/>
              </w:rPr>
              <w:instrText xml:space="preserve"> PAGEREF _Toc197503861 \h </w:instrText>
            </w:r>
            <w:r>
              <w:rPr>
                <w:noProof/>
                <w:webHidden/>
              </w:rPr>
            </w:r>
            <w:r>
              <w:rPr>
                <w:noProof/>
                <w:webHidden/>
              </w:rPr>
              <w:fldChar w:fldCharType="separate"/>
            </w:r>
            <w:r>
              <w:rPr>
                <w:noProof/>
                <w:webHidden/>
              </w:rPr>
              <w:t>4</w:t>
            </w:r>
            <w:r>
              <w:rPr>
                <w:noProof/>
                <w:webHidden/>
              </w:rPr>
              <w:fldChar w:fldCharType="end"/>
            </w:r>
          </w:hyperlink>
        </w:p>
        <w:p w14:paraId="0D1ED39A" w14:textId="2C432813" w:rsidR="00833920" w:rsidRDefault="00833920">
          <w:pPr>
            <w:pStyle w:val="TOC1"/>
            <w:tabs>
              <w:tab w:val="right" w:leader="dot" w:pos="9486"/>
            </w:tabs>
            <w:rPr>
              <w:rFonts w:asciiTheme="minorHAnsi" w:eastAsiaTheme="minorEastAsia" w:hAnsiTheme="minorHAnsi" w:cstheme="minorBidi"/>
              <w:noProof/>
              <w:kern w:val="2"/>
              <w:lang w:val="en-US" w:eastAsia="en-US"/>
              <w14:ligatures w14:val="standardContextual"/>
            </w:rPr>
          </w:pPr>
          <w:hyperlink w:anchor="_Toc197503862" w:history="1">
            <w:r w:rsidRPr="006E7815">
              <w:rPr>
                <w:rStyle w:val="Hyperlink"/>
                <w:noProof/>
              </w:rPr>
              <w:t>2. Main Findings/Discussion</w:t>
            </w:r>
            <w:r>
              <w:rPr>
                <w:noProof/>
                <w:webHidden/>
              </w:rPr>
              <w:tab/>
            </w:r>
            <w:r>
              <w:rPr>
                <w:noProof/>
                <w:webHidden/>
              </w:rPr>
              <w:fldChar w:fldCharType="begin"/>
            </w:r>
            <w:r>
              <w:rPr>
                <w:noProof/>
                <w:webHidden/>
              </w:rPr>
              <w:instrText xml:space="preserve"> PAGEREF _Toc197503862 \h </w:instrText>
            </w:r>
            <w:r>
              <w:rPr>
                <w:noProof/>
                <w:webHidden/>
              </w:rPr>
            </w:r>
            <w:r>
              <w:rPr>
                <w:noProof/>
                <w:webHidden/>
              </w:rPr>
              <w:fldChar w:fldCharType="separate"/>
            </w:r>
            <w:r>
              <w:rPr>
                <w:noProof/>
                <w:webHidden/>
              </w:rPr>
              <w:t>5</w:t>
            </w:r>
            <w:r>
              <w:rPr>
                <w:noProof/>
                <w:webHidden/>
              </w:rPr>
              <w:fldChar w:fldCharType="end"/>
            </w:r>
          </w:hyperlink>
        </w:p>
        <w:p w14:paraId="72A881AD" w14:textId="2D91F943" w:rsidR="00833920" w:rsidRDefault="00833920">
          <w:pPr>
            <w:pStyle w:val="TOC2"/>
            <w:tabs>
              <w:tab w:val="right" w:leader="dot" w:pos="9486"/>
            </w:tabs>
            <w:rPr>
              <w:rFonts w:asciiTheme="minorHAnsi" w:eastAsiaTheme="minorEastAsia" w:hAnsiTheme="minorHAnsi" w:cstheme="minorBidi"/>
              <w:noProof/>
              <w:kern w:val="2"/>
              <w:lang w:val="en-US" w:eastAsia="en-US"/>
              <w14:ligatures w14:val="standardContextual"/>
            </w:rPr>
          </w:pPr>
          <w:hyperlink w:anchor="_Toc197503863" w:history="1">
            <w:r w:rsidRPr="006E7815">
              <w:rPr>
                <w:rStyle w:val="Hyperlink"/>
                <w:noProof/>
              </w:rPr>
              <w:t>2.1 Early life experiences and health foundations</w:t>
            </w:r>
            <w:r>
              <w:rPr>
                <w:noProof/>
                <w:webHidden/>
              </w:rPr>
              <w:tab/>
            </w:r>
            <w:r>
              <w:rPr>
                <w:noProof/>
                <w:webHidden/>
              </w:rPr>
              <w:fldChar w:fldCharType="begin"/>
            </w:r>
            <w:r>
              <w:rPr>
                <w:noProof/>
                <w:webHidden/>
              </w:rPr>
              <w:instrText xml:space="preserve"> PAGEREF _Toc197503863 \h </w:instrText>
            </w:r>
            <w:r>
              <w:rPr>
                <w:noProof/>
                <w:webHidden/>
              </w:rPr>
            </w:r>
            <w:r>
              <w:rPr>
                <w:noProof/>
                <w:webHidden/>
              </w:rPr>
              <w:fldChar w:fldCharType="separate"/>
            </w:r>
            <w:r>
              <w:rPr>
                <w:noProof/>
                <w:webHidden/>
              </w:rPr>
              <w:t>5</w:t>
            </w:r>
            <w:r>
              <w:rPr>
                <w:noProof/>
                <w:webHidden/>
              </w:rPr>
              <w:fldChar w:fldCharType="end"/>
            </w:r>
          </w:hyperlink>
        </w:p>
        <w:p w14:paraId="4583B5AB" w14:textId="2C32456F" w:rsidR="00833920" w:rsidRDefault="00833920">
          <w:pPr>
            <w:pStyle w:val="TOC2"/>
            <w:tabs>
              <w:tab w:val="right" w:leader="dot" w:pos="9486"/>
            </w:tabs>
            <w:rPr>
              <w:rFonts w:asciiTheme="minorHAnsi" w:eastAsiaTheme="minorEastAsia" w:hAnsiTheme="minorHAnsi" w:cstheme="minorBidi"/>
              <w:noProof/>
              <w:kern w:val="2"/>
              <w:lang w:val="en-US" w:eastAsia="en-US"/>
              <w14:ligatures w14:val="standardContextual"/>
            </w:rPr>
          </w:pPr>
          <w:hyperlink w:anchor="_Toc197503864" w:history="1">
            <w:r w:rsidRPr="006E7815">
              <w:rPr>
                <w:rStyle w:val="Hyperlink"/>
                <w:noProof/>
              </w:rPr>
              <w:t>2.2 Physical activity, cumulative impact and diet on different life stages</w:t>
            </w:r>
            <w:r>
              <w:rPr>
                <w:noProof/>
                <w:webHidden/>
              </w:rPr>
              <w:tab/>
            </w:r>
            <w:r>
              <w:rPr>
                <w:noProof/>
                <w:webHidden/>
              </w:rPr>
              <w:fldChar w:fldCharType="begin"/>
            </w:r>
            <w:r>
              <w:rPr>
                <w:noProof/>
                <w:webHidden/>
              </w:rPr>
              <w:instrText xml:space="preserve"> PAGEREF _Toc197503864 \h </w:instrText>
            </w:r>
            <w:r>
              <w:rPr>
                <w:noProof/>
                <w:webHidden/>
              </w:rPr>
            </w:r>
            <w:r>
              <w:rPr>
                <w:noProof/>
                <w:webHidden/>
              </w:rPr>
              <w:fldChar w:fldCharType="separate"/>
            </w:r>
            <w:r>
              <w:rPr>
                <w:noProof/>
                <w:webHidden/>
              </w:rPr>
              <w:t>5</w:t>
            </w:r>
            <w:r>
              <w:rPr>
                <w:noProof/>
                <w:webHidden/>
              </w:rPr>
              <w:fldChar w:fldCharType="end"/>
            </w:r>
          </w:hyperlink>
          <w:r w:rsidRPr="00833920">
            <w:rPr>
              <w:rStyle w:val="Hyperlink"/>
              <w:noProof/>
              <w:color w:val="000000" w:themeColor="text1"/>
            </w:rPr>
            <w:t>,6</w:t>
          </w:r>
        </w:p>
        <w:p w14:paraId="68DD49A5" w14:textId="6B06A73B" w:rsidR="00833920" w:rsidRDefault="00833920">
          <w:pPr>
            <w:pStyle w:val="TOC2"/>
            <w:tabs>
              <w:tab w:val="right" w:leader="dot" w:pos="9486"/>
            </w:tabs>
            <w:rPr>
              <w:rStyle w:val="Hyperlink"/>
              <w:noProof/>
              <w:color w:val="000000" w:themeColor="text1"/>
            </w:rPr>
          </w:pPr>
          <w:hyperlink w:anchor="_Toc197503865" w:history="1">
            <w:r w:rsidRPr="006E7815">
              <w:rPr>
                <w:rStyle w:val="Hyperlink"/>
                <w:noProof/>
              </w:rPr>
              <w:t>2.3 Health inequalities, mental health and social determinants in the life course</w:t>
            </w:r>
            <w:r>
              <w:rPr>
                <w:noProof/>
                <w:webHidden/>
              </w:rPr>
              <w:tab/>
            </w:r>
            <w:r>
              <w:rPr>
                <w:noProof/>
                <w:webHidden/>
              </w:rPr>
              <w:fldChar w:fldCharType="begin"/>
            </w:r>
            <w:r>
              <w:rPr>
                <w:noProof/>
                <w:webHidden/>
              </w:rPr>
              <w:instrText xml:space="preserve"> PAGEREF _Toc197503865 \h </w:instrText>
            </w:r>
            <w:r>
              <w:rPr>
                <w:noProof/>
                <w:webHidden/>
              </w:rPr>
            </w:r>
            <w:r>
              <w:rPr>
                <w:noProof/>
                <w:webHidden/>
              </w:rPr>
              <w:fldChar w:fldCharType="separate"/>
            </w:r>
            <w:r>
              <w:rPr>
                <w:noProof/>
                <w:webHidden/>
              </w:rPr>
              <w:t>7</w:t>
            </w:r>
            <w:r>
              <w:rPr>
                <w:noProof/>
                <w:webHidden/>
              </w:rPr>
              <w:fldChar w:fldCharType="end"/>
            </w:r>
          </w:hyperlink>
          <w:r w:rsidRPr="00833920">
            <w:rPr>
              <w:rStyle w:val="Hyperlink"/>
              <w:noProof/>
              <w:color w:val="000000" w:themeColor="text1"/>
            </w:rPr>
            <w:t>,8</w:t>
          </w:r>
        </w:p>
        <w:p w14:paraId="20DF52D4" w14:textId="795AC7D8" w:rsidR="00833920" w:rsidRPr="00833920" w:rsidRDefault="00833920" w:rsidP="00833920">
          <w:r>
            <w:t xml:space="preserve">    2.4</w:t>
          </w:r>
          <w:r w:rsidRPr="00833920">
            <w:t xml:space="preserve"> </w:t>
          </w:r>
          <w:r w:rsidRPr="00833920">
            <w:rPr>
              <w:rFonts w:eastAsia="Times New Roman"/>
            </w:rPr>
            <w:t>Aging and Later Life</w:t>
          </w:r>
          <w:r>
            <w:rPr>
              <w:rFonts w:eastAsia="Times New Roman"/>
            </w:rPr>
            <w:t>……………………………………………………………………....9</w:t>
          </w:r>
        </w:p>
        <w:p w14:paraId="0C5F27B2" w14:textId="135683BB" w:rsidR="00833920" w:rsidRDefault="00833920">
          <w:pPr>
            <w:pStyle w:val="TOC1"/>
            <w:tabs>
              <w:tab w:val="right" w:leader="dot" w:pos="9486"/>
            </w:tabs>
            <w:rPr>
              <w:rFonts w:asciiTheme="minorHAnsi" w:eastAsiaTheme="minorEastAsia" w:hAnsiTheme="minorHAnsi" w:cstheme="minorBidi"/>
              <w:noProof/>
              <w:kern w:val="2"/>
              <w:lang w:val="en-US" w:eastAsia="en-US"/>
              <w14:ligatures w14:val="standardContextual"/>
            </w:rPr>
          </w:pPr>
          <w:hyperlink w:anchor="_Toc197503866" w:history="1">
            <w:r w:rsidRPr="006E7815">
              <w:rPr>
                <w:rStyle w:val="Hyperlink"/>
                <w:noProof/>
              </w:rPr>
              <w:t>3. Recommendations</w:t>
            </w:r>
            <w:r>
              <w:rPr>
                <w:noProof/>
                <w:webHidden/>
              </w:rPr>
              <w:tab/>
            </w:r>
            <w:r>
              <w:rPr>
                <w:noProof/>
                <w:webHidden/>
              </w:rPr>
              <w:fldChar w:fldCharType="begin"/>
            </w:r>
            <w:r>
              <w:rPr>
                <w:noProof/>
                <w:webHidden/>
              </w:rPr>
              <w:instrText xml:space="preserve"> PAGEREF _Toc197503866 \h </w:instrText>
            </w:r>
            <w:r>
              <w:rPr>
                <w:noProof/>
                <w:webHidden/>
              </w:rPr>
            </w:r>
            <w:r>
              <w:rPr>
                <w:noProof/>
                <w:webHidden/>
              </w:rPr>
              <w:fldChar w:fldCharType="separate"/>
            </w:r>
            <w:r>
              <w:rPr>
                <w:noProof/>
                <w:webHidden/>
              </w:rPr>
              <w:t>9</w:t>
            </w:r>
            <w:r>
              <w:rPr>
                <w:noProof/>
                <w:webHidden/>
              </w:rPr>
              <w:fldChar w:fldCharType="end"/>
            </w:r>
          </w:hyperlink>
        </w:p>
        <w:p w14:paraId="39828898" w14:textId="39824948" w:rsidR="00833920" w:rsidRDefault="00833920">
          <w:pPr>
            <w:pStyle w:val="TOC1"/>
            <w:tabs>
              <w:tab w:val="right" w:leader="dot" w:pos="9486"/>
            </w:tabs>
            <w:rPr>
              <w:rFonts w:asciiTheme="minorHAnsi" w:eastAsiaTheme="minorEastAsia" w:hAnsiTheme="minorHAnsi" w:cstheme="minorBidi"/>
              <w:noProof/>
              <w:kern w:val="2"/>
              <w:lang w:val="en-US" w:eastAsia="en-US"/>
              <w14:ligatures w14:val="standardContextual"/>
            </w:rPr>
          </w:pPr>
          <w:hyperlink w:anchor="_Toc197503867" w:history="1">
            <w:r w:rsidRPr="006E7815">
              <w:rPr>
                <w:rStyle w:val="Hyperlink"/>
                <w:noProof/>
              </w:rPr>
              <w:t>3. Conclusion</w:t>
            </w:r>
            <w:r>
              <w:rPr>
                <w:noProof/>
                <w:webHidden/>
              </w:rPr>
              <w:tab/>
            </w:r>
            <w:r>
              <w:rPr>
                <w:noProof/>
                <w:webHidden/>
              </w:rPr>
              <w:fldChar w:fldCharType="begin"/>
            </w:r>
            <w:r>
              <w:rPr>
                <w:noProof/>
                <w:webHidden/>
              </w:rPr>
              <w:instrText xml:space="preserve"> PAGEREF _Toc197503867 \h </w:instrText>
            </w:r>
            <w:r>
              <w:rPr>
                <w:noProof/>
                <w:webHidden/>
              </w:rPr>
            </w:r>
            <w:r>
              <w:rPr>
                <w:noProof/>
                <w:webHidden/>
              </w:rPr>
              <w:fldChar w:fldCharType="separate"/>
            </w:r>
            <w:r>
              <w:rPr>
                <w:noProof/>
                <w:webHidden/>
              </w:rPr>
              <w:t>10</w:t>
            </w:r>
            <w:r>
              <w:rPr>
                <w:noProof/>
                <w:webHidden/>
              </w:rPr>
              <w:fldChar w:fldCharType="end"/>
            </w:r>
          </w:hyperlink>
        </w:p>
        <w:p w14:paraId="5FBEFA25" w14:textId="437EFA72" w:rsidR="00833920" w:rsidRPr="00833920" w:rsidRDefault="00833920">
          <w:pPr>
            <w:pStyle w:val="TOC1"/>
            <w:tabs>
              <w:tab w:val="right" w:leader="dot" w:pos="9486"/>
            </w:tabs>
            <w:rPr>
              <w:rFonts w:asciiTheme="minorHAnsi" w:eastAsiaTheme="minorEastAsia" w:hAnsiTheme="minorHAnsi" w:cstheme="minorBidi"/>
              <w:noProof/>
              <w:color w:val="000000" w:themeColor="text1"/>
              <w:kern w:val="2"/>
              <w:lang w:val="en-US" w:eastAsia="en-US"/>
              <w14:ligatures w14:val="standardContextual"/>
            </w:rPr>
          </w:pPr>
          <w:hyperlink w:anchor="_Toc197503868" w:history="1">
            <w:r w:rsidRPr="006E7815">
              <w:rPr>
                <w:rStyle w:val="Hyperlink"/>
                <w:noProof/>
              </w:rPr>
              <w:t>4. References</w:t>
            </w:r>
            <w:r>
              <w:rPr>
                <w:noProof/>
                <w:webHidden/>
              </w:rPr>
              <w:tab/>
            </w:r>
            <w:r>
              <w:rPr>
                <w:noProof/>
                <w:webHidden/>
              </w:rPr>
              <w:fldChar w:fldCharType="begin"/>
            </w:r>
            <w:r>
              <w:rPr>
                <w:noProof/>
                <w:webHidden/>
              </w:rPr>
              <w:instrText xml:space="preserve"> PAGEREF _Toc197503868 \h </w:instrText>
            </w:r>
            <w:r>
              <w:rPr>
                <w:noProof/>
                <w:webHidden/>
              </w:rPr>
            </w:r>
            <w:r>
              <w:rPr>
                <w:noProof/>
                <w:webHidden/>
              </w:rPr>
              <w:fldChar w:fldCharType="separate"/>
            </w:r>
            <w:r>
              <w:rPr>
                <w:noProof/>
                <w:webHidden/>
              </w:rPr>
              <w:t>11</w:t>
            </w:r>
            <w:r>
              <w:rPr>
                <w:noProof/>
                <w:webHidden/>
              </w:rPr>
              <w:fldChar w:fldCharType="end"/>
            </w:r>
          </w:hyperlink>
          <w:r w:rsidRPr="00833920">
            <w:rPr>
              <w:rStyle w:val="Hyperlink"/>
              <w:noProof/>
              <w:color w:val="000000" w:themeColor="text1"/>
            </w:rPr>
            <w:t>,12</w:t>
          </w:r>
        </w:p>
        <w:p w14:paraId="3C8F4FDC" w14:textId="6DDD5309" w:rsidR="00833920" w:rsidRDefault="00833920">
          <w:pPr>
            <w:pStyle w:val="TOC1"/>
            <w:tabs>
              <w:tab w:val="right" w:leader="dot" w:pos="9486"/>
            </w:tabs>
            <w:rPr>
              <w:rFonts w:asciiTheme="minorHAnsi" w:eastAsiaTheme="minorEastAsia" w:hAnsiTheme="minorHAnsi" w:cstheme="minorBidi"/>
              <w:noProof/>
              <w:kern w:val="2"/>
              <w:lang w:val="en-US" w:eastAsia="en-US"/>
              <w14:ligatures w14:val="standardContextual"/>
            </w:rPr>
          </w:pPr>
          <w:hyperlink w:anchor="_Toc197503869" w:history="1">
            <w:r w:rsidRPr="006E7815">
              <w:rPr>
                <w:rStyle w:val="Hyperlink"/>
                <w:noProof/>
              </w:rPr>
              <w:t>5. Appendices</w:t>
            </w:r>
            <w:r>
              <w:rPr>
                <w:noProof/>
                <w:webHidden/>
              </w:rPr>
              <w:tab/>
            </w:r>
            <w:r>
              <w:rPr>
                <w:noProof/>
                <w:webHidden/>
              </w:rPr>
              <w:fldChar w:fldCharType="begin"/>
            </w:r>
            <w:r>
              <w:rPr>
                <w:noProof/>
                <w:webHidden/>
              </w:rPr>
              <w:instrText xml:space="preserve"> PAGEREF _Toc197503869 \h </w:instrText>
            </w:r>
            <w:r>
              <w:rPr>
                <w:noProof/>
                <w:webHidden/>
              </w:rPr>
            </w:r>
            <w:r>
              <w:rPr>
                <w:noProof/>
                <w:webHidden/>
              </w:rPr>
              <w:fldChar w:fldCharType="separate"/>
            </w:r>
            <w:r>
              <w:rPr>
                <w:noProof/>
                <w:webHidden/>
              </w:rPr>
              <w:t>13</w:t>
            </w:r>
            <w:r>
              <w:rPr>
                <w:noProof/>
                <w:webHidden/>
              </w:rPr>
              <w:fldChar w:fldCharType="end"/>
            </w:r>
          </w:hyperlink>
        </w:p>
        <w:p w14:paraId="543BA2F4" w14:textId="5EC770F6" w:rsidR="00833920" w:rsidRDefault="00833920">
          <w:r>
            <w:rPr>
              <w:b/>
              <w:bCs/>
              <w:noProof/>
            </w:rPr>
            <w:fldChar w:fldCharType="end"/>
          </w:r>
        </w:p>
      </w:sdtContent>
    </w:sdt>
    <w:p w14:paraId="267ACE23" w14:textId="77777777" w:rsidR="00970616" w:rsidRPr="00A6478A" w:rsidRDefault="006B024F" w:rsidP="00A6478A">
      <w:pPr>
        <w:pStyle w:val="Heading1"/>
        <w:numPr>
          <w:ilvl w:val="0"/>
          <w:numId w:val="2"/>
        </w:numPr>
        <w:tabs>
          <w:tab w:val="left" w:pos="0"/>
        </w:tabs>
        <w:spacing w:after="0" w:line="360" w:lineRule="auto"/>
        <w:rPr>
          <w:color w:val="000000"/>
        </w:rPr>
      </w:pPr>
      <w:r w:rsidRPr="00A6478A">
        <w:br w:type="page"/>
      </w:r>
    </w:p>
    <w:p w14:paraId="5042CC29" w14:textId="77777777" w:rsidR="00970616" w:rsidRPr="00A6478A" w:rsidRDefault="006B024F" w:rsidP="00A6478A">
      <w:pPr>
        <w:pStyle w:val="Heading1"/>
        <w:numPr>
          <w:ilvl w:val="0"/>
          <w:numId w:val="2"/>
        </w:numPr>
        <w:tabs>
          <w:tab w:val="left" w:pos="0"/>
        </w:tabs>
        <w:spacing w:after="0" w:line="360" w:lineRule="auto"/>
        <w:rPr>
          <w:color w:val="000000"/>
        </w:rPr>
      </w:pPr>
      <w:bookmarkStart w:id="2" w:name="_3n4wux8keru1" w:colFirst="0" w:colLast="0"/>
      <w:bookmarkStart w:id="3" w:name="_Toc197503861"/>
      <w:bookmarkEnd w:id="2"/>
      <w:r w:rsidRPr="00A6478A">
        <w:lastRenderedPageBreak/>
        <w:t xml:space="preserve">1. </w:t>
      </w:r>
      <w:r w:rsidRPr="00A6478A">
        <w:rPr>
          <w:color w:val="000000"/>
        </w:rPr>
        <w:t>Introduction</w:t>
      </w:r>
      <w:bookmarkEnd w:id="3"/>
      <w:r w:rsidRPr="00A6478A">
        <w:rPr>
          <w:color w:val="000000"/>
        </w:rPr>
        <w:t xml:space="preserve"> </w:t>
      </w:r>
    </w:p>
    <w:p w14:paraId="2D9F2A9F" w14:textId="77777777" w:rsidR="00970616" w:rsidRPr="00A6478A" w:rsidRDefault="006B024F" w:rsidP="00A6478A">
      <w:pPr>
        <w:pBdr>
          <w:top w:val="nil"/>
          <w:left w:val="nil"/>
          <w:bottom w:val="nil"/>
          <w:right w:val="nil"/>
          <w:between w:val="nil"/>
        </w:pBdr>
        <w:spacing w:after="0"/>
        <w:rPr>
          <w:color w:val="000000"/>
        </w:rPr>
      </w:pPr>
      <w:r w:rsidRPr="00A6478A">
        <w:t xml:space="preserve">The aim of the report will focus on understanding the way lifestyle choices in the different stages of life influence the health and well-being through the utilisation of the life course aspect. It will include the exploration of mental health, social determinants and early-life experiences. It will also include the challenges of low longitudinal data and isolation complexity of the individual factors impacting the health results. </w:t>
      </w:r>
    </w:p>
    <w:p w14:paraId="2B98AEB4" w14:textId="77777777" w:rsidR="00314ECD" w:rsidRDefault="00314ECD">
      <w:pPr>
        <w:rPr>
          <w:b/>
          <w:color w:val="000000"/>
        </w:rPr>
      </w:pPr>
      <w:bookmarkStart w:id="4" w:name="_oh9vpc8cxksa" w:colFirst="0" w:colLast="0"/>
      <w:bookmarkEnd w:id="4"/>
      <w:r>
        <w:rPr>
          <w:color w:val="000000"/>
        </w:rPr>
        <w:br w:type="page"/>
      </w:r>
    </w:p>
    <w:p w14:paraId="4E32D48D" w14:textId="051FAF67" w:rsidR="00970616" w:rsidRPr="00A6478A" w:rsidRDefault="006B024F" w:rsidP="00A6478A">
      <w:pPr>
        <w:pStyle w:val="Heading1"/>
        <w:tabs>
          <w:tab w:val="left" w:pos="0"/>
        </w:tabs>
        <w:spacing w:after="0" w:line="360" w:lineRule="auto"/>
        <w:rPr>
          <w:color w:val="000000"/>
        </w:rPr>
      </w:pPr>
      <w:bookmarkStart w:id="5" w:name="_Toc197503862"/>
      <w:r w:rsidRPr="00A6478A">
        <w:rPr>
          <w:color w:val="000000"/>
        </w:rPr>
        <w:lastRenderedPageBreak/>
        <w:t>2. Main Findings/Discussion</w:t>
      </w:r>
      <w:bookmarkEnd w:id="5"/>
      <w:r w:rsidRPr="00A6478A">
        <w:rPr>
          <w:color w:val="000000"/>
        </w:rPr>
        <w:t xml:space="preserve"> </w:t>
      </w:r>
    </w:p>
    <w:p w14:paraId="0F11074F" w14:textId="77777777" w:rsidR="00970616" w:rsidRPr="0095215D" w:rsidRDefault="006B024F" w:rsidP="0095215D">
      <w:pPr>
        <w:pStyle w:val="Heading2"/>
      </w:pPr>
      <w:bookmarkStart w:id="6" w:name="_eqln6xkl2243" w:colFirst="0" w:colLast="0"/>
      <w:bookmarkStart w:id="7" w:name="_Toc197503863"/>
      <w:bookmarkEnd w:id="6"/>
      <w:r w:rsidRPr="0095215D">
        <w:t>2.1 Early life experiences and health foundations</w:t>
      </w:r>
      <w:bookmarkEnd w:id="7"/>
    </w:p>
    <w:p w14:paraId="1B520C43" w14:textId="77777777" w:rsidR="00970616" w:rsidRPr="00A6478A" w:rsidRDefault="006B024F" w:rsidP="00A6478A">
      <w:pPr>
        <w:pBdr>
          <w:top w:val="nil"/>
          <w:left w:val="nil"/>
          <w:bottom w:val="nil"/>
          <w:right w:val="nil"/>
          <w:between w:val="nil"/>
        </w:pBdr>
        <w:spacing w:after="0"/>
        <w:rPr>
          <w:b/>
        </w:rPr>
      </w:pPr>
      <w:bookmarkStart w:id="8" w:name="_nz46dctyp2xf" w:colFirst="0" w:colLast="0"/>
      <w:bookmarkEnd w:id="8"/>
      <w:r w:rsidRPr="00A6478A">
        <w:t xml:space="preserve">The approach of life </w:t>
      </w:r>
      <w:r w:rsidR="00A6478A" w:rsidRPr="00A6478A">
        <w:t>courses</w:t>
      </w:r>
      <w:r w:rsidRPr="00A6478A">
        <w:t xml:space="preserve"> focuses on the aspects of health which are developed from birth before the stage of conception. The experiences of early life including infant nutrition, exposure of the childhood adverse events, maternal health and parental attachment that is regarded as the foundation for long-term wellbeing (Draper </w:t>
      </w:r>
      <w:r w:rsidRPr="00A6478A">
        <w:rPr>
          <w:i/>
        </w:rPr>
        <w:t>et al</w:t>
      </w:r>
      <w:r w:rsidRPr="00A6478A">
        <w:t xml:space="preserve">., 2024). The improper nutritional nutrition and low weight during birth is linked with the high risk of different chronic diseases including cardiovascular and diabetes within adulthood. The understanding of the “Barker’s “foetal origins” depends on the process of how biological programmes have created an effect in the lifelong aspect. For example, children who face the issue of malnutrition within the initial days of life experience are irreversible due to the cognitive delays, future status of socio-economic context and impairment of the educational engagement. Childhood adversity such as exposure, abuse and neglect of domestic violence creates a high risk of mental health issues including anxiety and depression in life (Chen, 2024). The effective relationship that is formed between the scores of “Adverse Childhood Experiences” and negative outcomes of health that includes heart diseases, misuse of substance and obesity. The findings indicate that the type of early intervention including the enhanced maternal healthcare, early education in childhood and parental support initiatives are regarded as crucial investments (McCord </w:t>
      </w:r>
      <w:r w:rsidRPr="00A6478A">
        <w:rPr>
          <w:i/>
        </w:rPr>
        <w:t>et al</w:t>
      </w:r>
      <w:r w:rsidRPr="00A6478A">
        <w:t xml:space="preserve">., 2024). Without such types of interventions, the health disparities are caused within generations. The socioeconomic disadvantage within their early life creates the poverty cycle and ill-mannered health. </w:t>
      </w:r>
    </w:p>
    <w:p w14:paraId="35AD2069" w14:textId="77777777" w:rsidR="00970616" w:rsidRPr="00A6478A" w:rsidRDefault="006B024F" w:rsidP="0095215D">
      <w:pPr>
        <w:pStyle w:val="Heading2"/>
        <w:rPr>
          <w:color w:val="000000"/>
        </w:rPr>
      </w:pPr>
      <w:bookmarkStart w:id="9" w:name="_Toc197503864"/>
      <w:r w:rsidRPr="00A6478A">
        <w:t>2.2 Physical activity, cumulative impact and diet on different life stages</w:t>
      </w:r>
      <w:bookmarkEnd w:id="9"/>
      <w:r w:rsidRPr="00A6478A">
        <w:rPr>
          <w:color w:val="000000"/>
        </w:rPr>
        <w:t xml:space="preserve">  </w:t>
      </w:r>
    </w:p>
    <w:p w14:paraId="4DC12D37" w14:textId="298DA6A1" w:rsidR="00970616" w:rsidRDefault="006B024F" w:rsidP="00A6478A">
      <w:pPr>
        <w:pBdr>
          <w:top w:val="nil"/>
          <w:left w:val="nil"/>
          <w:bottom w:val="nil"/>
          <w:right w:val="nil"/>
          <w:between w:val="nil"/>
        </w:pBdr>
        <w:spacing w:after="0"/>
      </w:pPr>
      <w:r w:rsidRPr="00A6478A">
        <w:t xml:space="preserve">Different lifestyle factors including physical activity and diet are important determinants based on the long-term health with the cumulative influences which are observed in different lifestyle stages. The life course aspect creates a high level of stress that creates potential risks and different protective factors that influence the pressure and cause a burden within the diseases in older age (Draper </w:t>
      </w:r>
      <w:r w:rsidRPr="00A6478A">
        <w:rPr>
          <w:i/>
        </w:rPr>
        <w:t>et al</w:t>
      </w:r>
      <w:r w:rsidRPr="00A6478A">
        <w:t xml:space="preserve">., 2024). In adolescence, the dietary habits are persisted within adulthood. The high level of consumption based on sugary beverages, sedentary behaviour, and processed food are aligned with the early issues of obesity, cardiovascular risk and metabolic syndrome. The adolescence includes the opportunity approach which includes that the positive behaviours of health can create the trajectories of future diseases (Kirkbride </w:t>
      </w:r>
      <w:r w:rsidRPr="00A6478A">
        <w:rPr>
          <w:i/>
        </w:rPr>
        <w:t>et al</w:t>
      </w:r>
      <w:r w:rsidRPr="00A6478A">
        <w:t>., 2024). In adulthood, the behaviour of sedentary lifestyles and poor diet contribute to the cause and spread of non-communicable diseases including hypertension, cancers and Type 2 diabetes. In the UK, two thirds of the</w:t>
      </w:r>
      <w:r w:rsidR="00A7630B">
        <w:t xml:space="preserve"> </w:t>
      </w:r>
      <w:r w:rsidRPr="00A6478A">
        <w:lastRenderedPageBreak/>
        <w:t xml:space="preserve">adult population are highly overweight and 27% of individuals face obesity (England, 2025). The mid-life interventions including the dietary improvements and physical activity have included the delay and prevented the chronic disease onset. The cumulative impact is caused due to the “Blue Zone” that evaluates the regions that includes high longevity and social networks over the lifetime. The entering of the older adulthood causes sarcopenia that is highlighted as a potential concern that creates the risks of dependency, falls and frailty. The intake of protein and effective strength training on a regular basis are important preventive strategies (Boccardi, 2024). The understanding of such factors include the promotion of the behaviours of a lifelong healthy approach that is effective as compared with the rectification of unhealthy habits. The structural barriers include financial insecurity, low accessibility of the recreational space and food deserts include the influence within the health choices. This includes the responsibility of individuals alone which is insufficient without a type of supportive environment. </w:t>
      </w:r>
    </w:p>
    <w:p w14:paraId="025B30D7" w14:textId="77777777" w:rsidR="00A7630B" w:rsidRDefault="00A7630B" w:rsidP="00A6478A">
      <w:pPr>
        <w:pBdr>
          <w:top w:val="nil"/>
          <w:left w:val="nil"/>
          <w:bottom w:val="nil"/>
          <w:right w:val="nil"/>
          <w:between w:val="nil"/>
        </w:pBdr>
        <w:spacing w:after="0"/>
      </w:pPr>
    </w:p>
    <w:p w14:paraId="1EA4B43B" w14:textId="77777777" w:rsidR="00A7630B" w:rsidRDefault="00A7630B" w:rsidP="00A6478A">
      <w:pPr>
        <w:pBdr>
          <w:top w:val="nil"/>
          <w:left w:val="nil"/>
          <w:bottom w:val="nil"/>
          <w:right w:val="nil"/>
          <w:between w:val="nil"/>
        </w:pBdr>
        <w:spacing w:after="0"/>
      </w:pPr>
    </w:p>
    <w:p w14:paraId="476CC3AB" w14:textId="77777777" w:rsidR="00A7630B" w:rsidRDefault="00A7630B" w:rsidP="00A6478A">
      <w:pPr>
        <w:pBdr>
          <w:top w:val="nil"/>
          <w:left w:val="nil"/>
          <w:bottom w:val="nil"/>
          <w:right w:val="nil"/>
          <w:between w:val="nil"/>
        </w:pBdr>
        <w:spacing w:after="0"/>
      </w:pPr>
    </w:p>
    <w:p w14:paraId="244DC87F" w14:textId="77777777" w:rsidR="00A7630B" w:rsidRDefault="00A7630B" w:rsidP="00A6478A">
      <w:pPr>
        <w:pBdr>
          <w:top w:val="nil"/>
          <w:left w:val="nil"/>
          <w:bottom w:val="nil"/>
          <w:right w:val="nil"/>
          <w:between w:val="nil"/>
        </w:pBdr>
        <w:spacing w:after="0"/>
      </w:pPr>
    </w:p>
    <w:p w14:paraId="4A661005" w14:textId="77777777" w:rsidR="00A7630B" w:rsidRDefault="00A7630B" w:rsidP="00A6478A">
      <w:pPr>
        <w:pBdr>
          <w:top w:val="nil"/>
          <w:left w:val="nil"/>
          <w:bottom w:val="nil"/>
          <w:right w:val="nil"/>
          <w:between w:val="nil"/>
        </w:pBdr>
        <w:spacing w:after="0"/>
      </w:pPr>
    </w:p>
    <w:p w14:paraId="4FA87C61" w14:textId="77777777" w:rsidR="00A7630B" w:rsidRDefault="00A7630B" w:rsidP="00A6478A">
      <w:pPr>
        <w:pBdr>
          <w:top w:val="nil"/>
          <w:left w:val="nil"/>
          <w:bottom w:val="nil"/>
          <w:right w:val="nil"/>
          <w:between w:val="nil"/>
        </w:pBdr>
        <w:spacing w:after="0"/>
      </w:pPr>
    </w:p>
    <w:p w14:paraId="17B86FEC" w14:textId="77777777" w:rsidR="00A7630B" w:rsidRDefault="00A7630B" w:rsidP="00A6478A">
      <w:pPr>
        <w:pBdr>
          <w:top w:val="nil"/>
          <w:left w:val="nil"/>
          <w:bottom w:val="nil"/>
          <w:right w:val="nil"/>
          <w:between w:val="nil"/>
        </w:pBdr>
        <w:spacing w:after="0"/>
      </w:pPr>
    </w:p>
    <w:p w14:paraId="5A404244" w14:textId="77777777" w:rsidR="00A7630B" w:rsidRDefault="00A7630B" w:rsidP="00A6478A">
      <w:pPr>
        <w:pBdr>
          <w:top w:val="nil"/>
          <w:left w:val="nil"/>
          <w:bottom w:val="nil"/>
          <w:right w:val="nil"/>
          <w:between w:val="nil"/>
        </w:pBdr>
        <w:spacing w:after="0"/>
      </w:pPr>
    </w:p>
    <w:p w14:paraId="5E83B833" w14:textId="77777777" w:rsidR="00A7630B" w:rsidRDefault="00A7630B" w:rsidP="00A6478A">
      <w:pPr>
        <w:pBdr>
          <w:top w:val="nil"/>
          <w:left w:val="nil"/>
          <w:bottom w:val="nil"/>
          <w:right w:val="nil"/>
          <w:between w:val="nil"/>
        </w:pBdr>
        <w:spacing w:after="0"/>
      </w:pPr>
    </w:p>
    <w:p w14:paraId="2D239011" w14:textId="77777777" w:rsidR="00A7630B" w:rsidRDefault="00A7630B" w:rsidP="00A6478A">
      <w:pPr>
        <w:pBdr>
          <w:top w:val="nil"/>
          <w:left w:val="nil"/>
          <w:bottom w:val="nil"/>
          <w:right w:val="nil"/>
          <w:between w:val="nil"/>
        </w:pBdr>
        <w:spacing w:after="0"/>
      </w:pPr>
    </w:p>
    <w:p w14:paraId="3389E7C2" w14:textId="77777777" w:rsidR="00A7630B" w:rsidRDefault="00A7630B" w:rsidP="00A6478A">
      <w:pPr>
        <w:pBdr>
          <w:top w:val="nil"/>
          <w:left w:val="nil"/>
          <w:bottom w:val="nil"/>
          <w:right w:val="nil"/>
          <w:between w:val="nil"/>
        </w:pBdr>
        <w:spacing w:after="0"/>
      </w:pPr>
    </w:p>
    <w:p w14:paraId="04C4644B" w14:textId="77777777" w:rsidR="00A7630B" w:rsidRDefault="00A7630B" w:rsidP="00A6478A">
      <w:pPr>
        <w:pBdr>
          <w:top w:val="nil"/>
          <w:left w:val="nil"/>
          <w:bottom w:val="nil"/>
          <w:right w:val="nil"/>
          <w:between w:val="nil"/>
        </w:pBdr>
        <w:spacing w:after="0"/>
      </w:pPr>
    </w:p>
    <w:p w14:paraId="6DC43EB7" w14:textId="77777777" w:rsidR="00A7630B" w:rsidRDefault="00A7630B" w:rsidP="00A6478A">
      <w:pPr>
        <w:pBdr>
          <w:top w:val="nil"/>
          <w:left w:val="nil"/>
          <w:bottom w:val="nil"/>
          <w:right w:val="nil"/>
          <w:between w:val="nil"/>
        </w:pBdr>
        <w:spacing w:after="0"/>
      </w:pPr>
    </w:p>
    <w:p w14:paraId="66E25A53" w14:textId="77777777" w:rsidR="00A7630B" w:rsidRDefault="00A7630B" w:rsidP="00A6478A">
      <w:pPr>
        <w:pBdr>
          <w:top w:val="nil"/>
          <w:left w:val="nil"/>
          <w:bottom w:val="nil"/>
          <w:right w:val="nil"/>
          <w:between w:val="nil"/>
        </w:pBdr>
        <w:spacing w:after="0"/>
      </w:pPr>
    </w:p>
    <w:p w14:paraId="6AC5EA1A" w14:textId="77777777" w:rsidR="00A7630B" w:rsidRDefault="00A7630B" w:rsidP="00A6478A">
      <w:pPr>
        <w:pBdr>
          <w:top w:val="nil"/>
          <w:left w:val="nil"/>
          <w:bottom w:val="nil"/>
          <w:right w:val="nil"/>
          <w:between w:val="nil"/>
        </w:pBdr>
        <w:spacing w:after="0"/>
      </w:pPr>
    </w:p>
    <w:p w14:paraId="7885B714" w14:textId="77777777" w:rsidR="00A7630B" w:rsidRDefault="00A7630B" w:rsidP="00A6478A">
      <w:pPr>
        <w:pBdr>
          <w:top w:val="nil"/>
          <w:left w:val="nil"/>
          <w:bottom w:val="nil"/>
          <w:right w:val="nil"/>
          <w:between w:val="nil"/>
        </w:pBdr>
        <w:spacing w:after="0"/>
      </w:pPr>
    </w:p>
    <w:p w14:paraId="03A3A534" w14:textId="77777777" w:rsidR="00A7630B" w:rsidRDefault="00A7630B" w:rsidP="00A6478A">
      <w:pPr>
        <w:pBdr>
          <w:top w:val="nil"/>
          <w:left w:val="nil"/>
          <w:bottom w:val="nil"/>
          <w:right w:val="nil"/>
          <w:between w:val="nil"/>
        </w:pBdr>
        <w:spacing w:after="0"/>
      </w:pPr>
    </w:p>
    <w:p w14:paraId="7FF29671" w14:textId="77777777" w:rsidR="00A7630B" w:rsidRDefault="00A7630B" w:rsidP="00A6478A">
      <w:pPr>
        <w:pBdr>
          <w:top w:val="nil"/>
          <w:left w:val="nil"/>
          <w:bottom w:val="nil"/>
          <w:right w:val="nil"/>
          <w:between w:val="nil"/>
        </w:pBdr>
        <w:spacing w:after="0"/>
      </w:pPr>
    </w:p>
    <w:p w14:paraId="60F7BF1A" w14:textId="77777777" w:rsidR="00A7630B" w:rsidRDefault="00A7630B" w:rsidP="00A6478A">
      <w:pPr>
        <w:pBdr>
          <w:top w:val="nil"/>
          <w:left w:val="nil"/>
          <w:bottom w:val="nil"/>
          <w:right w:val="nil"/>
          <w:between w:val="nil"/>
        </w:pBdr>
        <w:spacing w:after="0"/>
      </w:pPr>
    </w:p>
    <w:p w14:paraId="29ADDB6C" w14:textId="77777777" w:rsidR="00A7630B" w:rsidRDefault="00A7630B" w:rsidP="00A6478A">
      <w:pPr>
        <w:pBdr>
          <w:top w:val="nil"/>
          <w:left w:val="nil"/>
          <w:bottom w:val="nil"/>
          <w:right w:val="nil"/>
          <w:between w:val="nil"/>
        </w:pBdr>
        <w:spacing w:after="0"/>
      </w:pPr>
    </w:p>
    <w:p w14:paraId="0587A0F1" w14:textId="77777777" w:rsidR="00A7630B" w:rsidRDefault="00A7630B" w:rsidP="00A6478A">
      <w:pPr>
        <w:pBdr>
          <w:top w:val="nil"/>
          <w:left w:val="nil"/>
          <w:bottom w:val="nil"/>
          <w:right w:val="nil"/>
          <w:between w:val="nil"/>
        </w:pBdr>
        <w:spacing w:after="0"/>
      </w:pPr>
    </w:p>
    <w:p w14:paraId="7283475F" w14:textId="77777777" w:rsidR="00A7630B" w:rsidRPr="00A6478A" w:rsidRDefault="00A7630B" w:rsidP="00A6478A">
      <w:pPr>
        <w:pBdr>
          <w:top w:val="nil"/>
          <w:left w:val="nil"/>
          <w:bottom w:val="nil"/>
          <w:right w:val="nil"/>
          <w:between w:val="nil"/>
        </w:pBdr>
        <w:spacing w:after="0"/>
      </w:pPr>
    </w:p>
    <w:p w14:paraId="06F0855B" w14:textId="77777777" w:rsidR="00970616" w:rsidRPr="00A6478A" w:rsidRDefault="006B024F" w:rsidP="0095215D">
      <w:pPr>
        <w:pStyle w:val="Heading2"/>
        <w:rPr>
          <w:color w:val="000000"/>
        </w:rPr>
      </w:pPr>
      <w:bookmarkStart w:id="10" w:name="_Toc197503865"/>
      <w:r w:rsidRPr="00A6478A">
        <w:lastRenderedPageBreak/>
        <w:t>2.3 Health</w:t>
      </w:r>
      <w:r w:rsidRPr="00A6478A">
        <w:rPr>
          <w:color w:val="000000"/>
        </w:rPr>
        <w:t xml:space="preserve"> </w:t>
      </w:r>
      <w:r w:rsidRPr="00A6478A">
        <w:t>inequalities, mental health and social determinants in the life course</w:t>
      </w:r>
      <w:bookmarkEnd w:id="10"/>
      <w:r w:rsidRPr="00A6478A">
        <w:t xml:space="preserve"> </w:t>
      </w:r>
    </w:p>
    <w:p w14:paraId="54389686" w14:textId="77777777" w:rsidR="00970616" w:rsidRPr="00A6478A" w:rsidRDefault="006B024F" w:rsidP="00A6478A">
      <w:pPr>
        <w:pBdr>
          <w:top w:val="nil"/>
          <w:left w:val="nil"/>
          <w:bottom w:val="nil"/>
          <w:right w:val="nil"/>
          <w:between w:val="nil"/>
        </w:pBdr>
        <w:spacing w:after="0"/>
      </w:pPr>
      <w:r w:rsidRPr="00A6478A">
        <w:t>Health inequalities are highlighted as a crucial challenge. The advancement in the public health and health and social care</w:t>
      </w:r>
      <w:r w:rsidR="00A6478A" w:rsidRPr="00A6478A">
        <w:t>.</w:t>
      </w:r>
      <w:r w:rsidRPr="00A6478A">
        <w:t xml:space="preserve">  This includes the disparities within the health results which are </w:t>
      </w:r>
      <w:r w:rsidR="0095215D" w:rsidRPr="00A6478A">
        <w:t>evident</w:t>
      </w:r>
      <w:r w:rsidRPr="00A6478A">
        <w:t xml:space="preserve"> between the different ethnic, social and economic groups. The approach of the life course depends that the inequalities are not involved in isolating certain life stages but are accumulated over the time that creates an impact by the outcomes of mental health and social determinants of health (Kirkbride </w:t>
      </w:r>
      <w:r w:rsidRPr="00A6478A">
        <w:rPr>
          <w:i/>
        </w:rPr>
        <w:t>et al</w:t>
      </w:r>
      <w:r w:rsidRPr="00A6478A">
        <w:t xml:space="preserve">., 2024). The different social determinants including education, housing, social support, income and employment are observed as crucial drivers and factors of health inequalities. The individuals who engage in lying within the different deprived areas in the UK face a short life expectancy rate and years who engage in spending their ill-health as compared with the affluent areas. The population of men within the deprived area of England involved 9.7 years fewer and compared with the other deprived areas (Gregory, 2022). Mental health is highlighted as a core </w:t>
      </w:r>
      <w:r w:rsidR="00A6478A" w:rsidRPr="00A6478A">
        <w:t>determinant</w:t>
      </w:r>
      <w:r w:rsidRPr="00A6478A">
        <w:t xml:space="preserve"> and the social inequality outcome. The evidence highlights the individuals from the low backgrounds of socio-economy involved in experiences of mental health issues such as anxiety, mental illness and depressions (</w:t>
      </w:r>
      <w:proofErr w:type="spellStart"/>
      <w:r w:rsidRPr="00A6478A">
        <w:t>Cano</w:t>
      </w:r>
      <w:proofErr w:type="spellEnd"/>
      <w:r w:rsidRPr="00A6478A">
        <w:t xml:space="preserve">-Verdugo </w:t>
      </w:r>
      <w:r w:rsidRPr="00A6478A">
        <w:rPr>
          <w:i/>
        </w:rPr>
        <w:t>et al</w:t>
      </w:r>
      <w:r w:rsidRPr="00A6478A">
        <w:t xml:space="preserve">., 2024). Poor mental health creates the influence within the conditions of physical health, minimising the opportunities of employment and poverty influence that creates an impact within the cycle in the life cycle. </w:t>
      </w:r>
    </w:p>
    <w:p w14:paraId="19F381CD" w14:textId="77777777" w:rsidR="00970616" w:rsidRPr="00A6478A" w:rsidRDefault="006B024F" w:rsidP="00A6478A">
      <w:pPr>
        <w:pBdr>
          <w:top w:val="nil"/>
          <w:left w:val="nil"/>
          <w:bottom w:val="nil"/>
          <w:right w:val="nil"/>
          <w:between w:val="nil"/>
        </w:pBdr>
        <w:spacing w:after="0"/>
      </w:pPr>
      <w:r w:rsidRPr="00A6478A">
        <w:t xml:space="preserve">In the stage of childhood, the adverse type of social conditions including parental unemployment, inadequate housing and poverty creates a poor form of mental health results. Children who are from different disadvantaged groups are involved in experiences of behavioural issues, low attainment of educational facilities and emotional difficulties (Dickson </w:t>
      </w:r>
      <w:r w:rsidRPr="00A6478A">
        <w:rPr>
          <w:i/>
        </w:rPr>
        <w:t>et al</w:t>
      </w:r>
      <w:r w:rsidRPr="00A6478A">
        <w:t xml:space="preserve">., 2024). The early disadvantages </w:t>
      </w:r>
      <w:r w:rsidR="00A6478A" w:rsidRPr="00A6478A">
        <w:t>create</w:t>
      </w:r>
      <w:r w:rsidRPr="00A6478A">
        <w:t xml:space="preserve"> an influence leading to long-term impact on the health that creates a high risk on the chronic disease livelihood and premature mortality rate within adulthood. In early adulthood and adolescence creates mental health </w:t>
      </w:r>
      <w:r w:rsidR="00A6478A" w:rsidRPr="00A6478A">
        <w:t>conditions</w:t>
      </w:r>
      <w:r w:rsidRPr="00A6478A">
        <w:t xml:space="preserve"> that often involve in emerging, </w:t>
      </w:r>
      <w:r w:rsidR="00A6478A" w:rsidRPr="00A6478A">
        <w:t>the</w:t>
      </w:r>
      <w:r w:rsidRPr="00A6478A">
        <w:t xml:space="preserve"> young people within different deprived areas in the UK include high rates of substance abuse, suicide and self-harm as </w:t>
      </w:r>
      <w:r w:rsidR="00A6478A" w:rsidRPr="00A6478A">
        <w:t>compared</w:t>
      </w:r>
      <w:r w:rsidRPr="00A6478A">
        <w:t xml:space="preserve"> with the peers in different regions. Educational attainment is a core mediator, low rate of education reduces job prospects which creates insecurity within the long-term unemployment and employment that are linked with the high level of stress and poor level of mental health (Liu </w:t>
      </w:r>
      <w:r w:rsidRPr="00A6478A">
        <w:rPr>
          <w:i/>
        </w:rPr>
        <w:t>et al</w:t>
      </w:r>
      <w:r w:rsidRPr="00A6478A">
        <w:t xml:space="preserve">., 2024). Within </w:t>
      </w:r>
      <w:r w:rsidR="00A6478A" w:rsidRPr="00A6478A">
        <w:t>mid-life</w:t>
      </w:r>
      <w:r w:rsidRPr="00A6478A">
        <w:t>, the working conditions and occupational status play an important role. Low pay, poor level of workplace and job insecurity create mental health distress and h</w:t>
      </w:r>
      <w:r w:rsidR="00A6478A" w:rsidRPr="00A6478A">
        <w:t>i</w:t>
      </w:r>
      <w:r w:rsidRPr="00A6478A">
        <w:t xml:space="preserve">gh rate of cardiovascular diseases. In this stage, the </w:t>
      </w:r>
      <w:r w:rsidRPr="00A6478A">
        <w:lastRenderedPageBreak/>
        <w:t xml:space="preserve">cumulative impact due to the social disadvantage in early life are at high risk due to early mortality rate and dependency. </w:t>
      </w:r>
    </w:p>
    <w:p w14:paraId="2DC75743" w14:textId="77777777" w:rsidR="00970616" w:rsidRDefault="006B024F" w:rsidP="00A6478A">
      <w:pPr>
        <w:pBdr>
          <w:top w:val="nil"/>
          <w:left w:val="nil"/>
          <w:bottom w:val="nil"/>
          <w:right w:val="nil"/>
          <w:between w:val="nil"/>
        </w:pBdr>
        <w:spacing w:after="0"/>
      </w:pPr>
      <w:r w:rsidRPr="00A6478A">
        <w:t>The ethnic health inequalities link with the social determinants. The minority group of BAME in the UK encounter barriers which include healthcare access discrimination, housing and employment to reduce the outcomes of mental and physical health in the life course (</w:t>
      </w:r>
      <w:proofErr w:type="spellStart"/>
      <w:r w:rsidRPr="00A6478A">
        <w:t>Cano</w:t>
      </w:r>
      <w:proofErr w:type="spellEnd"/>
      <w:r w:rsidRPr="00A6478A">
        <w:t xml:space="preserve">-Verdugo </w:t>
      </w:r>
      <w:r w:rsidRPr="00A6478A">
        <w:rPr>
          <w:i/>
        </w:rPr>
        <w:t>et al</w:t>
      </w:r>
      <w:r w:rsidRPr="00A6478A">
        <w:t xml:space="preserve">., 2024). The policies focused on reducing the health inequalities often depend on the behaviour changes of individuals instead of solving the structural implications. The “NHS Long Term Plan 2019” initiative focuses on the enhancement of the mental health services that argue that without the wider socio-economic reforms including the child poverty reduction, fair employment opportunities and decent housing leads to the cause of health inequalities </w:t>
      </w:r>
      <w:r w:rsidRPr="00A6478A">
        <w:rPr>
          <w:highlight w:val="white"/>
        </w:rPr>
        <w:t>(NHS, 2024)</w:t>
      </w:r>
      <w:r w:rsidRPr="00A6478A">
        <w:t xml:space="preserve">. The life course aspect includes the early intervention urgency that sustains the support in different transitions and maintaining cross-sector collaboration. </w:t>
      </w:r>
    </w:p>
    <w:p w14:paraId="497B49A7"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47B99C88"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23649B74"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2711D438"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1A40E53C"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0B65E78E"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077C1968"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4A65FAB0"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0330723B"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75C3F68F"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40C48185"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7D6EA104"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3827A394"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1DE559F2"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7462BDF8"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389A137D"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03E9D236"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66D63D1B"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6293794A"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0ECD4E0B"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772AC5E8" w14:textId="77777777" w:rsidR="00833920" w:rsidRDefault="00833920" w:rsidP="00A6478A">
      <w:pPr>
        <w:pBdr>
          <w:top w:val="nil"/>
          <w:left w:val="nil"/>
          <w:bottom w:val="nil"/>
          <w:right w:val="nil"/>
          <w:between w:val="nil"/>
        </w:pBdr>
        <w:spacing w:after="0"/>
        <w:rPr>
          <w:rFonts w:asciiTheme="majorHAnsi" w:hAnsiTheme="majorHAnsi" w:cstheme="majorHAnsi"/>
        </w:rPr>
      </w:pPr>
    </w:p>
    <w:p w14:paraId="4BFE6240" w14:textId="7537C26D" w:rsidR="002F5DE1" w:rsidRPr="00833920" w:rsidRDefault="002F5DE1" w:rsidP="00A6478A">
      <w:pPr>
        <w:pBdr>
          <w:top w:val="nil"/>
          <w:left w:val="nil"/>
          <w:bottom w:val="nil"/>
          <w:right w:val="nil"/>
          <w:between w:val="nil"/>
        </w:pBdr>
        <w:spacing w:after="0"/>
        <w:rPr>
          <w:rFonts w:eastAsia="Times New Roman"/>
          <w:b/>
          <w:bCs/>
        </w:rPr>
      </w:pPr>
      <w:r w:rsidRPr="00833920">
        <w:lastRenderedPageBreak/>
        <w:t xml:space="preserve">2.4 </w:t>
      </w:r>
      <w:r w:rsidRPr="00833920">
        <w:rPr>
          <w:rFonts w:eastAsia="Times New Roman"/>
          <w:b/>
          <w:bCs/>
        </w:rPr>
        <w:t>Aging and Later Life</w:t>
      </w:r>
    </w:p>
    <w:p w14:paraId="6E4D02FC" w14:textId="53645E6E" w:rsidR="002F5DE1" w:rsidRPr="00833920" w:rsidRDefault="002F5DE1" w:rsidP="00833920">
      <w:pPr>
        <w:spacing w:before="100" w:beforeAutospacing="1" w:after="100" w:afterAutospacing="1"/>
        <w:rPr>
          <w:rFonts w:eastAsia="Times New Roman"/>
        </w:rPr>
      </w:pPr>
      <w:r w:rsidRPr="00833920">
        <w:rPr>
          <w:rFonts w:eastAsia="Times New Roman"/>
        </w:rPr>
        <w:t xml:space="preserve">The </w:t>
      </w:r>
      <w:r w:rsidRPr="00833920">
        <w:rPr>
          <w:rFonts w:eastAsia="Times New Roman"/>
        </w:rPr>
        <w:t>latter</w:t>
      </w:r>
      <w:r w:rsidRPr="00833920">
        <w:rPr>
          <w:rFonts w:eastAsia="Times New Roman"/>
        </w:rPr>
        <w:t xml:space="preserve"> stages of life are often associated with increased vulnerability to health issues such as chronic diseases, cognitive decline, and mental health disorders (</w:t>
      </w:r>
      <w:proofErr w:type="spellStart"/>
      <w:r w:rsidRPr="00833920">
        <w:rPr>
          <w:rFonts w:eastAsia="Times New Roman"/>
        </w:rPr>
        <w:t>Vassilaki</w:t>
      </w:r>
      <w:proofErr w:type="spellEnd"/>
      <w:r w:rsidRPr="00833920">
        <w:rPr>
          <w:rFonts w:eastAsia="Times New Roman"/>
        </w:rPr>
        <w:t xml:space="preserve"> et al., 2020). Aging is also accompanied by a range of social and psychological challenges, including social isolation, financial insecurity, and limited access to healthcare services. However, a life course perspective highlights the importance of promoting healthy aging by addressing the social determinants of health throughout earlier life stages (Singh et al., 2018). Strategies to enhance quality of life in older adults include physical activity, social engagement, and access to health services tailored to the elderly (World Health Organization, 2015).</w:t>
      </w:r>
    </w:p>
    <w:p w14:paraId="29001C85" w14:textId="1B787D14" w:rsidR="002F5DE1" w:rsidRPr="002F5DE1" w:rsidRDefault="002F5DE1" w:rsidP="002F5DE1">
      <w:pPr>
        <w:pBdr>
          <w:top w:val="nil"/>
          <w:left w:val="nil"/>
          <w:bottom w:val="nil"/>
          <w:right w:val="nil"/>
          <w:between w:val="nil"/>
        </w:pBdr>
        <w:spacing w:after="0"/>
        <w:rPr>
          <w:rFonts w:asciiTheme="majorHAnsi" w:hAnsiTheme="majorHAnsi" w:cstheme="majorHAnsi"/>
          <w:color w:val="000000"/>
        </w:rPr>
      </w:pPr>
      <w:r>
        <w:rPr>
          <w:rFonts w:ascii="Times New Roman" w:eastAsia="Times New Roman" w:hAnsi="Times New Roman" w:cs="Times New Roman"/>
        </w:rPr>
        <w:pict w14:anchorId="48B54CB8">
          <v:rect id="_x0000_i1027" style="width:0;height:1.5pt" o:hralign="center" o:hrstd="t" o:hr="t" fillcolor="#a0a0a0" stroked="f"/>
        </w:pict>
      </w:r>
    </w:p>
    <w:p w14:paraId="536B6B3F" w14:textId="77777777" w:rsidR="00970616" w:rsidRPr="00A6478A" w:rsidRDefault="006B024F" w:rsidP="00A6478A">
      <w:pPr>
        <w:pStyle w:val="Heading1"/>
        <w:spacing w:after="0" w:line="360" w:lineRule="auto"/>
      </w:pPr>
      <w:bookmarkStart w:id="11" w:name="_xfwjol6gcp0h" w:colFirst="0" w:colLast="0"/>
      <w:bookmarkStart w:id="12" w:name="_Toc197503866"/>
      <w:bookmarkEnd w:id="11"/>
      <w:r w:rsidRPr="00A6478A">
        <w:t>3. Recommendations</w:t>
      </w:r>
      <w:bookmarkEnd w:id="12"/>
      <w:r w:rsidRPr="00A6478A">
        <w:t xml:space="preserve">  </w:t>
      </w:r>
    </w:p>
    <w:p w14:paraId="5AFE3BC8" w14:textId="77777777" w:rsidR="00970616" w:rsidRPr="00A6478A" w:rsidRDefault="006B024F" w:rsidP="00A6478A">
      <w:pPr>
        <w:numPr>
          <w:ilvl w:val="0"/>
          <w:numId w:val="1"/>
        </w:numPr>
        <w:spacing w:after="0"/>
      </w:pPr>
      <w:r w:rsidRPr="00A6478A">
        <w:t xml:space="preserve">The solving of the health inequalities and enriching the mental health results in the UK life course can be solved through the multifaceted aspect which is important. The early intervention can be focused through the expansion of the investment within maternal health, education on early childhood education, targeting the disadvantaged groups and parent support initiatives that help in preventing the health risks and birth accumulation (Chen, 2024). </w:t>
      </w:r>
    </w:p>
    <w:p w14:paraId="66485713" w14:textId="77777777" w:rsidR="00970616" w:rsidRPr="00A6478A" w:rsidRDefault="006B024F" w:rsidP="00A6478A">
      <w:pPr>
        <w:numPr>
          <w:ilvl w:val="0"/>
          <w:numId w:val="1"/>
        </w:numPr>
        <w:spacing w:after="0"/>
      </w:pPr>
      <w:r w:rsidRPr="00A6478A">
        <w:t xml:space="preserve">The improvement of the accessibility of quality mental health services and affordability in the different stages of life are critical. The enhancement of mental health support at schools, community settings and workplaces can help in the encouragement of intervention and early detection while reducing the burden of high mental health conditions later within life (Boccardi, 2024). </w:t>
      </w:r>
    </w:p>
    <w:p w14:paraId="00415191" w14:textId="77777777" w:rsidR="00970616" w:rsidRPr="00A6478A" w:rsidRDefault="006B024F" w:rsidP="00A6478A">
      <w:pPr>
        <w:numPr>
          <w:ilvl w:val="0"/>
          <w:numId w:val="1"/>
        </w:numPr>
        <w:spacing w:after="0"/>
      </w:pPr>
      <w:r w:rsidRPr="00A6478A">
        <w:t xml:space="preserve">The solving of the social determinants </w:t>
      </w:r>
      <w:r w:rsidR="00A6478A" w:rsidRPr="00A6478A">
        <w:t>is</w:t>
      </w:r>
      <w:r w:rsidRPr="00A6478A">
        <w:t xml:space="preserve"> important. The policies can focus on reducing child poverty, encouraging secure employment, managing systematic discrimination and decent housing within the ethnic minority communities. The cross-sector collaboration that is formed between employment, health, education and housing sectors is important to develop an environment that is involved in supporting the health selections (Kolovou </w:t>
      </w:r>
      <w:r w:rsidRPr="00A6478A">
        <w:rPr>
          <w:i/>
        </w:rPr>
        <w:t>et al</w:t>
      </w:r>
      <w:r w:rsidRPr="00A6478A">
        <w:t xml:space="preserve">., 2024). </w:t>
      </w:r>
    </w:p>
    <w:p w14:paraId="64E2DD19" w14:textId="77777777" w:rsidR="00970616" w:rsidRPr="00A6478A" w:rsidRDefault="006B024F" w:rsidP="00A6478A">
      <w:pPr>
        <w:numPr>
          <w:ilvl w:val="0"/>
          <w:numId w:val="1"/>
        </w:numPr>
        <w:spacing w:after="0"/>
      </w:pPr>
      <w:r w:rsidRPr="00A6478A">
        <w:t xml:space="preserve">The campaigns of health promotion can create a shift from the promotion of the change within individual behaviour towards the management of structural reforms that leads to the equitable accessibility of the resources (McCord </w:t>
      </w:r>
      <w:r w:rsidRPr="00A6478A">
        <w:rPr>
          <w:i/>
        </w:rPr>
        <w:t>et al</w:t>
      </w:r>
      <w:r w:rsidRPr="00A6478A">
        <w:t xml:space="preserve">., 2024). Through evaluation and continuous monitoring of the health inequalities with the </w:t>
      </w:r>
      <w:r w:rsidRPr="00A6478A">
        <w:lastRenderedPageBreak/>
        <w:t xml:space="preserve">support of community engagement will lead to interventions dealing with efficiency and inclusiveness. </w:t>
      </w:r>
    </w:p>
    <w:p w14:paraId="2378B92C" w14:textId="77777777" w:rsidR="00314ECD" w:rsidRDefault="00314ECD">
      <w:pPr>
        <w:rPr>
          <w:b/>
        </w:rPr>
      </w:pPr>
      <w:bookmarkStart w:id="13" w:name="_x1e2g5torsot" w:colFirst="0" w:colLast="0"/>
      <w:bookmarkEnd w:id="13"/>
      <w:r>
        <w:br w:type="page"/>
      </w:r>
    </w:p>
    <w:p w14:paraId="6E48F57A" w14:textId="1B72F048" w:rsidR="00970616" w:rsidRPr="00A6478A" w:rsidRDefault="006B024F" w:rsidP="00A6478A">
      <w:pPr>
        <w:pStyle w:val="Heading1"/>
        <w:spacing w:after="0" w:line="360" w:lineRule="auto"/>
      </w:pPr>
      <w:bookmarkStart w:id="14" w:name="_Toc197503867"/>
      <w:r w:rsidRPr="00A6478A">
        <w:lastRenderedPageBreak/>
        <w:t>3. Conclusion</w:t>
      </w:r>
      <w:bookmarkEnd w:id="14"/>
      <w:r w:rsidRPr="00A6478A">
        <w:t xml:space="preserve">  </w:t>
      </w:r>
    </w:p>
    <w:p w14:paraId="27FA5F95" w14:textId="1E27FE48" w:rsidR="00C12CBD" w:rsidRPr="00833920" w:rsidRDefault="006B024F" w:rsidP="00833920">
      <w:pPr>
        <w:spacing w:after="0"/>
      </w:pPr>
      <w:r w:rsidRPr="00833920">
        <w:t xml:space="preserve">The report has included a discussion on the early life experiences, social determinants and lifestyle habits that develop long-term health. Health inequalities are </w:t>
      </w:r>
      <w:r w:rsidR="00C12CBD" w:rsidRPr="00833920">
        <w:t>occurred</w:t>
      </w:r>
      <w:r w:rsidRPr="00833920">
        <w:t xml:space="preserve"> in the UK due to the factors. The solving of the early interventions, managing social inequalities and mental health services are the core recommendations that need policy commitment and cross-sector collaboration. </w:t>
      </w:r>
    </w:p>
    <w:p w14:paraId="4B31A85A" w14:textId="77777777" w:rsidR="00C12CBD" w:rsidRPr="00833920" w:rsidRDefault="00C12CBD" w:rsidP="00833920">
      <w:pPr>
        <w:spacing w:before="100" w:beforeAutospacing="1" w:after="100" w:afterAutospacing="1"/>
        <w:rPr>
          <w:rFonts w:eastAsia="Times New Roman"/>
        </w:rPr>
      </w:pPr>
      <w:r w:rsidRPr="00833920">
        <w:rPr>
          <w:rFonts w:eastAsia="Times New Roman"/>
        </w:rPr>
        <w:t>While the life course approach provides a comprehensive framework for understanding health and wellbeing, there are several challenges and limitations to its application. One of the primary challenges is the difficulty in obtaining longitudinal data to track individuals' health over time, particularly in populations that face significant socioeconomic disparities (Danese et al., 2019). Additionally, the approach may overlook the impact of short-term factors, such as acute illnesses or injuries, which can also affect long-term health outcomes. Furthermore, there is a need for greater collaboration between policymakers, healthcare providers, and communities to address the broader social determinants of health, such as poverty, education, and access to healthcare services (Marmot et al., 2010).</w:t>
      </w:r>
    </w:p>
    <w:p w14:paraId="0F241B4E" w14:textId="4B145AA3" w:rsidR="00C12CBD" w:rsidRPr="00A6478A" w:rsidRDefault="00C12CBD" w:rsidP="00C12CBD">
      <w:pPr>
        <w:spacing w:after="0"/>
      </w:pPr>
      <w:r>
        <w:rPr>
          <w:rFonts w:ascii="Times New Roman" w:eastAsia="Times New Roman" w:hAnsi="Times New Roman" w:cs="Times New Roman"/>
        </w:rPr>
        <w:pict w14:anchorId="3EC85F3C">
          <v:rect id="_x0000_i1025" style="width:0;height:1.5pt" o:hralign="center" o:hrstd="t" o:hr="t" fillcolor="#a0a0a0" stroked="f"/>
        </w:pict>
      </w:r>
    </w:p>
    <w:p w14:paraId="56DF07E1" w14:textId="77777777" w:rsidR="00970616" w:rsidRPr="00A6478A" w:rsidRDefault="006B024F" w:rsidP="00A6478A">
      <w:pPr>
        <w:spacing w:after="0"/>
      </w:pPr>
      <w:r w:rsidRPr="00A6478A">
        <w:br w:type="page"/>
      </w:r>
    </w:p>
    <w:p w14:paraId="453E1516" w14:textId="77777777" w:rsidR="00970616" w:rsidRPr="00A7630B" w:rsidRDefault="006B024F" w:rsidP="00A6478A">
      <w:pPr>
        <w:pStyle w:val="Heading1"/>
        <w:spacing w:after="0" w:line="360" w:lineRule="auto"/>
      </w:pPr>
      <w:bookmarkStart w:id="15" w:name="_49jplvu281j4" w:colFirst="0" w:colLast="0"/>
      <w:bookmarkStart w:id="16" w:name="_Toc197503868"/>
      <w:bookmarkEnd w:id="15"/>
      <w:r w:rsidRPr="00A6478A">
        <w:lastRenderedPageBreak/>
        <w:t xml:space="preserve">4. </w:t>
      </w:r>
      <w:r w:rsidRPr="00A7630B">
        <w:t>References</w:t>
      </w:r>
      <w:bookmarkEnd w:id="16"/>
      <w:r w:rsidRPr="00A7630B">
        <w:t xml:space="preserve"> </w:t>
      </w:r>
    </w:p>
    <w:p w14:paraId="1B6960BC" w14:textId="77777777" w:rsidR="00A7630B" w:rsidRPr="00A7630B" w:rsidRDefault="00A7630B" w:rsidP="00C12CBD">
      <w:pPr>
        <w:pStyle w:val="ListParagraph"/>
        <w:spacing w:after="0"/>
      </w:pPr>
    </w:p>
    <w:p w14:paraId="34B0D641" w14:textId="77777777" w:rsidR="00A7630B" w:rsidRPr="00A7630B" w:rsidRDefault="00A7630B" w:rsidP="00C12CBD">
      <w:pPr>
        <w:pStyle w:val="ListParagraph"/>
        <w:spacing w:after="0"/>
      </w:pPr>
    </w:p>
    <w:p w14:paraId="7F1839CD" w14:textId="77777777" w:rsidR="00A7630B" w:rsidRPr="00A7630B" w:rsidRDefault="00A7630B" w:rsidP="002F5DE1">
      <w:pPr>
        <w:pStyle w:val="ListParagraph"/>
        <w:spacing w:after="0"/>
      </w:pPr>
    </w:p>
    <w:p w14:paraId="5BF5615C" w14:textId="77777777" w:rsidR="00833920" w:rsidRPr="00A7630B" w:rsidRDefault="00833920" w:rsidP="00833920">
      <w:pPr>
        <w:pStyle w:val="ListParagraph"/>
        <w:numPr>
          <w:ilvl w:val="0"/>
          <w:numId w:val="4"/>
        </w:numPr>
        <w:spacing w:before="240"/>
      </w:pPr>
      <w:r w:rsidRPr="00833920">
        <w:rPr>
          <w:highlight w:val="white"/>
        </w:rPr>
        <w:t xml:space="preserve">Boccardi, V., </w:t>
      </w:r>
      <w:r w:rsidRPr="00A7630B">
        <w:t>(</w:t>
      </w:r>
      <w:r w:rsidRPr="00833920">
        <w:rPr>
          <w:highlight w:val="white"/>
        </w:rPr>
        <w:t xml:space="preserve">2024). Sarcopenia: A dive into metabolism to promote a multimodal, preventive, and regenerative approach. </w:t>
      </w:r>
      <w:r w:rsidRPr="00833920">
        <w:rPr>
          <w:i/>
        </w:rPr>
        <w:t>Mechanisms of Ageing and Development</w:t>
      </w:r>
      <w:r w:rsidRPr="00A7630B">
        <w:t xml:space="preserve">, </w:t>
      </w:r>
      <w:r w:rsidRPr="00833920">
        <w:rPr>
          <w:i/>
        </w:rPr>
        <w:t>219</w:t>
      </w:r>
      <w:r w:rsidRPr="00A7630B">
        <w:t>, p.111941.</w:t>
      </w:r>
    </w:p>
    <w:p w14:paraId="6FA4DDB6" w14:textId="77777777" w:rsidR="00833920" w:rsidRPr="00A7630B" w:rsidRDefault="00833920" w:rsidP="00833920">
      <w:pPr>
        <w:pStyle w:val="ListParagraph"/>
        <w:numPr>
          <w:ilvl w:val="0"/>
          <w:numId w:val="4"/>
        </w:numPr>
        <w:spacing w:after="0"/>
      </w:pPr>
      <w:proofErr w:type="spellStart"/>
      <w:r w:rsidRPr="00A7630B">
        <w:rPr>
          <w:highlight w:val="white"/>
        </w:rPr>
        <w:t>Cano</w:t>
      </w:r>
      <w:proofErr w:type="spellEnd"/>
      <w:r w:rsidRPr="00A7630B">
        <w:rPr>
          <w:highlight w:val="white"/>
        </w:rPr>
        <w:t xml:space="preserve">-Verdugo, G., Flores-García, B.D., Núñez-Rocha, G.M., Ávila-Ortíz, M.N. and </w:t>
      </w:r>
      <w:proofErr w:type="spellStart"/>
      <w:r w:rsidRPr="00A7630B">
        <w:rPr>
          <w:highlight w:val="white"/>
        </w:rPr>
        <w:t>Nakagoshi</w:t>
      </w:r>
      <w:proofErr w:type="spellEnd"/>
      <w:r w:rsidRPr="00A7630B">
        <w:rPr>
          <w:highlight w:val="white"/>
        </w:rPr>
        <w:t xml:space="preserve">-Cepeda, M.A.A., </w:t>
      </w:r>
      <w:r w:rsidRPr="00A7630B">
        <w:t>(</w:t>
      </w:r>
      <w:r w:rsidRPr="00A7630B">
        <w:rPr>
          <w:highlight w:val="white"/>
        </w:rPr>
        <w:t xml:space="preserve">2024). Impact of urban farming on health: a systematic review. </w:t>
      </w:r>
      <w:r w:rsidRPr="00A7630B">
        <w:rPr>
          <w:i/>
        </w:rPr>
        <w:t>Journal of Public Health</w:t>
      </w:r>
      <w:r w:rsidRPr="00A7630B">
        <w:t xml:space="preserve">, </w:t>
      </w:r>
      <w:r w:rsidRPr="00A7630B">
        <w:rPr>
          <w:i/>
        </w:rPr>
        <w:t>46</w:t>
      </w:r>
      <w:r w:rsidRPr="00A7630B">
        <w:t>(3), pp.e500-e509.</w:t>
      </w:r>
    </w:p>
    <w:p w14:paraId="22DA8069" w14:textId="77777777" w:rsidR="00833920" w:rsidRPr="00A7630B" w:rsidRDefault="00833920" w:rsidP="00833920">
      <w:pPr>
        <w:pStyle w:val="ListParagraph"/>
        <w:numPr>
          <w:ilvl w:val="0"/>
          <w:numId w:val="4"/>
        </w:numPr>
        <w:spacing w:after="0"/>
      </w:pPr>
      <w:r w:rsidRPr="00A7630B">
        <w:rPr>
          <w:highlight w:val="white"/>
        </w:rPr>
        <w:t xml:space="preserve">Chen, Y., </w:t>
      </w:r>
      <w:r w:rsidRPr="00A7630B">
        <w:t>(</w:t>
      </w:r>
      <w:r w:rsidRPr="00A7630B">
        <w:rPr>
          <w:highlight w:val="white"/>
        </w:rPr>
        <w:t xml:space="preserve">2024). The effects of child maltreatment and exposure to intimate partner violence on the co-occurrence of anxious/depressive symptoms and aggressive </w:t>
      </w:r>
      <w:proofErr w:type="spellStart"/>
      <w:r w:rsidRPr="00A7630B">
        <w:rPr>
          <w:highlight w:val="white"/>
        </w:rPr>
        <w:t>behavior</w:t>
      </w:r>
      <w:proofErr w:type="spellEnd"/>
      <w:r w:rsidRPr="00A7630B">
        <w:rPr>
          <w:highlight w:val="white"/>
        </w:rPr>
        <w:t xml:space="preserve">. </w:t>
      </w:r>
      <w:r w:rsidRPr="00A7630B">
        <w:rPr>
          <w:i/>
        </w:rPr>
        <w:t>Child Abuse &amp; Neglect</w:t>
      </w:r>
      <w:r w:rsidRPr="00A7630B">
        <w:t xml:space="preserve">, </w:t>
      </w:r>
      <w:r w:rsidRPr="00A7630B">
        <w:rPr>
          <w:i/>
        </w:rPr>
        <w:t>149</w:t>
      </w:r>
      <w:r w:rsidRPr="00A7630B">
        <w:t>, p.106655.</w:t>
      </w:r>
    </w:p>
    <w:p w14:paraId="337D0833" w14:textId="77777777" w:rsidR="00833920" w:rsidRPr="00A7630B" w:rsidRDefault="00833920" w:rsidP="00833920">
      <w:pPr>
        <w:pStyle w:val="ListParagraph"/>
        <w:numPr>
          <w:ilvl w:val="0"/>
          <w:numId w:val="4"/>
        </w:numPr>
        <w:spacing w:before="100" w:beforeAutospacing="1" w:after="100" w:afterAutospacing="1" w:line="240" w:lineRule="auto"/>
        <w:jc w:val="left"/>
        <w:rPr>
          <w:rFonts w:eastAsia="Times New Roman"/>
        </w:rPr>
      </w:pPr>
      <w:r w:rsidRPr="00A7630B">
        <w:rPr>
          <w:rFonts w:eastAsia="Times New Roman"/>
        </w:rPr>
        <w:t xml:space="preserve">Danese, A., et al. (2019) </w:t>
      </w:r>
      <w:r w:rsidRPr="00A7630B">
        <w:rPr>
          <w:rFonts w:eastAsia="Times New Roman"/>
          <w:i/>
          <w:iCs/>
        </w:rPr>
        <w:t>The long-term impact of early adversity on health</w:t>
      </w:r>
      <w:r w:rsidRPr="00A7630B">
        <w:rPr>
          <w:rFonts w:eastAsia="Times New Roman"/>
        </w:rPr>
        <w:t>. Journal of Child Psychology and Psychiatry, 60(4), pp. 333-342.</w:t>
      </w:r>
    </w:p>
    <w:p w14:paraId="5EB04E03" w14:textId="77777777" w:rsidR="00833920" w:rsidRPr="00A7630B" w:rsidRDefault="00833920" w:rsidP="00833920">
      <w:pPr>
        <w:pStyle w:val="ListParagraph"/>
        <w:numPr>
          <w:ilvl w:val="0"/>
          <w:numId w:val="4"/>
        </w:numPr>
        <w:spacing w:after="0"/>
      </w:pPr>
      <w:r w:rsidRPr="00A7630B">
        <w:rPr>
          <w:highlight w:val="white"/>
        </w:rPr>
        <w:t xml:space="preserve">Dickson, C.A., Ergun-Longmire, B., Greydanus, D.E., Eke, R., </w:t>
      </w:r>
      <w:proofErr w:type="spellStart"/>
      <w:r w:rsidRPr="00A7630B">
        <w:rPr>
          <w:highlight w:val="white"/>
        </w:rPr>
        <w:t>Giedeman</w:t>
      </w:r>
      <w:proofErr w:type="spellEnd"/>
      <w:r w:rsidRPr="00A7630B">
        <w:rPr>
          <w:highlight w:val="white"/>
        </w:rPr>
        <w:t xml:space="preserve">, B., Nickson, N.M., Hoang, L.N., </w:t>
      </w:r>
      <w:proofErr w:type="spellStart"/>
      <w:r w:rsidRPr="00A7630B">
        <w:rPr>
          <w:highlight w:val="white"/>
        </w:rPr>
        <w:t>Adabanya</w:t>
      </w:r>
      <w:proofErr w:type="spellEnd"/>
      <w:r w:rsidRPr="00A7630B">
        <w:rPr>
          <w:highlight w:val="white"/>
        </w:rPr>
        <w:t xml:space="preserve">, U., Payares, D.V.P., Chahin, S. and McCrary, J., </w:t>
      </w:r>
      <w:r w:rsidRPr="00A7630B">
        <w:t>(</w:t>
      </w:r>
      <w:r w:rsidRPr="00A7630B">
        <w:rPr>
          <w:highlight w:val="white"/>
        </w:rPr>
        <w:t xml:space="preserve">2024). Health equity in </w:t>
      </w:r>
      <w:proofErr w:type="spellStart"/>
      <w:r w:rsidRPr="00A7630B">
        <w:rPr>
          <w:highlight w:val="white"/>
        </w:rPr>
        <w:t>pediatrics</w:t>
      </w:r>
      <w:proofErr w:type="spellEnd"/>
      <w:r w:rsidRPr="00A7630B">
        <w:rPr>
          <w:highlight w:val="white"/>
        </w:rPr>
        <w:t xml:space="preserve">: Current concepts for the care of children in the 21st century (Dis Mon). </w:t>
      </w:r>
      <w:r w:rsidRPr="00A7630B">
        <w:rPr>
          <w:i/>
        </w:rPr>
        <w:t>Disease-a-Month</w:t>
      </w:r>
      <w:r w:rsidRPr="00A7630B">
        <w:t xml:space="preserve">, </w:t>
      </w:r>
      <w:r w:rsidRPr="00A7630B">
        <w:rPr>
          <w:i/>
        </w:rPr>
        <w:t>70</w:t>
      </w:r>
      <w:r w:rsidRPr="00A7630B">
        <w:t>(3), p.101631.</w:t>
      </w:r>
    </w:p>
    <w:p w14:paraId="2CADBFDA" w14:textId="77777777" w:rsidR="00833920" w:rsidRPr="00A7630B" w:rsidRDefault="00833920" w:rsidP="00833920">
      <w:pPr>
        <w:pStyle w:val="ListParagraph"/>
        <w:numPr>
          <w:ilvl w:val="0"/>
          <w:numId w:val="4"/>
        </w:numPr>
        <w:spacing w:after="0"/>
      </w:pPr>
      <w:r w:rsidRPr="00A7630B">
        <w:t>‌</w:t>
      </w:r>
      <w:r w:rsidRPr="00A7630B">
        <w:rPr>
          <w:highlight w:val="white"/>
        </w:rPr>
        <w:t xml:space="preserve">Draper, C.E., Yousafzai, A.K., McCoy, D.C., Cuartas, J., Obradović, J., Bhopal, S., Fisher, J., Jeong, J., Klingberg, S., Milner, K. and Pisani, L., </w:t>
      </w:r>
      <w:r w:rsidRPr="00A7630B">
        <w:t>(</w:t>
      </w:r>
      <w:r w:rsidRPr="00A7630B">
        <w:rPr>
          <w:highlight w:val="white"/>
        </w:rPr>
        <w:t xml:space="preserve">2024). The next 1000 days: building on early investments for the health and development of young children. </w:t>
      </w:r>
      <w:r w:rsidRPr="00A7630B">
        <w:rPr>
          <w:i/>
        </w:rPr>
        <w:t>The Lancet</w:t>
      </w:r>
      <w:r w:rsidRPr="00A7630B">
        <w:t xml:space="preserve">, </w:t>
      </w:r>
      <w:r w:rsidRPr="00A7630B">
        <w:rPr>
          <w:i/>
        </w:rPr>
        <w:t>404</w:t>
      </w:r>
      <w:r w:rsidRPr="00A7630B">
        <w:t>(10467), pp.2094-2116.</w:t>
      </w:r>
    </w:p>
    <w:p w14:paraId="20A5E437" w14:textId="77777777" w:rsidR="00833920" w:rsidRPr="00A7630B" w:rsidRDefault="00833920" w:rsidP="00833920">
      <w:pPr>
        <w:pStyle w:val="ListParagraph"/>
        <w:numPr>
          <w:ilvl w:val="0"/>
          <w:numId w:val="4"/>
        </w:numPr>
        <w:spacing w:after="0"/>
      </w:pPr>
      <w:r w:rsidRPr="00A7630B">
        <w:t xml:space="preserve">England, N., (2025). </w:t>
      </w:r>
      <w:r w:rsidRPr="00A7630B">
        <w:rPr>
          <w:i/>
        </w:rPr>
        <w:t>NHS England» Food and nutrition</w:t>
      </w:r>
      <w:r w:rsidRPr="00A7630B">
        <w:t>. [online] England.nhs.uk. Available at: https://www.england.nhs.uk/ahp/greener-ahp-hub/specific-areas-for-consideration/food-and-nutrition/#:~:text=Two%2Dthirds%20of%20the%20British,%25%20compared%20to%2020%25). [Accessed 26 Apr. 2025].</w:t>
      </w:r>
    </w:p>
    <w:p w14:paraId="1730D98A" w14:textId="77777777" w:rsidR="00833920" w:rsidRPr="00A7630B" w:rsidRDefault="00833920" w:rsidP="00833920">
      <w:pPr>
        <w:pStyle w:val="ListParagraph"/>
        <w:numPr>
          <w:ilvl w:val="0"/>
          <w:numId w:val="4"/>
        </w:numPr>
        <w:spacing w:after="0"/>
      </w:pPr>
      <w:r w:rsidRPr="00A7630B">
        <w:t xml:space="preserve">‌Gregory, A., (2022). </w:t>
      </w:r>
      <w:r w:rsidRPr="00A7630B">
        <w:rPr>
          <w:i/>
        </w:rPr>
        <w:t>Growing gap in healthy life expectancy between poorest and richest in England</w:t>
      </w:r>
      <w:r w:rsidRPr="00A7630B">
        <w:t>. [online] the Guardian. Available at: https://www.theguardian.com/society/2022/apr/25/growing-gap-in-healthy-life-expectancy-between-poorest-and-richest-in-england [Accessed 26 Apr. 2025].</w:t>
      </w:r>
    </w:p>
    <w:p w14:paraId="48164884" w14:textId="77777777" w:rsidR="00833920" w:rsidRPr="00A7630B" w:rsidRDefault="00833920" w:rsidP="00833920">
      <w:pPr>
        <w:pStyle w:val="ListParagraph"/>
        <w:numPr>
          <w:ilvl w:val="0"/>
          <w:numId w:val="4"/>
        </w:numPr>
        <w:spacing w:after="0"/>
      </w:pPr>
      <w:r w:rsidRPr="00A7630B">
        <w:rPr>
          <w:highlight w:val="white"/>
        </w:rPr>
        <w:t xml:space="preserve">Kirkbride, J.B., Anglin, D.M., Colman, I., </w:t>
      </w:r>
      <w:proofErr w:type="spellStart"/>
      <w:r w:rsidRPr="00A7630B">
        <w:rPr>
          <w:highlight w:val="white"/>
        </w:rPr>
        <w:t>Dykxhoorn</w:t>
      </w:r>
      <w:proofErr w:type="spellEnd"/>
      <w:r w:rsidRPr="00A7630B">
        <w:rPr>
          <w:highlight w:val="white"/>
        </w:rPr>
        <w:t xml:space="preserve">, J., Jones, P.B., Patalay, P., Pitman, A., Soneson, E., </w:t>
      </w:r>
      <w:proofErr w:type="spellStart"/>
      <w:r w:rsidRPr="00A7630B">
        <w:rPr>
          <w:highlight w:val="white"/>
        </w:rPr>
        <w:t>Steare</w:t>
      </w:r>
      <w:proofErr w:type="spellEnd"/>
      <w:r w:rsidRPr="00A7630B">
        <w:rPr>
          <w:highlight w:val="white"/>
        </w:rPr>
        <w:t xml:space="preserve">, T., Wright, T. and Griffiths, S.L., </w:t>
      </w:r>
      <w:r w:rsidRPr="00A7630B">
        <w:t>(</w:t>
      </w:r>
      <w:r w:rsidRPr="00A7630B">
        <w:rPr>
          <w:highlight w:val="white"/>
        </w:rPr>
        <w:t xml:space="preserve">2024). The social determinants of mental health and disorder: evidence, prevention and recommendations. </w:t>
      </w:r>
      <w:r w:rsidRPr="00A7630B">
        <w:rPr>
          <w:i/>
        </w:rPr>
        <w:t>World psychiatry</w:t>
      </w:r>
      <w:r w:rsidRPr="00A7630B">
        <w:t xml:space="preserve">, </w:t>
      </w:r>
      <w:r w:rsidRPr="00A7630B">
        <w:rPr>
          <w:i/>
        </w:rPr>
        <w:t>23</w:t>
      </w:r>
      <w:r w:rsidRPr="00A7630B">
        <w:t>(1), pp.58-90.</w:t>
      </w:r>
    </w:p>
    <w:p w14:paraId="19E8D170" w14:textId="77777777" w:rsidR="00833920" w:rsidRPr="00A7630B" w:rsidRDefault="00833920" w:rsidP="00833920">
      <w:pPr>
        <w:pStyle w:val="ListParagraph"/>
        <w:numPr>
          <w:ilvl w:val="0"/>
          <w:numId w:val="4"/>
        </w:numPr>
        <w:spacing w:after="0"/>
      </w:pPr>
      <w:r w:rsidRPr="00A7630B">
        <w:rPr>
          <w:highlight w:val="white"/>
        </w:rPr>
        <w:lastRenderedPageBreak/>
        <w:t xml:space="preserve">Kolovou, V., Bolton, N., Crone, D., Willis, S. and </w:t>
      </w:r>
      <w:proofErr w:type="spellStart"/>
      <w:r w:rsidRPr="00A7630B">
        <w:rPr>
          <w:highlight w:val="white"/>
        </w:rPr>
        <w:t>Walklett</w:t>
      </w:r>
      <w:proofErr w:type="spellEnd"/>
      <w:r w:rsidRPr="00A7630B">
        <w:rPr>
          <w:highlight w:val="white"/>
        </w:rPr>
        <w:t xml:space="preserve">, J., </w:t>
      </w:r>
      <w:r w:rsidRPr="00A7630B">
        <w:t>(</w:t>
      </w:r>
      <w:r w:rsidRPr="00A7630B">
        <w:rPr>
          <w:highlight w:val="white"/>
        </w:rPr>
        <w:t xml:space="preserve">2024). Systematic review of the barriers and facilitators to cross-sector partnerships in promoting physical activity. </w:t>
      </w:r>
      <w:r w:rsidRPr="00A7630B">
        <w:rPr>
          <w:i/>
        </w:rPr>
        <w:t>Perspectives in public health</w:t>
      </w:r>
      <w:r w:rsidRPr="00A7630B">
        <w:t xml:space="preserve">, </w:t>
      </w:r>
      <w:r w:rsidRPr="00A7630B">
        <w:rPr>
          <w:i/>
        </w:rPr>
        <w:t>144</w:t>
      </w:r>
      <w:r w:rsidRPr="00A7630B">
        <w:t>(6), pp.369-380.</w:t>
      </w:r>
    </w:p>
    <w:p w14:paraId="13B7753B" w14:textId="77777777" w:rsidR="00833920" w:rsidRPr="00A7630B" w:rsidRDefault="00833920" w:rsidP="00833920">
      <w:pPr>
        <w:pStyle w:val="ListParagraph"/>
        <w:numPr>
          <w:ilvl w:val="0"/>
          <w:numId w:val="4"/>
        </w:numPr>
        <w:spacing w:after="0"/>
      </w:pPr>
      <w:r w:rsidRPr="00A7630B">
        <w:rPr>
          <w:highlight w:val="white"/>
        </w:rPr>
        <w:t xml:space="preserve">Liu, T., </w:t>
      </w:r>
      <w:proofErr w:type="spellStart"/>
      <w:r w:rsidRPr="00A7630B">
        <w:rPr>
          <w:highlight w:val="white"/>
        </w:rPr>
        <w:t>Shryane</w:t>
      </w:r>
      <w:proofErr w:type="spellEnd"/>
      <w:r w:rsidRPr="00A7630B">
        <w:rPr>
          <w:highlight w:val="white"/>
        </w:rPr>
        <w:t xml:space="preserve">, N. and Elliot, M., </w:t>
      </w:r>
      <w:r w:rsidRPr="00A7630B">
        <w:t>(</w:t>
      </w:r>
      <w:r w:rsidRPr="00A7630B">
        <w:rPr>
          <w:highlight w:val="white"/>
        </w:rPr>
        <w:t xml:space="preserve">2024). Is personal income associated with attitudes towards climate change risk? A moderated mediation analysis for the UK from 2009 to 2020. </w:t>
      </w:r>
      <w:r w:rsidRPr="00A7630B">
        <w:rPr>
          <w:i/>
        </w:rPr>
        <w:t>Sustainable Development</w:t>
      </w:r>
      <w:r w:rsidRPr="00A7630B">
        <w:t xml:space="preserve">, </w:t>
      </w:r>
      <w:r w:rsidRPr="00A7630B">
        <w:rPr>
          <w:i/>
        </w:rPr>
        <w:t>32</w:t>
      </w:r>
      <w:r w:rsidRPr="00A7630B">
        <w:t>(6), pp.5913-5928.</w:t>
      </w:r>
    </w:p>
    <w:p w14:paraId="00190D1D" w14:textId="77777777" w:rsidR="00833920" w:rsidRPr="00A7630B" w:rsidRDefault="00833920" w:rsidP="00833920">
      <w:pPr>
        <w:pStyle w:val="ListParagraph"/>
        <w:numPr>
          <w:ilvl w:val="0"/>
          <w:numId w:val="4"/>
        </w:numPr>
        <w:spacing w:before="100" w:beforeAutospacing="1" w:after="100" w:afterAutospacing="1" w:line="240" w:lineRule="auto"/>
        <w:jc w:val="left"/>
        <w:rPr>
          <w:rFonts w:eastAsia="Times New Roman"/>
        </w:rPr>
      </w:pPr>
      <w:r w:rsidRPr="00A7630B">
        <w:rPr>
          <w:rFonts w:eastAsia="Times New Roman"/>
        </w:rPr>
        <w:t xml:space="preserve">Marmot, M., et al. (2010) </w:t>
      </w:r>
      <w:r w:rsidRPr="00A7630B">
        <w:rPr>
          <w:rFonts w:eastAsia="Times New Roman"/>
          <w:i/>
          <w:iCs/>
        </w:rPr>
        <w:t>Social determinants of health</w:t>
      </w:r>
      <w:r w:rsidRPr="00A7630B">
        <w:rPr>
          <w:rFonts w:eastAsia="Times New Roman"/>
        </w:rPr>
        <w:t>. The Lancet, 365(9464), pp. 1055-1063.</w:t>
      </w:r>
    </w:p>
    <w:p w14:paraId="5C18B93F" w14:textId="77777777" w:rsidR="00833920" w:rsidRPr="00A7630B" w:rsidRDefault="00833920" w:rsidP="00833920">
      <w:pPr>
        <w:pStyle w:val="ListParagraph"/>
        <w:numPr>
          <w:ilvl w:val="0"/>
          <w:numId w:val="4"/>
        </w:numPr>
        <w:spacing w:after="0"/>
      </w:pPr>
      <w:r w:rsidRPr="00A7630B">
        <w:rPr>
          <w:highlight w:val="white"/>
        </w:rPr>
        <w:t xml:space="preserve">McCord, M., Fierman, A., Sisco, S., Canfield, C., Manjunath, S., Cohen, N., Havens, J., Wilcox, W., Tomopoulos, S., Albert, M.S. and Abraham, T., </w:t>
      </w:r>
      <w:r w:rsidRPr="00A7630B">
        <w:t>(</w:t>
      </w:r>
      <w:r w:rsidRPr="00A7630B">
        <w:rPr>
          <w:highlight w:val="white"/>
        </w:rPr>
        <w:t xml:space="preserve">2024). A two-generation, early childhood advanced primary care model. </w:t>
      </w:r>
      <w:proofErr w:type="spellStart"/>
      <w:r w:rsidRPr="00A7630B">
        <w:rPr>
          <w:i/>
        </w:rPr>
        <w:t>Pediatrics</w:t>
      </w:r>
      <w:proofErr w:type="spellEnd"/>
      <w:r w:rsidRPr="00A7630B">
        <w:t xml:space="preserve">, </w:t>
      </w:r>
      <w:r w:rsidRPr="00A7630B">
        <w:rPr>
          <w:i/>
        </w:rPr>
        <w:t>153</w:t>
      </w:r>
      <w:r w:rsidRPr="00A7630B">
        <w:t>(4).</w:t>
      </w:r>
    </w:p>
    <w:p w14:paraId="3B878A11" w14:textId="77777777" w:rsidR="00833920" w:rsidRPr="00A7630B" w:rsidRDefault="00833920" w:rsidP="00833920">
      <w:pPr>
        <w:pStyle w:val="ListParagraph"/>
        <w:numPr>
          <w:ilvl w:val="0"/>
          <w:numId w:val="4"/>
        </w:numPr>
        <w:spacing w:after="0"/>
      </w:pPr>
      <w:r w:rsidRPr="00A7630B">
        <w:t xml:space="preserve">NHS., (2024). </w:t>
      </w:r>
      <w:r w:rsidRPr="00A7630B">
        <w:rPr>
          <w:i/>
        </w:rPr>
        <w:t>NHS Long Term Plan</w:t>
      </w:r>
      <w:r w:rsidRPr="00A7630B">
        <w:t xml:space="preserve">. Longtermplan.nhs.uk. Available at: </w:t>
      </w:r>
      <w:hyperlink r:id="rId8" w:history="1">
        <w:r w:rsidRPr="00A7630B">
          <w:rPr>
            <w:rStyle w:val="Hyperlink"/>
          </w:rPr>
          <w:t>https://www.longtermplan.nhs.uk/</w:t>
        </w:r>
      </w:hyperlink>
      <w:r w:rsidRPr="00A7630B">
        <w:t xml:space="preserve">  (Accessed 26 Apr. 2025).</w:t>
      </w:r>
    </w:p>
    <w:p w14:paraId="59C89008" w14:textId="77777777" w:rsidR="00833920" w:rsidRPr="00A7630B" w:rsidRDefault="00833920" w:rsidP="00833920">
      <w:pPr>
        <w:pStyle w:val="ListParagraph"/>
        <w:numPr>
          <w:ilvl w:val="0"/>
          <w:numId w:val="4"/>
        </w:numPr>
        <w:spacing w:before="100" w:beforeAutospacing="1" w:after="100" w:afterAutospacing="1" w:line="240" w:lineRule="auto"/>
        <w:jc w:val="left"/>
        <w:rPr>
          <w:rFonts w:eastAsia="Times New Roman"/>
        </w:rPr>
      </w:pPr>
      <w:r w:rsidRPr="00A7630B">
        <w:rPr>
          <w:rFonts w:eastAsia="Times New Roman"/>
        </w:rPr>
        <w:t xml:space="preserve">Singh, K., et al. (2018) </w:t>
      </w:r>
      <w:r w:rsidRPr="00A7630B">
        <w:rPr>
          <w:rFonts w:eastAsia="Times New Roman"/>
          <w:i/>
          <w:iCs/>
        </w:rPr>
        <w:t>Social determinants of health in aging populations</w:t>
      </w:r>
      <w:r w:rsidRPr="00A7630B">
        <w:rPr>
          <w:rFonts w:eastAsia="Times New Roman"/>
        </w:rPr>
        <w:t>. Journal of Aging and Health, 30(1), pp. 16-29.</w:t>
      </w:r>
    </w:p>
    <w:p w14:paraId="7E4A6549" w14:textId="77777777" w:rsidR="00833920" w:rsidRDefault="00833920" w:rsidP="00833920">
      <w:pPr>
        <w:pStyle w:val="ListParagraph"/>
        <w:numPr>
          <w:ilvl w:val="0"/>
          <w:numId w:val="4"/>
        </w:numPr>
        <w:spacing w:before="100" w:beforeAutospacing="1" w:after="100" w:afterAutospacing="1" w:line="240" w:lineRule="auto"/>
        <w:jc w:val="left"/>
        <w:rPr>
          <w:rFonts w:eastAsia="Times New Roman"/>
        </w:rPr>
      </w:pPr>
      <w:r w:rsidRPr="00A7630B">
        <w:rPr>
          <w:rFonts w:eastAsia="Times New Roman"/>
        </w:rPr>
        <w:t xml:space="preserve">World Health Organization (2015) </w:t>
      </w:r>
      <w:r w:rsidRPr="00A7630B">
        <w:rPr>
          <w:rFonts w:eastAsia="Times New Roman"/>
          <w:i/>
          <w:iCs/>
        </w:rPr>
        <w:t>World report on aging and health</w:t>
      </w:r>
      <w:r w:rsidRPr="00A7630B">
        <w:rPr>
          <w:rFonts w:eastAsia="Times New Roman"/>
        </w:rPr>
        <w:t>. Geneva: World Health Organization.</w:t>
      </w:r>
      <w:r w:rsidRPr="00A7630B">
        <w:rPr>
          <w:rFonts w:eastAsia="Times New Roman"/>
        </w:rPr>
        <w:t xml:space="preserve"> Available at:</w:t>
      </w:r>
      <w:r w:rsidRPr="00A7630B">
        <w:t xml:space="preserve"> </w:t>
      </w:r>
      <w:hyperlink r:id="rId9" w:history="1">
        <w:r w:rsidRPr="00A7630B">
          <w:rPr>
            <w:rStyle w:val="Hyperlink"/>
            <w:rFonts w:eastAsia="Times New Roman"/>
          </w:rPr>
          <w:t>https://www.who.int/home/search-results?indexCatalogue=genericsearchindex1&amp;searchQuery=ealdery&amp;wordsMode=AnyWord</w:t>
        </w:r>
      </w:hyperlink>
      <w:r w:rsidRPr="00A7630B">
        <w:rPr>
          <w:rFonts w:eastAsia="Times New Roman"/>
        </w:rPr>
        <w:t xml:space="preserve"> (Accessed 23 April 2025).</w:t>
      </w:r>
    </w:p>
    <w:p w14:paraId="0EAC217D" w14:textId="77777777" w:rsidR="00833920" w:rsidRDefault="00833920" w:rsidP="00833920">
      <w:pPr>
        <w:spacing w:before="100" w:beforeAutospacing="1" w:after="100" w:afterAutospacing="1" w:line="240" w:lineRule="auto"/>
        <w:jc w:val="left"/>
        <w:rPr>
          <w:rFonts w:eastAsia="Times New Roman"/>
        </w:rPr>
      </w:pPr>
    </w:p>
    <w:p w14:paraId="14B2FF1A" w14:textId="77777777" w:rsidR="00833920" w:rsidRDefault="00833920" w:rsidP="00833920">
      <w:pPr>
        <w:spacing w:before="100" w:beforeAutospacing="1" w:after="100" w:afterAutospacing="1" w:line="240" w:lineRule="auto"/>
        <w:jc w:val="left"/>
        <w:rPr>
          <w:rFonts w:eastAsia="Times New Roman"/>
        </w:rPr>
      </w:pPr>
    </w:p>
    <w:p w14:paraId="7A8A6769" w14:textId="77777777" w:rsidR="00833920" w:rsidRDefault="00833920" w:rsidP="00833920">
      <w:pPr>
        <w:spacing w:before="100" w:beforeAutospacing="1" w:after="100" w:afterAutospacing="1" w:line="240" w:lineRule="auto"/>
        <w:jc w:val="left"/>
        <w:rPr>
          <w:rFonts w:eastAsia="Times New Roman"/>
        </w:rPr>
      </w:pPr>
    </w:p>
    <w:p w14:paraId="4845EA48" w14:textId="77777777" w:rsidR="00833920" w:rsidRDefault="00833920" w:rsidP="00833920">
      <w:pPr>
        <w:spacing w:before="100" w:beforeAutospacing="1" w:after="100" w:afterAutospacing="1" w:line="240" w:lineRule="auto"/>
        <w:jc w:val="left"/>
        <w:rPr>
          <w:rFonts w:eastAsia="Times New Roman"/>
        </w:rPr>
      </w:pPr>
    </w:p>
    <w:p w14:paraId="06AC5154" w14:textId="77777777" w:rsidR="00833920" w:rsidRDefault="00833920" w:rsidP="00833920">
      <w:pPr>
        <w:spacing w:before="100" w:beforeAutospacing="1" w:after="100" w:afterAutospacing="1" w:line="240" w:lineRule="auto"/>
        <w:jc w:val="left"/>
        <w:rPr>
          <w:rFonts w:eastAsia="Times New Roman"/>
        </w:rPr>
      </w:pPr>
    </w:p>
    <w:p w14:paraId="5E4A3FD8" w14:textId="77777777" w:rsidR="00833920" w:rsidRDefault="00833920" w:rsidP="00833920">
      <w:pPr>
        <w:spacing w:before="100" w:beforeAutospacing="1" w:after="100" w:afterAutospacing="1" w:line="240" w:lineRule="auto"/>
        <w:jc w:val="left"/>
        <w:rPr>
          <w:rFonts w:eastAsia="Times New Roman"/>
        </w:rPr>
      </w:pPr>
    </w:p>
    <w:p w14:paraId="380C43E8" w14:textId="77777777" w:rsidR="00833920" w:rsidRDefault="00833920" w:rsidP="00833920">
      <w:pPr>
        <w:spacing w:before="100" w:beforeAutospacing="1" w:after="100" w:afterAutospacing="1" w:line="240" w:lineRule="auto"/>
        <w:jc w:val="left"/>
        <w:rPr>
          <w:rFonts w:eastAsia="Times New Roman"/>
        </w:rPr>
      </w:pPr>
    </w:p>
    <w:p w14:paraId="487D152A" w14:textId="77777777" w:rsidR="00833920" w:rsidRDefault="00833920" w:rsidP="00833920">
      <w:pPr>
        <w:spacing w:before="100" w:beforeAutospacing="1" w:after="100" w:afterAutospacing="1" w:line="240" w:lineRule="auto"/>
        <w:jc w:val="left"/>
        <w:rPr>
          <w:rFonts w:eastAsia="Times New Roman"/>
        </w:rPr>
      </w:pPr>
    </w:p>
    <w:p w14:paraId="3602EDA2" w14:textId="77777777" w:rsidR="00833920" w:rsidRDefault="00833920" w:rsidP="00833920">
      <w:pPr>
        <w:spacing w:before="100" w:beforeAutospacing="1" w:after="100" w:afterAutospacing="1" w:line="240" w:lineRule="auto"/>
        <w:jc w:val="left"/>
        <w:rPr>
          <w:rFonts w:eastAsia="Times New Roman"/>
        </w:rPr>
      </w:pPr>
    </w:p>
    <w:p w14:paraId="6189DFEA" w14:textId="77777777" w:rsidR="00833920" w:rsidRDefault="00833920" w:rsidP="00833920">
      <w:pPr>
        <w:spacing w:before="100" w:beforeAutospacing="1" w:after="100" w:afterAutospacing="1" w:line="240" w:lineRule="auto"/>
        <w:jc w:val="left"/>
        <w:rPr>
          <w:rFonts w:eastAsia="Times New Roman"/>
        </w:rPr>
      </w:pPr>
    </w:p>
    <w:p w14:paraId="7D3A94C9" w14:textId="77777777" w:rsidR="00833920" w:rsidRDefault="00833920" w:rsidP="00833920">
      <w:pPr>
        <w:spacing w:before="100" w:beforeAutospacing="1" w:after="100" w:afterAutospacing="1" w:line="240" w:lineRule="auto"/>
        <w:jc w:val="left"/>
        <w:rPr>
          <w:rFonts w:eastAsia="Times New Roman"/>
        </w:rPr>
      </w:pPr>
    </w:p>
    <w:p w14:paraId="234D0F8A" w14:textId="77777777" w:rsidR="00833920" w:rsidRDefault="00833920" w:rsidP="00833920">
      <w:pPr>
        <w:spacing w:before="100" w:beforeAutospacing="1" w:after="100" w:afterAutospacing="1" w:line="240" w:lineRule="auto"/>
        <w:jc w:val="left"/>
        <w:rPr>
          <w:rFonts w:eastAsia="Times New Roman"/>
        </w:rPr>
      </w:pPr>
    </w:p>
    <w:p w14:paraId="29732AB1" w14:textId="77777777" w:rsidR="00833920" w:rsidRDefault="00833920" w:rsidP="00833920">
      <w:pPr>
        <w:spacing w:before="100" w:beforeAutospacing="1" w:after="100" w:afterAutospacing="1" w:line="240" w:lineRule="auto"/>
        <w:jc w:val="left"/>
        <w:rPr>
          <w:rFonts w:eastAsia="Times New Roman"/>
        </w:rPr>
      </w:pPr>
    </w:p>
    <w:p w14:paraId="4ABD40D1" w14:textId="77777777" w:rsidR="00833920" w:rsidRDefault="00833920" w:rsidP="00833920">
      <w:pPr>
        <w:spacing w:before="100" w:beforeAutospacing="1" w:after="100" w:afterAutospacing="1" w:line="240" w:lineRule="auto"/>
        <w:jc w:val="left"/>
        <w:rPr>
          <w:rFonts w:eastAsia="Times New Roman"/>
        </w:rPr>
      </w:pPr>
    </w:p>
    <w:p w14:paraId="718903D9" w14:textId="77777777" w:rsidR="00833920" w:rsidRDefault="00833920" w:rsidP="00833920">
      <w:pPr>
        <w:spacing w:before="100" w:beforeAutospacing="1" w:after="100" w:afterAutospacing="1" w:line="240" w:lineRule="auto"/>
        <w:jc w:val="left"/>
        <w:rPr>
          <w:rFonts w:eastAsia="Times New Roman"/>
        </w:rPr>
      </w:pPr>
    </w:p>
    <w:p w14:paraId="691ED26C" w14:textId="77777777" w:rsidR="00833920" w:rsidRPr="00833920" w:rsidRDefault="00833920" w:rsidP="00833920">
      <w:pPr>
        <w:spacing w:before="100" w:beforeAutospacing="1" w:after="100" w:afterAutospacing="1" w:line="240" w:lineRule="auto"/>
        <w:jc w:val="left"/>
        <w:rPr>
          <w:rFonts w:eastAsia="Times New Roman"/>
        </w:rPr>
      </w:pPr>
    </w:p>
    <w:p w14:paraId="57D83260" w14:textId="77777777" w:rsidR="00970616" w:rsidRPr="00A6478A" w:rsidRDefault="006B024F" w:rsidP="00A6478A">
      <w:pPr>
        <w:pStyle w:val="Heading1"/>
        <w:spacing w:after="0" w:line="360" w:lineRule="auto"/>
      </w:pPr>
      <w:bookmarkStart w:id="17" w:name="_idvnem7vpo84" w:colFirst="0" w:colLast="0"/>
      <w:bookmarkStart w:id="18" w:name="_Toc197503869"/>
      <w:bookmarkEnd w:id="17"/>
      <w:r w:rsidRPr="00A6478A">
        <w:t>5. Appendices</w:t>
      </w:r>
      <w:bookmarkEnd w:id="18"/>
    </w:p>
    <w:p w14:paraId="1C117F5E" w14:textId="77777777" w:rsidR="00970616" w:rsidRPr="00A6478A" w:rsidRDefault="006B024F" w:rsidP="00A6478A">
      <w:pPr>
        <w:spacing w:after="0"/>
        <w:jc w:val="center"/>
      </w:pPr>
      <w:r w:rsidRPr="00A6478A">
        <w:rPr>
          <w:noProof/>
          <w:lang w:val="en-IN"/>
        </w:rPr>
        <w:drawing>
          <wp:inline distT="114300" distB="114300" distL="114300" distR="114300" wp14:anchorId="2ED13A7E" wp14:editId="2BBDB0FE">
            <wp:extent cx="6029650" cy="354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6029650" cy="3543300"/>
                    </a:xfrm>
                    <a:prstGeom prst="rect">
                      <a:avLst/>
                    </a:prstGeom>
                    <a:ln/>
                  </pic:spPr>
                </pic:pic>
              </a:graphicData>
            </a:graphic>
          </wp:inline>
        </w:drawing>
      </w:r>
    </w:p>
    <w:p w14:paraId="6650019A" w14:textId="77777777" w:rsidR="00970616" w:rsidRPr="00A6478A" w:rsidRDefault="006B024F" w:rsidP="00A6478A">
      <w:pPr>
        <w:spacing w:after="0"/>
        <w:jc w:val="center"/>
        <w:rPr>
          <w:b/>
        </w:rPr>
      </w:pPr>
      <w:r w:rsidRPr="00A6478A">
        <w:rPr>
          <w:b/>
        </w:rPr>
        <w:t xml:space="preserve">Figure 1: Life expectancy rate in the UK </w:t>
      </w:r>
    </w:p>
    <w:p w14:paraId="265A6396" w14:textId="77777777" w:rsidR="00970616" w:rsidRPr="00A6478A" w:rsidRDefault="006B024F" w:rsidP="00A6478A">
      <w:pPr>
        <w:spacing w:after="0"/>
        <w:jc w:val="center"/>
      </w:pPr>
      <w:r w:rsidRPr="00A6478A">
        <w:t>(Source: Gregory, 2022)</w:t>
      </w:r>
    </w:p>
    <w:p w14:paraId="74AB47E2"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69F1937F"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73B46CA4"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6BB8B2EE"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27B54F45"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71AED8D0"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5BC0A018"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07CA8E5E"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00C450DE"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065F0847"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6F1312CA" w14:textId="77777777" w:rsidR="00970616" w:rsidRPr="00A6478A" w:rsidRDefault="00970616" w:rsidP="00A6478A">
      <w:pPr>
        <w:pBdr>
          <w:top w:val="nil"/>
          <w:left w:val="nil"/>
          <w:bottom w:val="nil"/>
          <w:right w:val="nil"/>
          <w:between w:val="nil"/>
        </w:pBdr>
        <w:spacing w:after="0"/>
        <w:jc w:val="left"/>
        <w:rPr>
          <w:b/>
          <w:color w:val="000000"/>
          <w:sz w:val="36"/>
          <w:szCs w:val="36"/>
        </w:rPr>
      </w:pPr>
    </w:p>
    <w:p w14:paraId="0A6DBBFB" w14:textId="77777777" w:rsidR="00970616" w:rsidRPr="00A6478A" w:rsidRDefault="00970616" w:rsidP="00A6478A">
      <w:pPr>
        <w:pBdr>
          <w:top w:val="nil"/>
          <w:left w:val="nil"/>
          <w:bottom w:val="nil"/>
          <w:right w:val="nil"/>
          <w:between w:val="nil"/>
        </w:pBdr>
        <w:spacing w:after="0"/>
        <w:jc w:val="left"/>
        <w:rPr>
          <w:b/>
          <w:color w:val="000000"/>
          <w:sz w:val="36"/>
          <w:szCs w:val="36"/>
        </w:rPr>
      </w:pPr>
    </w:p>
    <w:sectPr w:rsidR="00970616" w:rsidRPr="00A6478A">
      <w:footerReference w:type="default" r:id="rId11"/>
      <w:pgSz w:w="11906" w:h="16838"/>
      <w:pgMar w:top="709" w:right="1276" w:bottom="1134" w:left="1134" w:header="0"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80C6F" w14:textId="77777777" w:rsidR="006F54E6" w:rsidRDefault="006F54E6">
      <w:pPr>
        <w:spacing w:after="0" w:line="240" w:lineRule="auto"/>
      </w:pPr>
      <w:r>
        <w:separator/>
      </w:r>
    </w:p>
  </w:endnote>
  <w:endnote w:type="continuationSeparator" w:id="0">
    <w:p w14:paraId="32A671B3" w14:textId="77777777" w:rsidR="006F54E6" w:rsidRDefault="006F5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079870"/>
      <w:docPartObj>
        <w:docPartGallery w:val="Page Numbers (Bottom of Page)"/>
        <w:docPartUnique/>
      </w:docPartObj>
    </w:sdtPr>
    <w:sdtEndPr>
      <w:rPr>
        <w:noProof/>
      </w:rPr>
    </w:sdtEndPr>
    <w:sdtContent>
      <w:p w14:paraId="6507993F" w14:textId="48F8737D" w:rsidR="00314ECD" w:rsidRDefault="00314E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BC9524" w14:textId="77777777" w:rsidR="00970616" w:rsidRDefault="00970616">
    <w:pPr>
      <w:pBdr>
        <w:top w:val="nil"/>
        <w:left w:val="nil"/>
        <w:bottom w:val="nil"/>
        <w:right w:val="nil"/>
        <w:between w:val="nil"/>
      </w:pBdr>
      <w:spacing w:line="288"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530B4" w14:textId="77777777" w:rsidR="006F54E6" w:rsidRDefault="006F54E6">
      <w:pPr>
        <w:spacing w:after="0" w:line="240" w:lineRule="auto"/>
      </w:pPr>
      <w:r>
        <w:separator/>
      </w:r>
    </w:p>
  </w:footnote>
  <w:footnote w:type="continuationSeparator" w:id="0">
    <w:p w14:paraId="1F9CD7B4" w14:textId="77777777" w:rsidR="006F54E6" w:rsidRDefault="006F54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F43CE"/>
    <w:multiLevelType w:val="hybridMultilevel"/>
    <w:tmpl w:val="0960F0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013F8C"/>
    <w:multiLevelType w:val="hybridMultilevel"/>
    <w:tmpl w:val="9B50CF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414ABB"/>
    <w:multiLevelType w:val="multilevel"/>
    <w:tmpl w:val="7E121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DF5ADA"/>
    <w:multiLevelType w:val="multilevel"/>
    <w:tmpl w:val="375874C2"/>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5"/>
      <w:lvlJc w:val="left"/>
      <w:pPr>
        <w:ind w:left="1008" w:hanging="1008"/>
      </w:pPr>
    </w:lvl>
    <w:lvl w:ilvl="5">
      <w:start w:val="1"/>
      <w:numFmt w:val="decimal"/>
      <w:lvlText w:val="%5.%6"/>
      <w:lvlJc w:val="left"/>
      <w:pPr>
        <w:ind w:left="1152" w:hanging="1152"/>
      </w:pPr>
    </w:lvl>
    <w:lvl w:ilvl="6">
      <w:start w:val="1"/>
      <w:numFmt w:val="decimal"/>
      <w:lvlText w:val="%5.%6.%7"/>
      <w:lvlJc w:val="left"/>
      <w:pPr>
        <w:ind w:left="1296" w:hanging="1296"/>
      </w:pPr>
    </w:lvl>
    <w:lvl w:ilvl="7">
      <w:start w:val="1"/>
      <w:numFmt w:val="decimal"/>
      <w:lvlText w:val="%5.%6.%7.%8"/>
      <w:lvlJc w:val="left"/>
      <w:pPr>
        <w:ind w:left="1440" w:hanging="1440"/>
      </w:pPr>
    </w:lvl>
    <w:lvl w:ilvl="8">
      <w:start w:val="1"/>
      <w:numFmt w:val="decimal"/>
      <w:lvlText w:val="%5.%6.%7.%8.%9"/>
      <w:lvlJc w:val="left"/>
      <w:pPr>
        <w:ind w:left="1584" w:hanging="1584"/>
      </w:pPr>
    </w:lvl>
  </w:abstractNum>
  <w:abstractNum w:abstractNumId="4" w15:restartNumberingAfterBreak="0">
    <w:nsid w:val="65FB179B"/>
    <w:multiLevelType w:val="multilevel"/>
    <w:tmpl w:val="9850BD6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num w:numId="1" w16cid:durableId="974213251">
    <w:abstractNumId w:val="2"/>
  </w:num>
  <w:num w:numId="2" w16cid:durableId="838354732">
    <w:abstractNumId w:val="3"/>
  </w:num>
  <w:num w:numId="3" w16cid:durableId="695231982">
    <w:abstractNumId w:val="4"/>
  </w:num>
  <w:num w:numId="4" w16cid:durableId="1992325516">
    <w:abstractNumId w:val="1"/>
  </w:num>
  <w:num w:numId="5" w16cid:durableId="143010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0616"/>
    <w:rsid w:val="001826E6"/>
    <w:rsid w:val="0024672D"/>
    <w:rsid w:val="002F5DE1"/>
    <w:rsid w:val="00314ECD"/>
    <w:rsid w:val="0055602C"/>
    <w:rsid w:val="006B024F"/>
    <w:rsid w:val="006F54E6"/>
    <w:rsid w:val="00833920"/>
    <w:rsid w:val="0095215D"/>
    <w:rsid w:val="00970616"/>
    <w:rsid w:val="00A6478A"/>
    <w:rsid w:val="00A7630B"/>
    <w:rsid w:val="00BB6E1E"/>
    <w:rsid w:val="00C12CBD"/>
    <w:rsid w:val="00CA40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46168"/>
  <w15:docId w15:val="{E2D6489C-DCA7-4521-AD63-7DFB12A66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spacing w:after="120" w:line="288" w:lineRule="auto"/>
      <w:jc w:val="left"/>
      <w:outlineLvl w:val="0"/>
    </w:pPr>
    <w:rPr>
      <w:b/>
    </w:rPr>
  </w:style>
  <w:style w:type="paragraph" w:styleId="Heading2">
    <w:name w:val="heading 2"/>
    <w:basedOn w:val="Normal"/>
    <w:next w:val="Normal"/>
    <w:rsid w:val="0095215D"/>
    <w:pPr>
      <w:pBdr>
        <w:top w:val="nil"/>
        <w:left w:val="nil"/>
        <w:bottom w:val="nil"/>
        <w:right w:val="nil"/>
        <w:between w:val="nil"/>
      </w:pBdr>
      <w:spacing w:after="0"/>
      <w:outlineLvl w:val="1"/>
    </w:pPr>
    <w:rPr>
      <w:b/>
    </w:rPr>
  </w:style>
  <w:style w:type="paragraph" w:styleId="Heading3">
    <w:name w:val="heading 3"/>
    <w:basedOn w:val="Normal"/>
    <w:next w:val="Normal"/>
    <w:pPr>
      <w:keepNext/>
      <w:pBdr>
        <w:top w:val="nil"/>
        <w:left w:val="nil"/>
        <w:bottom w:val="nil"/>
        <w:right w:val="nil"/>
        <w:between w:val="nil"/>
      </w:pBdr>
      <w:spacing w:before="360" w:after="0" w:line="240" w:lineRule="auto"/>
      <w:jc w:val="left"/>
      <w:outlineLvl w:val="2"/>
    </w:pPr>
    <w:rPr>
      <w:b/>
      <w:color w:val="104F75"/>
      <w:sz w:val="28"/>
      <w:szCs w:val="28"/>
    </w:rPr>
  </w:style>
  <w:style w:type="paragraph" w:styleId="Heading4">
    <w:name w:val="heading 4"/>
    <w:basedOn w:val="Normal"/>
    <w:next w:val="Normal"/>
    <w:pPr>
      <w:keepNext/>
      <w:pBdr>
        <w:top w:val="nil"/>
        <w:left w:val="nil"/>
        <w:bottom w:val="nil"/>
        <w:right w:val="nil"/>
        <w:between w:val="nil"/>
      </w:pBdr>
      <w:spacing w:before="240" w:after="0" w:line="240" w:lineRule="auto"/>
      <w:jc w:val="left"/>
      <w:outlineLvl w:val="3"/>
    </w:pPr>
    <w:rPr>
      <w:b/>
      <w:color w:val="104F75"/>
    </w:rPr>
  </w:style>
  <w:style w:type="paragraph" w:styleId="Heading5">
    <w:name w:val="heading 5"/>
    <w:basedOn w:val="Normal"/>
    <w:next w:val="Normal"/>
    <w:pPr>
      <w:pBdr>
        <w:top w:val="nil"/>
        <w:left w:val="nil"/>
        <w:bottom w:val="nil"/>
        <w:right w:val="nil"/>
        <w:between w:val="nil"/>
      </w:pBdr>
      <w:spacing w:before="240" w:after="60" w:line="288" w:lineRule="auto"/>
      <w:ind w:left="1008" w:hanging="1008"/>
      <w:jc w:val="left"/>
      <w:outlineLvl w:val="4"/>
    </w:pPr>
    <w:rPr>
      <w:rFonts w:ascii="Calibri" w:eastAsia="Calibri" w:hAnsi="Calibri" w:cs="Calibri"/>
      <w:b/>
      <w:i/>
      <w:color w:val="000000"/>
      <w:sz w:val="26"/>
      <w:szCs w:val="26"/>
    </w:rPr>
  </w:style>
  <w:style w:type="paragraph" w:styleId="Heading6">
    <w:name w:val="heading 6"/>
    <w:basedOn w:val="Normal"/>
    <w:next w:val="Normal"/>
    <w:pPr>
      <w:pBdr>
        <w:top w:val="nil"/>
        <w:left w:val="nil"/>
        <w:bottom w:val="nil"/>
        <w:right w:val="nil"/>
        <w:between w:val="nil"/>
      </w:pBdr>
      <w:spacing w:before="240" w:after="60" w:line="288" w:lineRule="auto"/>
      <w:ind w:left="1152" w:hanging="1152"/>
      <w:jc w:val="left"/>
      <w:outlineLvl w:val="5"/>
    </w:pPr>
    <w:rPr>
      <w:rFonts w:ascii="Calibri" w:eastAsia="Calibri" w:hAnsi="Calibri" w:cs="Calibri"/>
      <w:b/>
      <w:color w:val="00000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pBdr>
        <w:top w:val="nil"/>
        <w:left w:val="nil"/>
        <w:bottom w:val="nil"/>
        <w:right w:val="nil"/>
        <w:between w:val="nil"/>
      </w:pBdr>
      <w:spacing w:before="3600" w:after="0" w:line="240" w:lineRule="auto"/>
      <w:jc w:val="left"/>
    </w:pPr>
    <w:rPr>
      <w:b/>
      <w:color w:val="104F75"/>
      <w:sz w:val="92"/>
      <w:szCs w:val="92"/>
    </w:rPr>
  </w:style>
  <w:style w:type="paragraph" w:styleId="Subtitle">
    <w:name w:val="Subtitle"/>
    <w:basedOn w:val="Normal"/>
    <w:next w:val="Normal"/>
    <w:pPr>
      <w:pBdr>
        <w:top w:val="nil"/>
        <w:left w:val="nil"/>
        <w:bottom w:val="nil"/>
        <w:right w:val="nil"/>
        <w:between w:val="nil"/>
      </w:pBdr>
      <w:spacing w:line="288" w:lineRule="auto"/>
      <w:jc w:val="left"/>
    </w:pPr>
    <w:rPr>
      <w:i/>
      <w:color w:val="104F75"/>
    </w:rPr>
  </w:style>
  <w:style w:type="paragraph" w:styleId="TOCHeading">
    <w:name w:val="TOC Heading"/>
    <w:basedOn w:val="Heading1"/>
    <w:next w:val="Normal"/>
    <w:uiPriority w:val="39"/>
    <w:unhideWhenUsed/>
    <w:qFormat/>
    <w:rsid w:val="00A6478A"/>
    <w:pPr>
      <w:keepNext/>
      <w:keepLines/>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6478A"/>
    <w:pPr>
      <w:spacing w:after="100"/>
    </w:pPr>
  </w:style>
  <w:style w:type="character" w:styleId="Hyperlink">
    <w:name w:val="Hyperlink"/>
    <w:basedOn w:val="DefaultParagraphFont"/>
    <w:uiPriority w:val="99"/>
    <w:unhideWhenUsed/>
    <w:rsid w:val="00A6478A"/>
    <w:rPr>
      <w:color w:val="0000FF" w:themeColor="hyperlink"/>
      <w:u w:val="single"/>
    </w:rPr>
  </w:style>
  <w:style w:type="paragraph" w:styleId="TOC2">
    <w:name w:val="toc 2"/>
    <w:basedOn w:val="Normal"/>
    <w:next w:val="Normal"/>
    <w:autoRedefine/>
    <w:uiPriority w:val="39"/>
    <w:unhideWhenUsed/>
    <w:rsid w:val="0095215D"/>
    <w:pPr>
      <w:spacing w:after="100"/>
      <w:ind w:left="240"/>
    </w:pPr>
  </w:style>
  <w:style w:type="paragraph" w:styleId="Header">
    <w:name w:val="header"/>
    <w:basedOn w:val="Normal"/>
    <w:link w:val="HeaderChar"/>
    <w:uiPriority w:val="99"/>
    <w:unhideWhenUsed/>
    <w:rsid w:val="00314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ECD"/>
    <w:rPr>
      <w:lang w:val="en-GB"/>
    </w:rPr>
  </w:style>
  <w:style w:type="paragraph" w:styleId="Footer">
    <w:name w:val="footer"/>
    <w:basedOn w:val="Normal"/>
    <w:link w:val="FooterChar"/>
    <w:uiPriority w:val="99"/>
    <w:unhideWhenUsed/>
    <w:rsid w:val="00314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ECD"/>
    <w:rPr>
      <w:lang w:val="en-GB"/>
    </w:rPr>
  </w:style>
  <w:style w:type="paragraph" w:styleId="ListParagraph">
    <w:name w:val="List Paragraph"/>
    <w:basedOn w:val="Normal"/>
    <w:uiPriority w:val="34"/>
    <w:qFormat/>
    <w:rsid w:val="00C12CBD"/>
    <w:pPr>
      <w:ind w:left="720"/>
      <w:contextualSpacing/>
    </w:pPr>
  </w:style>
  <w:style w:type="character" w:styleId="UnresolvedMention">
    <w:name w:val="Unresolved Mention"/>
    <w:basedOn w:val="DefaultParagraphFont"/>
    <w:uiPriority w:val="99"/>
    <w:semiHidden/>
    <w:unhideWhenUsed/>
    <w:rsid w:val="00A763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who.int/home/search-results?indexCatalogue=genericsearchindex1&amp;searchQuery=ealdery&amp;wordsMode=AnyWo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3E180-7B84-4785-9052-B05EBC8DF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15</Pages>
  <Words>2631</Words>
  <Characters>15001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Liliana-Rodica Enache-Decu (2234981)</cp:lastModifiedBy>
  <cp:revision>2</cp:revision>
  <dcterms:created xsi:type="dcterms:W3CDTF">2025-04-26T15:05:00Z</dcterms:created>
  <dcterms:modified xsi:type="dcterms:W3CDTF">2025-05-07T09:00:00Z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IWP Document</vt:lpwstr>
  </property>
  <property fmtid="{D5CDD505-2E9C-101B-9397-08002B2CF9AE}" pid="3" name="ContentTypeId">
    <vt:lpwstr>0x010100900C57292655E54ABDFEC515F60173E9</vt:lpwstr>
  </property>
  <property fmtid="{D5CDD505-2E9C-101B-9397-08002B2CF9AE}" pid="4" name="IWPFunction">
    <vt:lpwstr>IWPFunction</vt:lpwstr>
  </property>
  <property fmtid="{D5CDD505-2E9C-101B-9397-08002B2CF9AE}" pid="5" name="IWPOrganisationalUnit">
    <vt:lpwstr>3;#DfE|cc08a6d4-dfde-4d0f-bd85-069ebcef80d5</vt:lpwstr>
  </property>
  <property fmtid="{D5CDD505-2E9C-101B-9397-08002B2CF9AE}" pid="6" name="IWPOwner">
    <vt:lpwstr>1;#DfE|a484111e-5b24-4ad9-9778-c536c8c88985</vt:lpwstr>
  </property>
  <property fmtid="{D5CDD505-2E9C-101B-9397-08002B2CF9AE}" pid="7" name="IWPRightsProtectiveMarking">
    <vt:lpwstr>2;#Official|0884c477-2e62-47ea-b19c-5af6e91124c5</vt:lpwstr>
  </property>
  <property fmtid="{D5CDD505-2E9C-101B-9397-08002B2CF9AE}" pid="8" name="IWPSiteType">
    <vt:lpwstr>IWPSiteType</vt:lpwstr>
  </property>
  <property fmtid="{D5CDD505-2E9C-101B-9397-08002B2CF9AE}" pid="9" name="IWPSubject">
    <vt:lpwstr>IWPSubject</vt:lpwstr>
  </property>
  <property fmtid="{D5CDD505-2E9C-101B-9397-08002B2CF9AE}" pid="10" name="_dlc_DocIdItemGuid">
    <vt:lpwstr>453ced71-93fc-46de-989b-09d563bcdfe0</vt:lpwstr>
  </property>
</Properties>
</file>