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EF776" w14:textId="77777777" w:rsidR="00ED3AE6" w:rsidRDefault="008C38B0">
      <w:pPr>
        <w:spacing w:line="360" w:lineRule="auto"/>
        <w:jc w:val="center"/>
      </w:pPr>
      <w:r>
        <w:rPr>
          <w:noProof/>
        </w:rPr>
        <w:drawing>
          <wp:inline distT="0" distB="0" distL="0" distR="0" wp14:anchorId="27CCFCA8" wp14:editId="7E058621">
            <wp:extent cx="4152900" cy="1328420"/>
            <wp:effectExtent l="0" t="0" r="0" b="0"/>
            <wp:docPr id="1" name="Instituti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stitution Logo"/>
                    <pic:cNvPicPr>
                      <a:picLocks noChangeAspect="1" noChangeArrowheads="1"/>
                    </pic:cNvPicPr>
                  </pic:nvPicPr>
                  <pic:blipFill>
                    <a:blip r:embed="rId10"/>
                    <a:stretch>
                      <a:fillRect/>
                    </a:stretch>
                  </pic:blipFill>
                  <pic:spPr bwMode="auto">
                    <a:xfrm>
                      <a:off x="0" y="0"/>
                      <a:ext cx="4152900" cy="1328420"/>
                    </a:xfrm>
                    <a:prstGeom prst="rect">
                      <a:avLst/>
                    </a:prstGeom>
                  </pic:spPr>
                </pic:pic>
              </a:graphicData>
            </a:graphic>
          </wp:inline>
        </w:drawing>
      </w:r>
    </w:p>
    <w:p w14:paraId="75082954" w14:textId="77777777" w:rsidR="00ED3AE6" w:rsidRDefault="00ED3AE6">
      <w:pPr>
        <w:spacing w:line="360" w:lineRule="auto"/>
        <w:jc w:val="center"/>
      </w:pPr>
    </w:p>
    <w:p w14:paraId="552675F3" w14:textId="77777777" w:rsidR="00ED3AE6" w:rsidRDefault="008C38B0">
      <w:pPr>
        <w:spacing w:line="360" w:lineRule="auto"/>
        <w:jc w:val="center"/>
      </w:pPr>
      <w:r>
        <w:rPr>
          <w:rFonts w:ascii="Arial" w:hAnsi="Arial" w:cs="Arial"/>
          <w:b/>
          <w:sz w:val="26"/>
        </w:rPr>
        <w:t>Institute of Inner-City Learning Birmingham Campus</w:t>
      </w:r>
    </w:p>
    <w:p w14:paraId="3F87BDA0" w14:textId="77777777" w:rsidR="00ED3AE6" w:rsidRDefault="008C38B0">
      <w:pPr>
        <w:spacing w:line="360" w:lineRule="auto"/>
        <w:jc w:val="center"/>
      </w:pPr>
      <w:r>
        <w:rPr>
          <w:rFonts w:ascii="Arial" w:hAnsi="Arial" w:cs="Arial"/>
          <w:b/>
        </w:rPr>
        <w:t>BSc (Hons) Health and Social Care</w:t>
      </w:r>
    </w:p>
    <w:p w14:paraId="55826E80" w14:textId="77777777" w:rsidR="00ED3AE6" w:rsidRDefault="00ED3AE6">
      <w:pPr>
        <w:spacing w:line="360" w:lineRule="auto"/>
        <w:jc w:val="center"/>
      </w:pPr>
    </w:p>
    <w:p w14:paraId="07D61A5E" w14:textId="77777777" w:rsidR="00ED3AE6" w:rsidRDefault="00ED3AE6">
      <w:pPr>
        <w:spacing w:line="360" w:lineRule="auto"/>
        <w:jc w:val="center"/>
      </w:pPr>
    </w:p>
    <w:p w14:paraId="3BBE30E9" w14:textId="77777777" w:rsidR="00ED3AE6" w:rsidRDefault="00ED3AE6">
      <w:pPr>
        <w:spacing w:line="360" w:lineRule="auto"/>
        <w:jc w:val="center"/>
      </w:pPr>
    </w:p>
    <w:p w14:paraId="0A672D4B" w14:textId="77777777" w:rsidR="00ED3AE6" w:rsidRDefault="008C38B0">
      <w:pPr>
        <w:spacing w:after="400" w:line="360" w:lineRule="auto"/>
        <w:jc w:val="center"/>
        <w:rPr>
          <w:rFonts w:ascii="Arial" w:hAnsi="Arial" w:cs="Arial"/>
          <w:sz w:val="32"/>
          <w:szCs w:val="22"/>
        </w:rPr>
      </w:pPr>
      <w:r>
        <w:rPr>
          <w:rFonts w:ascii="Arial" w:hAnsi="Arial" w:cs="Arial"/>
          <w:b/>
          <w:bCs/>
          <w:sz w:val="32"/>
          <w:szCs w:val="22"/>
        </w:rPr>
        <w:t>THE EFFECTIVENESS OF PERSON-CENTRED CARE IN IMPROVING OUTCOMES FOR OLDER ADULTS IN RESIDENTIAL CARE IN THE UNITED KINGDOM</w:t>
      </w:r>
    </w:p>
    <w:p w14:paraId="33415723" w14:textId="77777777" w:rsidR="00ED3AE6" w:rsidRDefault="00ED3AE6">
      <w:pPr>
        <w:spacing w:line="360" w:lineRule="auto"/>
        <w:jc w:val="center"/>
        <w:rPr>
          <w:rFonts w:ascii="Arial" w:hAnsi="Arial" w:cs="Arial"/>
        </w:rPr>
      </w:pPr>
    </w:p>
    <w:p w14:paraId="7205514B" w14:textId="6D6F9578" w:rsidR="00DC73B1" w:rsidRDefault="00DC73B1" w:rsidP="00DC73B1">
      <w:pPr>
        <w:spacing w:line="360" w:lineRule="auto"/>
        <w:jc w:val="center"/>
        <w:rPr>
          <w:rFonts w:ascii="Arial" w:hAnsi="Arial" w:cs="Arial"/>
          <w:b/>
        </w:rPr>
      </w:pPr>
      <w:r>
        <w:rPr>
          <w:rFonts w:ascii="Arial" w:hAnsi="Arial" w:cs="Arial"/>
          <w:b/>
        </w:rPr>
        <w:t xml:space="preserve"> Student Name: </w:t>
      </w:r>
      <w:r w:rsidR="008C38B0">
        <w:rPr>
          <w:rFonts w:ascii="Arial" w:hAnsi="Arial" w:cs="Arial"/>
          <w:b/>
        </w:rPr>
        <w:t>YAHADDY BANGUR</w:t>
      </w:r>
      <w:r>
        <w:rPr>
          <w:rFonts w:ascii="Arial" w:hAnsi="Arial" w:cs="Arial"/>
          <w:b/>
        </w:rPr>
        <w:t>A</w:t>
      </w:r>
    </w:p>
    <w:p w14:paraId="07EF686A" w14:textId="08FB25E0" w:rsidR="00DC73B1" w:rsidRDefault="00DC73B1" w:rsidP="00DC73B1">
      <w:pPr>
        <w:tabs>
          <w:tab w:val="left" w:pos="2468"/>
        </w:tabs>
        <w:spacing w:line="360" w:lineRule="auto"/>
        <w:rPr>
          <w:rFonts w:ascii="Arial" w:hAnsi="Arial" w:cs="Arial"/>
          <w:b/>
        </w:rPr>
      </w:pPr>
      <w:r>
        <w:rPr>
          <w:rFonts w:ascii="Arial" w:hAnsi="Arial" w:cs="Arial"/>
          <w:b/>
        </w:rPr>
        <w:tab/>
        <w:t>Student ID</w:t>
      </w:r>
      <w:proofErr w:type="gramStart"/>
      <w:r>
        <w:rPr>
          <w:rFonts w:ascii="Arial" w:hAnsi="Arial" w:cs="Arial"/>
          <w:b/>
        </w:rPr>
        <w:t>:  2315639</w:t>
      </w:r>
      <w:proofErr w:type="gramEnd"/>
    </w:p>
    <w:p w14:paraId="0F2F216C" w14:textId="37219CD9" w:rsidR="00DC73B1" w:rsidRPr="00DC73B1" w:rsidRDefault="00DC73B1" w:rsidP="00DC73B1">
      <w:pPr>
        <w:tabs>
          <w:tab w:val="left" w:pos="2537"/>
        </w:tabs>
        <w:spacing w:line="360" w:lineRule="auto"/>
        <w:rPr>
          <w:rFonts w:ascii="Arial" w:hAnsi="Arial" w:cs="Arial"/>
          <w:b/>
        </w:rPr>
      </w:pPr>
      <w:r>
        <w:rPr>
          <w:rFonts w:ascii="Arial" w:hAnsi="Arial" w:cs="Arial"/>
          <w:b/>
        </w:rPr>
        <w:tab/>
        <w:t>Module Code</w:t>
      </w:r>
      <w:r w:rsidR="000C44B6">
        <w:rPr>
          <w:rFonts w:ascii="Arial" w:hAnsi="Arial" w:cs="Arial"/>
          <w:b/>
        </w:rPr>
        <w:t>:</w:t>
      </w:r>
      <w:r w:rsidR="003F78D0">
        <w:rPr>
          <w:rFonts w:ascii="Arial" w:hAnsi="Arial" w:cs="Arial"/>
          <w:b/>
        </w:rPr>
        <w:t xml:space="preserve"> </w:t>
      </w:r>
      <w:r w:rsidR="001F2CB5">
        <w:rPr>
          <w:rFonts w:ascii="Arial" w:hAnsi="Arial" w:cs="Arial"/>
          <w:b/>
        </w:rPr>
        <w:t>BMHP6020</w:t>
      </w:r>
    </w:p>
    <w:p w14:paraId="15E34883" w14:textId="77777777" w:rsidR="00ED3AE6" w:rsidRDefault="00ED3AE6">
      <w:pPr>
        <w:spacing w:line="360" w:lineRule="auto"/>
        <w:jc w:val="center"/>
      </w:pPr>
    </w:p>
    <w:p w14:paraId="4B6184C9" w14:textId="77777777" w:rsidR="00ED3AE6" w:rsidRDefault="00ED3AE6">
      <w:pPr>
        <w:spacing w:line="360" w:lineRule="auto"/>
        <w:jc w:val="center"/>
      </w:pPr>
    </w:p>
    <w:p w14:paraId="772FE507" w14:textId="77777777" w:rsidR="00ED3AE6" w:rsidRDefault="00ED3AE6">
      <w:pPr>
        <w:spacing w:line="360" w:lineRule="auto"/>
        <w:jc w:val="center"/>
      </w:pPr>
    </w:p>
    <w:p w14:paraId="03722326" w14:textId="77777777" w:rsidR="00ED3AE6" w:rsidRDefault="008C38B0">
      <w:pPr>
        <w:spacing w:line="360" w:lineRule="auto"/>
        <w:jc w:val="center"/>
      </w:pPr>
      <w:r>
        <w:rPr>
          <w:rFonts w:ascii="Arial" w:hAnsi="Arial" w:cs="Arial"/>
        </w:rPr>
        <w:t>Dissertation submitted as part of the requirements for the award of BSc (Hons) Health and Social Care</w:t>
      </w:r>
      <w:r>
        <w:br w:type="page"/>
      </w:r>
    </w:p>
    <w:p w14:paraId="4CBB27F8" w14:textId="77777777" w:rsidR="00ED3AE6" w:rsidRDefault="008C38B0" w:rsidP="008C38B0">
      <w:pPr>
        <w:spacing w:line="360" w:lineRule="auto"/>
        <w:jc w:val="center"/>
      </w:pPr>
      <w:r>
        <w:rPr>
          <w:rFonts w:ascii="Arial" w:hAnsi="Arial" w:cs="Arial"/>
          <w:b/>
          <w:sz w:val="28"/>
        </w:rPr>
        <w:lastRenderedPageBreak/>
        <w:t>Disclaimer</w:t>
      </w:r>
    </w:p>
    <w:p w14:paraId="42F933A7" w14:textId="77777777" w:rsidR="00ED3AE6" w:rsidRDefault="008C38B0" w:rsidP="008C38B0">
      <w:pPr>
        <w:spacing w:line="360" w:lineRule="auto"/>
        <w:jc w:val="both"/>
      </w:pPr>
      <w:r w:rsidRPr="008C38B0">
        <w:rPr>
          <w:rFonts w:ascii="Arial" w:hAnsi="Arial" w:cs="Arial"/>
          <w:sz w:val="22"/>
        </w:rPr>
        <w:t xml:space="preserve">This document was correct at the time of publication. The Module Coordinator reserves the right to modify any statement if necessary, make variations to the content or methods of delivery of </w:t>
      </w:r>
      <w:proofErr w:type="spellStart"/>
      <w:r w:rsidRPr="008C38B0">
        <w:rPr>
          <w:rFonts w:ascii="Arial" w:hAnsi="Arial" w:cs="Arial"/>
          <w:sz w:val="22"/>
        </w:rPr>
        <w:t>programmes</w:t>
      </w:r>
      <w:proofErr w:type="spellEnd"/>
      <w:r w:rsidRPr="008C38B0">
        <w:rPr>
          <w:rFonts w:ascii="Arial" w:hAnsi="Arial" w:cs="Arial"/>
          <w:sz w:val="22"/>
        </w:rPr>
        <w:t xml:space="preserve"> of study, to discontinue </w:t>
      </w:r>
      <w:proofErr w:type="spellStart"/>
      <w:r w:rsidRPr="008C38B0">
        <w:rPr>
          <w:rFonts w:ascii="Arial" w:hAnsi="Arial" w:cs="Arial"/>
          <w:sz w:val="22"/>
        </w:rPr>
        <w:t>programmes</w:t>
      </w:r>
      <w:proofErr w:type="spellEnd"/>
      <w:r w:rsidRPr="008C38B0">
        <w:rPr>
          <w:rFonts w:ascii="Arial" w:hAnsi="Arial" w:cs="Arial"/>
          <w:sz w:val="22"/>
        </w:rPr>
        <w:t xml:space="preserve">, or merge or combine </w:t>
      </w:r>
      <w:proofErr w:type="spellStart"/>
      <w:r w:rsidRPr="008C38B0">
        <w:rPr>
          <w:rFonts w:ascii="Arial" w:hAnsi="Arial" w:cs="Arial"/>
          <w:sz w:val="22"/>
        </w:rPr>
        <w:t>programmes</w:t>
      </w:r>
      <w:proofErr w:type="spellEnd"/>
      <w:r w:rsidRPr="008C38B0">
        <w:rPr>
          <w:rFonts w:ascii="Arial" w:hAnsi="Arial" w:cs="Arial"/>
          <w:sz w:val="22"/>
        </w:rPr>
        <w:t xml:space="preserve"> if such actions are reasonably considered to be necessary by UWTSD. Every effort will be made to keep disruption to a minimum, and to give as much notice as possible. An electronic copy of this handbook can be found on the Moodle page for the module.</w:t>
      </w:r>
      <w:r>
        <w:br w:type="page"/>
      </w:r>
    </w:p>
    <w:p w14:paraId="6D3F7059" w14:textId="77777777" w:rsidR="00ED3AE6" w:rsidRDefault="008C38B0">
      <w:pPr>
        <w:spacing w:after="240" w:line="360" w:lineRule="auto"/>
        <w:jc w:val="center"/>
      </w:pPr>
      <w:r>
        <w:rPr>
          <w:rFonts w:ascii="Arial" w:hAnsi="Arial" w:cs="Arial"/>
          <w:b/>
          <w:sz w:val="28"/>
        </w:rPr>
        <w:lastRenderedPageBreak/>
        <w:t>Declaration</w:t>
      </w:r>
    </w:p>
    <w:p w14:paraId="35C5E8A4" w14:textId="77777777" w:rsidR="00ED3AE6" w:rsidRPr="008C38B0" w:rsidRDefault="008C38B0">
      <w:pPr>
        <w:spacing w:line="360" w:lineRule="auto"/>
        <w:jc w:val="both"/>
        <w:rPr>
          <w:sz w:val="22"/>
        </w:rPr>
      </w:pPr>
      <w:r w:rsidRPr="008C38B0">
        <w:rPr>
          <w:rFonts w:ascii="Arial" w:hAnsi="Arial" w:cs="Arial"/>
          <w:sz w:val="22"/>
        </w:rPr>
        <w:t>This work has not previously been accepted in substance for any degree and is not being concurrently submitted in candidature for any degree.</w:t>
      </w:r>
    </w:p>
    <w:p w14:paraId="047A9B0C" w14:textId="51DDB455" w:rsidR="00ED3AE6" w:rsidRPr="008C38B0" w:rsidRDefault="008C38B0">
      <w:pPr>
        <w:spacing w:line="360" w:lineRule="auto"/>
        <w:rPr>
          <w:sz w:val="22"/>
        </w:rPr>
      </w:pPr>
      <w:r w:rsidRPr="008C38B0">
        <w:rPr>
          <w:rFonts w:ascii="Arial" w:hAnsi="Arial" w:cs="Arial"/>
          <w:sz w:val="22"/>
        </w:rPr>
        <w:t xml:space="preserve">Signed </w:t>
      </w:r>
      <w:r w:rsidR="00DC73B1">
        <w:rPr>
          <w:rFonts w:ascii="Arial" w:hAnsi="Arial" w:cs="Arial"/>
          <w:sz w:val="22"/>
        </w:rPr>
        <w:t>Yahaddy Bangura</w:t>
      </w:r>
      <w:r w:rsidRPr="008C38B0">
        <w:rPr>
          <w:rFonts w:ascii="Arial" w:hAnsi="Arial" w:cs="Arial"/>
          <w:sz w:val="22"/>
        </w:rPr>
        <w:t>...................................................</w:t>
      </w:r>
    </w:p>
    <w:p w14:paraId="6E9AC910" w14:textId="35BE705E" w:rsidR="00ED3AE6" w:rsidRPr="008C38B0" w:rsidRDefault="008C38B0">
      <w:pPr>
        <w:spacing w:line="360" w:lineRule="auto"/>
        <w:rPr>
          <w:sz w:val="22"/>
        </w:rPr>
      </w:pPr>
      <w:r w:rsidRPr="008C38B0">
        <w:rPr>
          <w:rFonts w:ascii="Arial" w:hAnsi="Arial" w:cs="Arial"/>
          <w:sz w:val="22"/>
        </w:rPr>
        <w:t xml:space="preserve">Date </w:t>
      </w:r>
      <w:r w:rsidR="00DC73B1">
        <w:rPr>
          <w:rFonts w:ascii="Arial" w:hAnsi="Arial" w:cs="Arial"/>
          <w:sz w:val="22"/>
        </w:rPr>
        <w:t>26/7/26</w:t>
      </w:r>
      <w:r w:rsidRPr="008C38B0">
        <w:rPr>
          <w:rFonts w:ascii="Arial" w:hAnsi="Arial" w:cs="Arial"/>
          <w:sz w:val="22"/>
        </w:rPr>
        <w:t>......................................................</w:t>
      </w:r>
    </w:p>
    <w:p w14:paraId="4320635F" w14:textId="77777777" w:rsidR="00ED3AE6" w:rsidRPr="008C38B0" w:rsidRDefault="008C38B0">
      <w:pPr>
        <w:spacing w:line="360" w:lineRule="auto"/>
        <w:jc w:val="center"/>
        <w:rPr>
          <w:sz w:val="22"/>
        </w:rPr>
      </w:pPr>
      <w:r w:rsidRPr="008C38B0">
        <w:rPr>
          <w:rFonts w:ascii="Arial" w:hAnsi="Arial" w:cs="Arial"/>
          <w:b/>
          <w:sz w:val="22"/>
        </w:rPr>
        <w:t>Statement 1</w:t>
      </w:r>
    </w:p>
    <w:p w14:paraId="4C911764" w14:textId="77777777" w:rsidR="00ED3AE6" w:rsidRPr="008C38B0" w:rsidRDefault="008C38B0">
      <w:pPr>
        <w:spacing w:line="360" w:lineRule="auto"/>
        <w:jc w:val="both"/>
        <w:rPr>
          <w:sz w:val="22"/>
        </w:rPr>
      </w:pPr>
      <w:r w:rsidRPr="008C38B0">
        <w:rPr>
          <w:rFonts w:ascii="Arial" w:hAnsi="Arial" w:cs="Arial"/>
          <w:sz w:val="22"/>
        </w:rPr>
        <w:t>This dissertation is being submitted in partial fulfilment of the requirements for the degree of BSc.</w:t>
      </w:r>
    </w:p>
    <w:p w14:paraId="753B3609" w14:textId="05CE4601" w:rsidR="00ED3AE6" w:rsidRPr="008C38B0" w:rsidRDefault="008C38B0">
      <w:pPr>
        <w:spacing w:line="360" w:lineRule="auto"/>
        <w:rPr>
          <w:sz w:val="22"/>
        </w:rPr>
      </w:pPr>
      <w:r w:rsidRPr="008C38B0">
        <w:rPr>
          <w:rFonts w:ascii="Arial" w:hAnsi="Arial" w:cs="Arial"/>
          <w:sz w:val="22"/>
        </w:rPr>
        <w:t xml:space="preserve">Signed </w:t>
      </w:r>
      <w:r w:rsidR="00DC73B1">
        <w:rPr>
          <w:rFonts w:ascii="Arial" w:hAnsi="Arial" w:cs="Arial"/>
          <w:sz w:val="22"/>
        </w:rPr>
        <w:t>Yahaddy Bangura</w:t>
      </w:r>
      <w:r w:rsidRPr="008C38B0">
        <w:rPr>
          <w:rFonts w:ascii="Arial" w:hAnsi="Arial" w:cs="Arial"/>
          <w:sz w:val="22"/>
        </w:rPr>
        <w:t>....................................................</w:t>
      </w:r>
    </w:p>
    <w:p w14:paraId="7B94E7E2" w14:textId="7782A40D" w:rsidR="00ED3AE6" w:rsidRPr="008C38B0" w:rsidRDefault="008C38B0">
      <w:pPr>
        <w:spacing w:line="360" w:lineRule="auto"/>
        <w:rPr>
          <w:sz w:val="22"/>
        </w:rPr>
      </w:pPr>
      <w:r w:rsidRPr="008C38B0">
        <w:rPr>
          <w:rFonts w:ascii="Arial" w:hAnsi="Arial" w:cs="Arial"/>
          <w:sz w:val="22"/>
        </w:rPr>
        <w:t xml:space="preserve">Date </w:t>
      </w:r>
      <w:r w:rsidR="00DC73B1">
        <w:rPr>
          <w:rFonts w:ascii="Arial" w:hAnsi="Arial" w:cs="Arial"/>
          <w:sz w:val="22"/>
        </w:rPr>
        <w:t>26/7/26</w:t>
      </w:r>
      <w:r w:rsidRPr="008C38B0">
        <w:rPr>
          <w:rFonts w:ascii="Arial" w:hAnsi="Arial" w:cs="Arial"/>
          <w:sz w:val="22"/>
        </w:rPr>
        <w:t>......................................................</w:t>
      </w:r>
    </w:p>
    <w:p w14:paraId="1A90C99B" w14:textId="77777777" w:rsidR="00ED3AE6" w:rsidRPr="008C38B0" w:rsidRDefault="008C38B0">
      <w:pPr>
        <w:spacing w:line="360" w:lineRule="auto"/>
        <w:jc w:val="center"/>
        <w:rPr>
          <w:sz w:val="22"/>
        </w:rPr>
      </w:pPr>
      <w:r w:rsidRPr="008C38B0">
        <w:rPr>
          <w:rFonts w:ascii="Arial" w:hAnsi="Arial" w:cs="Arial"/>
          <w:b/>
          <w:sz w:val="22"/>
        </w:rPr>
        <w:t>Statement 2</w:t>
      </w:r>
    </w:p>
    <w:p w14:paraId="3F930691" w14:textId="77777777" w:rsidR="00ED3AE6" w:rsidRPr="008C38B0" w:rsidRDefault="008C38B0">
      <w:pPr>
        <w:spacing w:line="360" w:lineRule="auto"/>
        <w:jc w:val="both"/>
        <w:rPr>
          <w:sz w:val="22"/>
        </w:rPr>
      </w:pPr>
      <w:r w:rsidRPr="008C38B0">
        <w:rPr>
          <w:rFonts w:ascii="Arial" w:hAnsi="Arial" w:cs="Arial"/>
          <w:sz w:val="22"/>
        </w:rPr>
        <w:t>This dissertation is the result of my own independent work/investigation, except where otherwise stated. Other sources are acknowledged by footnotes giving explicit references. A bibliography is appended.</w:t>
      </w:r>
    </w:p>
    <w:p w14:paraId="066FB88E" w14:textId="0631C5B4" w:rsidR="00ED3AE6" w:rsidRPr="008C38B0" w:rsidRDefault="008C38B0">
      <w:pPr>
        <w:spacing w:line="360" w:lineRule="auto"/>
        <w:rPr>
          <w:sz w:val="22"/>
        </w:rPr>
      </w:pPr>
      <w:r w:rsidRPr="008C38B0">
        <w:rPr>
          <w:rFonts w:ascii="Arial" w:hAnsi="Arial" w:cs="Arial"/>
          <w:sz w:val="22"/>
        </w:rPr>
        <w:t xml:space="preserve">Signed </w:t>
      </w:r>
      <w:r w:rsidR="00DC73B1">
        <w:rPr>
          <w:rFonts w:ascii="Arial" w:hAnsi="Arial" w:cs="Arial"/>
          <w:sz w:val="22"/>
        </w:rPr>
        <w:t>Yahaddy Bangura</w:t>
      </w:r>
      <w:r w:rsidRPr="008C38B0">
        <w:rPr>
          <w:rFonts w:ascii="Arial" w:hAnsi="Arial" w:cs="Arial"/>
          <w:sz w:val="22"/>
        </w:rPr>
        <w:t>...................................................</w:t>
      </w:r>
    </w:p>
    <w:p w14:paraId="0707C4D4" w14:textId="3C69EABF" w:rsidR="00ED3AE6" w:rsidRPr="008C38B0" w:rsidRDefault="008C38B0">
      <w:pPr>
        <w:spacing w:line="360" w:lineRule="auto"/>
        <w:rPr>
          <w:sz w:val="22"/>
        </w:rPr>
      </w:pPr>
      <w:r w:rsidRPr="008C38B0">
        <w:rPr>
          <w:rFonts w:ascii="Arial" w:hAnsi="Arial" w:cs="Arial"/>
          <w:sz w:val="22"/>
        </w:rPr>
        <w:t xml:space="preserve">Date </w:t>
      </w:r>
      <w:r w:rsidR="00DC73B1">
        <w:rPr>
          <w:rFonts w:ascii="Arial" w:hAnsi="Arial" w:cs="Arial"/>
          <w:sz w:val="22"/>
        </w:rPr>
        <w:t>26/7/26</w:t>
      </w:r>
      <w:r w:rsidRPr="008C38B0">
        <w:rPr>
          <w:rFonts w:ascii="Arial" w:hAnsi="Arial" w:cs="Arial"/>
          <w:sz w:val="22"/>
        </w:rPr>
        <w:t>......................................................</w:t>
      </w:r>
    </w:p>
    <w:p w14:paraId="5016B70E" w14:textId="77777777" w:rsidR="00ED3AE6" w:rsidRPr="008C38B0" w:rsidRDefault="008C38B0">
      <w:pPr>
        <w:spacing w:line="360" w:lineRule="auto"/>
        <w:jc w:val="center"/>
        <w:rPr>
          <w:sz w:val="22"/>
        </w:rPr>
      </w:pPr>
      <w:r w:rsidRPr="008C38B0">
        <w:rPr>
          <w:rFonts w:ascii="Arial" w:hAnsi="Arial" w:cs="Arial"/>
          <w:b/>
          <w:sz w:val="22"/>
        </w:rPr>
        <w:t>Statement 3</w:t>
      </w:r>
    </w:p>
    <w:p w14:paraId="12797D37" w14:textId="77777777" w:rsidR="00ED3AE6" w:rsidRPr="008C38B0" w:rsidRDefault="008C38B0">
      <w:pPr>
        <w:spacing w:line="360" w:lineRule="auto"/>
        <w:jc w:val="both"/>
        <w:rPr>
          <w:sz w:val="22"/>
        </w:rPr>
      </w:pPr>
      <w:r w:rsidRPr="008C38B0">
        <w:rPr>
          <w:rFonts w:ascii="Arial" w:hAnsi="Arial" w:cs="Arial"/>
          <w:sz w:val="22"/>
        </w:rPr>
        <w:t xml:space="preserve">I hereby give consent for my dissertation, if accepted, to be available for photocopying and for interlibrary loan, and for the title and summary to be made available to outside </w:t>
      </w:r>
      <w:proofErr w:type="spellStart"/>
      <w:r w:rsidRPr="008C38B0">
        <w:rPr>
          <w:rFonts w:ascii="Arial" w:hAnsi="Arial" w:cs="Arial"/>
          <w:sz w:val="22"/>
        </w:rPr>
        <w:t>organisations</w:t>
      </w:r>
      <w:proofErr w:type="spellEnd"/>
      <w:r w:rsidRPr="008C38B0">
        <w:rPr>
          <w:rFonts w:ascii="Arial" w:hAnsi="Arial" w:cs="Arial"/>
          <w:sz w:val="22"/>
        </w:rPr>
        <w:t>.</w:t>
      </w:r>
    </w:p>
    <w:p w14:paraId="59C55463" w14:textId="095190C0" w:rsidR="00ED3AE6" w:rsidRPr="008C38B0" w:rsidRDefault="008C38B0">
      <w:pPr>
        <w:spacing w:line="360" w:lineRule="auto"/>
        <w:rPr>
          <w:sz w:val="22"/>
        </w:rPr>
      </w:pPr>
      <w:r w:rsidRPr="008C38B0">
        <w:rPr>
          <w:rFonts w:ascii="Arial" w:hAnsi="Arial" w:cs="Arial"/>
          <w:sz w:val="22"/>
        </w:rPr>
        <w:t xml:space="preserve">Signed </w:t>
      </w:r>
      <w:r w:rsidR="00DC73B1">
        <w:rPr>
          <w:rFonts w:ascii="Arial" w:hAnsi="Arial" w:cs="Arial"/>
          <w:sz w:val="22"/>
        </w:rPr>
        <w:t>Yahaddy Bangura</w:t>
      </w:r>
      <w:r w:rsidRPr="008C38B0">
        <w:rPr>
          <w:rFonts w:ascii="Arial" w:hAnsi="Arial" w:cs="Arial"/>
          <w:sz w:val="22"/>
        </w:rPr>
        <w:t>......................................................</w:t>
      </w:r>
    </w:p>
    <w:p w14:paraId="024336A8" w14:textId="3238EAB7" w:rsidR="00ED3AE6" w:rsidRPr="008C38B0" w:rsidRDefault="008C38B0">
      <w:pPr>
        <w:spacing w:line="360" w:lineRule="auto"/>
        <w:rPr>
          <w:sz w:val="22"/>
        </w:rPr>
      </w:pPr>
      <w:r w:rsidRPr="008C38B0">
        <w:rPr>
          <w:rFonts w:ascii="Arial" w:hAnsi="Arial" w:cs="Arial"/>
          <w:sz w:val="22"/>
        </w:rPr>
        <w:t xml:space="preserve">Date </w:t>
      </w:r>
      <w:r w:rsidR="00DC73B1">
        <w:rPr>
          <w:rFonts w:ascii="Arial" w:hAnsi="Arial" w:cs="Arial"/>
          <w:sz w:val="22"/>
        </w:rPr>
        <w:t>26/7/26</w:t>
      </w:r>
      <w:r w:rsidRPr="008C38B0">
        <w:rPr>
          <w:rFonts w:ascii="Arial" w:hAnsi="Arial" w:cs="Arial"/>
          <w:sz w:val="22"/>
        </w:rPr>
        <w:t>.........................................................</w:t>
      </w:r>
    </w:p>
    <w:p w14:paraId="67947297" w14:textId="77777777" w:rsidR="00ED3AE6" w:rsidRPr="008C38B0" w:rsidRDefault="008C38B0">
      <w:pPr>
        <w:spacing w:line="360" w:lineRule="auto"/>
        <w:jc w:val="center"/>
        <w:rPr>
          <w:sz w:val="22"/>
        </w:rPr>
      </w:pPr>
      <w:r w:rsidRPr="008C38B0">
        <w:rPr>
          <w:rFonts w:ascii="Arial" w:hAnsi="Arial" w:cs="Arial"/>
          <w:b/>
          <w:sz w:val="22"/>
        </w:rPr>
        <w:t>Statement 4</w:t>
      </w:r>
    </w:p>
    <w:p w14:paraId="44FD0777" w14:textId="77777777" w:rsidR="00ED3AE6" w:rsidRPr="008C38B0" w:rsidRDefault="008C38B0">
      <w:pPr>
        <w:spacing w:line="360" w:lineRule="auto"/>
        <w:jc w:val="both"/>
        <w:rPr>
          <w:sz w:val="22"/>
        </w:rPr>
      </w:pPr>
      <w:r w:rsidRPr="008C38B0">
        <w:rPr>
          <w:rFonts w:ascii="Arial" w:hAnsi="Arial" w:cs="Arial"/>
          <w:sz w:val="22"/>
        </w:rPr>
        <w:t>I hereby give consent for my dissertation, if accepted, to be available on the university's IT system to those who have consent to use the system.</w:t>
      </w:r>
    </w:p>
    <w:p w14:paraId="3A142D55" w14:textId="0643A797" w:rsidR="00ED3AE6" w:rsidRPr="008C38B0" w:rsidRDefault="008C38B0">
      <w:pPr>
        <w:spacing w:line="360" w:lineRule="auto"/>
        <w:rPr>
          <w:sz w:val="22"/>
        </w:rPr>
      </w:pPr>
      <w:r w:rsidRPr="008C38B0">
        <w:rPr>
          <w:rFonts w:ascii="Arial" w:hAnsi="Arial" w:cs="Arial"/>
          <w:sz w:val="22"/>
        </w:rPr>
        <w:t xml:space="preserve">Signed </w:t>
      </w:r>
      <w:r w:rsidR="00DC73B1">
        <w:rPr>
          <w:rFonts w:ascii="Arial" w:hAnsi="Arial" w:cs="Arial"/>
          <w:sz w:val="22"/>
        </w:rPr>
        <w:t>Yahaddy Bangura</w:t>
      </w:r>
      <w:r w:rsidRPr="008C38B0">
        <w:rPr>
          <w:rFonts w:ascii="Arial" w:hAnsi="Arial" w:cs="Arial"/>
          <w:sz w:val="22"/>
        </w:rPr>
        <w:t>......................................................</w:t>
      </w:r>
    </w:p>
    <w:p w14:paraId="331BEC33" w14:textId="0945B0FE" w:rsidR="00ED3AE6" w:rsidRPr="008C38B0" w:rsidRDefault="008C38B0">
      <w:pPr>
        <w:spacing w:line="360" w:lineRule="auto"/>
        <w:rPr>
          <w:sz w:val="22"/>
        </w:rPr>
      </w:pPr>
      <w:r w:rsidRPr="008C38B0">
        <w:rPr>
          <w:rFonts w:ascii="Arial" w:hAnsi="Arial" w:cs="Arial"/>
          <w:sz w:val="22"/>
        </w:rPr>
        <w:t xml:space="preserve">Date </w:t>
      </w:r>
      <w:r w:rsidR="00DC73B1">
        <w:rPr>
          <w:rFonts w:ascii="Arial" w:hAnsi="Arial" w:cs="Arial"/>
          <w:sz w:val="22"/>
        </w:rPr>
        <w:t>26/7/26</w:t>
      </w:r>
      <w:r w:rsidRPr="008C38B0">
        <w:rPr>
          <w:rFonts w:ascii="Arial" w:hAnsi="Arial" w:cs="Arial"/>
          <w:sz w:val="22"/>
        </w:rPr>
        <w:t>.........................................................</w:t>
      </w:r>
      <w:r w:rsidRPr="008C38B0">
        <w:rPr>
          <w:sz w:val="22"/>
        </w:rPr>
        <w:br w:type="page"/>
      </w:r>
    </w:p>
    <w:p w14:paraId="51411D98" w14:textId="77777777" w:rsidR="00ED3AE6" w:rsidRPr="004F09B2" w:rsidRDefault="008C38B0" w:rsidP="004F09B2">
      <w:pPr>
        <w:spacing w:line="360" w:lineRule="auto"/>
        <w:jc w:val="center"/>
        <w:rPr>
          <w:sz w:val="28"/>
        </w:rPr>
      </w:pPr>
      <w:r w:rsidRPr="004F09B2">
        <w:rPr>
          <w:rFonts w:ascii="Arial" w:hAnsi="Arial" w:cs="Arial"/>
          <w:b/>
          <w:sz w:val="32"/>
        </w:rPr>
        <w:lastRenderedPageBreak/>
        <w:t>Acknowledgements</w:t>
      </w:r>
    </w:p>
    <w:p w14:paraId="4A192B7B"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I would like to express my sincere gratitude to everyone who has supported me throughout the completion of this dissertation.</w:t>
      </w:r>
    </w:p>
    <w:p w14:paraId="42A5F0AA"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First and foremost, I give thanks to Almighty God for His grace, strength, wisdom, and guidance throughout my academic journey. His unfailing faithfulness has sustained me through every challenge and made the successful completion of this research possible.</w:t>
      </w:r>
    </w:p>
    <w:p w14:paraId="730E8192"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I am profoundly grateful to my supervisor for the invaluable guidance, expert advice, constructive feedback, and continuous encouragement provided throughout this research. Your patience, academic insight, and commitment to excellence have greatly enhanced the quality of this dissertation and have contributed significantly to my growth as a researcher.</w:t>
      </w:r>
    </w:p>
    <w:p w14:paraId="0E8DB9C0"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 xml:space="preserve">I would also like to express my sincere appreciation to all the lecturers on this </w:t>
      </w:r>
      <w:proofErr w:type="spellStart"/>
      <w:r w:rsidRPr="004F09B2">
        <w:rPr>
          <w:rFonts w:ascii="Arial" w:hAnsi="Arial" w:cs="Arial"/>
          <w:sz w:val="22"/>
        </w:rPr>
        <w:t>programme</w:t>
      </w:r>
      <w:proofErr w:type="spellEnd"/>
      <w:r w:rsidRPr="004F09B2">
        <w:rPr>
          <w:rFonts w:ascii="Arial" w:hAnsi="Arial" w:cs="Arial"/>
          <w:sz w:val="22"/>
        </w:rPr>
        <w:t xml:space="preserve"> for sharing their knowledge, expertise, and experience. The intellectual foundation provided through your teaching has been instrumental in shaping my understanding of the subject and in supporting the successful completion of this study.</w:t>
      </w:r>
    </w:p>
    <w:p w14:paraId="6E1BAA07"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My deepest appreciation goes to my parents</w:t>
      </w:r>
      <w:r w:rsidR="004F09B2">
        <w:rPr>
          <w:rFonts w:ascii="Arial" w:hAnsi="Arial" w:cs="Arial"/>
          <w:sz w:val="22"/>
        </w:rPr>
        <w:t>; Amie Joof and Momodou Bangura</w:t>
      </w:r>
      <w:r w:rsidRPr="004F09B2">
        <w:rPr>
          <w:rFonts w:ascii="Arial" w:hAnsi="Arial" w:cs="Arial"/>
          <w:sz w:val="22"/>
        </w:rPr>
        <w:t xml:space="preserve"> for their unwavering love, prayers, sacrifices, and constant encouragement. Your belief in my abilities has been a continual source of strength and motivation throughout this academic journey.</w:t>
      </w:r>
    </w:p>
    <w:p w14:paraId="3656BFFC" w14:textId="77777777" w:rsidR="008C38B0" w:rsidRPr="004F09B2" w:rsidRDefault="004F09B2" w:rsidP="004F09B2">
      <w:pPr>
        <w:pStyle w:val="NormalWeb"/>
        <w:spacing w:before="0" w:beforeAutospacing="0" w:after="0" w:afterAutospacing="0" w:line="360" w:lineRule="auto"/>
        <w:jc w:val="both"/>
        <w:rPr>
          <w:rFonts w:ascii="Arial" w:hAnsi="Arial" w:cs="Arial"/>
          <w:sz w:val="22"/>
        </w:rPr>
      </w:pPr>
      <w:r>
        <w:rPr>
          <w:rFonts w:ascii="Arial" w:hAnsi="Arial" w:cs="Arial"/>
          <w:sz w:val="22"/>
        </w:rPr>
        <w:t>To my beloved sons; Essa and Bubacarr Darboe</w:t>
      </w:r>
      <w:r w:rsidR="008C38B0" w:rsidRPr="004F09B2">
        <w:rPr>
          <w:rFonts w:ascii="Arial" w:hAnsi="Arial" w:cs="Arial"/>
          <w:sz w:val="22"/>
        </w:rPr>
        <w:t xml:space="preserve"> thank you for your patience, understanding, and unconditional love during the many occasions when my academic commitments demanded my time and attention. Your presence has been a constant source of inspiration, and your encouragement has motivated me to persevere despite the challenges encountered along the way. This achievement is as much yours as it is mine.</w:t>
      </w:r>
    </w:p>
    <w:p w14:paraId="391000B0"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Finally, I extend my sincere thanks to all those who have contributed, directly or indirectly, to the completion of this dissertation. Your encouragement, support, and goodwill are deeply appreciated and will always be remembered.</w:t>
      </w:r>
    </w:p>
    <w:p w14:paraId="35F7271F" w14:textId="77777777" w:rsidR="008C38B0" w:rsidRPr="004F09B2" w:rsidRDefault="008C38B0" w:rsidP="004F09B2">
      <w:pPr>
        <w:pStyle w:val="NormalWeb"/>
        <w:spacing w:before="0" w:beforeAutospacing="0" w:after="0" w:afterAutospacing="0" w:line="360" w:lineRule="auto"/>
        <w:jc w:val="both"/>
        <w:rPr>
          <w:rFonts w:ascii="Arial" w:hAnsi="Arial" w:cs="Arial"/>
          <w:sz w:val="22"/>
        </w:rPr>
      </w:pPr>
      <w:r w:rsidRPr="004F09B2">
        <w:rPr>
          <w:rFonts w:ascii="Arial" w:hAnsi="Arial" w:cs="Arial"/>
          <w:sz w:val="22"/>
        </w:rPr>
        <w:t>Thank you.</w:t>
      </w:r>
    </w:p>
    <w:p w14:paraId="65A4992A" w14:textId="77777777" w:rsidR="008C38B0" w:rsidRDefault="008C38B0" w:rsidP="008C38B0">
      <w:pPr>
        <w:pStyle w:val="NormalWeb"/>
      </w:pPr>
    </w:p>
    <w:p w14:paraId="7694D657" w14:textId="77777777" w:rsidR="008C38B0" w:rsidRDefault="008C38B0" w:rsidP="008C38B0">
      <w:pPr>
        <w:pStyle w:val="NormalWeb"/>
      </w:pPr>
    </w:p>
    <w:p w14:paraId="46EFD1FF" w14:textId="77777777" w:rsidR="008C38B0" w:rsidRDefault="008C38B0" w:rsidP="008C38B0">
      <w:pPr>
        <w:pStyle w:val="NormalWeb"/>
      </w:pPr>
    </w:p>
    <w:p w14:paraId="7958105B" w14:textId="77777777" w:rsidR="008C38B0" w:rsidRDefault="008C38B0" w:rsidP="008C38B0">
      <w:pPr>
        <w:pStyle w:val="NormalWeb"/>
      </w:pPr>
    </w:p>
    <w:p w14:paraId="42786267" w14:textId="77777777" w:rsidR="008C38B0" w:rsidRDefault="008C38B0" w:rsidP="008C38B0">
      <w:pPr>
        <w:pStyle w:val="NormalWeb"/>
      </w:pPr>
    </w:p>
    <w:p w14:paraId="1F63E043" w14:textId="77777777" w:rsidR="008C38B0" w:rsidRDefault="008C38B0" w:rsidP="008C38B0">
      <w:pPr>
        <w:pStyle w:val="NormalWeb"/>
      </w:pPr>
    </w:p>
    <w:p w14:paraId="559F31D2" w14:textId="77777777" w:rsidR="00ED3AE6" w:rsidRPr="004F09B2" w:rsidRDefault="008C38B0" w:rsidP="004F09B2">
      <w:pPr>
        <w:spacing w:line="360" w:lineRule="auto"/>
        <w:jc w:val="center"/>
        <w:rPr>
          <w:sz w:val="28"/>
        </w:rPr>
      </w:pPr>
      <w:r w:rsidRPr="004F09B2">
        <w:rPr>
          <w:rFonts w:ascii="Arial" w:hAnsi="Arial" w:cs="Arial"/>
          <w:b/>
          <w:sz w:val="32"/>
        </w:rPr>
        <w:lastRenderedPageBreak/>
        <w:t>Abstract</w:t>
      </w:r>
    </w:p>
    <w:p w14:paraId="57472A11" w14:textId="77777777" w:rsidR="008C38B0" w:rsidRPr="008C38B0" w:rsidRDefault="008C38B0" w:rsidP="008C38B0">
      <w:pPr>
        <w:pStyle w:val="font-claude-response-body"/>
        <w:spacing w:before="0" w:beforeAutospacing="0" w:after="0" w:afterAutospacing="0" w:line="360" w:lineRule="auto"/>
        <w:jc w:val="both"/>
        <w:rPr>
          <w:rFonts w:ascii="Arial" w:hAnsi="Arial" w:cs="Arial"/>
          <w:i/>
          <w:sz w:val="22"/>
        </w:rPr>
      </w:pPr>
      <w:r w:rsidRPr="008C38B0">
        <w:rPr>
          <w:rFonts w:ascii="Arial" w:hAnsi="Arial" w:cs="Arial"/>
          <w:i/>
          <w:sz w:val="22"/>
        </w:rPr>
        <w:t>Person-</w:t>
      </w:r>
      <w:proofErr w:type="spellStart"/>
      <w:r w:rsidRPr="008C38B0">
        <w:rPr>
          <w:rFonts w:ascii="Arial" w:hAnsi="Arial" w:cs="Arial"/>
          <w:i/>
          <w:sz w:val="22"/>
        </w:rPr>
        <w:t>centred</w:t>
      </w:r>
      <w:proofErr w:type="spellEnd"/>
      <w:r w:rsidRPr="008C38B0">
        <w:rPr>
          <w:rFonts w:ascii="Arial" w:hAnsi="Arial" w:cs="Arial"/>
          <w:i/>
          <w:sz w:val="22"/>
        </w:rPr>
        <w:t xml:space="preserve"> care (PCC) is widely promoted in UK policy as the standard of good practice for older adults in residential care, yet evidence on its actual effectiveness remains fragmented and inconsistently interpreted. This dissertation critically examines the extent to which PCC improves outcomes for older adults in UK residential care settings through a structured narrative literature review. Drawing on empirical studies, systematic reviews, and UK policy and regulatory sources, the review </w:t>
      </w:r>
      <w:proofErr w:type="spellStart"/>
      <w:r w:rsidRPr="008C38B0">
        <w:rPr>
          <w:rFonts w:ascii="Arial" w:hAnsi="Arial" w:cs="Arial"/>
          <w:i/>
          <w:sz w:val="22"/>
        </w:rPr>
        <w:t>synthesises</w:t>
      </w:r>
      <w:proofErr w:type="spellEnd"/>
      <w:r w:rsidRPr="008C38B0">
        <w:rPr>
          <w:rFonts w:ascii="Arial" w:hAnsi="Arial" w:cs="Arial"/>
          <w:i/>
          <w:sz w:val="22"/>
        </w:rPr>
        <w:t xml:space="preserve"> evidence across six themes: the conceptual ambiguity of PCC itself, psychological and emotional outcomes, </w:t>
      </w:r>
      <w:proofErr w:type="spellStart"/>
      <w:r w:rsidRPr="008C38B0">
        <w:rPr>
          <w:rFonts w:ascii="Arial" w:hAnsi="Arial" w:cs="Arial"/>
          <w:i/>
          <w:sz w:val="22"/>
        </w:rPr>
        <w:t>behavioural</w:t>
      </w:r>
      <w:proofErr w:type="spellEnd"/>
      <w:r w:rsidRPr="008C38B0">
        <w:rPr>
          <w:rFonts w:ascii="Arial" w:hAnsi="Arial" w:cs="Arial"/>
          <w:i/>
          <w:sz w:val="22"/>
        </w:rPr>
        <w:t xml:space="preserve"> outcomes in dementia care, social interaction and quality of life, structural barriers to implementation, and the gap between policy and practice.</w:t>
      </w:r>
    </w:p>
    <w:p w14:paraId="6025B3C7" w14:textId="77777777" w:rsidR="008C38B0" w:rsidRPr="008C38B0" w:rsidRDefault="008C38B0" w:rsidP="008C38B0">
      <w:pPr>
        <w:pStyle w:val="font-claude-response-body"/>
        <w:spacing w:before="0" w:beforeAutospacing="0" w:after="0" w:afterAutospacing="0" w:line="360" w:lineRule="auto"/>
        <w:jc w:val="both"/>
        <w:rPr>
          <w:rFonts w:ascii="Arial" w:hAnsi="Arial" w:cs="Arial"/>
          <w:i/>
          <w:sz w:val="22"/>
        </w:rPr>
      </w:pPr>
      <w:r w:rsidRPr="008C38B0">
        <w:rPr>
          <w:rFonts w:ascii="Arial" w:hAnsi="Arial" w:cs="Arial"/>
          <w:i/>
          <w:sz w:val="22"/>
        </w:rPr>
        <w:t xml:space="preserve">The findings indicate that PCC has genuine potential to improve psychological wellbeing, reduce </w:t>
      </w:r>
      <w:proofErr w:type="spellStart"/>
      <w:r w:rsidRPr="008C38B0">
        <w:rPr>
          <w:rFonts w:ascii="Arial" w:hAnsi="Arial" w:cs="Arial"/>
          <w:i/>
          <w:sz w:val="22"/>
        </w:rPr>
        <w:t>behavioural</w:t>
      </w:r>
      <w:proofErr w:type="spellEnd"/>
      <w:r w:rsidRPr="008C38B0">
        <w:rPr>
          <w:rFonts w:ascii="Arial" w:hAnsi="Arial" w:cs="Arial"/>
          <w:i/>
          <w:sz w:val="22"/>
        </w:rPr>
        <w:t xml:space="preserve"> and psychological symptoms in dementia care, and enhance social interaction, but that these benefits are neither automatic nor universal. Instead, effectiveness is strongly contingent on staff training, </w:t>
      </w:r>
      <w:proofErr w:type="spellStart"/>
      <w:r w:rsidRPr="008C38B0">
        <w:rPr>
          <w:rFonts w:ascii="Arial" w:hAnsi="Arial" w:cs="Arial"/>
          <w:i/>
          <w:sz w:val="22"/>
        </w:rPr>
        <w:t>organisational</w:t>
      </w:r>
      <w:proofErr w:type="spellEnd"/>
      <w:r w:rsidRPr="008C38B0">
        <w:rPr>
          <w:rFonts w:ascii="Arial" w:hAnsi="Arial" w:cs="Arial"/>
          <w:i/>
          <w:sz w:val="22"/>
        </w:rPr>
        <w:t xml:space="preserve"> culture, leadership, and adequate staffing, with residents with more advanced cognitive impairment consistently benefiting less than those with milder impairment. The review further argues that much of the inconsistency observed across the evidence base reflects variation in how PCC is defined and </w:t>
      </w:r>
      <w:proofErr w:type="spellStart"/>
      <w:r w:rsidRPr="008C38B0">
        <w:rPr>
          <w:rFonts w:ascii="Arial" w:hAnsi="Arial" w:cs="Arial"/>
          <w:i/>
          <w:sz w:val="22"/>
        </w:rPr>
        <w:t>operationalised</w:t>
      </w:r>
      <w:proofErr w:type="spellEnd"/>
      <w:r w:rsidRPr="008C38B0">
        <w:rPr>
          <w:rFonts w:ascii="Arial" w:hAnsi="Arial" w:cs="Arial"/>
          <w:i/>
          <w:sz w:val="22"/>
        </w:rPr>
        <w:t>, rather than a fundamental flaw in the underlying model.</w:t>
      </w:r>
    </w:p>
    <w:p w14:paraId="216EBED3" w14:textId="77777777" w:rsidR="008C38B0" w:rsidRPr="008C38B0" w:rsidRDefault="008C38B0" w:rsidP="008C38B0">
      <w:pPr>
        <w:pStyle w:val="font-claude-response-body"/>
        <w:spacing w:before="0" w:beforeAutospacing="0" w:after="0" w:afterAutospacing="0" w:line="360" w:lineRule="auto"/>
        <w:jc w:val="both"/>
        <w:rPr>
          <w:rFonts w:ascii="Arial" w:hAnsi="Arial" w:cs="Arial"/>
          <w:i/>
          <w:sz w:val="22"/>
        </w:rPr>
      </w:pPr>
      <w:r w:rsidRPr="008C38B0">
        <w:rPr>
          <w:rFonts w:ascii="Arial" w:hAnsi="Arial" w:cs="Arial"/>
          <w:i/>
          <w:sz w:val="22"/>
        </w:rPr>
        <w:t>The dissertation concludes that the central determinant of PCC's success is not its validity as a concept but the conditions under which it is implemented. It recommends that UK policy move beyond articulating values and principles towards specifying the practical resourcing, staffing, and training investment needed to translate PCC from aspiration into consistent practice, alongside stronger mechanisms of accountability tied specifically to person-</w:t>
      </w:r>
      <w:proofErr w:type="spellStart"/>
      <w:r w:rsidRPr="008C38B0">
        <w:rPr>
          <w:rFonts w:ascii="Arial" w:hAnsi="Arial" w:cs="Arial"/>
          <w:i/>
          <w:sz w:val="22"/>
        </w:rPr>
        <w:t>centred</w:t>
      </w:r>
      <w:proofErr w:type="spellEnd"/>
      <w:r w:rsidRPr="008C38B0">
        <w:rPr>
          <w:rFonts w:ascii="Arial" w:hAnsi="Arial" w:cs="Arial"/>
          <w:i/>
          <w:sz w:val="22"/>
        </w:rPr>
        <w:t xml:space="preserve"> outcomes.</w:t>
      </w:r>
    </w:p>
    <w:p w14:paraId="309B5CDA" w14:textId="77777777" w:rsidR="00ED3AE6" w:rsidRDefault="008C38B0">
      <w:pPr>
        <w:spacing w:line="360" w:lineRule="auto"/>
        <w:jc w:val="both"/>
        <w:rPr>
          <w:i/>
        </w:rPr>
      </w:pPr>
      <w:r>
        <w:br w:type="page"/>
      </w:r>
    </w:p>
    <w:p w14:paraId="5345D383" w14:textId="77777777" w:rsidR="00ED3AE6" w:rsidRPr="008C38B0" w:rsidRDefault="008C38B0" w:rsidP="008C38B0">
      <w:pPr>
        <w:spacing w:after="240" w:line="360" w:lineRule="auto"/>
        <w:jc w:val="center"/>
        <w:rPr>
          <w:rFonts w:ascii="Arial" w:hAnsi="Arial" w:cs="Arial"/>
          <w:sz w:val="32"/>
          <w:szCs w:val="22"/>
        </w:rPr>
      </w:pPr>
      <w:r w:rsidRPr="008C38B0">
        <w:rPr>
          <w:rFonts w:ascii="Arial" w:hAnsi="Arial" w:cs="Arial"/>
          <w:b/>
          <w:sz w:val="32"/>
          <w:szCs w:val="22"/>
        </w:rPr>
        <w:lastRenderedPageBreak/>
        <w:t>Table of Contents</w:t>
      </w:r>
    </w:p>
    <w:sdt>
      <w:sdtPr>
        <w:rPr>
          <w:rFonts w:ascii="Arial" w:hAnsi="Arial" w:cs="Arial"/>
        </w:rPr>
        <w:id w:val="-2083210936"/>
        <w:docPartObj>
          <w:docPartGallery w:val="Table of Contents"/>
          <w:docPartUnique/>
        </w:docPartObj>
      </w:sdtPr>
      <w:sdtEndPr/>
      <w:sdtContent>
        <w:p w14:paraId="38D02AE6" w14:textId="77777777" w:rsidR="00ED3AE6" w:rsidRPr="008C38B0" w:rsidRDefault="008C38B0" w:rsidP="008C38B0">
          <w:pPr>
            <w:pStyle w:val="TOC1"/>
            <w:tabs>
              <w:tab w:val="right" w:leader="dot" w:pos="9025"/>
            </w:tabs>
            <w:jc w:val="both"/>
            <w:rPr>
              <w:rFonts w:ascii="Arial" w:hAnsi="Arial" w:cs="Arial"/>
            </w:rPr>
          </w:pPr>
          <w:r w:rsidRPr="008C38B0">
            <w:fldChar w:fldCharType="begin"/>
          </w:r>
          <w:r w:rsidRPr="008C38B0">
            <w:rPr>
              <w:rStyle w:val="IndexLink"/>
              <w:rFonts w:ascii="Arial" w:hAnsi="Arial" w:cs="Arial"/>
              <w:webHidden/>
            </w:rPr>
            <w:instrText xml:space="preserve"> TOC \z \o "1-2" \u \h</w:instrText>
          </w:r>
          <w:r w:rsidRPr="008C38B0">
            <w:rPr>
              <w:rStyle w:val="IndexLink"/>
              <w:rFonts w:ascii="Arial" w:hAnsi="Arial" w:cs="Arial"/>
            </w:rPr>
            <w:fldChar w:fldCharType="separate"/>
          </w:r>
          <w:hyperlink w:anchor="__RefHeading___Toc1511_1328646638">
            <w:r w:rsidRPr="008C38B0">
              <w:rPr>
                <w:rStyle w:val="IndexLink"/>
                <w:rFonts w:ascii="Arial" w:hAnsi="Arial" w:cs="Arial"/>
                <w:webHidden/>
              </w:rPr>
              <w:t>CHAPTER ONE</w:t>
            </w:r>
            <w:r w:rsidRPr="008C38B0">
              <w:rPr>
                <w:rStyle w:val="IndexLink"/>
                <w:rFonts w:ascii="Arial" w:hAnsi="Arial" w:cs="Arial"/>
                <w:webHidden/>
              </w:rPr>
              <w:tab/>
              <w:t>10</w:t>
            </w:r>
          </w:hyperlink>
        </w:p>
        <w:p w14:paraId="250A7905" w14:textId="77777777" w:rsidR="00ED3AE6" w:rsidRPr="008C38B0" w:rsidRDefault="008C38B0" w:rsidP="008C38B0">
          <w:pPr>
            <w:pStyle w:val="TOC2"/>
            <w:tabs>
              <w:tab w:val="right" w:leader="dot" w:pos="9025"/>
            </w:tabs>
            <w:jc w:val="both"/>
            <w:rPr>
              <w:rFonts w:ascii="Arial" w:hAnsi="Arial" w:cs="Arial"/>
            </w:rPr>
          </w:pPr>
          <w:hyperlink w:anchor="__RefHeading___Toc1513_1328646638">
            <w:r w:rsidRPr="008C38B0">
              <w:rPr>
                <w:rStyle w:val="IndexLink"/>
                <w:rFonts w:ascii="Arial" w:hAnsi="Arial" w:cs="Arial"/>
                <w:webHidden/>
              </w:rPr>
              <w:t>1.1 Background and Context</w:t>
            </w:r>
            <w:r w:rsidRPr="008C38B0">
              <w:rPr>
                <w:rStyle w:val="IndexLink"/>
                <w:rFonts w:ascii="Arial" w:hAnsi="Arial" w:cs="Arial"/>
                <w:webHidden/>
              </w:rPr>
              <w:tab/>
              <w:t>10</w:t>
            </w:r>
          </w:hyperlink>
        </w:p>
        <w:p w14:paraId="1DD188E3" w14:textId="77777777" w:rsidR="00ED3AE6" w:rsidRPr="008C38B0" w:rsidRDefault="008C38B0" w:rsidP="008C38B0">
          <w:pPr>
            <w:pStyle w:val="TOC2"/>
            <w:tabs>
              <w:tab w:val="right" w:leader="dot" w:pos="9025"/>
            </w:tabs>
            <w:jc w:val="both"/>
            <w:rPr>
              <w:rFonts w:ascii="Arial" w:hAnsi="Arial" w:cs="Arial"/>
            </w:rPr>
          </w:pPr>
          <w:hyperlink w:anchor="__RefHeading___Toc1515_1328646638">
            <w:r w:rsidRPr="008C38B0">
              <w:rPr>
                <w:rStyle w:val="IndexLink"/>
                <w:rFonts w:ascii="Arial" w:hAnsi="Arial" w:cs="Arial"/>
                <w:webHidden/>
              </w:rPr>
              <w:t>1.2 Problem Statement</w:t>
            </w:r>
            <w:r w:rsidRPr="008C38B0">
              <w:rPr>
                <w:rStyle w:val="IndexLink"/>
                <w:rFonts w:ascii="Arial" w:hAnsi="Arial" w:cs="Arial"/>
                <w:webHidden/>
              </w:rPr>
              <w:tab/>
              <w:t>12</w:t>
            </w:r>
          </w:hyperlink>
        </w:p>
        <w:p w14:paraId="0A7D3EAA" w14:textId="77777777" w:rsidR="00ED3AE6" w:rsidRPr="008C38B0" w:rsidRDefault="008C38B0" w:rsidP="008C38B0">
          <w:pPr>
            <w:pStyle w:val="TOC2"/>
            <w:tabs>
              <w:tab w:val="right" w:leader="dot" w:pos="9025"/>
            </w:tabs>
            <w:jc w:val="both"/>
            <w:rPr>
              <w:rFonts w:ascii="Arial" w:hAnsi="Arial" w:cs="Arial"/>
            </w:rPr>
          </w:pPr>
          <w:hyperlink w:anchor="__RefHeading___Toc1517_1328646638">
            <w:r w:rsidRPr="008C38B0">
              <w:rPr>
                <w:rStyle w:val="IndexLink"/>
                <w:rFonts w:ascii="Arial" w:hAnsi="Arial" w:cs="Arial"/>
                <w:webHidden/>
              </w:rPr>
              <w:t>1.3 Aim and Objectives</w:t>
            </w:r>
            <w:r w:rsidRPr="008C38B0">
              <w:rPr>
                <w:rStyle w:val="IndexLink"/>
                <w:rFonts w:ascii="Arial" w:hAnsi="Arial" w:cs="Arial"/>
                <w:webHidden/>
              </w:rPr>
              <w:tab/>
              <w:t>12</w:t>
            </w:r>
          </w:hyperlink>
        </w:p>
        <w:p w14:paraId="01D9BD34" w14:textId="77777777" w:rsidR="00ED3AE6" w:rsidRPr="008C38B0" w:rsidRDefault="008C38B0" w:rsidP="008C38B0">
          <w:pPr>
            <w:pStyle w:val="TOC2"/>
            <w:tabs>
              <w:tab w:val="right" w:leader="dot" w:pos="9025"/>
            </w:tabs>
            <w:jc w:val="both"/>
            <w:rPr>
              <w:rFonts w:ascii="Arial" w:hAnsi="Arial" w:cs="Arial"/>
            </w:rPr>
          </w:pPr>
          <w:hyperlink w:anchor="__RefHeading___Toc1519_1328646638">
            <w:r w:rsidRPr="008C38B0">
              <w:rPr>
                <w:rStyle w:val="IndexLink"/>
                <w:rFonts w:ascii="Arial" w:hAnsi="Arial" w:cs="Arial"/>
                <w:webHidden/>
              </w:rPr>
              <w:t>1.4 Research Question</w:t>
            </w:r>
            <w:r w:rsidRPr="008C38B0">
              <w:rPr>
                <w:rStyle w:val="IndexLink"/>
                <w:rFonts w:ascii="Arial" w:hAnsi="Arial" w:cs="Arial"/>
                <w:webHidden/>
              </w:rPr>
              <w:tab/>
              <w:t>13</w:t>
            </w:r>
          </w:hyperlink>
        </w:p>
        <w:p w14:paraId="193C2545" w14:textId="77777777" w:rsidR="00ED3AE6" w:rsidRPr="008C38B0" w:rsidRDefault="008C38B0" w:rsidP="008C38B0">
          <w:pPr>
            <w:pStyle w:val="TOC2"/>
            <w:tabs>
              <w:tab w:val="right" w:leader="dot" w:pos="9025"/>
            </w:tabs>
            <w:jc w:val="both"/>
            <w:rPr>
              <w:rFonts w:ascii="Arial" w:hAnsi="Arial" w:cs="Arial"/>
            </w:rPr>
          </w:pPr>
          <w:hyperlink w:anchor="__RefHeading___Toc1521_1328646638">
            <w:r w:rsidRPr="008C38B0">
              <w:rPr>
                <w:rStyle w:val="IndexLink"/>
                <w:rFonts w:ascii="Arial" w:hAnsi="Arial" w:cs="Arial"/>
                <w:webHidden/>
              </w:rPr>
              <w:t>1.5 Significance of the Study</w:t>
            </w:r>
            <w:r w:rsidRPr="008C38B0">
              <w:rPr>
                <w:rStyle w:val="IndexLink"/>
                <w:rFonts w:ascii="Arial" w:hAnsi="Arial" w:cs="Arial"/>
                <w:webHidden/>
              </w:rPr>
              <w:tab/>
              <w:t>13</w:t>
            </w:r>
          </w:hyperlink>
        </w:p>
        <w:p w14:paraId="336E9672" w14:textId="77777777" w:rsidR="00ED3AE6" w:rsidRPr="008C38B0" w:rsidRDefault="008C38B0" w:rsidP="008C38B0">
          <w:pPr>
            <w:pStyle w:val="TOC2"/>
            <w:tabs>
              <w:tab w:val="right" w:leader="dot" w:pos="9025"/>
            </w:tabs>
            <w:jc w:val="both"/>
            <w:rPr>
              <w:rFonts w:ascii="Arial" w:hAnsi="Arial" w:cs="Arial"/>
            </w:rPr>
          </w:pPr>
          <w:hyperlink w:anchor="__RefHeading___Toc1523_1328646638">
            <w:r w:rsidRPr="008C38B0">
              <w:rPr>
                <w:rStyle w:val="IndexLink"/>
                <w:rFonts w:ascii="Arial" w:hAnsi="Arial" w:cs="Arial"/>
                <w:webHidden/>
              </w:rPr>
              <w:t>1.6 Structure of the Dissertation</w:t>
            </w:r>
            <w:r w:rsidRPr="008C38B0">
              <w:rPr>
                <w:rStyle w:val="IndexLink"/>
                <w:rFonts w:ascii="Arial" w:hAnsi="Arial" w:cs="Arial"/>
                <w:webHidden/>
              </w:rPr>
              <w:tab/>
              <w:t>13</w:t>
            </w:r>
          </w:hyperlink>
        </w:p>
        <w:p w14:paraId="348E5DBE" w14:textId="77777777" w:rsidR="00ED3AE6" w:rsidRPr="008C38B0" w:rsidRDefault="008C38B0" w:rsidP="008C38B0">
          <w:pPr>
            <w:pStyle w:val="TOC1"/>
            <w:tabs>
              <w:tab w:val="right" w:leader="dot" w:pos="9025"/>
            </w:tabs>
            <w:jc w:val="both"/>
            <w:rPr>
              <w:rFonts w:ascii="Arial" w:hAnsi="Arial" w:cs="Arial"/>
            </w:rPr>
          </w:pPr>
          <w:hyperlink w:anchor="__RefHeading___Toc1525_1328646638">
            <w:r w:rsidRPr="008C38B0">
              <w:rPr>
                <w:rStyle w:val="IndexLink"/>
                <w:rFonts w:ascii="Arial" w:hAnsi="Arial" w:cs="Arial"/>
                <w:webHidden/>
              </w:rPr>
              <w:t>CHAPTER TWO</w:t>
            </w:r>
            <w:r w:rsidRPr="008C38B0">
              <w:rPr>
                <w:rStyle w:val="IndexLink"/>
                <w:rFonts w:ascii="Arial" w:hAnsi="Arial" w:cs="Arial"/>
                <w:webHidden/>
              </w:rPr>
              <w:tab/>
              <w:t>15</w:t>
            </w:r>
          </w:hyperlink>
        </w:p>
        <w:p w14:paraId="54AF230E" w14:textId="77777777" w:rsidR="00ED3AE6" w:rsidRPr="008C38B0" w:rsidRDefault="008C38B0" w:rsidP="008C38B0">
          <w:pPr>
            <w:pStyle w:val="TOC2"/>
            <w:tabs>
              <w:tab w:val="right" w:leader="dot" w:pos="9025"/>
            </w:tabs>
            <w:jc w:val="both"/>
            <w:rPr>
              <w:rFonts w:ascii="Arial" w:hAnsi="Arial" w:cs="Arial"/>
            </w:rPr>
          </w:pPr>
          <w:hyperlink w:anchor="__RefHeading___Toc1527_1328646638">
            <w:r w:rsidRPr="008C38B0">
              <w:rPr>
                <w:rStyle w:val="IndexLink"/>
                <w:rFonts w:ascii="Arial" w:hAnsi="Arial" w:cs="Arial"/>
                <w:webHidden/>
              </w:rPr>
              <w:t>2.1 Introduction</w:t>
            </w:r>
            <w:r w:rsidRPr="008C38B0">
              <w:rPr>
                <w:rStyle w:val="IndexLink"/>
                <w:rFonts w:ascii="Arial" w:hAnsi="Arial" w:cs="Arial"/>
                <w:webHidden/>
              </w:rPr>
              <w:tab/>
              <w:t>15</w:t>
            </w:r>
          </w:hyperlink>
        </w:p>
        <w:p w14:paraId="5DE0B28A" w14:textId="77777777" w:rsidR="00ED3AE6" w:rsidRPr="008C38B0" w:rsidRDefault="008C38B0" w:rsidP="008C38B0">
          <w:pPr>
            <w:pStyle w:val="TOC2"/>
            <w:tabs>
              <w:tab w:val="right" w:leader="dot" w:pos="9025"/>
            </w:tabs>
            <w:jc w:val="both"/>
            <w:rPr>
              <w:rFonts w:ascii="Arial" w:hAnsi="Arial" w:cs="Arial"/>
            </w:rPr>
          </w:pPr>
          <w:hyperlink w:anchor="__RefHeading___Toc1529_1328646638">
            <w:r w:rsidRPr="008C38B0">
              <w:rPr>
                <w:rStyle w:val="IndexLink"/>
                <w:rFonts w:ascii="Arial" w:hAnsi="Arial" w:cs="Arial"/>
                <w:webHidden/>
              </w:rPr>
              <w:t>2.2 Conceptualising Person-Centred Care</w:t>
            </w:r>
            <w:r w:rsidRPr="008C38B0">
              <w:rPr>
                <w:rStyle w:val="IndexLink"/>
                <w:rFonts w:ascii="Arial" w:hAnsi="Arial" w:cs="Arial"/>
                <w:webHidden/>
              </w:rPr>
              <w:tab/>
              <w:t>15</w:t>
            </w:r>
          </w:hyperlink>
        </w:p>
        <w:p w14:paraId="102E4BE6" w14:textId="77777777" w:rsidR="00ED3AE6" w:rsidRPr="008C38B0" w:rsidRDefault="008C38B0" w:rsidP="008C38B0">
          <w:pPr>
            <w:pStyle w:val="TOC2"/>
            <w:tabs>
              <w:tab w:val="right" w:leader="dot" w:pos="9025"/>
            </w:tabs>
            <w:jc w:val="both"/>
            <w:rPr>
              <w:rFonts w:ascii="Arial" w:hAnsi="Arial" w:cs="Arial"/>
            </w:rPr>
          </w:pPr>
          <w:hyperlink w:anchor="__RefHeading___Toc1531_1328646638">
            <w:r w:rsidRPr="008C38B0">
              <w:rPr>
                <w:rStyle w:val="IndexLink"/>
                <w:rFonts w:ascii="Arial" w:hAnsi="Arial" w:cs="Arial"/>
                <w:webHidden/>
              </w:rPr>
              <w:t>2.3 Theoretical Foundations and Organisational Constraints</w:t>
            </w:r>
            <w:r w:rsidRPr="008C38B0">
              <w:rPr>
                <w:rStyle w:val="IndexLink"/>
                <w:rFonts w:ascii="Arial" w:hAnsi="Arial" w:cs="Arial"/>
                <w:webHidden/>
              </w:rPr>
              <w:tab/>
              <w:t>16</w:t>
            </w:r>
          </w:hyperlink>
        </w:p>
        <w:p w14:paraId="5B228261" w14:textId="77777777" w:rsidR="00ED3AE6" w:rsidRPr="008C38B0" w:rsidRDefault="008C38B0" w:rsidP="008C38B0">
          <w:pPr>
            <w:pStyle w:val="TOC2"/>
            <w:tabs>
              <w:tab w:val="right" w:leader="dot" w:pos="9025"/>
            </w:tabs>
            <w:jc w:val="both"/>
            <w:rPr>
              <w:rFonts w:ascii="Arial" w:hAnsi="Arial" w:cs="Arial"/>
            </w:rPr>
          </w:pPr>
          <w:hyperlink w:anchor="__RefHeading___Toc1533_1328646638">
            <w:r w:rsidRPr="008C38B0">
              <w:rPr>
                <w:rStyle w:val="IndexLink"/>
                <w:rFonts w:ascii="Arial" w:hAnsi="Arial" w:cs="Arial"/>
                <w:webHidden/>
              </w:rPr>
              <w:t>2.4 Psychological and Emotional Outcomes</w:t>
            </w:r>
            <w:r w:rsidRPr="008C38B0">
              <w:rPr>
                <w:rStyle w:val="IndexLink"/>
                <w:rFonts w:ascii="Arial" w:hAnsi="Arial" w:cs="Arial"/>
                <w:webHidden/>
              </w:rPr>
              <w:tab/>
              <w:t>17</w:t>
            </w:r>
          </w:hyperlink>
        </w:p>
        <w:p w14:paraId="55F0BC8C" w14:textId="77777777" w:rsidR="00ED3AE6" w:rsidRPr="008C38B0" w:rsidRDefault="008C38B0" w:rsidP="008C38B0">
          <w:pPr>
            <w:pStyle w:val="TOC2"/>
            <w:tabs>
              <w:tab w:val="right" w:leader="dot" w:pos="9025"/>
            </w:tabs>
            <w:jc w:val="both"/>
            <w:rPr>
              <w:rFonts w:ascii="Arial" w:hAnsi="Arial" w:cs="Arial"/>
            </w:rPr>
          </w:pPr>
          <w:hyperlink w:anchor="__RefHeading___Toc1535_1328646638">
            <w:r w:rsidRPr="008C38B0">
              <w:rPr>
                <w:rStyle w:val="IndexLink"/>
                <w:rFonts w:ascii="Arial" w:hAnsi="Arial" w:cs="Arial"/>
                <w:webHidden/>
              </w:rPr>
              <w:t>2.5 Behavioural Outcomes and Dementia Care</w:t>
            </w:r>
            <w:r w:rsidRPr="008C38B0">
              <w:rPr>
                <w:rStyle w:val="IndexLink"/>
                <w:rFonts w:ascii="Arial" w:hAnsi="Arial" w:cs="Arial"/>
                <w:webHidden/>
              </w:rPr>
              <w:tab/>
              <w:t>18</w:t>
            </w:r>
          </w:hyperlink>
        </w:p>
        <w:p w14:paraId="0F7E23A0" w14:textId="77777777" w:rsidR="00ED3AE6" w:rsidRPr="008C38B0" w:rsidRDefault="008C38B0" w:rsidP="008C38B0">
          <w:pPr>
            <w:pStyle w:val="TOC2"/>
            <w:tabs>
              <w:tab w:val="right" w:leader="dot" w:pos="9025"/>
            </w:tabs>
            <w:jc w:val="both"/>
            <w:rPr>
              <w:rFonts w:ascii="Arial" w:hAnsi="Arial" w:cs="Arial"/>
            </w:rPr>
          </w:pPr>
          <w:hyperlink w:anchor="__RefHeading___Toc1537_1328646638">
            <w:r w:rsidRPr="008C38B0">
              <w:rPr>
                <w:rStyle w:val="IndexLink"/>
                <w:rFonts w:ascii="Arial" w:hAnsi="Arial" w:cs="Arial"/>
                <w:webHidden/>
              </w:rPr>
              <w:t>2.6 Social Interaction and Quality of Life</w:t>
            </w:r>
            <w:r w:rsidRPr="008C38B0">
              <w:rPr>
                <w:rStyle w:val="IndexLink"/>
                <w:rFonts w:ascii="Arial" w:hAnsi="Arial" w:cs="Arial"/>
                <w:webHidden/>
              </w:rPr>
              <w:tab/>
              <w:t>19</w:t>
            </w:r>
          </w:hyperlink>
        </w:p>
        <w:p w14:paraId="75295FA7" w14:textId="77777777" w:rsidR="00ED3AE6" w:rsidRPr="008C38B0" w:rsidRDefault="008C38B0" w:rsidP="008C38B0">
          <w:pPr>
            <w:pStyle w:val="TOC2"/>
            <w:tabs>
              <w:tab w:val="right" w:leader="dot" w:pos="9025"/>
            </w:tabs>
            <w:jc w:val="both"/>
            <w:rPr>
              <w:rFonts w:ascii="Arial" w:hAnsi="Arial" w:cs="Arial"/>
            </w:rPr>
          </w:pPr>
          <w:hyperlink w:anchor="__RefHeading___Toc1539_1328646638">
            <w:r w:rsidRPr="008C38B0">
              <w:rPr>
                <w:rStyle w:val="IndexLink"/>
                <w:rFonts w:ascii="Arial" w:hAnsi="Arial" w:cs="Arial"/>
                <w:webHidden/>
              </w:rPr>
              <w:t>2.7 Barriers to Implementation</w:t>
            </w:r>
            <w:r w:rsidRPr="008C38B0">
              <w:rPr>
                <w:rStyle w:val="IndexLink"/>
                <w:rFonts w:ascii="Arial" w:hAnsi="Arial" w:cs="Arial"/>
                <w:webHidden/>
              </w:rPr>
              <w:tab/>
              <w:t>20</w:t>
            </w:r>
          </w:hyperlink>
        </w:p>
        <w:p w14:paraId="4F478227" w14:textId="77777777" w:rsidR="00ED3AE6" w:rsidRPr="008C38B0" w:rsidRDefault="008C38B0" w:rsidP="008C38B0">
          <w:pPr>
            <w:pStyle w:val="TOC2"/>
            <w:tabs>
              <w:tab w:val="right" w:leader="dot" w:pos="9025"/>
            </w:tabs>
            <w:jc w:val="both"/>
            <w:rPr>
              <w:rFonts w:ascii="Arial" w:hAnsi="Arial" w:cs="Arial"/>
            </w:rPr>
          </w:pPr>
          <w:hyperlink w:anchor="__RefHeading___Toc1541_1328646638">
            <w:r w:rsidRPr="008C38B0">
              <w:rPr>
                <w:rStyle w:val="IndexLink"/>
                <w:rFonts w:ascii="Arial" w:hAnsi="Arial" w:cs="Arial"/>
                <w:webHidden/>
              </w:rPr>
              <w:t>2.8 Policy Context and the Theory--Practice Gap</w:t>
            </w:r>
            <w:r w:rsidRPr="008C38B0">
              <w:rPr>
                <w:rStyle w:val="IndexLink"/>
                <w:rFonts w:ascii="Arial" w:hAnsi="Arial" w:cs="Arial"/>
                <w:webHidden/>
              </w:rPr>
              <w:tab/>
              <w:t>21</w:t>
            </w:r>
          </w:hyperlink>
        </w:p>
        <w:p w14:paraId="0558EF02" w14:textId="77777777" w:rsidR="00ED3AE6" w:rsidRPr="008C38B0" w:rsidRDefault="008C38B0" w:rsidP="008C38B0">
          <w:pPr>
            <w:pStyle w:val="TOC2"/>
            <w:tabs>
              <w:tab w:val="right" w:leader="dot" w:pos="9025"/>
            </w:tabs>
            <w:jc w:val="both"/>
            <w:rPr>
              <w:rFonts w:ascii="Arial" w:hAnsi="Arial" w:cs="Arial"/>
            </w:rPr>
          </w:pPr>
          <w:hyperlink w:anchor="__RefHeading___Toc1543_1328646638">
            <w:r w:rsidRPr="008C38B0">
              <w:rPr>
                <w:rStyle w:val="IndexLink"/>
                <w:rFonts w:ascii="Arial" w:hAnsi="Arial" w:cs="Arial"/>
                <w:webHidden/>
              </w:rPr>
              <w:t>2.9 Synthesis and Research Gap</w:t>
            </w:r>
            <w:r w:rsidRPr="008C38B0">
              <w:rPr>
                <w:rStyle w:val="IndexLink"/>
                <w:rFonts w:ascii="Arial" w:hAnsi="Arial" w:cs="Arial"/>
                <w:webHidden/>
              </w:rPr>
              <w:tab/>
              <w:t>23</w:t>
            </w:r>
          </w:hyperlink>
        </w:p>
        <w:p w14:paraId="3FD5D53A" w14:textId="77777777" w:rsidR="00ED3AE6" w:rsidRPr="008C38B0" w:rsidRDefault="008C38B0" w:rsidP="008C38B0">
          <w:pPr>
            <w:pStyle w:val="TOC1"/>
            <w:tabs>
              <w:tab w:val="right" w:leader="dot" w:pos="9025"/>
            </w:tabs>
            <w:jc w:val="both"/>
            <w:rPr>
              <w:rFonts w:ascii="Arial" w:hAnsi="Arial" w:cs="Arial"/>
            </w:rPr>
          </w:pPr>
          <w:hyperlink w:anchor="__RefHeading___Toc1545_1328646638">
            <w:r w:rsidRPr="008C38B0">
              <w:rPr>
                <w:rStyle w:val="IndexLink"/>
                <w:rFonts w:ascii="Arial" w:hAnsi="Arial" w:cs="Arial"/>
                <w:webHidden/>
              </w:rPr>
              <w:t>CHAPTER THREE</w:t>
            </w:r>
            <w:r w:rsidRPr="008C38B0">
              <w:rPr>
                <w:rStyle w:val="IndexLink"/>
                <w:rFonts w:ascii="Arial" w:hAnsi="Arial" w:cs="Arial"/>
                <w:webHidden/>
              </w:rPr>
              <w:tab/>
              <w:t>25</w:t>
            </w:r>
          </w:hyperlink>
        </w:p>
        <w:p w14:paraId="0961E013" w14:textId="77777777" w:rsidR="00ED3AE6" w:rsidRPr="008C38B0" w:rsidRDefault="008C38B0" w:rsidP="008C38B0">
          <w:pPr>
            <w:pStyle w:val="TOC2"/>
            <w:tabs>
              <w:tab w:val="right" w:leader="dot" w:pos="9025"/>
            </w:tabs>
            <w:jc w:val="both"/>
            <w:rPr>
              <w:rFonts w:ascii="Arial" w:hAnsi="Arial" w:cs="Arial"/>
            </w:rPr>
          </w:pPr>
          <w:hyperlink w:anchor="__RefHeading___Toc1547_1328646638">
            <w:r w:rsidRPr="008C38B0">
              <w:rPr>
                <w:rStyle w:val="IndexLink"/>
                <w:rFonts w:ascii="Arial" w:hAnsi="Arial" w:cs="Arial"/>
                <w:webHidden/>
              </w:rPr>
              <w:t>3.1 Introduction</w:t>
            </w:r>
            <w:r w:rsidRPr="008C38B0">
              <w:rPr>
                <w:rStyle w:val="IndexLink"/>
                <w:rFonts w:ascii="Arial" w:hAnsi="Arial" w:cs="Arial"/>
                <w:webHidden/>
              </w:rPr>
              <w:tab/>
              <w:t>25</w:t>
            </w:r>
          </w:hyperlink>
        </w:p>
        <w:p w14:paraId="0ADDEFC1" w14:textId="77777777" w:rsidR="00ED3AE6" w:rsidRPr="008C38B0" w:rsidRDefault="008C38B0" w:rsidP="008C38B0">
          <w:pPr>
            <w:pStyle w:val="TOC2"/>
            <w:tabs>
              <w:tab w:val="right" w:leader="dot" w:pos="9025"/>
            </w:tabs>
            <w:jc w:val="both"/>
            <w:rPr>
              <w:rFonts w:ascii="Arial" w:hAnsi="Arial" w:cs="Arial"/>
            </w:rPr>
          </w:pPr>
          <w:hyperlink w:anchor="__RefHeading___Toc1549_1328646638">
            <w:r w:rsidRPr="008C38B0">
              <w:rPr>
                <w:rStyle w:val="IndexLink"/>
                <w:rFonts w:ascii="Arial" w:hAnsi="Arial" w:cs="Arial"/>
                <w:webHidden/>
              </w:rPr>
              <w:t>3.2 Research Design and Rationale</w:t>
            </w:r>
            <w:r w:rsidRPr="008C38B0">
              <w:rPr>
                <w:rStyle w:val="IndexLink"/>
                <w:rFonts w:ascii="Arial" w:hAnsi="Arial" w:cs="Arial"/>
                <w:webHidden/>
              </w:rPr>
              <w:tab/>
              <w:t>25</w:t>
            </w:r>
          </w:hyperlink>
        </w:p>
        <w:p w14:paraId="7F437116" w14:textId="77777777" w:rsidR="00ED3AE6" w:rsidRPr="008C38B0" w:rsidRDefault="008C38B0" w:rsidP="008C38B0">
          <w:pPr>
            <w:pStyle w:val="TOC2"/>
            <w:tabs>
              <w:tab w:val="right" w:leader="dot" w:pos="9025"/>
            </w:tabs>
            <w:jc w:val="both"/>
            <w:rPr>
              <w:rFonts w:ascii="Arial" w:hAnsi="Arial" w:cs="Arial"/>
            </w:rPr>
          </w:pPr>
          <w:hyperlink w:anchor="__RefHeading___Toc1551_1328646638">
            <w:r w:rsidRPr="008C38B0">
              <w:rPr>
                <w:rStyle w:val="IndexLink"/>
                <w:rFonts w:ascii="Arial" w:hAnsi="Arial" w:cs="Arial"/>
                <w:webHidden/>
              </w:rPr>
              <w:t>3.3 Search Strategy</w:t>
            </w:r>
            <w:r w:rsidRPr="008C38B0">
              <w:rPr>
                <w:rStyle w:val="IndexLink"/>
                <w:rFonts w:ascii="Arial" w:hAnsi="Arial" w:cs="Arial"/>
                <w:webHidden/>
              </w:rPr>
              <w:tab/>
              <w:t>25</w:t>
            </w:r>
          </w:hyperlink>
        </w:p>
        <w:p w14:paraId="59565F1D" w14:textId="77777777" w:rsidR="00ED3AE6" w:rsidRPr="008C38B0" w:rsidRDefault="008C38B0" w:rsidP="008C38B0">
          <w:pPr>
            <w:pStyle w:val="TOC2"/>
            <w:tabs>
              <w:tab w:val="right" w:leader="dot" w:pos="9025"/>
            </w:tabs>
            <w:jc w:val="both"/>
            <w:rPr>
              <w:rFonts w:ascii="Arial" w:hAnsi="Arial" w:cs="Arial"/>
            </w:rPr>
          </w:pPr>
          <w:hyperlink w:anchor="__RefHeading___Toc1553_1328646638">
            <w:r w:rsidRPr="008C38B0">
              <w:rPr>
                <w:rStyle w:val="IndexLink"/>
                <w:rFonts w:ascii="Arial" w:hAnsi="Arial" w:cs="Arial"/>
                <w:webHidden/>
              </w:rPr>
              <w:t>3.4 Inclusion and Exclusion Criteria</w:t>
            </w:r>
            <w:r w:rsidRPr="008C38B0">
              <w:rPr>
                <w:rStyle w:val="IndexLink"/>
                <w:rFonts w:ascii="Arial" w:hAnsi="Arial" w:cs="Arial"/>
                <w:webHidden/>
              </w:rPr>
              <w:tab/>
              <w:t>26</w:t>
            </w:r>
          </w:hyperlink>
        </w:p>
        <w:p w14:paraId="618BBAC4" w14:textId="77777777" w:rsidR="00ED3AE6" w:rsidRPr="008C38B0" w:rsidRDefault="008C38B0" w:rsidP="008C38B0">
          <w:pPr>
            <w:pStyle w:val="TOC2"/>
            <w:tabs>
              <w:tab w:val="right" w:leader="dot" w:pos="9025"/>
            </w:tabs>
            <w:jc w:val="both"/>
            <w:rPr>
              <w:rFonts w:ascii="Arial" w:hAnsi="Arial" w:cs="Arial"/>
            </w:rPr>
          </w:pPr>
          <w:hyperlink w:anchor="__RefHeading___Toc1555_1328646638">
            <w:r w:rsidRPr="008C38B0">
              <w:rPr>
                <w:rStyle w:val="IndexLink"/>
                <w:rFonts w:ascii="Arial" w:hAnsi="Arial" w:cs="Arial"/>
                <w:webHidden/>
              </w:rPr>
              <w:t>3.5 Data Analysis Approach</w:t>
            </w:r>
            <w:r w:rsidRPr="008C38B0">
              <w:rPr>
                <w:rStyle w:val="IndexLink"/>
                <w:rFonts w:ascii="Arial" w:hAnsi="Arial" w:cs="Arial"/>
                <w:webHidden/>
              </w:rPr>
              <w:tab/>
              <w:t>27</w:t>
            </w:r>
          </w:hyperlink>
        </w:p>
        <w:p w14:paraId="4888EC3C" w14:textId="77777777" w:rsidR="00ED3AE6" w:rsidRPr="008C38B0" w:rsidRDefault="008C38B0" w:rsidP="008C38B0">
          <w:pPr>
            <w:pStyle w:val="TOC2"/>
            <w:tabs>
              <w:tab w:val="right" w:leader="dot" w:pos="9025"/>
            </w:tabs>
            <w:jc w:val="both"/>
            <w:rPr>
              <w:rFonts w:ascii="Arial" w:hAnsi="Arial" w:cs="Arial"/>
            </w:rPr>
          </w:pPr>
          <w:hyperlink w:anchor="__RefHeading___Toc1557_1328646638">
            <w:r w:rsidRPr="008C38B0">
              <w:rPr>
                <w:rStyle w:val="IndexLink"/>
                <w:rFonts w:ascii="Arial" w:hAnsi="Arial" w:cs="Arial"/>
                <w:webHidden/>
              </w:rPr>
              <w:t>3.6 Ethical Considerations</w:t>
            </w:r>
            <w:r w:rsidRPr="008C38B0">
              <w:rPr>
                <w:rStyle w:val="IndexLink"/>
                <w:rFonts w:ascii="Arial" w:hAnsi="Arial" w:cs="Arial"/>
                <w:webHidden/>
              </w:rPr>
              <w:tab/>
              <w:t>28</w:t>
            </w:r>
          </w:hyperlink>
        </w:p>
        <w:p w14:paraId="47DB9D60" w14:textId="77777777" w:rsidR="00ED3AE6" w:rsidRPr="008C38B0" w:rsidRDefault="008C38B0" w:rsidP="008C38B0">
          <w:pPr>
            <w:pStyle w:val="TOC2"/>
            <w:tabs>
              <w:tab w:val="right" w:leader="dot" w:pos="9025"/>
            </w:tabs>
            <w:jc w:val="both"/>
            <w:rPr>
              <w:rFonts w:ascii="Arial" w:hAnsi="Arial" w:cs="Arial"/>
            </w:rPr>
          </w:pPr>
          <w:hyperlink w:anchor="__RefHeading___Toc1559_1328646638">
            <w:r w:rsidRPr="008C38B0">
              <w:rPr>
                <w:rStyle w:val="IndexLink"/>
                <w:rFonts w:ascii="Arial" w:hAnsi="Arial" w:cs="Arial"/>
                <w:webHidden/>
              </w:rPr>
              <w:t>3.7 Limitations of the Methodology</w:t>
            </w:r>
            <w:r w:rsidRPr="008C38B0">
              <w:rPr>
                <w:rStyle w:val="IndexLink"/>
                <w:rFonts w:ascii="Arial" w:hAnsi="Arial" w:cs="Arial"/>
                <w:webHidden/>
              </w:rPr>
              <w:tab/>
              <w:t>28</w:t>
            </w:r>
          </w:hyperlink>
        </w:p>
        <w:p w14:paraId="4F315513" w14:textId="77777777" w:rsidR="00ED3AE6" w:rsidRPr="008C38B0" w:rsidRDefault="008C38B0" w:rsidP="008C38B0">
          <w:pPr>
            <w:pStyle w:val="TOC1"/>
            <w:tabs>
              <w:tab w:val="right" w:leader="dot" w:pos="9025"/>
            </w:tabs>
            <w:jc w:val="both"/>
            <w:rPr>
              <w:rFonts w:ascii="Arial" w:hAnsi="Arial" w:cs="Arial"/>
            </w:rPr>
          </w:pPr>
          <w:hyperlink w:anchor="__RefHeading___Toc1561_1328646638">
            <w:r w:rsidRPr="008C38B0">
              <w:rPr>
                <w:rStyle w:val="IndexLink"/>
                <w:rFonts w:ascii="Arial" w:hAnsi="Arial" w:cs="Arial"/>
                <w:webHidden/>
              </w:rPr>
              <w:t>CHAPTER FOUR</w:t>
            </w:r>
            <w:r w:rsidRPr="008C38B0">
              <w:rPr>
                <w:rStyle w:val="IndexLink"/>
                <w:rFonts w:ascii="Arial" w:hAnsi="Arial" w:cs="Arial"/>
                <w:webHidden/>
              </w:rPr>
              <w:tab/>
              <w:t>29</w:t>
            </w:r>
          </w:hyperlink>
        </w:p>
        <w:p w14:paraId="329994A4" w14:textId="77777777" w:rsidR="00ED3AE6" w:rsidRPr="008C38B0" w:rsidRDefault="008C38B0" w:rsidP="008C38B0">
          <w:pPr>
            <w:pStyle w:val="TOC2"/>
            <w:tabs>
              <w:tab w:val="right" w:leader="dot" w:pos="9025"/>
            </w:tabs>
            <w:jc w:val="both"/>
            <w:rPr>
              <w:rFonts w:ascii="Arial" w:hAnsi="Arial" w:cs="Arial"/>
            </w:rPr>
          </w:pPr>
          <w:hyperlink w:anchor="__RefHeading___Toc1563_1328646638">
            <w:r w:rsidRPr="008C38B0">
              <w:rPr>
                <w:rStyle w:val="IndexLink"/>
                <w:rFonts w:ascii="Arial" w:hAnsi="Arial" w:cs="Arial"/>
                <w:webHidden/>
              </w:rPr>
              <w:t>4.1 Introduction</w:t>
            </w:r>
            <w:r w:rsidRPr="008C38B0">
              <w:rPr>
                <w:rStyle w:val="IndexLink"/>
                <w:rFonts w:ascii="Arial" w:hAnsi="Arial" w:cs="Arial"/>
                <w:webHidden/>
              </w:rPr>
              <w:tab/>
              <w:t>29</w:t>
            </w:r>
          </w:hyperlink>
        </w:p>
        <w:p w14:paraId="48E83025" w14:textId="77777777" w:rsidR="00ED3AE6" w:rsidRPr="008C38B0" w:rsidRDefault="008C38B0" w:rsidP="008C38B0">
          <w:pPr>
            <w:pStyle w:val="TOC2"/>
            <w:tabs>
              <w:tab w:val="right" w:leader="dot" w:pos="9025"/>
            </w:tabs>
            <w:jc w:val="both"/>
            <w:rPr>
              <w:rFonts w:ascii="Arial" w:hAnsi="Arial" w:cs="Arial"/>
            </w:rPr>
          </w:pPr>
          <w:hyperlink w:anchor="__RefHeading___Toc1565_1328646638">
            <w:r w:rsidRPr="008C38B0">
              <w:rPr>
                <w:rStyle w:val="IndexLink"/>
                <w:rFonts w:ascii="Arial" w:hAnsi="Arial" w:cs="Arial"/>
                <w:webHidden/>
              </w:rPr>
              <w:t>4.2 The Conceptual Ambiguity of Person-Centred Care and Its Implications for Outcomes</w:t>
            </w:r>
            <w:r w:rsidRPr="008C38B0">
              <w:rPr>
                <w:rStyle w:val="IndexLink"/>
                <w:rFonts w:ascii="Arial" w:hAnsi="Arial" w:cs="Arial"/>
                <w:webHidden/>
              </w:rPr>
              <w:tab/>
              <w:t>30</w:t>
            </w:r>
          </w:hyperlink>
        </w:p>
        <w:p w14:paraId="0E8BC9BF" w14:textId="77777777" w:rsidR="00ED3AE6" w:rsidRPr="008C38B0" w:rsidRDefault="008C38B0" w:rsidP="008C38B0">
          <w:pPr>
            <w:pStyle w:val="TOC2"/>
            <w:tabs>
              <w:tab w:val="right" w:leader="dot" w:pos="9025"/>
            </w:tabs>
            <w:jc w:val="both"/>
            <w:rPr>
              <w:rFonts w:ascii="Arial" w:hAnsi="Arial" w:cs="Arial"/>
            </w:rPr>
          </w:pPr>
          <w:hyperlink w:anchor="__RefHeading___Toc1567_1328646638">
            <w:r w:rsidRPr="008C38B0">
              <w:rPr>
                <w:rStyle w:val="IndexLink"/>
                <w:rFonts w:ascii="Arial" w:hAnsi="Arial" w:cs="Arial"/>
                <w:webHidden/>
              </w:rPr>
              <w:t>4.3 Psychological and Emotional Outcomes: A Contingent Benefit</w:t>
            </w:r>
            <w:r w:rsidRPr="008C38B0">
              <w:rPr>
                <w:rStyle w:val="IndexLink"/>
                <w:rFonts w:ascii="Arial" w:hAnsi="Arial" w:cs="Arial"/>
                <w:webHidden/>
              </w:rPr>
              <w:tab/>
              <w:t>32</w:t>
            </w:r>
          </w:hyperlink>
        </w:p>
        <w:p w14:paraId="23C750BF" w14:textId="77777777" w:rsidR="00ED3AE6" w:rsidRPr="008C38B0" w:rsidRDefault="008C38B0" w:rsidP="008C38B0">
          <w:pPr>
            <w:pStyle w:val="TOC2"/>
            <w:tabs>
              <w:tab w:val="right" w:leader="dot" w:pos="9025"/>
            </w:tabs>
            <w:jc w:val="both"/>
            <w:rPr>
              <w:rFonts w:ascii="Arial" w:hAnsi="Arial" w:cs="Arial"/>
            </w:rPr>
          </w:pPr>
          <w:hyperlink w:anchor="__RefHeading___Toc1569_1328646638">
            <w:r w:rsidRPr="008C38B0">
              <w:rPr>
                <w:rStyle w:val="IndexLink"/>
                <w:rFonts w:ascii="Arial" w:hAnsi="Arial" w:cs="Arial"/>
                <w:webHidden/>
              </w:rPr>
              <w:t>4.4 Behavioural Outcomes in Dementia Care: Promising but Inconsistent Evidence</w:t>
            </w:r>
            <w:r w:rsidRPr="008C38B0">
              <w:rPr>
                <w:rStyle w:val="IndexLink"/>
                <w:rFonts w:ascii="Arial" w:hAnsi="Arial" w:cs="Arial"/>
                <w:webHidden/>
              </w:rPr>
              <w:tab/>
              <w:t>33</w:t>
            </w:r>
          </w:hyperlink>
        </w:p>
        <w:p w14:paraId="3071773F" w14:textId="77777777" w:rsidR="00ED3AE6" w:rsidRPr="008C38B0" w:rsidRDefault="008C38B0" w:rsidP="008C38B0">
          <w:pPr>
            <w:pStyle w:val="TOC2"/>
            <w:tabs>
              <w:tab w:val="right" w:leader="dot" w:pos="9025"/>
            </w:tabs>
            <w:jc w:val="both"/>
            <w:rPr>
              <w:rFonts w:ascii="Arial" w:hAnsi="Arial" w:cs="Arial"/>
            </w:rPr>
          </w:pPr>
          <w:hyperlink w:anchor="__RefHeading___Toc1571_1328646638">
            <w:r w:rsidRPr="008C38B0">
              <w:rPr>
                <w:rStyle w:val="IndexLink"/>
                <w:rFonts w:ascii="Arial" w:hAnsi="Arial" w:cs="Arial"/>
                <w:webHidden/>
              </w:rPr>
              <w:t>4.5 Social Interaction and Quality of Life: Difficult to Isolate, Difficult to Measure</w:t>
            </w:r>
            <w:r w:rsidRPr="008C38B0">
              <w:rPr>
                <w:rStyle w:val="IndexLink"/>
                <w:rFonts w:ascii="Arial" w:hAnsi="Arial" w:cs="Arial"/>
                <w:webHidden/>
              </w:rPr>
              <w:tab/>
              <w:t>36</w:t>
            </w:r>
          </w:hyperlink>
        </w:p>
        <w:p w14:paraId="0BF866C9" w14:textId="77777777" w:rsidR="00ED3AE6" w:rsidRPr="008C38B0" w:rsidRDefault="008C38B0" w:rsidP="008C38B0">
          <w:pPr>
            <w:pStyle w:val="TOC2"/>
            <w:tabs>
              <w:tab w:val="right" w:leader="dot" w:pos="9025"/>
            </w:tabs>
            <w:jc w:val="both"/>
            <w:rPr>
              <w:rFonts w:ascii="Arial" w:hAnsi="Arial" w:cs="Arial"/>
            </w:rPr>
          </w:pPr>
          <w:hyperlink w:anchor="__RefHeading___Toc1573_1328646638">
            <w:r w:rsidRPr="008C38B0">
              <w:rPr>
                <w:rStyle w:val="IndexLink"/>
                <w:rFonts w:ascii="Arial" w:hAnsi="Arial" w:cs="Arial"/>
                <w:webHidden/>
              </w:rPr>
              <w:t>4.6 Barriers to Implementation: Structural Constraints on Person-Centred Ideals</w:t>
            </w:r>
            <w:r w:rsidRPr="008C38B0">
              <w:rPr>
                <w:rStyle w:val="IndexLink"/>
                <w:rFonts w:ascii="Arial" w:hAnsi="Arial" w:cs="Arial"/>
                <w:webHidden/>
              </w:rPr>
              <w:tab/>
              <w:t>37</w:t>
            </w:r>
          </w:hyperlink>
        </w:p>
        <w:p w14:paraId="538BD7A7" w14:textId="77777777" w:rsidR="00ED3AE6" w:rsidRPr="008C38B0" w:rsidRDefault="008C38B0" w:rsidP="008C38B0">
          <w:pPr>
            <w:pStyle w:val="TOC2"/>
            <w:tabs>
              <w:tab w:val="right" w:leader="dot" w:pos="9025"/>
            </w:tabs>
            <w:jc w:val="both"/>
            <w:rPr>
              <w:rFonts w:ascii="Arial" w:hAnsi="Arial" w:cs="Arial"/>
            </w:rPr>
          </w:pPr>
          <w:hyperlink w:anchor="__RefHeading___Toc1575_1328646638">
            <w:r w:rsidRPr="008C38B0">
              <w:rPr>
                <w:rStyle w:val="IndexLink"/>
                <w:rFonts w:ascii="Arial" w:hAnsi="Arial" w:cs="Arial"/>
                <w:webHidden/>
              </w:rPr>
              <w:t>4.7 The Policy-Practice Gap: An Unresolved Tension</w:t>
            </w:r>
            <w:r w:rsidRPr="008C38B0">
              <w:rPr>
                <w:rStyle w:val="IndexLink"/>
                <w:rFonts w:ascii="Arial" w:hAnsi="Arial" w:cs="Arial"/>
                <w:webHidden/>
              </w:rPr>
              <w:tab/>
              <w:t>40</w:t>
            </w:r>
          </w:hyperlink>
        </w:p>
        <w:p w14:paraId="36DD0912" w14:textId="77777777" w:rsidR="00ED3AE6" w:rsidRPr="008C38B0" w:rsidRDefault="008C38B0" w:rsidP="008C38B0">
          <w:pPr>
            <w:pStyle w:val="TOC2"/>
            <w:tabs>
              <w:tab w:val="right" w:leader="dot" w:pos="9025"/>
            </w:tabs>
            <w:jc w:val="both"/>
            <w:rPr>
              <w:rFonts w:ascii="Arial" w:hAnsi="Arial" w:cs="Arial"/>
            </w:rPr>
          </w:pPr>
          <w:hyperlink w:anchor="__RefHeading___Toc1577_1328646638">
            <w:r w:rsidRPr="008C38B0">
              <w:rPr>
                <w:rStyle w:val="IndexLink"/>
                <w:rFonts w:ascii="Arial" w:hAnsi="Arial" w:cs="Arial"/>
                <w:webHidden/>
              </w:rPr>
              <w:t>4.8 Synthesis: Answering the Research Question</w:t>
            </w:r>
            <w:r w:rsidRPr="008C38B0">
              <w:rPr>
                <w:rStyle w:val="IndexLink"/>
                <w:rFonts w:ascii="Arial" w:hAnsi="Arial" w:cs="Arial"/>
                <w:webHidden/>
              </w:rPr>
              <w:tab/>
              <w:t>43</w:t>
            </w:r>
          </w:hyperlink>
        </w:p>
        <w:p w14:paraId="58B1C47D" w14:textId="77777777" w:rsidR="00ED3AE6" w:rsidRPr="008C38B0" w:rsidRDefault="008C38B0" w:rsidP="008C38B0">
          <w:pPr>
            <w:pStyle w:val="TOC1"/>
            <w:tabs>
              <w:tab w:val="right" w:leader="dot" w:pos="9025"/>
            </w:tabs>
            <w:jc w:val="both"/>
            <w:rPr>
              <w:rFonts w:ascii="Arial" w:hAnsi="Arial" w:cs="Arial"/>
            </w:rPr>
          </w:pPr>
          <w:hyperlink w:anchor="__RefHeading___Toc1579_1328646638">
            <w:r w:rsidRPr="008C38B0">
              <w:rPr>
                <w:rStyle w:val="IndexLink"/>
                <w:rFonts w:ascii="Arial" w:hAnsi="Arial" w:cs="Arial"/>
                <w:webHidden/>
              </w:rPr>
              <w:t>CHAPTER FIVE</w:t>
            </w:r>
            <w:r w:rsidRPr="008C38B0">
              <w:rPr>
                <w:rStyle w:val="IndexLink"/>
                <w:rFonts w:ascii="Arial" w:hAnsi="Arial" w:cs="Arial"/>
                <w:webHidden/>
              </w:rPr>
              <w:tab/>
              <w:t>45</w:t>
            </w:r>
          </w:hyperlink>
        </w:p>
        <w:p w14:paraId="36CBDE28" w14:textId="77777777" w:rsidR="00ED3AE6" w:rsidRPr="008C38B0" w:rsidRDefault="008C38B0" w:rsidP="008C38B0">
          <w:pPr>
            <w:pStyle w:val="TOC2"/>
            <w:tabs>
              <w:tab w:val="right" w:leader="dot" w:pos="9025"/>
            </w:tabs>
            <w:jc w:val="both"/>
            <w:rPr>
              <w:rFonts w:ascii="Arial" w:hAnsi="Arial" w:cs="Arial"/>
            </w:rPr>
          </w:pPr>
          <w:hyperlink w:anchor="__RefHeading___Toc1581_1328646638">
            <w:r w:rsidRPr="008C38B0">
              <w:rPr>
                <w:rStyle w:val="IndexLink"/>
                <w:rFonts w:ascii="Arial" w:hAnsi="Arial" w:cs="Arial"/>
                <w:webHidden/>
              </w:rPr>
              <w:t>5.1 Introduction</w:t>
            </w:r>
            <w:r w:rsidRPr="008C38B0">
              <w:rPr>
                <w:rStyle w:val="IndexLink"/>
                <w:rFonts w:ascii="Arial" w:hAnsi="Arial" w:cs="Arial"/>
                <w:webHidden/>
              </w:rPr>
              <w:tab/>
              <w:t>45</w:t>
            </w:r>
          </w:hyperlink>
        </w:p>
        <w:p w14:paraId="461669D7" w14:textId="77777777" w:rsidR="00ED3AE6" w:rsidRPr="008C38B0" w:rsidRDefault="008C38B0" w:rsidP="008C38B0">
          <w:pPr>
            <w:pStyle w:val="TOC2"/>
            <w:tabs>
              <w:tab w:val="right" w:leader="dot" w:pos="9025"/>
            </w:tabs>
            <w:jc w:val="both"/>
            <w:rPr>
              <w:rFonts w:ascii="Arial" w:hAnsi="Arial" w:cs="Arial"/>
            </w:rPr>
          </w:pPr>
          <w:hyperlink w:anchor="__RefHeading___Toc1583_1328646638">
            <w:r w:rsidRPr="008C38B0">
              <w:rPr>
                <w:rStyle w:val="IndexLink"/>
                <w:rFonts w:ascii="Arial" w:hAnsi="Arial" w:cs="Arial"/>
                <w:webHidden/>
              </w:rPr>
              <w:t>5.2 Summary of Key Findings</w:t>
            </w:r>
            <w:r w:rsidRPr="008C38B0">
              <w:rPr>
                <w:rStyle w:val="IndexLink"/>
                <w:rFonts w:ascii="Arial" w:hAnsi="Arial" w:cs="Arial"/>
                <w:webHidden/>
              </w:rPr>
              <w:tab/>
              <w:t>45</w:t>
            </w:r>
          </w:hyperlink>
        </w:p>
        <w:p w14:paraId="64E7379E" w14:textId="77777777" w:rsidR="00ED3AE6" w:rsidRPr="008C38B0" w:rsidRDefault="008C38B0" w:rsidP="008C38B0">
          <w:pPr>
            <w:pStyle w:val="TOC2"/>
            <w:tabs>
              <w:tab w:val="right" w:leader="dot" w:pos="9025"/>
            </w:tabs>
            <w:jc w:val="both"/>
            <w:rPr>
              <w:rFonts w:ascii="Arial" w:hAnsi="Arial" w:cs="Arial"/>
            </w:rPr>
          </w:pPr>
          <w:hyperlink w:anchor="__RefHeading___Toc1585_1328646638">
            <w:r w:rsidRPr="008C38B0">
              <w:rPr>
                <w:rStyle w:val="IndexLink"/>
                <w:rFonts w:ascii="Arial" w:hAnsi="Arial" w:cs="Arial"/>
                <w:webHidden/>
              </w:rPr>
              <w:t>5.3 Recommendations for Practice</w:t>
            </w:r>
            <w:r w:rsidRPr="008C38B0">
              <w:rPr>
                <w:rStyle w:val="IndexLink"/>
                <w:rFonts w:ascii="Arial" w:hAnsi="Arial" w:cs="Arial"/>
                <w:webHidden/>
              </w:rPr>
              <w:tab/>
              <w:t>45</w:t>
            </w:r>
          </w:hyperlink>
        </w:p>
        <w:p w14:paraId="154D926D" w14:textId="77777777" w:rsidR="00ED3AE6" w:rsidRPr="008C38B0" w:rsidRDefault="008C38B0" w:rsidP="008C38B0">
          <w:pPr>
            <w:pStyle w:val="TOC2"/>
            <w:tabs>
              <w:tab w:val="right" w:leader="dot" w:pos="9025"/>
            </w:tabs>
            <w:jc w:val="both"/>
            <w:rPr>
              <w:rFonts w:ascii="Arial" w:hAnsi="Arial" w:cs="Arial"/>
            </w:rPr>
          </w:pPr>
          <w:hyperlink w:anchor="__RefHeading___Toc1587_1328646638">
            <w:r w:rsidRPr="008C38B0">
              <w:rPr>
                <w:rStyle w:val="IndexLink"/>
                <w:rFonts w:ascii="Arial" w:hAnsi="Arial" w:cs="Arial"/>
                <w:webHidden/>
              </w:rPr>
              <w:t>5.4 Recommendations for Policy</w:t>
            </w:r>
            <w:r w:rsidRPr="008C38B0">
              <w:rPr>
                <w:rStyle w:val="IndexLink"/>
                <w:rFonts w:ascii="Arial" w:hAnsi="Arial" w:cs="Arial"/>
                <w:webHidden/>
              </w:rPr>
              <w:tab/>
              <w:t>46</w:t>
            </w:r>
          </w:hyperlink>
        </w:p>
        <w:p w14:paraId="5BF713E5" w14:textId="77777777" w:rsidR="00ED3AE6" w:rsidRPr="008C38B0" w:rsidRDefault="008C38B0" w:rsidP="008C38B0">
          <w:pPr>
            <w:pStyle w:val="TOC2"/>
            <w:tabs>
              <w:tab w:val="right" w:leader="dot" w:pos="9025"/>
            </w:tabs>
            <w:jc w:val="both"/>
            <w:rPr>
              <w:rFonts w:ascii="Arial" w:hAnsi="Arial" w:cs="Arial"/>
            </w:rPr>
          </w:pPr>
          <w:hyperlink w:anchor="__RefHeading___Toc1589_1328646638">
            <w:r w:rsidRPr="008C38B0">
              <w:rPr>
                <w:rStyle w:val="IndexLink"/>
                <w:rFonts w:ascii="Arial" w:hAnsi="Arial" w:cs="Arial"/>
                <w:webHidden/>
              </w:rPr>
              <w:t>5.5 Recommendations for Future Research</w:t>
            </w:r>
            <w:r w:rsidRPr="008C38B0">
              <w:rPr>
                <w:rStyle w:val="IndexLink"/>
                <w:rFonts w:ascii="Arial" w:hAnsi="Arial" w:cs="Arial"/>
                <w:webHidden/>
              </w:rPr>
              <w:tab/>
              <w:t>47</w:t>
            </w:r>
          </w:hyperlink>
        </w:p>
        <w:p w14:paraId="30C33027" w14:textId="77777777" w:rsidR="00ED3AE6" w:rsidRPr="008C38B0" w:rsidRDefault="008C38B0" w:rsidP="008C38B0">
          <w:pPr>
            <w:pStyle w:val="TOC2"/>
            <w:tabs>
              <w:tab w:val="right" w:leader="dot" w:pos="9025"/>
            </w:tabs>
            <w:jc w:val="both"/>
            <w:rPr>
              <w:rFonts w:ascii="Arial" w:hAnsi="Arial" w:cs="Arial"/>
            </w:rPr>
          </w:pPr>
          <w:hyperlink w:anchor="__RefHeading___Toc1591_1328646638">
            <w:r w:rsidRPr="008C38B0">
              <w:rPr>
                <w:rStyle w:val="IndexLink"/>
                <w:rFonts w:ascii="Arial" w:hAnsi="Arial" w:cs="Arial"/>
                <w:webHidden/>
              </w:rPr>
              <w:t>5.6 Limitations of the Study</w:t>
            </w:r>
            <w:r w:rsidRPr="008C38B0">
              <w:rPr>
                <w:rStyle w:val="IndexLink"/>
                <w:rFonts w:ascii="Arial" w:hAnsi="Arial" w:cs="Arial"/>
                <w:webHidden/>
              </w:rPr>
              <w:tab/>
              <w:t>47</w:t>
            </w:r>
          </w:hyperlink>
        </w:p>
        <w:p w14:paraId="4B1B1A97" w14:textId="77777777" w:rsidR="00ED3AE6" w:rsidRPr="008C38B0" w:rsidRDefault="008C38B0" w:rsidP="008C38B0">
          <w:pPr>
            <w:pStyle w:val="TOC2"/>
            <w:tabs>
              <w:tab w:val="right" w:leader="dot" w:pos="9025"/>
            </w:tabs>
            <w:jc w:val="both"/>
            <w:rPr>
              <w:rFonts w:ascii="Arial" w:hAnsi="Arial" w:cs="Arial"/>
            </w:rPr>
          </w:pPr>
          <w:hyperlink w:anchor="__RefHeading___Toc1593_1328646638">
            <w:r w:rsidRPr="008C38B0">
              <w:rPr>
                <w:rStyle w:val="IndexLink"/>
                <w:rFonts w:ascii="Arial" w:hAnsi="Arial" w:cs="Arial"/>
                <w:webHidden/>
              </w:rPr>
              <w:t>5.7 Conclusion</w:t>
            </w:r>
            <w:r w:rsidRPr="008C38B0">
              <w:rPr>
                <w:rStyle w:val="IndexLink"/>
                <w:rFonts w:ascii="Arial" w:hAnsi="Arial" w:cs="Arial"/>
                <w:webHidden/>
              </w:rPr>
              <w:tab/>
              <w:t>47</w:t>
            </w:r>
          </w:hyperlink>
          <w:r w:rsidRPr="008C38B0">
            <w:rPr>
              <w:rStyle w:val="IndexLink"/>
              <w:rFonts w:ascii="Arial" w:hAnsi="Arial" w:cs="Arial"/>
            </w:rPr>
            <w:fldChar w:fldCharType="end"/>
          </w:r>
        </w:p>
      </w:sdtContent>
    </w:sdt>
    <w:p w14:paraId="69D7E533" w14:textId="77777777" w:rsidR="00ED3AE6" w:rsidRPr="008C38B0" w:rsidRDefault="008C38B0" w:rsidP="008C38B0">
      <w:pPr>
        <w:spacing w:line="360" w:lineRule="auto"/>
        <w:jc w:val="both"/>
        <w:rPr>
          <w:rFonts w:ascii="Arial" w:hAnsi="Arial" w:cs="Arial"/>
          <w:sz w:val="22"/>
          <w:szCs w:val="22"/>
        </w:rPr>
      </w:pPr>
      <w:r w:rsidRPr="008C38B0">
        <w:rPr>
          <w:rFonts w:ascii="Arial" w:hAnsi="Arial" w:cs="Arial"/>
          <w:sz w:val="22"/>
          <w:szCs w:val="22"/>
        </w:rPr>
        <w:br w:type="page"/>
      </w:r>
    </w:p>
    <w:p w14:paraId="1A80C745" w14:textId="77777777" w:rsidR="00ED3AE6" w:rsidRDefault="008C38B0" w:rsidP="008C38B0">
      <w:pPr>
        <w:spacing w:line="360" w:lineRule="auto"/>
        <w:jc w:val="center"/>
      </w:pPr>
      <w:r>
        <w:rPr>
          <w:rFonts w:ascii="Arial" w:hAnsi="Arial" w:cs="Arial"/>
          <w:b/>
          <w:sz w:val="32"/>
        </w:rPr>
        <w:lastRenderedPageBreak/>
        <w:t>List of Tables</w:t>
      </w:r>
    </w:p>
    <w:sdt>
      <w:sdtPr>
        <w:id w:val="1973326972"/>
        <w:docPartObj>
          <w:docPartGallery w:val="Table of Contents"/>
          <w:docPartUnique/>
        </w:docPartObj>
      </w:sdtPr>
      <w:sdtEndPr>
        <w:rPr>
          <w:rFonts w:ascii="Arial" w:hAnsi="Arial" w:cs="Arial"/>
        </w:rPr>
      </w:sdtEndPr>
      <w:sdtContent>
        <w:p w14:paraId="59697190" w14:textId="77777777" w:rsidR="00ED3AE6" w:rsidRPr="008C38B0" w:rsidRDefault="008C38B0">
          <w:pPr>
            <w:pStyle w:val="TOC1"/>
            <w:tabs>
              <w:tab w:val="right" w:leader="dot" w:pos="9025"/>
            </w:tabs>
            <w:rPr>
              <w:rFonts w:ascii="Arial" w:hAnsi="Arial" w:cs="Arial"/>
            </w:rPr>
          </w:pPr>
          <w:r w:rsidRPr="008C38B0">
            <w:fldChar w:fldCharType="begin"/>
          </w:r>
          <w:r w:rsidRPr="008C38B0">
            <w:rPr>
              <w:rStyle w:val="IndexLink"/>
              <w:rFonts w:ascii="Arial" w:hAnsi="Arial" w:cs="Arial"/>
              <w:iCs/>
              <w:webHidden/>
            </w:rPr>
            <w:instrText xml:space="preserve"> TOC \z \t "TableCaption,1" \h</w:instrText>
          </w:r>
          <w:r w:rsidRPr="008C38B0">
            <w:rPr>
              <w:rStyle w:val="IndexLink"/>
              <w:rFonts w:ascii="Arial" w:hAnsi="Arial" w:cs="Arial"/>
              <w:iCs/>
            </w:rPr>
            <w:fldChar w:fldCharType="separate"/>
          </w:r>
          <w:hyperlink w:anchor="__RefHeading___Toc1367_2390222576">
            <w:r w:rsidRPr="008C38B0">
              <w:rPr>
                <w:rStyle w:val="IndexLink"/>
                <w:rFonts w:ascii="Arial" w:hAnsi="Arial" w:cs="Arial"/>
                <w:iCs/>
                <w:webHidden/>
              </w:rPr>
              <w:t>Table 1.1 The UK Residential Care Sector: Key Statistics</w:t>
            </w:r>
            <w:r w:rsidRPr="008C38B0">
              <w:rPr>
                <w:rStyle w:val="IndexLink"/>
                <w:rFonts w:ascii="Arial" w:hAnsi="Arial" w:cs="Arial"/>
              </w:rPr>
              <w:tab/>
              <w:t>11</w:t>
            </w:r>
          </w:hyperlink>
        </w:p>
        <w:p w14:paraId="3D3696CD" w14:textId="77777777" w:rsidR="00ED3AE6" w:rsidRPr="008C38B0" w:rsidRDefault="008C38B0">
          <w:pPr>
            <w:pStyle w:val="TOC1"/>
            <w:tabs>
              <w:tab w:val="right" w:leader="dot" w:pos="9025"/>
            </w:tabs>
            <w:rPr>
              <w:rFonts w:ascii="Arial" w:hAnsi="Arial" w:cs="Arial"/>
            </w:rPr>
          </w:pPr>
          <w:hyperlink w:anchor="__RefHeading___Toc1375_2390222576">
            <w:r w:rsidRPr="008C38B0">
              <w:rPr>
                <w:rStyle w:val="IndexLink"/>
                <w:rFonts w:ascii="Arial" w:hAnsi="Arial" w:cs="Arial"/>
                <w:iCs/>
                <w:webHidden/>
              </w:rPr>
              <w:t>Table 2.1 Summary of Key Empirical Studies Included in the Review</w:t>
            </w:r>
            <w:r w:rsidRPr="008C38B0">
              <w:rPr>
                <w:rStyle w:val="IndexLink"/>
                <w:rFonts w:ascii="Arial" w:hAnsi="Arial" w:cs="Arial"/>
              </w:rPr>
              <w:tab/>
              <w:t>21</w:t>
            </w:r>
          </w:hyperlink>
        </w:p>
        <w:p w14:paraId="7244091E" w14:textId="77777777" w:rsidR="00ED3AE6" w:rsidRPr="008C38B0" w:rsidRDefault="008C38B0">
          <w:pPr>
            <w:pStyle w:val="TOC1"/>
            <w:tabs>
              <w:tab w:val="right" w:leader="dot" w:pos="9025"/>
            </w:tabs>
            <w:rPr>
              <w:rFonts w:ascii="Arial" w:hAnsi="Arial" w:cs="Arial"/>
            </w:rPr>
          </w:pPr>
          <w:hyperlink w:anchor="__RefHeading___Toc1373_2390222576">
            <w:r w:rsidRPr="008C38B0">
              <w:rPr>
                <w:rStyle w:val="IndexLink"/>
                <w:rFonts w:ascii="Arial" w:hAnsi="Arial" w:cs="Arial"/>
                <w:iCs/>
                <w:webHidden/>
              </w:rPr>
              <w:t>Table 4.1 Synthesis of Evidence by Outcome Domain</w:t>
            </w:r>
            <w:r w:rsidRPr="008C38B0">
              <w:rPr>
                <w:rStyle w:val="IndexLink"/>
                <w:rFonts w:ascii="Arial" w:hAnsi="Arial" w:cs="Arial"/>
              </w:rPr>
              <w:tab/>
              <w:t>29</w:t>
            </w:r>
          </w:hyperlink>
        </w:p>
        <w:p w14:paraId="371EAB27" w14:textId="77777777" w:rsidR="00ED3AE6" w:rsidRPr="008C38B0" w:rsidRDefault="008C38B0">
          <w:pPr>
            <w:pStyle w:val="TOC1"/>
            <w:tabs>
              <w:tab w:val="right" w:leader="dot" w:pos="9025"/>
            </w:tabs>
            <w:rPr>
              <w:rFonts w:ascii="Arial" w:hAnsi="Arial" w:cs="Arial"/>
            </w:rPr>
          </w:pPr>
          <w:hyperlink w:anchor="__RefHeading___Toc1371_2390222576">
            <w:r w:rsidRPr="008C38B0">
              <w:rPr>
                <w:rStyle w:val="IndexLink"/>
                <w:rFonts w:ascii="Arial" w:hAnsi="Arial" w:cs="Arial"/>
                <w:iCs/>
                <w:webHidden/>
              </w:rPr>
              <w:t>Table 4.2 Barriers to the Implementation of PCC in UK Residential Care</w:t>
            </w:r>
            <w:r w:rsidRPr="008C38B0">
              <w:rPr>
                <w:rStyle w:val="IndexLink"/>
                <w:rFonts w:ascii="Arial" w:hAnsi="Arial" w:cs="Arial"/>
              </w:rPr>
              <w:tab/>
              <w:t>39</w:t>
            </w:r>
          </w:hyperlink>
        </w:p>
        <w:p w14:paraId="2E98B655" w14:textId="77777777" w:rsidR="00ED3AE6" w:rsidRPr="008C38B0" w:rsidRDefault="008C38B0">
          <w:pPr>
            <w:pStyle w:val="TOC1"/>
            <w:tabs>
              <w:tab w:val="right" w:leader="dot" w:pos="9025"/>
            </w:tabs>
            <w:rPr>
              <w:rFonts w:ascii="Arial" w:hAnsi="Arial" w:cs="Arial"/>
            </w:rPr>
          </w:pPr>
          <w:hyperlink w:anchor="__RefHeading___Toc1369_2390222576">
            <w:r w:rsidRPr="008C38B0">
              <w:rPr>
                <w:rStyle w:val="IndexLink"/>
                <w:rFonts w:ascii="Arial" w:hAnsi="Arial" w:cs="Arial"/>
                <w:iCs/>
                <w:webHidden/>
              </w:rPr>
              <w:t>Table 5.1 Summary of Recommendations for Practice and Policy</w:t>
            </w:r>
            <w:r w:rsidRPr="008C38B0">
              <w:rPr>
                <w:rStyle w:val="IndexLink"/>
                <w:rFonts w:ascii="Arial" w:hAnsi="Arial" w:cs="Arial"/>
              </w:rPr>
              <w:tab/>
              <w:t>46</w:t>
            </w:r>
          </w:hyperlink>
          <w:r w:rsidRPr="008C38B0">
            <w:rPr>
              <w:rStyle w:val="IndexLink"/>
              <w:rFonts w:ascii="Arial" w:hAnsi="Arial" w:cs="Arial"/>
            </w:rPr>
            <w:fldChar w:fldCharType="end"/>
          </w:r>
        </w:p>
      </w:sdtContent>
    </w:sdt>
    <w:p w14:paraId="3397B971" w14:textId="77777777" w:rsidR="00ED3AE6" w:rsidRDefault="008C38B0">
      <w:pPr>
        <w:spacing w:line="360" w:lineRule="auto"/>
        <w:rPr>
          <w:rFonts w:ascii="Arial" w:hAnsi="Arial" w:cs="Arial"/>
          <w:sz w:val="22"/>
          <w:szCs w:val="22"/>
        </w:rPr>
      </w:pPr>
      <w:r>
        <w:br w:type="page"/>
      </w:r>
    </w:p>
    <w:p w14:paraId="5EB1E05E" w14:textId="77777777" w:rsidR="00ED3AE6" w:rsidRDefault="008C38B0" w:rsidP="008C38B0">
      <w:pPr>
        <w:spacing w:line="360" w:lineRule="auto"/>
        <w:jc w:val="center"/>
      </w:pPr>
      <w:r>
        <w:rPr>
          <w:rFonts w:ascii="Arial" w:hAnsi="Arial" w:cs="Arial"/>
          <w:b/>
          <w:sz w:val="32"/>
        </w:rPr>
        <w:lastRenderedPageBreak/>
        <w:t>List of Figures</w:t>
      </w:r>
    </w:p>
    <w:sdt>
      <w:sdtPr>
        <w:id w:val="-884323578"/>
        <w:docPartObj>
          <w:docPartGallery w:val="Table of Contents"/>
          <w:docPartUnique/>
        </w:docPartObj>
      </w:sdtPr>
      <w:sdtEndPr/>
      <w:sdtContent>
        <w:p w14:paraId="68F95874" w14:textId="77777777" w:rsidR="00ED3AE6" w:rsidRPr="008C38B0" w:rsidRDefault="008C38B0">
          <w:pPr>
            <w:pStyle w:val="TOC1"/>
            <w:tabs>
              <w:tab w:val="right" w:leader="dot" w:pos="9025"/>
            </w:tabs>
            <w:rPr>
              <w:rFonts w:ascii="Arial" w:hAnsi="Arial" w:cs="Arial"/>
            </w:rPr>
          </w:pPr>
          <w:r>
            <w:fldChar w:fldCharType="begin"/>
          </w:r>
          <w:r>
            <w:rPr>
              <w:rStyle w:val="IndexLink"/>
              <w:i/>
              <w:iCs/>
              <w:webHidden/>
            </w:rPr>
            <w:instrText xml:space="preserve"> TOC \z \t "FigureCaption,1" \h</w:instrText>
          </w:r>
          <w:r>
            <w:rPr>
              <w:rStyle w:val="IndexLink"/>
              <w:i/>
              <w:iCs/>
            </w:rPr>
            <w:fldChar w:fldCharType="separate"/>
          </w:r>
          <w:hyperlink w:anchor="__RefHeading___Toc1377_2390222576">
            <w:r w:rsidRPr="008C38B0">
              <w:rPr>
                <w:rStyle w:val="IndexLink"/>
                <w:rFonts w:ascii="Arial" w:hAnsi="Arial" w:cs="Arial"/>
                <w:iCs/>
                <w:webHidden/>
              </w:rPr>
              <w:t>Figure 1.1 Growth of the UK Population Aged 65 and Over, 1972–2072</w:t>
            </w:r>
            <w:r w:rsidRPr="008C38B0">
              <w:rPr>
                <w:rStyle w:val="IndexLink"/>
                <w:rFonts w:ascii="Arial" w:hAnsi="Arial" w:cs="Arial"/>
              </w:rPr>
              <w:tab/>
              <w:t>11</w:t>
            </w:r>
          </w:hyperlink>
        </w:p>
        <w:p w14:paraId="40C33FF8" w14:textId="77777777" w:rsidR="00ED3AE6" w:rsidRPr="008C38B0" w:rsidRDefault="008C38B0">
          <w:pPr>
            <w:pStyle w:val="TOC1"/>
            <w:tabs>
              <w:tab w:val="right" w:leader="dot" w:pos="9025"/>
            </w:tabs>
            <w:rPr>
              <w:rFonts w:ascii="Arial" w:hAnsi="Arial" w:cs="Arial"/>
            </w:rPr>
          </w:pPr>
          <w:hyperlink w:anchor="__RefHeading___Toc1611_1328646638">
            <w:r w:rsidRPr="008C38B0">
              <w:rPr>
                <w:rStyle w:val="IndexLink"/>
                <w:rFonts w:ascii="Arial" w:hAnsi="Arial" w:cs="Arial"/>
                <w:webHidden/>
              </w:rPr>
              <w:t>Figure 4.1 Consistency of Evidence Across PCC Outcome Domains</w:t>
            </w:r>
            <w:r w:rsidRPr="008C38B0">
              <w:rPr>
                <w:rStyle w:val="IndexLink"/>
                <w:rFonts w:ascii="Arial" w:hAnsi="Arial" w:cs="Arial"/>
              </w:rPr>
              <w:tab/>
              <w:t>30</w:t>
            </w:r>
          </w:hyperlink>
        </w:p>
        <w:p w14:paraId="1D79E12A" w14:textId="77777777" w:rsidR="00ED3AE6" w:rsidRDefault="008C38B0">
          <w:pPr>
            <w:pStyle w:val="TOC1"/>
            <w:tabs>
              <w:tab w:val="right" w:leader="dot" w:pos="9025"/>
            </w:tabs>
          </w:pPr>
          <w:hyperlink w:anchor="__RefHeading___Toc1609_1328646638">
            <w:r w:rsidRPr="008C38B0">
              <w:rPr>
                <w:rStyle w:val="IndexLink"/>
                <w:rFonts w:ascii="Arial" w:hAnsi="Arial" w:cs="Arial"/>
                <w:webHidden/>
              </w:rPr>
              <w:t>Figure 4.2 Barriers to PCC Implementation Identified in the Reviewed Literature</w:t>
            </w:r>
            <w:r w:rsidRPr="008C38B0">
              <w:rPr>
                <w:rStyle w:val="IndexLink"/>
                <w:rFonts w:ascii="Arial" w:hAnsi="Arial" w:cs="Arial"/>
              </w:rPr>
              <w:tab/>
              <w:t>39</w:t>
            </w:r>
          </w:hyperlink>
          <w:r>
            <w:rPr>
              <w:rStyle w:val="IndexLink"/>
            </w:rPr>
            <w:fldChar w:fldCharType="end"/>
          </w:r>
        </w:p>
      </w:sdtContent>
    </w:sdt>
    <w:p w14:paraId="67BFDA74" w14:textId="77777777" w:rsidR="00ED3AE6" w:rsidRDefault="008C38B0">
      <w:pPr>
        <w:spacing w:line="360" w:lineRule="auto"/>
        <w:rPr>
          <w:rFonts w:ascii="Arial" w:hAnsi="Arial" w:cs="Arial"/>
          <w:sz w:val="22"/>
          <w:szCs w:val="22"/>
        </w:rPr>
      </w:pPr>
      <w:r>
        <w:br w:type="page"/>
      </w:r>
    </w:p>
    <w:p w14:paraId="462C77F2" w14:textId="77777777" w:rsidR="00ED3AE6" w:rsidRDefault="008C38B0">
      <w:pPr>
        <w:pStyle w:val="Heading1"/>
        <w:spacing w:line="360" w:lineRule="auto"/>
        <w:jc w:val="center"/>
        <w:rPr>
          <w:rFonts w:ascii="Arial" w:hAnsi="Arial" w:cs="Arial"/>
          <w:color w:val="auto"/>
          <w:sz w:val="22"/>
          <w:szCs w:val="22"/>
        </w:rPr>
      </w:pPr>
      <w:bookmarkStart w:id="0" w:name="__RefHeading___Toc1511_1328646638"/>
      <w:bookmarkEnd w:id="0"/>
      <w:r>
        <w:rPr>
          <w:rFonts w:ascii="Arial" w:hAnsi="Arial" w:cs="Arial"/>
          <w:b/>
          <w:bCs/>
          <w:color w:val="auto"/>
          <w:szCs w:val="22"/>
        </w:rPr>
        <w:lastRenderedPageBreak/>
        <w:t>CHAPTER ONE</w:t>
      </w:r>
    </w:p>
    <w:p w14:paraId="330256A8" w14:textId="77777777" w:rsidR="00ED3AE6" w:rsidRPr="00922E6A" w:rsidRDefault="008C38B0">
      <w:pPr>
        <w:spacing w:line="360" w:lineRule="auto"/>
        <w:jc w:val="center"/>
        <w:rPr>
          <w:rFonts w:ascii="Arial" w:hAnsi="Arial" w:cs="Arial"/>
          <w:sz w:val="28"/>
          <w:szCs w:val="22"/>
        </w:rPr>
      </w:pPr>
      <w:r w:rsidRPr="00922E6A">
        <w:rPr>
          <w:rFonts w:ascii="Arial" w:hAnsi="Arial" w:cs="Arial"/>
          <w:b/>
          <w:bCs/>
          <w:sz w:val="28"/>
          <w:szCs w:val="22"/>
        </w:rPr>
        <w:t>INTRODUCTION</w:t>
      </w:r>
    </w:p>
    <w:p w14:paraId="7BC33967" w14:textId="77777777" w:rsidR="00ED3AE6" w:rsidRDefault="008C38B0">
      <w:pPr>
        <w:pStyle w:val="Heading2"/>
        <w:spacing w:line="360" w:lineRule="auto"/>
        <w:jc w:val="both"/>
        <w:rPr>
          <w:rFonts w:ascii="Arial" w:hAnsi="Arial" w:cs="Arial"/>
          <w:color w:val="auto"/>
          <w:sz w:val="22"/>
          <w:szCs w:val="22"/>
        </w:rPr>
      </w:pPr>
      <w:bookmarkStart w:id="1" w:name="__RefHeading___Toc1513_1328646638"/>
      <w:bookmarkEnd w:id="1"/>
      <w:r>
        <w:rPr>
          <w:rFonts w:ascii="Arial" w:hAnsi="Arial" w:cs="Arial"/>
          <w:b/>
          <w:bCs/>
          <w:color w:val="auto"/>
          <w:sz w:val="28"/>
          <w:szCs w:val="22"/>
        </w:rPr>
        <w:t>1.1 Background and Context</w:t>
      </w:r>
    </w:p>
    <w:p w14:paraId="0B7E2479" w14:textId="77777777" w:rsidR="00ED3AE6" w:rsidRDefault="008C38B0">
      <w:pPr>
        <w:spacing w:line="360" w:lineRule="auto"/>
        <w:jc w:val="both"/>
        <w:rPr>
          <w:rFonts w:ascii="Arial" w:hAnsi="Arial" w:cs="Arial"/>
          <w:sz w:val="22"/>
          <w:szCs w:val="22"/>
        </w:rPr>
      </w:pPr>
      <w:r>
        <w:rPr>
          <w:rFonts w:ascii="Arial" w:hAnsi="Arial" w:cs="Arial"/>
          <w:sz w:val="22"/>
          <w:szCs w:val="22"/>
        </w:rPr>
        <w:t>Population ageing is a significant global phenomenon that continues to place increasing demands on health and social care systems. In the United Kingdom, the proportion of older adults is rising steadily, leading to greater reliance on residential care services to support individuals with complex physical, cognitive, and social needs (World Health Organization, 2021). Older adults living in residential care settings often experience multiple health conditions, reduced independence, and varying degrees of social isolation, all of which necessitate comprehensive and responsive care approaches.</w:t>
      </w:r>
    </w:p>
    <w:p w14:paraId="0149F9C5" w14:textId="77777777" w:rsidR="00ED3AE6" w:rsidRDefault="008C38B0">
      <w:pPr>
        <w:spacing w:line="360" w:lineRule="auto"/>
        <w:jc w:val="both"/>
        <w:rPr>
          <w:rFonts w:ascii="Arial" w:hAnsi="Arial" w:cs="Arial"/>
          <w:sz w:val="22"/>
          <w:szCs w:val="22"/>
        </w:rPr>
      </w:pPr>
      <w:r>
        <w:rPr>
          <w:rFonts w:ascii="Arial" w:hAnsi="Arial" w:cs="Arial"/>
          <w:sz w:val="22"/>
          <w:szCs w:val="22"/>
        </w:rPr>
        <w:t>In response to these challenges, person-</w:t>
      </w:r>
      <w:proofErr w:type="spellStart"/>
      <w:r>
        <w:rPr>
          <w:rFonts w:ascii="Arial" w:hAnsi="Arial" w:cs="Arial"/>
          <w:sz w:val="22"/>
          <w:szCs w:val="22"/>
        </w:rPr>
        <w:t>centred</w:t>
      </w:r>
      <w:proofErr w:type="spellEnd"/>
      <w:r>
        <w:rPr>
          <w:rFonts w:ascii="Arial" w:hAnsi="Arial" w:cs="Arial"/>
          <w:sz w:val="22"/>
          <w:szCs w:val="22"/>
        </w:rPr>
        <w:t xml:space="preserve"> care has emerged as a fundamental principle underpinning contemporary health and social care practice. Person-</w:t>
      </w:r>
      <w:proofErr w:type="spellStart"/>
      <w:r>
        <w:rPr>
          <w:rFonts w:ascii="Arial" w:hAnsi="Arial" w:cs="Arial"/>
          <w:sz w:val="22"/>
          <w:szCs w:val="22"/>
        </w:rPr>
        <w:t>centred</w:t>
      </w:r>
      <w:proofErr w:type="spellEnd"/>
      <w:r>
        <w:rPr>
          <w:rFonts w:ascii="Arial" w:hAnsi="Arial" w:cs="Arial"/>
          <w:sz w:val="22"/>
          <w:szCs w:val="22"/>
        </w:rPr>
        <w:t xml:space="preserve"> care is an approach that </w:t>
      </w:r>
      <w:proofErr w:type="spellStart"/>
      <w:r>
        <w:rPr>
          <w:rFonts w:ascii="Arial" w:hAnsi="Arial" w:cs="Arial"/>
          <w:sz w:val="22"/>
          <w:szCs w:val="22"/>
        </w:rPr>
        <w:t>prioritises</w:t>
      </w:r>
      <w:proofErr w:type="spellEnd"/>
      <w:r>
        <w:rPr>
          <w:rFonts w:ascii="Arial" w:hAnsi="Arial" w:cs="Arial"/>
          <w:sz w:val="22"/>
          <w:szCs w:val="22"/>
        </w:rPr>
        <w:t xml:space="preserve"> the individuality of service users, </w:t>
      </w:r>
      <w:proofErr w:type="spellStart"/>
      <w:r>
        <w:rPr>
          <w:rFonts w:ascii="Arial" w:hAnsi="Arial" w:cs="Arial"/>
          <w:sz w:val="22"/>
          <w:szCs w:val="22"/>
        </w:rPr>
        <w:t>recognising</w:t>
      </w:r>
      <w:proofErr w:type="spellEnd"/>
      <w:r>
        <w:rPr>
          <w:rFonts w:ascii="Arial" w:hAnsi="Arial" w:cs="Arial"/>
          <w:sz w:val="22"/>
          <w:szCs w:val="22"/>
        </w:rPr>
        <w:t xml:space="preserve"> their preferences, values, and life experiences. Rather than focusing solely on medical conditions or routine tasks, this approach seeks to promote dignity, autonomy, and meaningful engagement in care delivery (National Institute for Health and Care Excellence, 2022). As such, person-</w:t>
      </w:r>
      <w:proofErr w:type="spellStart"/>
      <w:r>
        <w:rPr>
          <w:rFonts w:ascii="Arial" w:hAnsi="Arial" w:cs="Arial"/>
          <w:sz w:val="22"/>
          <w:szCs w:val="22"/>
        </w:rPr>
        <w:t>centred</w:t>
      </w:r>
      <w:proofErr w:type="spellEnd"/>
      <w:r>
        <w:rPr>
          <w:rFonts w:ascii="Arial" w:hAnsi="Arial" w:cs="Arial"/>
          <w:sz w:val="22"/>
          <w:szCs w:val="22"/>
        </w:rPr>
        <w:t xml:space="preserve"> care represents a shift away from traditional, institutional models of care that have historically been </w:t>
      </w:r>
      <w:proofErr w:type="spellStart"/>
      <w:r>
        <w:rPr>
          <w:rFonts w:ascii="Arial" w:hAnsi="Arial" w:cs="Arial"/>
          <w:sz w:val="22"/>
          <w:szCs w:val="22"/>
        </w:rPr>
        <w:t>criticised</w:t>
      </w:r>
      <w:proofErr w:type="spellEnd"/>
      <w:r>
        <w:rPr>
          <w:rFonts w:ascii="Arial" w:hAnsi="Arial" w:cs="Arial"/>
          <w:sz w:val="22"/>
          <w:szCs w:val="22"/>
        </w:rPr>
        <w:t xml:space="preserve"> for being impersonal and task-oriented.</w:t>
      </w:r>
    </w:p>
    <w:p w14:paraId="0DFFBCCE" w14:textId="77777777" w:rsidR="00ED3AE6" w:rsidRDefault="008C38B0">
      <w:pPr>
        <w:spacing w:line="360" w:lineRule="auto"/>
        <w:jc w:val="both"/>
        <w:rPr>
          <w:rFonts w:ascii="Arial" w:hAnsi="Arial" w:cs="Arial"/>
          <w:sz w:val="22"/>
          <w:szCs w:val="22"/>
        </w:rPr>
      </w:pPr>
      <w:r>
        <w:rPr>
          <w:rFonts w:ascii="Arial" w:hAnsi="Arial" w:cs="Arial"/>
          <w:sz w:val="22"/>
          <w:szCs w:val="22"/>
        </w:rPr>
        <w:t>The theoretical foundations of person-</w:t>
      </w:r>
      <w:proofErr w:type="spellStart"/>
      <w:r>
        <w:rPr>
          <w:rFonts w:ascii="Arial" w:hAnsi="Arial" w:cs="Arial"/>
          <w:sz w:val="22"/>
          <w:szCs w:val="22"/>
        </w:rPr>
        <w:t>centred</w:t>
      </w:r>
      <w:proofErr w:type="spellEnd"/>
      <w:r>
        <w:rPr>
          <w:rFonts w:ascii="Arial" w:hAnsi="Arial" w:cs="Arial"/>
          <w:sz w:val="22"/>
          <w:szCs w:val="22"/>
        </w:rPr>
        <w:t xml:space="preserve"> care can be traced to the work of Tom Kitwood, who </w:t>
      </w:r>
      <w:proofErr w:type="spellStart"/>
      <w:r>
        <w:rPr>
          <w:rFonts w:ascii="Arial" w:hAnsi="Arial" w:cs="Arial"/>
          <w:sz w:val="22"/>
          <w:szCs w:val="22"/>
        </w:rPr>
        <w:t>emphasised</w:t>
      </w:r>
      <w:proofErr w:type="spellEnd"/>
      <w:r>
        <w:rPr>
          <w:rFonts w:ascii="Arial" w:hAnsi="Arial" w:cs="Arial"/>
          <w:sz w:val="22"/>
          <w:szCs w:val="22"/>
        </w:rPr>
        <w:t xml:space="preserve"> the importance of maintaining personhood, particularly for individuals living with dementia. </w:t>
      </w:r>
      <w:proofErr w:type="spellStart"/>
      <w:r>
        <w:rPr>
          <w:rFonts w:ascii="Arial" w:hAnsi="Arial" w:cs="Arial"/>
          <w:sz w:val="22"/>
          <w:szCs w:val="22"/>
        </w:rPr>
        <w:t>Kitwood</w:t>
      </w:r>
      <w:proofErr w:type="spellEnd"/>
      <w:r>
        <w:rPr>
          <w:rFonts w:ascii="Arial" w:hAnsi="Arial" w:cs="Arial"/>
          <w:sz w:val="22"/>
          <w:szCs w:val="22"/>
        </w:rPr>
        <w:t xml:space="preserve"> (1997) argued that care should focus on the person as a whole, rather than solely on their illness, highlighting the importance of emotional and psychological wellbeing alongside physical care. This perspective has significantly influenced modern care practices and has contributed to the widespread adoption of person-</w:t>
      </w:r>
      <w:proofErr w:type="spellStart"/>
      <w:r>
        <w:rPr>
          <w:rFonts w:ascii="Arial" w:hAnsi="Arial" w:cs="Arial"/>
          <w:sz w:val="22"/>
          <w:szCs w:val="22"/>
        </w:rPr>
        <w:t>centred</w:t>
      </w:r>
      <w:proofErr w:type="spellEnd"/>
      <w:r>
        <w:rPr>
          <w:rFonts w:ascii="Arial" w:hAnsi="Arial" w:cs="Arial"/>
          <w:sz w:val="22"/>
          <w:szCs w:val="22"/>
        </w:rPr>
        <w:t xml:space="preserve"> approaches across health and social care settings.</w:t>
      </w:r>
    </w:p>
    <w:p w14:paraId="26FAF432" w14:textId="77777777" w:rsidR="00ED3AE6" w:rsidRDefault="008C38B0">
      <w:pPr>
        <w:spacing w:line="360" w:lineRule="auto"/>
        <w:jc w:val="both"/>
        <w:rPr>
          <w:rFonts w:ascii="Arial" w:hAnsi="Arial" w:cs="Arial"/>
          <w:sz w:val="22"/>
          <w:szCs w:val="22"/>
        </w:rPr>
      </w:pPr>
      <w:r>
        <w:rPr>
          <w:rFonts w:ascii="Arial" w:hAnsi="Arial" w:cs="Arial"/>
          <w:sz w:val="22"/>
          <w:szCs w:val="22"/>
        </w:rPr>
        <w:t>Within residential care environments, person-</w:t>
      </w:r>
      <w:proofErr w:type="spellStart"/>
      <w:r>
        <w:rPr>
          <w:rFonts w:ascii="Arial" w:hAnsi="Arial" w:cs="Arial"/>
          <w:sz w:val="22"/>
          <w:szCs w:val="22"/>
        </w:rPr>
        <w:t>centred</w:t>
      </w:r>
      <w:proofErr w:type="spellEnd"/>
      <w:r>
        <w:rPr>
          <w:rFonts w:ascii="Arial" w:hAnsi="Arial" w:cs="Arial"/>
          <w:sz w:val="22"/>
          <w:szCs w:val="22"/>
        </w:rPr>
        <w:t xml:space="preserve"> care is strongly supported by policy frameworks and professional guidelines. For example, the Department of Health and Social Care (2021) </w:t>
      </w:r>
      <w:proofErr w:type="spellStart"/>
      <w:r>
        <w:rPr>
          <w:rFonts w:ascii="Arial" w:hAnsi="Arial" w:cs="Arial"/>
          <w:sz w:val="22"/>
          <w:szCs w:val="22"/>
        </w:rPr>
        <w:t>emphasises</w:t>
      </w:r>
      <w:proofErr w:type="spellEnd"/>
      <w:r>
        <w:rPr>
          <w:rFonts w:ascii="Arial" w:hAnsi="Arial" w:cs="Arial"/>
          <w:sz w:val="22"/>
          <w:szCs w:val="22"/>
        </w:rPr>
        <w:t xml:space="preserve"> the importance of integrated, person-focused care that respects the needs and preferences of individuals. Similarly, guidance from the National Institute for Health and Care Excellence (2022) promotes person-</w:t>
      </w:r>
      <w:proofErr w:type="spellStart"/>
      <w:r>
        <w:rPr>
          <w:rFonts w:ascii="Arial" w:hAnsi="Arial" w:cs="Arial"/>
          <w:sz w:val="22"/>
          <w:szCs w:val="22"/>
        </w:rPr>
        <w:t>centred</w:t>
      </w:r>
      <w:proofErr w:type="spellEnd"/>
      <w:r>
        <w:rPr>
          <w:rFonts w:ascii="Arial" w:hAnsi="Arial" w:cs="Arial"/>
          <w:sz w:val="22"/>
          <w:szCs w:val="22"/>
        </w:rPr>
        <w:t xml:space="preserve"> approaches as a means of improving mental wellbeing and independence among older adults. Despite this policy support, questions remain regarding the extent to which person-</w:t>
      </w:r>
      <w:proofErr w:type="spellStart"/>
      <w:r>
        <w:rPr>
          <w:rFonts w:ascii="Arial" w:hAnsi="Arial" w:cs="Arial"/>
          <w:sz w:val="22"/>
          <w:szCs w:val="22"/>
        </w:rPr>
        <w:t>centred</w:t>
      </w:r>
      <w:proofErr w:type="spellEnd"/>
      <w:r>
        <w:rPr>
          <w:rFonts w:ascii="Arial" w:hAnsi="Arial" w:cs="Arial"/>
          <w:sz w:val="22"/>
          <w:szCs w:val="22"/>
        </w:rPr>
        <w:t xml:space="preserve"> care is effectively implemented in practice and whether it consistently leads to improved outcomes.</w:t>
      </w:r>
    </w:p>
    <w:p w14:paraId="0476DA7A" w14:textId="77777777" w:rsidR="00ED3AE6" w:rsidRDefault="008C38B0">
      <w:pPr>
        <w:spacing w:line="360" w:lineRule="auto"/>
        <w:jc w:val="both"/>
      </w:pPr>
      <w:r>
        <w:rPr>
          <w:rFonts w:ascii="Arial" w:hAnsi="Arial" w:cs="Arial"/>
          <w:sz w:val="22"/>
        </w:rPr>
        <w:t>This trajectory reflects a wider global pattern: the World Health Organization (2015) identifies population ageing as a defining public health challenge of the twenty-first century and, through its Decade of Healthy Ageing (2021–2030), explicitly names person-</w:t>
      </w:r>
      <w:proofErr w:type="spellStart"/>
      <w:r>
        <w:rPr>
          <w:rFonts w:ascii="Arial" w:hAnsi="Arial" w:cs="Arial"/>
          <w:sz w:val="22"/>
        </w:rPr>
        <w:t>centred</w:t>
      </w:r>
      <w:proofErr w:type="spellEnd"/>
      <w:r>
        <w:rPr>
          <w:rFonts w:ascii="Arial" w:hAnsi="Arial" w:cs="Arial"/>
          <w:sz w:val="22"/>
        </w:rPr>
        <w:t xml:space="preserve">, </w:t>
      </w:r>
      <w:r>
        <w:rPr>
          <w:rFonts w:ascii="Arial" w:hAnsi="Arial" w:cs="Arial"/>
          <w:sz w:val="22"/>
        </w:rPr>
        <w:lastRenderedPageBreak/>
        <w:t>integrated long-term care as one of four priority action areas, underlining that the debate addressed in this dissertation extends well beyond the UK policy context alone.</w:t>
      </w:r>
    </w:p>
    <w:p w14:paraId="5EA82DE8" w14:textId="77777777" w:rsidR="00ED3AE6" w:rsidRDefault="008C38B0">
      <w:pPr>
        <w:spacing w:line="360" w:lineRule="auto"/>
        <w:jc w:val="both"/>
        <w:rPr>
          <w:rFonts w:ascii="Arial" w:hAnsi="Arial" w:cs="Arial"/>
          <w:sz w:val="22"/>
          <w:szCs w:val="22"/>
        </w:rPr>
      </w:pPr>
      <w:bookmarkStart w:id="2" w:name="__RefHeading___Toc1607_1328646638"/>
      <w:bookmarkEnd w:id="2"/>
      <w:r>
        <w:rPr>
          <w:noProof/>
        </w:rPr>
        <w:drawing>
          <wp:inline distT="0" distB="0" distL="0" distR="0" wp14:anchorId="34F79CAC" wp14:editId="1A422F8E">
            <wp:extent cx="5381625" cy="290449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rotWithShape="1">
                    <a:blip r:embed="rId11"/>
                    <a:srcRect t="6443"/>
                    <a:stretch/>
                  </pic:blipFill>
                  <pic:spPr bwMode="auto">
                    <a:xfrm>
                      <a:off x="0" y="0"/>
                      <a:ext cx="5381625" cy="2904490"/>
                    </a:xfrm>
                    <a:prstGeom prst="rect">
                      <a:avLst/>
                    </a:prstGeom>
                    <a:ln>
                      <a:noFill/>
                    </a:ln>
                    <a:extLst>
                      <a:ext uri="{53640926-AAD7-44D8-BBD7-CCE9431645EC}">
                        <a14:shadowObscured xmlns:a14="http://schemas.microsoft.com/office/drawing/2010/main"/>
                      </a:ext>
                    </a:extLst>
                  </pic:spPr>
                </pic:pic>
              </a:graphicData>
            </a:graphic>
          </wp:inline>
        </w:drawing>
      </w:r>
    </w:p>
    <w:p w14:paraId="74F60C96" w14:textId="77777777" w:rsidR="00ED3AE6" w:rsidRDefault="008C38B0">
      <w:pPr>
        <w:pStyle w:val="FigureCaption"/>
        <w:spacing w:line="360" w:lineRule="auto"/>
        <w:jc w:val="both"/>
        <w:rPr>
          <w:rFonts w:ascii="Arial" w:hAnsi="Arial" w:cs="Arial"/>
          <w:sz w:val="22"/>
          <w:szCs w:val="22"/>
        </w:rPr>
      </w:pPr>
      <w:bookmarkStart w:id="3" w:name="__RefHeading___Toc1377_2390222576"/>
      <w:bookmarkEnd w:id="3"/>
      <w:r>
        <w:rPr>
          <w:rFonts w:ascii="Arial" w:hAnsi="Arial" w:cs="Arial"/>
          <w:b/>
          <w:bCs/>
          <w:i/>
          <w:iCs/>
          <w:sz w:val="22"/>
          <w:szCs w:val="22"/>
        </w:rPr>
        <w:t xml:space="preserve">Figure </w:t>
      </w:r>
      <w:proofErr w:type="gramStart"/>
      <w:r>
        <w:rPr>
          <w:rFonts w:ascii="Arial" w:hAnsi="Arial" w:cs="Arial"/>
          <w:b/>
          <w:bCs/>
          <w:i/>
          <w:iCs/>
          <w:sz w:val="22"/>
          <w:szCs w:val="22"/>
        </w:rPr>
        <w:t>1.1  Growth</w:t>
      </w:r>
      <w:proofErr w:type="gramEnd"/>
      <w:r>
        <w:rPr>
          <w:rFonts w:ascii="Arial" w:hAnsi="Arial" w:cs="Arial"/>
          <w:b/>
          <w:bCs/>
          <w:i/>
          <w:iCs/>
          <w:sz w:val="22"/>
          <w:szCs w:val="22"/>
        </w:rPr>
        <w:t xml:space="preserve"> of the UK Population Aged 65 and </w:t>
      </w:r>
      <w:proofErr w:type="gramStart"/>
      <w:r>
        <w:rPr>
          <w:rFonts w:ascii="Arial" w:hAnsi="Arial" w:cs="Arial"/>
          <w:b/>
          <w:bCs/>
          <w:i/>
          <w:iCs/>
          <w:sz w:val="22"/>
          <w:szCs w:val="22"/>
        </w:rPr>
        <w:t>Over</w:t>
      </w:r>
      <w:proofErr w:type="gramEnd"/>
      <w:r>
        <w:rPr>
          <w:rFonts w:ascii="Arial" w:hAnsi="Arial" w:cs="Arial"/>
          <w:b/>
          <w:bCs/>
          <w:i/>
          <w:iCs/>
          <w:sz w:val="22"/>
          <w:szCs w:val="22"/>
        </w:rPr>
        <w:t>, 1972–2072</w:t>
      </w:r>
    </w:p>
    <w:p w14:paraId="1E4DBCD9" w14:textId="77777777" w:rsidR="00ED3AE6" w:rsidRDefault="008C38B0">
      <w:pPr>
        <w:spacing w:line="360" w:lineRule="auto"/>
        <w:jc w:val="both"/>
        <w:rPr>
          <w:rFonts w:ascii="Arial" w:hAnsi="Arial" w:cs="Arial"/>
          <w:i/>
          <w:iCs/>
          <w:sz w:val="22"/>
          <w:szCs w:val="22"/>
        </w:rPr>
      </w:pPr>
      <w:bookmarkStart w:id="4" w:name="__RefHeading___Toc1595_1328646638"/>
      <w:bookmarkEnd w:id="4"/>
      <w:r>
        <w:rPr>
          <w:rFonts w:ascii="Arial" w:hAnsi="Arial" w:cs="Arial"/>
          <w:i/>
          <w:iCs/>
          <w:sz w:val="22"/>
          <w:szCs w:val="22"/>
        </w:rPr>
        <w:t>Source: constructed by the author from House of Commons Library (2024) and ONS national population projections data.</w:t>
      </w:r>
    </w:p>
    <w:p w14:paraId="2752891B" w14:textId="77777777" w:rsidR="00922E6A" w:rsidRDefault="00922E6A">
      <w:pPr>
        <w:spacing w:line="360" w:lineRule="auto"/>
        <w:jc w:val="both"/>
        <w:rPr>
          <w:rFonts w:ascii="Arial" w:hAnsi="Arial" w:cs="Arial"/>
          <w:sz w:val="22"/>
          <w:szCs w:val="22"/>
        </w:rPr>
      </w:pPr>
    </w:p>
    <w:p w14:paraId="24629419" w14:textId="77777777" w:rsidR="00ED3AE6" w:rsidRDefault="008C38B0">
      <w:pPr>
        <w:pStyle w:val="TableCaption"/>
        <w:spacing w:line="360" w:lineRule="auto"/>
        <w:jc w:val="both"/>
        <w:rPr>
          <w:rFonts w:ascii="Arial" w:hAnsi="Arial" w:cs="Arial"/>
          <w:sz w:val="22"/>
          <w:szCs w:val="22"/>
        </w:rPr>
      </w:pPr>
      <w:bookmarkStart w:id="5" w:name="__RefHeading___Toc1367_2390222576"/>
      <w:bookmarkEnd w:id="5"/>
      <w:r>
        <w:rPr>
          <w:rFonts w:ascii="Arial" w:hAnsi="Arial" w:cs="Arial"/>
          <w:b/>
          <w:bCs/>
          <w:i/>
          <w:iCs/>
          <w:sz w:val="22"/>
          <w:szCs w:val="22"/>
        </w:rPr>
        <w:t xml:space="preserve">Table </w:t>
      </w:r>
      <w:proofErr w:type="gramStart"/>
      <w:r>
        <w:rPr>
          <w:rFonts w:ascii="Arial" w:hAnsi="Arial" w:cs="Arial"/>
          <w:b/>
          <w:bCs/>
          <w:i/>
          <w:iCs/>
          <w:sz w:val="22"/>
          <w:szCs w:val="22"/>
        </w:rPr>
        <w:t>1.1  The</w:t>
      </w:r>
      <w:proofErr w:type="gramEnd"/>
      <w:r>
        <w:rPr>
          <w:rFonts w:ascii="Arial" w:hAnsi="Arial" w:cs="Arial"/>
          <w:b/>
          <w:bCs/>
          <w:i/>
          <w:iCs/>
          <w:sz w:val="22"/>
          <w:szCs w:val="22"/>
        </w:rPr>
        <w:t xml:space="preserve"> UK Residential Care Sector: Key Statistics</w:t>
      </w:r>
    </w:p>
    <w:tbl>
      <w:tblPr>
        <w:tblStyle w:val="TableGrid"/>
        <w:tblW w:w="8844" w:type="dxa"/>
        <w:tblLayout w:type="fixed"/>
        <w:tblLook w:val="0000" w:firstRow="0" w:lastRow="0" w:firstColumn="0" w:lastColumn="0" w:noHBand="0" w:noVBand="0"/>
      </w:tblPr>
      <w:tblGrid>
        <w:gridCol w:w="3952"/>
        <w:gridCol w:w="2444"/>
        <w:gridCol w:w="2448"/>
      </w:tblGrid>
      <w:tr w:rsidR="00ED3AE6" w14:paraId="742D3027" w14:textId="77777777" w:rsidTr="00922E6A">
        <w:trPr>
          <w:trHeight w:val="349"/>
        </w:trPr>
        <w:tc>
          <w:tcPr>
            <w:tcW w:w="3952" w:type="dxa"/>
          </w:tcPr>
          <w:p w14:paraId="74D83AE7" w14:textId="77777777" w:rsidR="00ED3AE6" w:rsidRDefault="008C38B0">
            <w:pPr>
              <w:spacing w:line="360" w:lineRule="auto"/>
              <w:jc w:val="both"/>
              <w:rPr>
                <w:rFonts w:ascii="Arial" w:hAnsi="Arial" w:cs="Arial"/>
                <w:sz w:val="22"/>
                <w:szCs w:val="22"/>
              </w:rPr>
            </w:pPr>
            <w:r>
              <w:rPr>
                <w:rFonts w:ascii="Arial" w:hAnsi="Arial" w:cs="Arial"/>
                <w:b/>
                <w:bCs/>
                <w:sz w:val="22"/>
                <w:szCs w:val="22"/>
              </w:rPr>
              <w:t>Indicator</w:t>
            </w:r>
          </w:p>
        </w:tc>
        <w:tc>
          <w:tcPr>
            <w:tcW w:w="2444" w:type="dxa"/>
          </w:tcPr>
          <w:p w14:paraId="2658961F" w14:textId="77777777" w:rsidR="00ED3AE6" w:rsidRDefault="008C38B0">
            <w:pPr>
              <w:spacing w:line="360" w:lineRule="auto"/>
              <w:jc w:val="both"/>
              <w:rPr>
                <w:rFonts w:ascii="Arial" w:hAnsi="Arial" w:cs="Arial"/>
                <w:sz w:val="22"/>
                <w:szCs w:val="22"/>
              </w:rPr>
            </w:pPr>
            <w:r>
              <w:rPr>
                <w:rFonts w:ascii="Arial" w:hAnsi="Arial" w:cs="Arial"/>
                <w:b/>
                <w:bCs/>
                <w:sz w:val="22"/>
                <w:szCs w:val="22"/>
              </w:rPr>
              <w:t>Figure</w:t>
            </w:r>
          </w:p>
        </w:tc>
        <w:tc>
          <w:tcPr>
            <w:tcW w:w="2448" w:type="dxa"/>
          </w:tcPr>
          <w:p w14:paraId="2F83F3D0" w14:textId="77777777" w:rsidR="00ED3AE6" w:rsidRDefault="008C38B0">
            <w:pPr>
              <w:spacing w:line="360" w:lineRule="auto"/>
              <w:jc w:val="both"/>
              <w:rPr>
                <w:rFonts w:ascii="Arial" w:hAnsi="Arial" w:cs="Arial"/>
                <w:sz w:val="22"/>
                <w:szCs w:val="22"/>
              </w:rPr>
            </w:pPr>
            <w:r>
              <w:rPr>
                <w:rFonts w:ascii="Arial" w:hAnsi="Arial" w:cs="Arial"/>
                <w:b/>
                <w:bCs/>
                <w:sz w:val="22"/>
                <w:szCs w:val="22"/>
              </w:rPr>
              <w:t>Source</w:t>
            </w:r>
          </w:p>
        </w:tc>
      </w:tr>
      <w:tr w:rsidR="00ED3AE6" w14:paraId="46D65F91" w14:textId="77777777" w:rsidTr="00922E6A">
        <w:trPr>
          <w:trHeight w:val="1060"/>
        </w:trPr>
        <w:tc>
          <w:tcPr>
            <w:tcW w:w="3952" w:type="dxa"/>
          </w:tcPr>
          <w:p w14:paraId="049D2DDA" w14:textId="77777777" w:rsidR="00ED3AE6" w:rsidRDefault="008C38B0">
            <w:pPr>
              <w:spacing w:line="360" w:lineRule="auto"/>
              <w:jc w:val="both"/>
              <w:rPr>
                <w:rFonts w:ascii="Arial" w:hAnsi="Arial" w:cs="Arial"/>
                <w:sz w:val="22"/>
                <w:szCs w:val="22"/>
              </w:rPr>
            </w:pPr>
            <w:r>
              <w:rPr>
                <w:rFonts w:ascii="Arial" w:hAnsi="Arial" w:cs="Arial"/>
                <w:sz w:val="22"/>
                <w:szCs w:val="22"/>
              </w:rPr>
              <w:t>People aged 65 and over in the UK (2022)</w:t>
            </w:r>
          </w:p>
        </w:tc>
        <w:tc>
          <w:tcPr>
            <w:tcW w:w="2444" w:type="dxa"/>
          </w:tcPr>
          <w:p w14:paraId="1CF4A40B" w14:textId="77777777" w:rsidR="00ED3AE6" w:rsidRDefault="008C38B0">
            <w:pPr>
              <w:spacing w:line="360" w:lineRule="auto"/>
              <w:jc w:val="both"/>
              <w:rPr>
                <w:rFonts w:ascii="Arial" w:hAnsi="Arial" w:cs="Arial"/>
                <w:sz w:val="22"/>
                <w:szCs w:val="22"/>
              </w:rPr>
            </w:pPr>
            <w:r>
              <w:rPr>
                <w:rFonts w:ascii="Arial" w:hAnsi="Arial" w:cs="Arial"/>
                <w:sz w:val="22"/>
                <w:szCs w:val="22"/>
              </w:rPr>
              <w:t>12.7 million (19% of the population)</w:t>
            </w:r>
          </w:p>
        </w:tc>
        <w:tc>
          <w:tcPr>
            <w:tcW w:w="2448" w:type="dxa"/>
          </w:tcPr>
          <w:p w14:paraId="7045F509" w14:textId="77777777" w:rsidR="00ED3AE6" w:rsidRDefault="008C38B0">
            <w:pPr>
              <w:spacing w:line="360" w:lineRule="auto"/>
              <w:jc w:val="both"/>
              <w:rPr>
                <w:rFonts w:ascii="Arial" w:hAnsi="Arial" w:cs="Arial"/>
                <w:sz w:val="22"/>
                <w:szCs w:val="22"/>
              </w:rPr>
            </w:pPr>
            <w:r>
              <w:rPr>
                <w:rFonts w:ascii="Arial" w:hAnsi="Arial" w:cs="Arial"/>
                <w:sz w:val="22"/>
                <w:szCs w:val="22"/>
              </w:rPr>
              <w:t>House of Commons Library (2024), citing ONS</w:t>
            </w:r>
          </w:p>
        </w:tc>
      </w:tr>
      <w:tr w:rsidR="00ED3AE6" w14:paraId="5D605FC7" w14:textId="77777777" w:rsidTr="00922E6A">
        <w:trPr>
          <w:trHeight w:val="712"/>
        </w:trPr>
        <w:tc>
          <w:tcPr>
            <w:tcW w:w="3952" w:type="dxa"/>
          </w:tcPr>
          <w:p w14:paraId="291D1CE9" w14:textId="77777777" w:rsidR="00ED3AE6" w:rsidRDefault="008C38B0">
            <w:pPr>
              <w:spacing w:line="360" w:lineRule="auto"/>
              <w:jc w:val="both"/>
              <w:rPr>
                <w:rFonts w:ascii="Arial" w:hAnsi="Arial" w:cs="Arial"/>
                <w:sz w:val="22"/>
                <w:szCs w:val="22"/>
              </w:rPr>
            </w:pPr>
            <w:r>
              <w:rPr>
                <w:rFonts w:ascii="Arial" w:hAnsi="Arial" w:cs="Arial"/>
                <w:sz w:val="22"/>
                <w:szCs w:val="22"/>
              </w:rPr>
              <w:t>Projected population aged 65 and over by 2043</w:t>
            </w:r>
          </w:p>
        </w:tc>
        <w:tc>
          <w:tcPr>
            <w:tcW w:w="2444" w:type="dxa"/>
          </w:tcPr>
          <w:p w14:paraId="5CEAEB50" w14:textId="77777777" w:rsidR="00ED3AE6" w:rsidRDefault="008C38B0">
            <w:pPr>
              <w:spacing w:line="360" w:lineRule="auto"/>
              <w:jc w:val="both"/>
              <w:rPr>
                <w:rFonts w:ascii="Arial" w:hAnsi="Arial" w:cs="Arial"/>
                <w:sz w:val="22"/>
                <w:szCs w:val="22"/>
              </w:rPr>
            </w:pPr>
            <w:r>
              <w:rPr>
                <w:rFonts w:ascii="Arial" w:hAnsi="Arial" w:cs="Arial"/>
                <w:sz w:val="22"/>
                <w:szCs w:val="22"/>
              </w:rPr>
              <w:t>17.4 million (24% of the population)</w:t>
            </w:r>
          </w:p>
        </w:tc>
        <w:tc>
          <w:tcPr>
            <w:tcW w:w="2448" w:type="dxa"/>
          </w:tcPr>
          <w:p w14:paraId="3B523FA5" w14:textId="77777777" w:rsidR="00ED3AE6" w:rsidRDefault="008C38B0">
            <w:pPr>
              <w:spacing w:line="360" w:lineRule="auto"/>
              <w:jc w:val="both"/>
              <w:rPr>
                <w:rFonts w:ascii="Arial" w:hAnsi="Arial" w:cs="Arial"/>
                <w:sz w:val="22"/>
                <w:szCs w:val="22"/>
              </w:rPr>
            </w:pPr>
            <w:r>
              <w:rPr>
                <w:rFonts w:ascii="Arial" w:hAnsi="Arial" w:cs="Arial"/>
                <w:sz w:val="22"/>
                <w:szCs w:val="22"/>
              </w:rPr>
              <w:t>House of Commons Library (2024)</w:t>
            </w:r>
          </w:p>
        </w:tc>
      </w:tr>
      <w:tr w:rsidR="00ED3AE6" w14:paraId="35FD79B3" w14:textId="77777777" w:rsidTr="00922E6A">
        <w:trPr>
          <w:trHeight w:val="349"/>
        </w:trPr>
        <w:tc>
          <w:tcPr>
            <w:tcW w:w="3952" w:type="dxa"/>
          </w:tcPr>
          <w:p w14:paraId="55473008" w14:textId="77777777" w:rsidR="00ED3AE6" w:rsidRDefault="008C38B0">
            <w:pPr>
              <w:spacing w:line="360" w:lineRule="auto"/>
              <w:jc w:val="both"/>
              <w:rPr>
                <w:rFonts w:ascii="Arial" w:hAnsi="Arial" w:cs="Arial"/>
                <w:sz w:val="22"/>
                <w:szCs w:val="22"/>
              </w:rPr>
            </w:pPr>
            <w:r>
              <w:rPr>
                <w:rFonts w:ascii="Arial" w:hAnsi="Arial" w:cs="Arial"/>
                <w:sz w:val="22"/>
                <w:szCs w:val="22"/>
              </w:rPr>
              <w:t>Registered care homes across the UK</w:t>
            </w:r>
          </w:p>
        </w:tc>
        <w:tc>
          <w:tcPr>
            <w:tcW w:w="2444" w:type="dxa"/>
          </w:tcPr>
          <w:p w14:paraId="270A7B79" w14:textId="77777777" w:rsidR="00ED3AE6" w:rsidRDefault="008C38B0">
            <w:pPr>
              <w:spacing w:line="360" w:lineRule="auto"/>
              <w:jc w:val="both"/>
              <w:rPr>
                <w:rFonts w:ascii="Arial" w:hAnsi="Arial" w:cs="Arial"/>
                <w:sz w:val="22"/>
                <w:szCs w:val="22"/>
              </w:rPr>
            </w:pPr>
            <w:r>
              <w:rPr>
                <w:rFonts w:ascii="Arial" w:hAnsi="Arial" w:cs="Arial"/>
                <w:sz w:val="22"/>
                <w:szCs w:val="22"/>
              </w:rPr>
              <w:t>approx. 16,500</w:t>
            </w:r>
          </w:p>
        </w:tc>
        <w:tc>
          <w:tcPr>
            <w:tcW w:w="2448" w:type="dxa"/>
          </w:tcPr>
          <w:p w14:paraId="582F9F42" w14:textId="77777777" w:rsidR="00ED3AE6" w:rsidRDefault="008C38B0">
            <w:pPr>
              <w:spacing w:line="360" w:lineRule="auto"/>
              <w:jc w:val="both"/>
              <w:rPr>
                <w:rFonts w:ascii="Arial" w:hAnsi="Arial" w:cs="Arial"/>
                <w:sz w:val="22"/>
                <w:szCs w:val="22"/>
              </w:rPr>
            </w:pPr>
            <w:r>
              <w:rPr>
                <w:rFonts w:ascii="Arial" w:hAnsi="Arial" w:cs="Arial"/>
                <w:sz w:val="22"/>
                <w:szCs w:val="22"/>
              </w:rPr>
              <w:t>Carehome.co.uk (2025)</w:t>
            </w:r>
          </w:p>
        </w:tc>
      </w:tr>
      <w:tr w:rsidR="00ED3AE6" w14:paraId="580EA445" w14:textId="77777777" w:rsidTr="00922E6A">
        <w:trPr>
          <w:trHeight w:val="349"/>
        </w:trPr>
        <w:tc>
          <w:tcPr>
            <w:tcW w:w="3952" w:type="dxa"/>
          </w:tcPr>
          <w:p w14:paraId="58328FE2" w14:textId="77777777" w:rsidR="00ED3AE6" w:rsidRDefault="008C38B0">
            <w:pPr>
              <w:spacing w:line="360" w:lineRule="auto"/>
              <w:jc w:val="both"/>
              <w:rPr>
                <w:rFonts w:ascii="Arial" w:hAnsi="Arial" w:cs="Arial"/>
                <w:sz w:val="22"/>
                <w:szCs w:val="22"/>
              </w:rPr>
            </w:pPr>
            <w:r>
              <w:rPr>
                <w:rFonts w:ascii="Arial" w:hAnsi="Arial" w:cs="Arial"/>
                <w:sz w:val="22"/>
                <w:szCs w:val="22"/>
              </w:rPr>
              <w:t>People living in UK care homes</w:t>
            </w:r>
          </w:p>
        </w:tc>
        <w:tc>
          <w:tcPr>
            <w:tcW w:w="2444" w:type="dxa"/>
          </w:tcPr>
          <w:p w14:paraId="26C6B25C" w14:textId="77777777" w:rsidR="00ED3AE6" w:rsidRDefault="008C38B0">
            <w:pPr>
              <w:spacing w:line="360" w:lineRule="auto"/>
              <w:jc w:val="both"/>
              <w:rPr>
                <w:rFonts w:ascii="Arial" w:hAnsi="Arial" w:cs="Arial"/>
                <w:sz w:val="22"/>
                <w:szCs w:val="22"/>
              </w:rPr>
            </w:pPr>
            <w:r>
              <w:rPr>
                <w:rFonts w:ascii="Arial" w:hAnsi="Arial" w:cs="Arial"/>
                <w:sz w:val="22"/>
                <w:szCs w:val="22"/>
              </w:rPr>
              <w:t>approx. 441,000</w:t>
            </w:r>
          </w:p>
        </w:tc>
        <w:tc>
          <w:tcPr>
            <w:tcW w:w="2448" w:type="dxa"/>
          </w:tcPr>
          <w:p w14:paraId="2FB5446C" w14:textId="77777777" w:rsidR="00ED3AE6" w:rsidRDefault="008C38B0">
            <w:pPr>
              <w:spacing w:line="360" w:lineRule="auto"/>
              <w:jc w:val="both"/>
              <w:rPr>
                <w:rFonts w:ascii="Arial" w:hAnsi="Arial" w:cs="Arial"/>
                <w:sz w:val="22"/>
                <w:szCs w:val="22"/>
              </w:rPr>
            </w:pPr>
            <w:r>
              <w:rPr>
                <w:rFonts w:ascii="Arial" w:hAnsi="Arial" w:cs="Arial"/>
                <w:sz w:val="22"/>
                <w:szCs w:val="22"/>
              </w:rPr>
              <w:t>Carehome.co.uk (2025)</w:t>
            </w:r>
          </w:p>
        </w:tc>
      </w:tr>
      <w:tr w:rsidR="00ED3AE6" w14:paraId="5458D912" w14:textId="77777777" w:rsidTr="00922E6A">
        <w:trPr>
          <w:trHeight w:val="1060"/>
        </w:trPr>
        <w:tc>
          <w:tcPr>
            <w:tcW w:w="3952" w:type="dxa"/>
          </w:tcPr>
          <w:p w14:paraId="44C0DE62" w14:textId="77777777" w:rsidR="00ED3AE6" w:rsidRDefault="008C38B0">
            <w:pPr>
              <w:spacing w:line="360" w:lineRule="auto"/>
              <w:jc w:val="both"/>
              <w:rPr>
                <w:rFonts w:ascii="Arial" w:hAnsi="Arial" w:cs="Arial"/>
                <w:sz w:val="22"/>
                <w:szCs w:val="22"/>
              </w:rPr>
            </w:pPr>
            <w:r>
              <w:rPr>
                <w:rFonts w:ascii="Arial" w:hAnsi="Arial" w:cs="Arial"/>
                <w:sz w:val="22"/>
                <w:szCs w:val="22"/>
              </w:rPr>
              <w:t>Care home residents with dementia or severe memory problems</w:t>
            </w:r>
          </w:p>
        </w:tc>
        <w:tc>
          <w:tcPr>
            <w:tcW w:w="2444" w:type="dxa"/>
          </w:tcPr>
          <w:p w14:paraId="36201DFC" w14:textId="77777777" w:rsidR="00ED3AE6" w:rsidRDefault="008C38B0">
            <w:pPr>
              <w:spacing w:line="360" w:lineRule="auto"/>
              <w:jc w:val="both"/>
              <w:rPr>
                <w:rFonts w:ascii="Arial" w:hAnsi="Arial" w:cs="Arial"/>
                <w:sz w:val="22"/>
                <w:szCs w:val="22"/>
              </w:rPr>
            </w:pPr>
            <w:r>
              <w:rPr>
                <w:rFonts w:ascii="Arial" w:hAnsi="Arial" w:cs="Arial"/>
                <w:sz w:val="22"/>
                <w:szCs w:val="22"/>
              </w:rPr>
              <w:t>approx. 70%</w:t>
            </w:r>
          </w:p>
        </w:tc>
        <w:tc>
          <w:tcPr>
            <w:tcW w:w="2448" w:type="dxa"/>
          </w:tcPr>
          <w:p w14:paraId="092B11DC" w14:textId="77777777" w:rsidR="00ED3AE6" w:rsidRDefault="008C38B0">
            <w:pPr>
              <w:spacing w:line="360" w:lineRule="auto"/>
              <w:jc w:val="both"/>
              <w:rPr>
                <w:rFonts w:ascii="Arial" w:hAnsi="Arial" w:cs="Arial"/>
                <w:sz w:val="22"/>
                <w:szCs w:val="22"/>
              </w:rPr>
            </w:pPr>
            <w:r>
              <w:rPr>
                <w:rFonts w:ascii="Arial" w:hAnsi="Arial" w:cs="Arial"/>
                <w:sz w:val="22"/>
                <w:szCs w:val="22"/>
              </w:rPr>
              <w:t>Carehome.co.uk (2025), citing Alzheimer's Society</w:t>
            </w:r>
          </w:p>
        </w:tc>
      </w:tr>
      <w:tr w:rsidR="00ED3AE6" w14:paraId="475B561C" w14:textId="77777777" w:rsidTr="00922E6A">
        <w:trPr>
          <w:trHeight w:val="712"/>
        </w:trPr>
        <w:tc>
          <w:tcPr>
            <w:tcW w:w="3952" w:type="dxa"/>
          </w:tcPr>
          <w:p w14:paraId="6F8C718F" w14:textId="77777777" w:rsidR="00ED3AE6" w:rsidRDefault="008C38B0">
            <w:pPr>
              <w:spacing w:line="360" w:lineRule="auto"/>
              <w:jc w:val="both"/>
              <w:rPr>
                <w:rFonts w:ascii="Arial" w:hAnsi="Arial" w:cs="Arial"/>
                <w:sz w:val="22"/>
                <w:szCs w:val="22"/>
              </w:rPr>
            </w:pPr>
            <w:r>
              <w:rPr>
                <w:rFonts w:ascii="Arial" w:hAnsi="Arial" w:cs="Arial"/>
                <w:sz w:val="22"/>
                <w:szCs w:val="22"/>
              </w:rPr>
              <w:t>Adult social care vacancy rate (England)</w:t>
            </w:r>
          </w:p>
        </w:tc>
        <w:tc>
          <w:tcPr>
            <w:tcW w:w="2444" w:type="dxa"/>
          </w:tcPr>
          <w:p w14:paraId="79ED7BF9" w14:textId="77777777" w:rsidR="00ED3AE6" w:rsidRDefault="008C38B0">
            <w:pPr>
              <w:spacing w:line="360" w:lineRule="auto"/>
              <w:jc w:val="both"/>
              <w:rPr>
                <w:rFonts w:ascii="Arial" w:hAnsi="Arial" w:cs="Arial"/>
                <w:sz w:val="22"/>
                <w:szCs w:val="22"/>
              </w:rPr>
            </w:pPr>
            <w:r>
              <w:rPr>
                <w:rFonts w:ascii="Arial" w:hAnsi="Arial" w:cs="Arial"/>
                <w:sz w:val="22"/>
                <w:szCs w:val="22"/>
              </w:rPr>
              <w:t>approx. 7% (111,000 vacancies)</w:t>
            </w:r>
          </w:p>
        </w:tc>
        <w:tc>
          <w:tcPr>
            <w:tcW w:w="2448" w:type="dxa"/>
          </w:tcPr>
          <w:p w14:paraId="26B9F792" w14:textId="77777777" w:rsidR="00ED3AE6" w:rsidRDefault="008C38B0">
            <w:pPr>
              <w:spacing w:line="360" w:lineRule="auto"/>
              <w:jc w:val="both"/>
              <w:rPr>
                <w:rFonts w:ascii="Arial" w:hAnsi="Arial" w:cs="Arial"/>
                <w:sz w:val="22"/>
                <w:szCs w:val="22"/>
              </w:rPr>
            </w:pPr>
            <w:r>
              <w:rPr>
                <w:rFonts w:ascii="Arial" w:hAnsi="Arial" w:cs="Arial"/>
                <w:sz w:val="22"/>
                <w:szCs w:val="22"/>
              </w:rPr>
              <w:t>Skills for Care (2025)</w:t>
            </w:r>
          </w:p>
        </w:tc>
      </w:tr>
      <w:tr w:rsidR="00ED3AE6" w14:paraId="78A85DEF" w14:textId="77777777" w:rsidTr="00922E6A">
        <w:trPr>
          <w:trHeight w:val="697"/>
        </w:trPr>
        <w:tc>
          <w:tcPr>
            <w:tcW w:w="3952" w:type="dxa"/>
          </w:tcPr>
          <w:p w14:paraId="1603413F" w14:textId="77777777" w:rsidR="00ED3AE6" w:rsidRDefault="008C38B0">
            <w:pPr>
              <w:spacing w:line="360" w:lineRule="auto"/>
              <w:jc w:val="both"/>
              <w:rPr>
                <w:rFonts w:ascii="Arial" w:hAnsi="Arial" w:cs="Arial"/>
                <w:sz w:val="22"/>
                <w:szCs w:val="22"/>
              </w:rPr>
            </w:pPr>
            <w:r>
              <w:rPr>
                <w:rFonts w:ascii="Arial" w:hAnsi="Arial" w:cs="Arial"/>
                <w:sz w:val="22"/>
                <w:szCs w:val="22"/>
              </w:rPr>
              <w:t>Adult social care staff turnover rate (England)</w:t>
            </w:r>
          </w:p>
        </w:tc>
        <w:tc>
          <w:tcPr>
            <w:tcW w:w="2444" w:type="dxa"/>
          </w:tcPr>
          <w:p w14:paraId="15EAD5E5" w14:textId="77777777" w:rsidR="00ED3AE6" w:rsidRDefault="008C38B0">
            <w:pPr>
              <w:spacing w:line="360" w:lineRule="auto"/>
              <w:jc w:val="both"/>
              <w:rPr>
                <w:rFonts w:ascii="Arial" w:hAnsi="Arial" w:cs="Arial"/>
                <w:sz w:val="22"/>
                <w:szCs w:val="22"/>
              </w:rPr>
            </w:pPr>
            <w:r>
              <w:rPr>
                <w:rFonts w:ascii="Arial" w:hAnsi="Arial" w:cs="Arial"/>
                <w:sz w:val="22"/>
                <w:szCs w:val="22"/>
              </w:rPr>
              <w:t>approx. 24.7% per annum</w:t>
            </w:r>
          </w:p>
        </w:tc>
        <w:tc>
          <w:tcPr>
            <w:tcW w:w="2448" w:type="dxa"/>
          </w:tcPr>
          <w:p w14:paraId="6D1C7B05" w14:textId="77777777" w:rsidR="00ED3AE6" w:rsidRDefault="008C38B0">
            <w:pPr>
              <w:spacing w:line="360" w:lineRule="auto"/>
              <w:jc w:val="both"/>
              <w:rPr>
                <w:rFonts w:ascii="Arial" w:hAnsi="Arial" w:cs="Arial"/>
                <w:sz w:val="22"/>
                <w:szCs w:val="22"/>
              </w:rPr>
            </w:pPr>
            <w:r>
              <w:rPr>
                <w:rFonts w:ascii="Arial" w:hAnsi="Arial" w:cs="Arial"/>
                <w:sz w:val="22"/>
                <w:szCs w:val="22"/>
              </w:rPr>
              <w:t>Skills for Care (2025)</w:t>
            </w:r>
          </w:p>
        </w:tc>
      </w:tr>
    </w:tbl>
    <w:p w14:paraId="6E28820C" w14:textId="77777777" w:rsidR="00ED3AE6" w:rsidRDefault="008C38B0">
      <w:pPr>
        <w:pStyle w:val="Heading2"/>
        <w:spacing w:line="360" w:lineRule="auto"/>
        <w:jc w:val="both"/>
        <w:rPr>
          <w:rFonts w:ascii="Arial" w:hAnsi="Arial" w:cs="Arial"/>
          <w:color w:val="auto"/>
          <w:sz w:val="22"/>
          <w:szCs w:val="22"/>
        </w:rPr>
      </w:pPr>
      <w:bookmarkStart w:id="6" w:name="__RefHeading___Toc1515_1328646638"/>
      <w:bookmarkEnd w:id="6"/>
      <w:r>
        <w:rPr>
          <w:rFonts w:ascii="Arial" w:hAnsi="Arial" w:cs="Arial"/>
          <w:b/>
          <w:bCs/>
          <w:color w:val="auto"/>
          <w:sz w:val="28"/>
          <w:szCs w:val="22"/>
        </w:rPr>
        <w:lastRenderedPageBreak/>
        <w:t>1.2 Problem Statement</w:t>
      </w:r>
    </w:p>
    <w:p w14:paraId="2311F9AD" w14:textId="77777777" w:rsidR="00ED3AE6" w:rsidRDefault="008C38B0">
      <w:pPr>
        <w:spacing w:line="360" w:lineRule="auto"/>
        <w:jc w:val="both"/>
        <w:rPr>
          <w:rFonts w:ascii="Arial" w:hAnsi="Arial" w:cs="Arial"/>
          <w:sz w:val="22"/>
          <w:szCs w:val="22"/>
        </w:rPr>
      </w:pPr>
      <w:r>
        <w:rPr>
          <w:rFonts w:ascii="Arial" w:hAnsi="Arial" w:cs="Arial"/>
          <w:sz w:val="22"/>
          <w:szCs w:val="22"/>
        </w:rPr>
        <w:t>Although person-</w:t>
      </w:r>
      <w:proofErr w:type="spellStart"/>
      <w:r>
        <w:rPr>
          <w:rFonts w:ascii="Arial" w:hAnsi="Arial" w:cs="Arial"/>
          <w:sz w:val="22"/>
          <w:szCs w:val="22"/>
        </w:rPr>
        <w:t>centred</w:t>
      </w:r>
      <w:proofErr w:type="spellEnd"/>
      <w:r>
        <w:rPr>
          <w:rFonts w:ascii="Arial" w:hAnsi="Arial" w:cs="Arial"/>
          <w:sz w:val="22"/>
          <w:szCs w:val="22"/>
        </w:rPr>
        <w:t xml:space="preserve"> care is widely </w:t>
      </w:r>
      <w:proofErr w:type="spellStart"/>
      <w:r>
        <w:rPr>
          <w:rFonts w:ascii="Arial" w:hAnsi="Arial" w:cs="Arial"/>
          <w:sz w:val="22"/>
          <w:szCs w:val="22"/>
        </w:rPr>
        <w:t>recognised</w:t>
      </w:r>
      <w:proofErr w:type="spellEnd"/>
      <w:r>
        <w:rPr>
          <w:rFonts w:ascii="Arial" w:hAnsi="Arial" w:cs="Arial"/>
          <w:sz w:val="22"/>
          <w:szCs w:val="22"/>
        </w:rPr>
        <w:t xml:space="preserve"> as a best practice approach within health and social care, its implementation within residential care settings is often inconsistent. While policies advocate for care that is tailored to the individual, the realities of service delivery can present significant barriers. Factors such as staffing shortages, high workloads, time constraints, and limited training opportunities can restrict the ability of care providers to deliver genuinely person-</w:t>
      </w:r>
      <w:proofErr w:type="spellStart"/>
      <w:r>
        <w:rPr>
          <w:rFonts w:ascii="Arial" w:hAnsi="Arial" w:cs="Arial"/>
          <w:sz w:val="22"/>
          <w:szCs w:val="22"/>
        </w:rPr>
        <w:t>centred</w:t>
      </w:r>
      <w:proofErr w:type="spellEnd"/>
      <w:r>
        <w:rPr>
          <w:rFonts w:ascii="Arial" w:hAnsi="Arial" w:cs="Arial"/>
          <w:sz w:val="22"/>
          <w:szCs w:val="22"/>
        </w:rPr>
        <w:t xml:space="preserve"> care (The King's Fund, 2021).</w:t>
      </w:r>
    </w:p>
    <w:p w14:paraId="03A42A4F" w14:textId="77777777" w:rsidR="00ED3AE6" w:rsidRDefault="008C38B0">
      <w:pPr>
        <w:spacing w:line="360" w:lineRule="auto"/>
        <w:jc w:val="both"/>
        <w:rPr>
          <w:rFonts w:ascii="Arial" w:hAnsi="Arial" w:cs="Arial"/>
          <w:sz w:val="22"/>
          <w:szCs w:val="22"/>
        </w:rPr>
      </w:pPr>
      <w:r>
        <w:rPr>
          <w:rFonts w:ascii="Arial" w:hAnsi="Arial" w:cs="Arial"/>
          <w:sz w:val="22"/>
          <w:szCs w:val="22"/>
        </w:rPr>
        <w:t>As a result, there is a growing concern that person-</w:t>
      </w:r>
      <w:proofErr w:type="spellStart"/>
      <w:r>
        <w:rPr>
          <w:rFonts w:ascii="Arial" w:hAnsi="Arial" w:cs="Arial"/>
          <w:sz w:val="22"/>
          <w:szCs w:val="22"/>
        </w:rPr>
        <w:t>centred</w:t>
      </w:r>
      <w:proofErr w:type="spellEnd"/>
      <w:r>
        <w:rPr>
          <w:rFonts w:ascii="Arial" w:hAnsi="Arial" w:cs="Arial"/>
          <w:sz w:val="22"/>
          <w:szCs w:val="22"/>
        </w:rPr>
        <w:t xml:space="preserve"> care may not always be fully </w:t>
      </w:r>
      <w:proofErr w:type="spellStart"/>
      <w:r>
        <w:rPr>
          <w:rFonts w:ascii="Arial" w:hAnsi="Arial" w:cs="Arial"/>
          <w:sz w:val="22"/>
          <w:szCs w:val="22"/>
        </w:rPr>
        <w:t>realised</w:t>
      </w:r>
      <w:proofErr w:type="spellEnd"/>
      <w:r>
        <w:rPr>
          <w:rFonts w:ascii="Arial" w:hAnsi="Arial" w:cs="Arial"/>
          <w:sz w:val="22"/>
          <w:szCs w:val="22"/>
        </w:rPr>
        <w:t xml:space="preserve"> in practice. In some cases, care provision remains task-focused, </w:t>
      </w:r>
      <w:proofErr w:type="spellStart"/>
      <w:r>
        <w:rPr>
          <w:rFonts w:ascii="Arial" w:hAnsi="Arial" w:cs="Arial"/>
          <w:sz w:val="22"/>
          <w:szCs w:val="22"/>
        </w:rPr>
        <w:t>prioritising</w:t>
      </w:r>
      <w:proofErr w:type="spellEnd"/>
      <w:r>
        <w:rPr>
          <w:rFonts w:ascii="Arial" w:hAnsi="Arial" w:cs="Arial"/>
          <w:sz w:val="22"/>
          <w:szCs w:val="22"/>
        </w:rPr>
        <w:t xml:space="preserve"> efficiency and routine over the individual needs and preferences of residents. This discrepancy between policy expectations and actual practice highlights a critical gap within the delivery of residential care services.</w:t>
      </w:r>
    </w:p>
    <w:p w14:paraId="4BF7BE9D" w14:textId="77777777" w:rsidR="00ED3AE6" w:rsidRDefault="008C38B0">
      <w:pPr>
        <w:spacing w:line="360" w:lineRule="auto"/>
        <w:jc w:val="both"/>
        <w:rPr>
          <w:rFonts w:ascii="Arial" w:hAnsi="Arial" w:cs="Arial"/>
          <w:sz w:val="22"/>
          <w:szCs w:val="22"/>
        </w:rPr>
      </w:pPr>
      <w:r>
        <w:rPr>
          <w:rFonts w:ascii="Arial" w:hAnsi="Arial" w:cs="Arial"/>
          <w:sz w:val="22"/>
          <w:szCs w:val="22"/>
        </w:rPr>
        <w:t>Furthermore, the concept of "effectiveness" in relation to person-</w:t>
      </w:r>
      <w:proofErr w:type="spellStart"/>
      <w:r>
        <w:rPr>
          <w:rFonts w:ascii="Arial" w:hAnsi="Arial" w:cs="Arial"/>
          <w:sz w:val="22"/>
          <w:szCs w:val="22"/>
        </w:rPr>
        <w:t>centred</w:t>
      </w:r>
      <w:proofErr w:type="spellEnd"/>
      <w:r>
        <w:rPr>
          <w:rFonts w:ascii="Arial" w:hAnsi="Arial" w:cs="Arial"/>
          <w:sz w:val="22"/>
          <w:szCs w:val="22"/>
        </w:rPr>
        <w:t xml:space="preserve"> care is complex and multifaceted. Outcomes associated with this approach may include improvements in psychological wellbeing, reduced </w:t>
      </w:r>
      <w:proofErr w:type="spellStart"/>
      <w:r>
        <w:rPr>
          <w:rFonts w:ascii="Arial" w:hAnsi="Arial" w:cs="Arial"/>
          <w:sz w:val="22"/>
          <w:szCs w:val="22"/>
        </w:rPr>
        <w:t>behavioural</w:t>
      </w:r>
      <w:proofErr w:type="spellEnd"/>
      <w:r>
        <w:rPr>
          <w:rFonts w:ascii="Arial" w:hAnsi="Arial" w:cs="Arial"/>
          <w:sz w:val="22"/>
          <w:szCs w:val="22"/>
        </w:rPr>
        <w:t xml:space="preserve"> distress, enhanced social interaction, and overall quality of life. However, these outcomes can be influenced by a range of external factors, including </w:t>
      </w:r>
      <w:proofErr w:type="spellStart"/>
      <w:r>
        <w:rPr>
          <w:rFonts w:ascii="Arial" w:hAnsi="Arial" w:cs="Arial"/>
          <w:sz w:val="22"/>
          <w:szCs w:val="22"/>
        </w:rPr>
        <w:t>organisational</w:t>
      </w:r>
      <w:proofErr w:type="spellEnd"/>
      <w:r>
        <w:rPr>
          <w:rFonts w:ascii="Arial" w:hAnsi="Arial" w:cs="Arial"/>
          <w:sz w:val="22"/>
          <w:szCs w:val="22"/>
        </w:rPr>
        <w:t xml:space="preserve"> culture, staff competence, and resource availability. Consequently, it can be challenging to determine the extent to which person-</w:t>
      </w:r>
      <w:proofErr w:type="spellStart"/>
      <w:r>
        <w:rPr>
          <w:rFonts w:ascii="Arial" w:hAnsi="Arial" w:cs="Arial"/>
          <w:sz w:val="22"/>
          <w:szCs w:val="22"/>
        </w:rPr>
        <w:t>centred</w:t>
      </w:r>
      <w:proofErr w:type="spellEnd"/>
      <w:r>
        <w:rPr>
          <w:rFonts w:ascii="Arial" w:hAnsi="Arial" w:cs="Arial"/>
          <w:sz w:val="22"/>
          <w:szCs w:val="22"/>
        </w:rPr>
        <w:t xml:space="preserve"> care alone contributes to improved outcomes.</w:t>
      </w:r>
    </w:p>
    <w:p w14:paraId="7A58636D" w14:textId="77777777" w:rsidR="00ED3AE6" w:rsidRDefault="008C38B0">
      <w:pPr>
        <w:spacing w:line="360" w:lineRule="auto"/>
        <w:jc w:val="both"/>
        <w:rPr>
          <w:rFonts w:ascii="Arial" w:hAnsi="Arial" w:cs="Arial"/>
          <w:sz w:val="22"/>
          <w:szCs w:val="22"/>
        </w:rPr>
      </w:pPr>
      <w:r>
        <w:rPr>
          <w:rFonts w:ascii="Arial" w:hAnsi="Arial" w:cs="Arial"/>
          <w:sz w:val="22"/>
          <w:szCs w:val="22"/>
        </w:rPr>
        <w:t>Given these challenges, there is a clear need for a critical evaluation of the existing evidence on person-</w:t>
      </w:r>
      <w:proofErr w:type="spellStart"/>
      <w:r>
        <w:rPr>
          <w:rFonts w:ascii="Arial" w:hAnsi="Arial" w:cs="Arial"/>
          <w:sz w:val="22"/>
          <w:szCs w:val="22"/>
        </w:rPr>
        <w:t>centred</w:t>
      </w:r>
      <w:proofErr w:type="spellEnd"/>
      <w:r>
        <w:rPr>
          <w:rFonts w:ascii="Arial" w:hAnsi="Arial" w:cs="Arial"/>
          <w:sz w:val="22"/>
          <w:szCs w:val="22"/>
        </w:rPr>
        <w:t xml:space="preserve"> care. Understanding both its benefits and limitations is essential in determining whether this approach is achieving its intended aims within residential care settings.</w:t>
      </w:r>
    </w:p>
    <w:p w14:paraId="2BEB36FF" w14:textId="77777777" w:rsidR="00ED3AE6" w:rsidRDefault="008C38B0">
      <w:pPr>
        <w:pStyle w:val="Heading2"/>
        <w:spacing w:line="360" w:lineRule="auto"/>
        <w:jc w:val="both"/>
        <w:rPr>
          <w:rFonts w:ascii="Arial" w:hAnsi="Arial" w:cs="Arial"/>
          <w:color w:val="auto"/>
          <w:sz w:val="22"/>
          <w:szCs w:val="22"/>
        </w:rPr>
      </w:pPr>
      <w:bookmarkStart w:id="7" w:name="__RefHeading___Toc1517_1328646638"/>
      <w:bookmarkEnd w:id="7"/>
      <w:r>
        <w:rPr>
          <w:rFonts w:ascii="Arial" w:hAnsi="Arial" w:cs="Arial"/>
          <w:b/>
          <w:bCs/>
          <w:color w:val="auto"/>
          <w:sz w:val="28"/>
          <w:szCs w:val="22"/>
        </w:rPr>
        <w:t>1.3 Aim and Objectives</w:t>
      </w:r>
    </w:p>
    <w:p w14:paraId="79A9ABC6" w14:textId="77777777" w:rsidR="00ED3AE6" w:rsidRDefault="008C38B0">
      <w:pPr>
        <w:spacing w:line="360" w:lineRule="auto"/>
        <w:jc w:val="both"/>
        <w:rPr>
          <w:rFonts w:ascii="Arial" w:hAnsi="Arial" w:cs="Arial"/>
          <w:sz w:val="22"/>
          <w:szCs w:val="22"/>
        </w:rPr>
      </w:pPr>
      <w:r>
        <w:rPr>
          <w:rFonts w:ascii="Arial" w:hAnsi="Arial" w:cs="Arial"/>
          <w:sz w:val="22"/>
          <w:szCs w:val="22"/>
        </w:rPr>
        <w:t>The aim of this study is to critically evaluate the effectiveness of person-</w:t>
      </w:r>
      <w:proofErr w:type="spellStart"/>
      <w:r>
        <w:rPr>
          <w:rFonts w:ascii="Arial" w:hAnsi="Arial" w:cs="Arial"/>
          <w:sz w:val="22"/>
          <w:szCs w:val="22"/>
        </w:rPr>
        <w:t>centred</w:t>
      </w:r>
      <w:proofErr w:type="spellEnd"/>
      <w:r>
        <w:rPr>
          <w:rFonts w:ascii="Arial" w:hAnsi="Arial" w:cs="Arial"/>
          <w:sz w:val="22"/>
          <w:szCs w:val="22"/>
        </w:rPr>
        <w:t xml:space="preserve"> care in improving outcomes for older adults in residential care settings.</w:t>
      </w:r>
    </w:p>
    <w:p w14:paraId="7D2FD4A5" w14:textId="77777777" w:rsidR="00ED3AE6" w:rsidRDefault="008C38B0">
      <w:pPr>
        <w:spacing w:line="360" w:lineRule="auto"/>
        <w:jc w:val="both"/>
        <w:rPr>
          <w:rFonts w:ascii="Arial" w:hAnsi="Arial" w:cs="Arial"/>
          <w:sz w:val="22"/>
          <w:szCs w:val="22"/>
        </w:rPr>
      </w:pPr>
      <w:r>
        <w:rPr>
          <w:rFonts w:ascii="Arial" w:hAnsi="Arial" w:cs="Arial"/>
          <w:sz w:val="22"/>
          <w:szCs w:val="22"/>
        </w:rPr>
        <w:t>To achieve this aim, the study will address the following objectives:</w:t>
      </w:r>
    </w:p>
    <w:p w14:paraId="2EFDB8C0" w14:textId="77777777" w:rsidR="00ED3AE6" w:rsidRDefault="008C38B0">
      <w:pPr>
        <w:pStyle w:val="ListParagraph"/>
        <w:numPr>
          <w:ilvl w:val="0"/>
          <w:numId w:val="4"/>
        </w:numPr>
        <w:spacing w:line="360" w:lineRule="auto"/>
        <w:jc w:val="both"/>
        <w:rPr>
          <w:rFonts w:ascii="Arial" w:hAnsi="Arial" w:cs="Arial"/>
          <w:sz w:val="22"/>
          <w:szCs w:val="22"/>
        </w:rPr>
      </w:pPr>
      <w:r>
        <w:rPr>
          <w:rFonts w:ascii="Arial" w:hAnsi="Arial" w:cs="Arial"/>
          <w:sz w:val="22"/>
          <w:szCs w:val="22"/>
        </w:rPr>
        <w:t>To examine the principles and theoretical foundations of person-</w:t>
      </w:r>
      <w:proofErr w:type="spellStart"/>
      <w:r>
        <w:rPr>
          <w:rFonts w:ascii="Arial" w:hAnsi="Arial" w:cs="Arial"/>
          <w:sz w:val="22"/>
          <w:szCs w:val="22"/>
        </w:rPr>
        <w:t>centred</w:t>
      </w:r>
      <w:proofErr w:type="spellEnd"/>
      <w:r>
        <w:rPr>
          <w:rFonts w:ascii="Arial" w:hAnsi="Arial" w:cs="Arial"/>
          <w:sz w:val="22"/>
          <w:szCs w:val="22"/>
        </w:rPr>
        <w:t xml:space="preserve"> care</w:t>
      </w:r>
    </w:p>
    <w:p w14:paraId="56A56C80" w14:textId="77777777" w:rsidR="00ED3AE6" w:rsidRDefault="008C38B0">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To critically </w:t>
      </w:r>
      <w:proofErr w:type="spellStart"/>
      <w:r>
        <w:rPr>
          <w:rFonts w:ascii="Arial" w:hAnsi="Arial" w:cs="Arial"/>
          <w:sz w:val="22"/>
          <w:szCs w:val="22"/>
        </w:rPr>
        <w:t>analyse</w:t>
      </w:r>
      <w:proofErr w:type="spellEnd"/>
      <w:r>
        <w:rPr>
          <w:rFonts w:ascii="Arial" w:hAnsi="Arial" w:cs="Arial"/>
          <w:sz w:val="22"/>
          <w:szCs w:val="22"/>
        </w:rPr>
        <w:t xml:space="preserve"> evidence on the impact of person-</w:t>
      </w:r>
      <w:proofErr w:type="spellStart"/>
      <w:r>
        <w:rPr>
          <w:rFonts w:ascii="Arial" w:hAnsi="Arial" w:cs="Arial"/>
          <w:sz w:val="22"/>
          <w:szCs w:val="22"/>
        </w:rPr>
        <w:t>centred</w:t>
      </w:r>
      <w:proofErr w:type="spellEnd"/>
      <w:r>
        <w:rPr>
          <w:rFonts w:ascii="Arial" w:hAnsi="Arial" w:cs="Arial"/>
          <w:sz w:val="22"/>
          <w:szCs w:val="22"/>
        </w:rPr>
        <w:t xml:space="preserve"> care on older adults' wellbeing and quality of life</w:t>
      </w:r>
    </w:p>
    <w:p w14:paraId="234040AB" w14:textId="77777777" w:rsidR="00ED3AE6" w:rsidRDefault="008C38B0">
      <w:pPr>
        <w:pStyle w:val="ListParagraph"/>
        <w:numPr>
          <w:ilvl w:val="0"/>
          <w:numId w:val="6"/>
        </w:numPr>
        <w:spacing w:line="360" w:lineRule="auto"/>
        <w:jc w:val="both"/>
        <w:rPr>
          <w:rFonts w:ascii="Arial" w:hAnsi="Arial" w:cs="Arial"/>
          <w:sz w:val="22"/>
          <w:szCs w:val="22"/>
        </w:rPr>
      </w:pPr>
      <w:r>
        <w:rPr>
          <w:rFonts w:ascii="Arial" w:hAnsi="Arial" w:cs="Arial"/>
          <w:sz w:val="22"/>
          <w:szCs w:val="22"/>
        </w:rPr>
        <w:t>To explore barriers and challenges to implementing person-</w:t>
      </w:r>
      <w:proofErr w:type="spellStart"/>
      <w:r>
        <w:rPr>
          <w:rFonts w:ascii="Arial" w:hAnsi="Arial" w:cs="Arial"/>
          <w:sz w:val="22"/>
          <w:szCs w:val="22"/>
        </w:rPr>
        <w:t>centred</w:t>
      </w:r>
      <w:proofErr w:type="spellEnd"/>
      <w:r>
        <w:rPr>
          <w:rFonts w:ascii="Arial" w:hAnsi="Arial" w:cs="Arial"/>
          <w:sz w:val="22"/>
          <w:szCs w:val="22"/>
        </w:rPr>
        <w:t xml:space="preserve"> care in residential care settings</w:t>
      </w:r>
    </w:p>
    <w:p w14:paraId="72FDB59D" w14:textId="77777777" w:rsidR="00ED3AE6" w:rsidRDefault="008C38B0">
      <w:pPr>
        <w:pStyle w:val="ListParagraph"/>
        <w:numPr>
          <w:ilvl w:val="0"/>
          <w:numId w:val="7"/>
        </w:numPr>
        <w:spacing w:line="360" w:lineRule="auto"/>
        <w:jc w:val="both"/>
        <w:rPr>
          <w:rFonts w:ascii="Arial" w:hAnsi="Arial" w:cs="Arial"/>
          <w:sz w:val="22"/>
          <w:szCs w:val="22"/>
        </w:rPr>
      </w:pPr>
      <w:r>
        <w:rPr>
          <w:rFonts w:ascii="Arial" w:hAnsi="Arial" w:cs="Arial"/>
          <w:sz w:val="22"/>
          <w:szCs w:val="22"/>
        </w:rPr>
        <w:t>To identify recommendations for improving person-</w:t>
      </w:r>
      <w:proofErr w:type="spellStart"/>
      <w:r>
        <w:rPr>
          <w:rFonts w:ascii="Arial" w:hAnsi="Arial" w:cs="Arial"/>
          <w:sz w:val="22"/>
          <w:szCs w:val="22"/>
        </w:rPr>
        <w:t>centred</w:t>
      </w:r>
      <w:proofErr w:type="spellEnd"/>
      <w:r>
        <w:rPr>
          <w:rFonts w:ascii="Arial" w:hAnsi="Arial" w:cs="Arial"/>
          <w:sz w:val="22"/>
          <w:szCs w:val="22"/>
        </w:rPr>
        <w:t xml:space="preserve"> care practice</w:t>
      </w:r>
    </w:p>
    <w:p w14:paraId="0A2D2B8B" w14:textId="77777777" w:rsidR="00ED3AE6" w:rsidRDefault="008C38B0">
      <w:pPr>
        <w:pStyle w:val="Heading2"/>
        <w:spacing w:line="360" w:lineRule="auto"/>
        <w:jc w:val="both"/>
        <w:rPr>
          <w:rFonts w:ascii="Arial" w:hAnsi="Arial" w:cs="Arial"/>
          <w:color w:val="auto"/>
          <w:sz w:val="22"/>
          <w:szCs w:val="22"/>
        </w:rPr>
      </w:pPr>
      <w:bookmarkStart w:id="8" w:name="__RefHeading___Toc1519_1328646638"/>
      <w:bookmarkEnd w:id="8"/>
      <w:r>
        <w:rPr>
          <w:rFonts w:ascii="Arial" w:hAnsi="Arial" w:cs="Arial"/>
          <w:b/>
          <w:bCs/>
          <w:color w:val="auto"/>
          <w:sz w:val="28"/>
          <w:szCs w:val="22"/>
        </w:rPr>
        <w:t>1.4 Research Question</w:t>
      </w:r>
    </w:p>
    <w:p w14:paraId="01EC2F5E" w14:textId="77777777" w:rsidR="00ED3AE6" w:rsidRDefault="008C38B0">
      <w:pPr>
        <w:spacing w:line="360" w:lineRule="auto"/>
        <w:jc w:val="both"/>
        <w:rPr>
          <w:rFonts w:ascii="Arial" w:hAnsi="Arial" w:cs="Arial"/>
          <w:sz w:val="22"/>
          <w:szCs w:val="22"/>
        </w:rPr>
      </w:pPr>
      <w:r>
        <w:rPr>
          <w:rFonts w:ascii="Arial" w:hAnsi="Arial" w:cs="Arial"/>
          <w:sz w:val="22"/>
          <w:szCs w:val="22"/>
        </w:rPr>
        <w:t>This study is guided by the following research question:</w:t>
      </w:r>
    </w:p>
    <w:p w14:paraId="5CE1E1A5" w14:textId="77777777" w:rsidR="00ED3AE6" w:rsidRDefault="008C38B0">
      <w:pPr>
        <w:spacing w:line="360" w:lineRule="auto"/>
        <w:jc w:val="both"/>
        <w:rPr>
          <w:rFonts w:ascii="Arial" w:hAnsi="Arial" w:cs="Arial"/>
          <w:sz w:val="22"/>
          <w:szCs w:val="22"/>
        </w:rPr>
      </w:pPr>
      <w:r>
        <w:rPr>
          <w:rFonts w:ascii="Arial" w:hAnsi="Arial" w:cs="Arial"/>
          <w:bCs/>
          <w:i/>
          <w:iCs/>
          <w:sz w:val="22"/>
          <w:szCs w:val="22"/>
        </w:rPr>
        <w:lastRenderedPageBreak/>
        <w:t>To what extent does person-</w:t>
      </w:r>
      <w:proofErr w:type="spellStart"/>
      <w:r>
        <w:rPr>
          <w:rFonts w:ascii="Arial" w:hAnsi="Arial" w:cs="Arial"/>
          <w:bCs/>
          <w:i/>
          <w:iCs/>
          <w:sz w:val="22"/>
          <w:szCs w:val="22"/>
        </w:rPr>
        <w:t>centred</w:t>
      </w:r>
      <w:proofErr w:type="spellEnd"/>
      <w:r>
        <w:rPr>
          <w:rFonts w:ascii="Arial" w:hAnsi="Arial" w:cs="Arial"/>
          <w:bCs/>
          <w:i/>
          <w:iCs/>
          <w:sz w:val="22"/>
          <w:szCs w:val="22"/>
        </w:rPr>
        <w:t xml:space="preserve"> care improve outcomes for older adults in residential care settings?</w:t>
      </w:r>
    </w:p>
    <w:p w14:paraId="609A4F22" w14:textId="77777777" w:rsidR="00ED3AE6" w:rsidRDefault="008C38B0">
      <w:pPr>
        <w:pStyle w:val="Heading2"/>
        <w:spacing w:line="360" w:lineRule="auto"/>
        <w:jc w:val="both"/>
        <w:rPr>
          <w:rFonts w:ascii="Arial" w:hAnsi="Arial" w:cs="Arial"/>
          <w:color w:val="auto"/>
          <w:sz w:val="22"/>
          <w:szCs w:val="22"/>
        </w:rPr>
      </w:pPr>
      <w:bookmarkStart w:id="9" w:name="__RefHeading___Toc1521_1328646638"/>
      <w:bookmarkEnd w:id="9"/>
      <w:r>
        <w:rPr>
          <w:rFonts w:ascii="Arial" w:hAnsi="Arial" w:cs="Arial"/>
          <w:b/>
          <w:bCs/>
          <w:color w:val="auto"/>
          <w:sz w:val="28"/>
          <w:szCs w:val="22"/>
        </w:rPr>
        <w:t>1.5 Significance of the Study</w:t>
      </w:r>
    </w:p>
    <w:p w14:paraId="1ADAB42E" w14:textId="77777777" w:rsidR="00ED3AE6" w:rsidRDefault="008C38B0">
      <w:pPr>
        <w:spacing w:line="360" w:lineRule="auto"/>
        <w:jc w:val="both"/>
        <w:rPr>
          <w:rFonts w:ascii="Arial" w:hAnsi="Arial" w:cs="Arial"/>
          <w:sz w:val="22"/>
          <w:szCs w:val="22"/>
        </w:rPr>
      </w:pPr>
      <w:r>
        <w:rPr>
          <w:rFonts w:ascii="Arial" w:hAnsi="Arial" w:cs="Arial"/>
          <w:sz w:val="22"/>
          <w:szCs w:val="22"/>
        </w:rPr>
        <w:t>This study is significant within the context of ongoing efforts to improve the quality of care provided to older adults in residential settings. As the demand for health and social care services continues to grow, there is an increasing need to ensure that care practices are both effective and responsive to the needs of service users. Person-</w:t>
      </w:r>
      <w:proofErr w:type="spellStart"/>
      <w:r>
        <w:rPr>
          <w:rFonts w:ascii="Arial" w:hAnsi="Arial" w:cs="Arial"/>
          <w:sz w:val="22"/>
          <w:szCs w:val="22"/>
        </w:rPr>
        <w:t>centred</w:t>
      </w:r>
      <w:proofErr w:type="spellEnd"/>
      <w:r>
        <w:rPr>
          <w:rFonts w:ascii="Arial" w:hAnsi="Arial" w:cs="Arial"/>
          <w:sz w:val="22"/>
          <w:szCs w:val="22"/>
        </w:rPr>
        <w:t xml:space="preserve"> care has been widely promoted as a means of achieving these goals; however, its practical effectiveness requires further critical examination.</w:t>
      </w:r>
    </w:p>
    <w:p w14:paraId="533F009B"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By </w:t>
      </w:r>
      <w:proofErr w:type="spellStart"/>
      <w:r>
        <w:rPr>
          <w:rFonts w:ascii="Arial" w:hAnsi="Arial" w:cs="Arial"/>
          <w:sz w:val="22"/>
          <w:szCs w:val="22"/>
        </w:rPr>
        <w:t>analysing</w:t>
      </w:r>
      <w:proofErr w:type="spellEnd"/>
      <w:r>
        <w:rPr>
          <w:rFonts w:ascii="Arial" w:hAnsi="Arial" w:cs="Arial"/>
          <w:sz w:val="22"/>
          <w:szCs w:val="22"/>
        </w:rPr>
        <w:t xml:space="preserve"> existing literature, this study aims to provide a comprehensive understanding of the extent to which person-</w:t>
      </w:r>
      <w:proofErr w:type="spellStart"/>
      <w:r>
        <w:rPr>
          <w:rFonts w:ascii="Arial" w:hAnsi="Arial" w:cs="Arial"/>
          <w:sz w:val="22"/>
          <w:szCs w:val="22"/>
        </w:rPr>
        <w:t>centred</w:t>
      </w:r>
      <w:proofErr w:type="spellEnd"/>
      <w:r>
        <w:rPr>
          <w:rFonts w:ascii="Arial" w:hAnsi="Arial" w:cs="Arial"/>
          <w:sz w:val="22"/>
          <w:szCs w:val="22"/>
        </w:rPr>
        <w:t xml:space="preserve"> care improves outcomes for older adults. The findings will contribute to identifying both the strengths and limitations of this approach, offering a more balanced perspective on its role within residential care.</w:t>
      </w:r>
    </w:p>
    <w:p w14:paraId="3307277B" w14:textId="77777777" w:rsidR="00ED3AE6" w:rsidRDefault="008C38B0">
      <w:pPr>
        <w:spacing w:line="360" w:lineRule="auto"/>
        <w:jc w:val="both"/>
        <w:rPr>
          <w:rFonts w:ascii="Arial" w:hAnsi="Arial" w:cs="Arial"/>
          <w:sz w:val="22"/>
          <w:szCs w:val="22"/>
        </w:rPr>
      </w:pPr>
      <w:r>
        <w:rPr>
          <w:rFonts w:ascii="Arial" w:hAnsi="Arial" w:cs="Arial"/>
          <w:sz w:val="22"/>
          <w:szCs w:val="22"/>
        </w:rPr>
        <w:t>The study is also relevant to practitioners and policymakers, as it may highlight key barriers that hinder the successful implementation of person-</w:t>
      </w:r>
      <w:proofErr w:type="spellStart"/>
      <w:r>
        <w:rPr>
          <w:rFonts w:ascii="Arial" w:hAnsi="Arial" w:cs="Arial"/>
          <w:sz w:val="22"/>
          <w:szCs w:val="22"/>
        </w:rPr>
        <w:t>centred</w:t>
      </w:r>
      <w:proofErr w:type="spellEnd"/>
      <w:r>
        <w:rPr>
          <w:rFonts w:ascii="Arial" w:hAnsi="Arial" w:cs="Arial"/>
          <w:sz w:val="22"/>
          <w:szCs w:val="22"/>
        </w:rPr>
        <w:t xml:space="preserve"> care. Identifying these challenges can inform the development of strategies aimed at improving care delivery, such as enhanced staff training, better resource allocation, and </w:t>
      </w:r>
      <w:proofErr w:type="spellStart"/>
      <w:r>
        <w:rPr>
          <w:rFonts w:ascii="Arial" w:hAnsi="Arial" w:cs="Arial"/>
          <w:sz w:val="22"/>
          <w:szCs w:val="22"/>
        </w:rPr>
        <w:t>organisational</w:t>
      </w:r>
      <w:proofErr w:type="spellEnd"/>
      <w:r>
        <w:rPr>
          <w:rFonts w:ascii="Arial" w:hAnsi="Arial" w:cs="Arial"/>
          <w:sz w:val="22"/>
          <w:szCs w:val="22"/>
        </w:rPr>
        <w:t xml:space="preserve"> changes that support person-</w:t>
      </w:r>
      <w:proofErr w:type="spellStart"/>
      <w:r>
        <w:rPr>
          <w:rFonts w:ascii="Arial" w:hAnsi="Arial" w:cs="Arial"/>
          <w:sz w:val="22"/>
          <w:szCs w:val="22"/>
        </w:rPr>
        <w:t>centred</w:t>
      </w:r>
      <w:proofErr w:type="spellEnd"/>
      <w:r>
        <w:rPr>
          <w:rFonts w:ascii="Arial" w:hAnsi="Arial" w:cs="Arial"/>
          <w:sz w:val="22"/>
          <w:szCs w:val="22"/>
        </w:rPr>
        <w:t xml:space="preserve"> practices.</w:t>
      </w:r>
    </w:p>
    <w:p w14:paraId="3482661D" w14:textId="77777777" w:rsidR="00ED3AE6" w:rsidRDefault="008C38B0">
      <w:pPr>
        <w:spacing w:line="360" w:lineRule="auto"/>
        <w:jc w:val="both"/>
        <w:rPr>
          <w:rFonts w:ascii="Arial" w:hAnsi="Arial" w:cs="Arial"/>
          <w:sz w:val="22"/>
          <w:szCs w:val="22"/>
        </w:rPr>
      </w:pPr>
      <w:r>
        <w:rPr>
          <w:rFonts w:ascii="Arial" w:hAnsi="Arial" w:cs="Arial"/>
          <w:sz w:val="22"/>
          <w:szCs w:val="22"/>
        </w:rPr>
        <w:t>In addition, this research contributes to the academic field of health and social care by addressing the gap between theoretical frameworks and real-world practice. By critically evaluating existing evidence, the study seeks to support the development of care models that not only align with policy expectations but also produce meaningful improvements in the wellbeing and quality of life of older adults.</w:t>
      </w:r>
    </w:p>
    <w:p w14:paraId="09942481" w14:textId="77777777" w:rsidR="00ED3AE6" w:rsidRDefault="008C38B0">
      <w:pPr>
        <w:pStyle w:val="Heading2"/>
        <w:spacing w:line="360" w:lineRule="auto"/>
        <w:jc w:val="both"/>
        <w:rPr>
          <w:rFonts w:ascii="Arial" w:hAnsi="Arial" w:cs="Arial"/>
          <w:color w:val="auto"/>
          <w:sz w:val="22"/>
          <w:szCs w:val="22"/>
        </w:rPr>
      </w:pPr>
      <w:bookmarkStart w:id="10" w:name="__RefHeading___Toc1523_1328646638"/>
      <w:bookmarkEnd w:id="10"/>
      <w:r>
        <w:rPr>
          <w:rFonts w:ascii="Arial" w:hAnsi="Arial" w:cs="Arial"/>
          <w:b/>
          <w:bCs/>
          <w:color w:val="auto"/>
          <w:sz w:val="28"/>
          <w:szCs w:val="22"/>
        </w:rPr>
        <w:t>1.6 Structure of the Dissertation</w:t>
      </w:r>
    </w:p>
    <w:p w14:paraId="134924A9" w14:textId="77777777" w:rsidR="00ED3AE6" w:rsidRDefault="008C38B0">
      <w:pPr>
        <w:spacing w:line="360" w:lineRule="auto"/>
        <w:jc w:val="both"/>
        <w:rPr>
          <w:rFonts w:ascii="Arial" w:hAnsi="Arial" w:cs="Arial"/>
          <w:sz w:val="22"/>
          <w:szCs w:val="22"/>
        </w:rPr>
      </w:pPr>
      <w:r>
        <w:rPr>
          <w:rFonts w:ascii="Arial" w:hAnsi="Arial" w:cs="Arial"/>
          <w:sz w:val="22"/>
          <w:szCs w:val="22"/>
        </w:rPr>
        <w:t>This dissertation is structured into five chapters. Chapter One introduces the research topic, outlining the background, problem statement, aim, objectives, and research question. Chapter Two presents a critical review of the literature related to person-</w:t>
      </w:r>
      <w:proofErr w:type="spellStart"/>
      <w:r>
        <w:rPr>
          <w:rFonts w:ascii="Arial" w:hAnsi="Arial" w:cs="Arial"/>
          <w:sz w:val="22"/>
          <w:szCs w:val="22"/>
        </w:rPr>
        <w:t>centred</w:t>
      </w:r>
      <w:proofErr w:type="spellEnd"/>
      <w:r>
        <w:rPr>
          <w:rFonts w:ascii="Arial" w:hAnsi="Arial" w:cs="Arial"/>
          <w:sz w:val="22"/>
          <w:szCs w:val="22"/>
        </w:rPr>
        <w:t xml:space="preserve"> care and its impact on outcomes for older adults in residential care settings. Chapter Three outlines the research methodology, including the design, data collection methods, and analytical approach used in the study. Chapter Four presents and discusses the findings in relation to existing literature. Finally, Chapter Five provides conclusions and recommendations based on the findings, as well as suggestions for future research.</w:t>
      </w:r>
    </w:p>
    <w:p w14:paraId="781018EB" w14:textId="77777777" w:rsidR="00ED3AE6" w:rsidRDefault="008C38B0">
      <w:pPr>
        <w:spacing w:line="360" w:lineRule="auto"/>
        <w:jc w:val="both"/>
        <w:rPr>
          <w:rFonts w:ascii="Arial" w:hAnsi="Arial" w:cs="Arial"/>
          <w:sz w:val="22"/>
          <w:szCs w:val="22"/>
        </w:rPr>
      </w:pPr>
      <w:r>
        <w:br w:type="page"/>
      </w:r>
    </w:p>
    <w:p w14:paraId="1C98F20C" w14:textId="77777777" w:rsidR="00ED3AE6" w:rsidRDefault="008C38B0">
      <w:pPr>
        <w:pStyle w:val="Heading1"/>
        <w:spacing w:line="360" w:lineRule="auto"/>
        <w:jc w:val="center"/>
        <w:rPr>
          <w:rFonts w:ascii="Arial" w:hAnsi="Arial" w:cs="Arial"/>
          <w:color w:val="auto"/>
          <w:sz w:val="22"/>
          <w:szCs w:val="22"/>
        </w:rPr>
      </w:pPr>
      <w:bookmarkStart w:id="11" w:name="__RefHeading___Toc1525_1328646638"/>
      <w:bookmarkEnd w:id="11"/>
      <w:r>
        <w:rPr>
          <w:rFonts w:ascii="Arial" w:hAnsi="Arial" w:cs="Arial"/>
          <w:b/>
          <w:bCs/>
          <w:color w:val="auto"/>
          <w:szCs w:val="22"/>
        </w:rPr>
        <w:lastRenderedPageBreak/>
        <w:t>CHAPTER TWO</w:t>
      </w:r>
    </w:p>
    <w:p w14:paraId="328A87CF" w14:textId="77777777" w:rsidR="00ED3AE6" w:rsidRPr="008C38B0" w:rsidRDefault="008C38B0">
      <w:pPr>
        <w:spacing w:line="360" w:lineRule="auto"/>
        <w:jc w:val="center"/>
        <w:rPr>
          <w:rFonts w:ascii="Arial" w:hAnsi="Arial" w:cs="Arial"/>
          <w:szCs w:val="22"/>
        </w:rPr>
      </w:pPr>
      <w:r w:rsidRPr="008C38B0">
        <w:rPr>
          <w:rFonts w:ascii="Arial" w:hAnsi="Arial" w:cs="Arial"/>
          <w:b/>
          <w:bCs/>
          <w:szCs w:val="22"/>
        </w:rPr>
        <w:t>LITERATURE REVIEW</w:t>
      </w:r>
    </w:p>
    <w:p w14:paraId="0788D4B0" w14:textId="77777777" w:rsidR="00ED3AE6" w:rsidRDefault="008C38B0">
      <w:pPr>
        <w:pStyle w:val="Heading2"/>
        <w:spacing w:line="360" w:lineRule="auto"/>
        <w:jc w:val="both"/>
        <w:rPr>
          <w:rFonts w:ascii="Arial" w:hAnsi="Arial" w:cs="Arial"/>
          <w:color w:val="auto"/>
          <w:sz w:val="22"/>
          <w:szCs w:val="22"/>
        </w:rPr>
      </w:pPr>
      <w:bookmarkStart w:id="12" w:name="__RefHeading___Toc1527_1328646638"/>
      <w:bookmarkEnd w:id="12"/>
      <w:r>
        <w:rPr>
          <w:rFonts w:ascii="Arial" w:hAnsi="Arial" w:cs="Arial"/>
          <w:b/>
          <w:bCs/>
          <w:color w:val="auto"/>
          <w:sz w:val="28"/>
          <w:szCs w:val="22"/>
        </w:rPr>
        <w:t>2.1 Introduction</w:t>
      </w:r>
    </w:p>
    <w:p w14:paraId="2754182A" w14:textId="77777777" w:rsidR="00ED3AE6" w:rsidRDefault="008C38B0">
      <w:pPr>
        <w:spacing w:line="360" w:lineRule="auto"/>
        <w:jc w:val="both"/>
        <w:rPr>
          <w:rFonts w:ascii="Arial" w:hAnsi="Arial" w:cs="Arial"/>
          <w:sz w:val="22"/>
          <w:szCs w:val="22"/>
        </w:rPr>
      </w:pPr>
      <w:r>
        <w:rPr>
          <w:rFonts w:ascii="Arial" w:hAnsi="Arial" w:cs="Arial"/>
          <w:sz w:val="22"/>
          <w:szCs w:val="22"/>
        </w:rPr>
        <w:t>Person-</w:t>
      </w:r>
      <w:proofErr w:type="spellStart"/>
      <w:r>
        <w:rPr>
          <w:rFonts w:ascii="Arial" w:hAnsi="Arial" w:cs="Arial"/>
          <w:sz w:val="22"/>
          <w:szCs w:val="22"/>
        </w:rPr>
        <w:t>centred</w:t>
      </w:r>
      <w:proofErr w:type="spellEnd"/>
      <w:r>
        <w:rPr>
          <w:rFonts w:ascii="Arial" w:hAnsi="Arial" w:cs="Arial"/>
          <w:sz w:val="22"/>
          <w:szCs w:val="22"/>
        </w:rPr>
        <w:t xml:space="preserve"> care (PCC) has become a dominant philosophy in modern health and social care systems, particularly within services for older adults in residential care settings. The increasing global ageing population has placed significant pressure on care systems to deliver services that are not only efficient but also humane, dignified, and responsive to individual needs (World Health Organization, 2021). In response, PCC has been widely adopted in policy and practice as a model that </w:t>
      </w:r>
      <w:proofErr w:type="spellStart"/>
      <w:r>
        <w:rPr>
          <w:rFonts w:ascii="Arial" w:hAnsi="Arial" w:cs="Arial"/>
          <w:sz w:val="22"/>
          <w:szCs w:val="22"/>
        </w:rPr>
        <w:t>prioritises</w:t>
      </w:r>
      <w:proofErr w:type="spellEnd"/>
      <w:r>
        <w:rPr>
          <w:rFonts w:ascii="Arial" w:hAnsi="Arial" w:cs="Arial"/>
          <w:sz w:val="22"/>
          <w:szCs w:val="22"/>
        </w:rPr>
        <w:t xml:space="preserve"> individuality, autonomy, and holistic wellbeing.</w:t>
      </w:r>
    </w:p>
    <w:p w14:paraId="602FCDE2" w14:textId="77777777" w:rsidR="00ED3AE6" w:rsidRDefault="008C38B0">
      <w:pPr>
        <w:spacing w:line="360" w:lineRule="auto"/>
        <w:jc w:val="both"/>
        <w:rPr>
          <w:rFonts w:ascii="Arial" w:hAnsi="Arial" w:cs="Arial"/>
          <w:sz w:val="22"/>
          <w:szCs w:val="22"/>
        </w:rPr>
      </w:pPr>
      <w:r>
        <w:rPr>
          <w:rFonts w:ascii="Arial" w:hAnsi="Arial" w:cs="Arial"/>
          <w:sz w:val="22"/>
          <w:szCs w:val="22"/>
        </w:rPr>
        <w:t>Despite its widespread acceptance, there remains ongoing debate regarding the extent to which PCC is effectively implemented and whether it consistently leads to improved outcomes in residential care settings. While PCC is strongly endorsed in UK policy frameworks such as those produced by the National Institute for Health and Care Excellence (NICE, 2022) and the Department of Health and Social Care (DHSC, 2021), evidence from practice suggests significant variability in its application and impact.</w:t>
      </w:r>
    </w:p>
    <w:p w14:paraId="24FA5402"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chapter critically evaluates existing literature on PCC, focusing on its theoretical foundations, effectiveness in improving outcomes for older adults, and the barriers that influence its implementation. Rather than simply describing existing studies, the review </w:t>
      </w:r>
      <w:proofErr w:type="spellStart"/>
      <w:r>
        <w:rPr>
          <w:rFonts w:ascii="Arial" w:hAnsi="Arial" w:cs="Arial"/>
          <w:sz w:val="22"/>
          <w:szCs w:val="22"/>
        </w:rPr>
        <w:t>synthesises</w:t>
      </w:r>
      <w:proofErr w:type="spellEnd"/>
      <w:r>
        <w:rPr>
          <w:rFonts w:ascii="Arial" w:hAnsi="Arial" w:cs="Arial"/>
          <w:sz w:val="22"/>
          <w:szCs w:val="22"/>
        </w:rPr>
        <w:t xml:space="preserve"> and critiques the evidence base, identifying inconsistencies, gaps, and tensions between theory, policy, and practice.</w:t>
      </w:r>
    </w:p>
    <w:p w14:paraId="3275A2B3" w14:textId="77777777" w:rsidR="00ED3AE6" w:rsidRDefault="008C38B0">
      <w:pPr>
        <w:pStyle w:val="Heading2"/>
        <w:spacing w:line="360" w:lineRule="auto"/>
        <w:jc w:val="both"/>
        <w:rPr>
          <w:rFonts w:ascii="Arial" w:hAnsi="Arial" w:cs="Arial"/>
          <w:color w:val="auto"/>
          <w:sz w:val="22"/>
          <w:szCs w:val="22"/>
        </w:rPr>
      </w:pPr>
      <w:bookmarkStart w:id="13" w:name="__RefHeading___Toc1529_1328646638"/>
      <w:bookmarkEnd w:id="13"/>
      <w:r>
        <w:rPr>
          <w:rFonts w:ascii="Arial" w:hAnsi="Arial" w:cs="Arial"/>
          <w:b/>
          <w:bCs/>
          <w:color w:val="auto"/>
          <w:sz w:val="28"/>
          <w:szCs w:val="22"/>
        </w:rPr>
        <w:t xml:space="preserve">2.2 </w:t>
      </w:r>
      <w:proofErr w:type="spellStart"/>
      <w:r>
        <w:rPr>
          <w:rFonts w:ascii="Arial" w:hAnsi="Arial" w:cs="Arial"/>
          <w:b/>
          <w:bCs/>
          <w:color w:val="auto"/>
          <w:sz w:val="28"/>
          <w:szCs w:val="22"/>
        </w:rPr>
        <w:t>Conceptualising</w:t>
      </w:r>
      <w:proofErr w:type="spellEnd"/>
      <w:r>
        <w:rPr>
          <w:rFonts w:ascii="Arial" w:hAnsi="Arial" w:cs="Arial"/>
          <w:b/>
          <w:bCs/>
          <w:color w:val="auto"/>
          <w:sz w:val="28"/>
          <w:szCs w:val="22"/>
        </w:rPr>
        <w:t xml:space="preserve"> Person-</w:t>
      </w:r>
      <w:proofErr w:type="spellStart"/>
      <w:r>
        <w:rPr>
          <w:rFonts w:ascii="Arial" w:hAnsi="Arial" w:cs="Arial"/>
          <w:b/>
          <w:bCs/>
          <w:color w:val="auto"/>
          <w:sz w:val="28"/>
          <w:szCs w:val="22"/>
        </w:rPr>
        <w:t>Centred</w:t>
      </w:r>
      <w:proofErr w:type="spellEnd"/>
      <w:r>
        <w:rPr>
          <w:rFonts w:ascii="Arial" w:hAnsi="Arial" w:cs="Arial"/>
          <w:b/>
          <w:bCs/>
          <w:color w:val="auto"/>
          <w:sz w:val="28"/>
          <w:szCs w:val="22"/>
        </w:rPr>
        <w:t xml:space="preserve"> Care</w:t>
      </w:r>
    </w:p>
    <w:p w14:paraId="65EF7BED" w14:textId="77777777" w:rsidR="00ED3AE6" w:rsidRDefault="008C38B0">
      <w:pPr>
        <w:spacing w:line="360" w:lineRule="auto"/>
        <w:jc w:val="both"/>
        <w:rPr>
          <w:rFonts w:ascii="Arial" w:hAnsi="Arial" w:cs="Arial"/>
          <w:sz w:val="22"/>
          <w:szCs w:val="22"/>
        </w:rPr>
      </w:pPr>
      <w:r>
        <w:rPr>
          <w:rFonts w:ascii="Arial" w:hAnsi="Arial" w:cs="Arial"/>
          <w:sz w:val="22"/>
          <w:szCs w:val="22"/>
        </w:rPr>
        <w:t>Person-</w:t>
      </w:r>
      <w:proofErr w:type="spellStart"/>
      <w:r>
        <w:rPr>
          <w:rFonts w:ascii="Arial" w:hAnsi="Arial" w:cs="Arial"/>
          <w:sz w:val="22"/>
          <w:szCs w:val="22"/>
        </w:rPr>
        <w:t>centred</w:t>
      </w:r>
      <w:proofErr w:type="spellEnd"/>
      <w:r>
        <w:rPr>
          <w:rFonts w:ascii="Arial" w:hAnsi="Arial" w:cs="Arial"/>
          <w:sz w:val="22"/>
          <w:szCs w:val="22"/>
        </w:rPr>
        <w:t xml:space="preserve"> care is generally defined as an approach that places the individual at the </w:t>
      </w:r>
      <w:proofErr w:type="spellStart"/>
      <w:r>
        <w:rPr>
          <w:rFonts w:ascii="Arial" w:hAnsi="Arial" w:cs="Arial"/>
          <w:sz w:val="22"/>
          <w:szCs w:val="22"/>
        </w:rPr>
        <w:t>centre</w:t>
      </w:r>
      <w:proofErr w:type="spellEnd"/>
      <w:r>
        <w:rPr>
          <w:rFonts w:ascii="Arial" w:hAnsi="Arial" w:cs="Arial"/>
          <w:sz w:val="22"/>
          <w:szCs w:val="22"/>
        </w:rPr>
        <w:t xml:space="preserve"> of care delivery, ensuring that their values, preferences, and needs guide all aspects of care planning and delivery (NICE, 2022). However, despite this widely accepted definition, the literature demonstrates a lack of conceptual clarity and consistency in how PCC is understood and </w:t>
      </w:r>
      <w:proofErr w:type="spellStart"/>
      <w:r>
        <w:rPr>
          <w:rFonts w:ascii="Arial" w:hAnsi="Arial" w:cs="Arial"/>
          <w:sz w:val="22"/>
          <w:szCs w:val="22"/>
        </w:rPr>
        <w:t>operationalised</w:t>
      </w:r>
      <w:proofErr w:type="spellEnd"/>
      <w:r>
        <w:rPr>
          <w:rFonts w:ascii="Arial" w:hAnsi="Arial" w:cs="Arial"/>
          <w:sz w:val="22"/>
          <w:szCs w:val="22"/>
        </w:rPr>
        <w:t xml:space="preserve"> (McCormack and McCance, 2017).</w:t>
      </w:r>
    </w:p>
    <w:p w14:paraId="2F72173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theoretical foundation of PCC is strongly associated with the work of Tom Kitwood, who introduced the concept of "personhood" in dementia care. </w:t>
      </w:r>
      <w:proofErr w:type="spellStart"/>
      <w:r>
        <w:rPr>
          <w:rFonts w:ascii="Arial" w:hAnsi="Arial" w:cs="Arial"/>
          <w:sz w:val="22"/>
          <w:szCs w:val="22"/>
        </w:rPr>
        <w:t>Kitwood</w:t>
      </w:r>
      <w:proofErr w:type="spellEnd"/>
      <w:r>
        <w:rPr>
          <w:rFonts w:ascii="Arial" w:hAnsi="Arial" w:cs="Arial"/>
          <w:sz w:val="22"/>
          <w:szCs w:val="22"/>
        </w:rPr>
        <w:t xml:space="preserve"> (1997) argued that individuals living with dementia should not be reduced to their cognitive impairments but should instead be understood as whole persons with emotional, social, and psychological needs. This marked a significant shift away from biomedical models of care, which traditionally </w:t>
      </w:r>
      <w:proofErr w:type="spellStart"/>
      <w:r>
        <w:rPr>
          <w:rFonts w:ascii="Arial" w:hAnsi="Arial" w:cs="Arial"/>
          <w:sz w:val="22"/>
          <w:szCs w:val="22"/>
        </w:rPr>
        <w:t>prioritised</w:t>
      </w:r>
      <w:proofErr w:type="spellEnd"/>
      <w:r>
        <w:rPr>
          <w:rFonts w:ascii="Arial" w:hAnsi="Arial" w:cs="Arial"/>
          <w:sz w:val="22"/>
          <w:szCs w:val="22"/>
        </w:rPr>
        <w:t xml:space="preserve"> diagnosis and physical symptoms over lived experience.</w:t>
      </w:r>
    </w:p>
    <w:p w14:paraId="46F0F324" w14:textId="77777777" w:rsidR="00ED3AE6" w:rsidRDefault="008C38B0">
      <w:pPr>
        <w:spacing w:line="360" w:lineRule="auto"/>
        <w:jc w:val="both"/>
      </w:pPr>
      <w:r>
        <w:rPr>
          <w:rFonts w:ascii="Arial" w:hAnsi="Arial" w:cs="Arial"/>
          <w:sz w:val="22"/>
        </w:rPr>
        <w:t xml:space="preserve">This lineage draws directly on the humanistic psychology of Rogers (1961), whose emphasis on empathy, unconditional positive regard, and the primacy of the individual's own frame of </w:t>
      </w:r>
      <w:r>
        <w:rPr>
          <w:rFonts w:ascii="Arial" w:hAnsi="Arial" w:cs="Arial"/>
          <w:sz w:val="22"/>
        </w:rPr>
        <w:lastRenderedPageBreak/>
        <w:t xml:space="preserve">reference provided the conceptual template that </w:t>
      </w:r>
      <w:proofErr w:type="spellStart"/>
      <w:r>
        <w:rPr>
          <w:rFonts w:ascii="Arial" w:hAnsi="Arial" w:cs="Arial"/>
          <w:sz w:val="22"/>
        </w:rPr>
        <w:t>Kitwood</w:t>
      </w:r>
      <w:proofErr w:type="spellEnd"/>
      <w:r>
        <w:rPr>
          <w:rFonts w:ascii="Arial" w:hAnsi="Arial" w:cs="Arial"/>
          <w:sz w:val="22"/>
        </w:rPr>
        <w:t xml:space="preserve"> later applied to dementia care specifically.</w:t>
      </w:r>
    </w:p>
    <w:p w14:paraId="24AC9056"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Kitwood's</w:t>
      </w:r>
      <w:proofErr w:type="spellEnd"/>
      <w:r>
        <w:rPr>
          <w:rFonts w:ascii="Arial" w:hAnsi="Arial" w:cs="Arial"/>
          <w:sz w:val="22"/>
          <w:szCs w:val="22"/>
        </w:rPr>
        <w:t xml:space="preserve"> work has been widely influential; however, it has also been </w:t>
      </w:r>
      <w:proofErr w:type="spellStart"/>
      <w:r>
        <w:rPr>
          <w:rFonts w:ascii="Arial" w:hAnsi="Arial" w:cs="Arial"/>
          <w:sz w:val="22"/>
          <w:szCs w:val="22"/>
        </w:rPr>
        <w:t>criticised</w:t>
      </w:r>
      <w:proofErr w:type="spellEnd"/>
      <w:r>
        <w:rPr>
          <w:rFonts w:ascii="Arial" w:hAnsi="Arial" w:cs="Arial"/>
          <w:sz w:val="22"/>
          <w:szCs w:val="22"/>
        </w:rPr>
        <w:t xml:space="preserve"> for its lack of operational precision. While his framework is ethically compelling, it does not provide clear guidance on how PCC should be consistently implemented in practice (Brooker and Latham, 2016). This limitation has led to multiple interpretations of PCC across care settings, resulting in inconsistent application.</w:t>
      </w:r>
    </w:p>
    <w:p w14:paraId="0B29E812"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In addition, Edvardsson et al. (2014) argue that PCC is often reduced to superficial practices such as being polite or respectful, rather than representing a comprehensive </w:t>
      </w:r>
      <w:proofErr w:type="spellStart"/>
      <w:r>
        <w:rPr>
          <w:rFonts w:ascii="Arial" w:hAnsi="Arial" w:cs="Arial"/>
          <w:sz w:val="22"/>
          <w:szCs w:val="22"/>
        </w:rPr>
        <w:t>organisational</w:t>
      </w:r>
      <w:proofErr w:type="spellEnd"/>
      <w:r>
        <w:rPr>
          <w:rFonts w:ascii="Arial" w:hAnsi="Arial" w:cs="Arial"/>
          <w:sz w:val="22"/>
          <w:szCs w:val="22"/>
        </w:rPr>
        <w:t xml:space="preserve"> philosophy. This dilution of meaning contributes to what some scholars describe as "tokenistic PCC," where the language of person-</w:t>
      </w:r>
      <w:proofErr w:type="spellStart"/>
      <w:r>
        <w:rPr>
          <w:rFonts w:ascii="Arial" w:hAnsi="Arial" w:cs="Arial"/>
          <w:sz w:val="22"/>
          <w:szCs w:val="22"/>
        </w:rPr>
        <w:t>centredness</w:t>
      </w:r>
      <w:proofErr w:type="spellEnd"/>
      <w:r>
        <w:rPr>
          <w:rFonts w:ascii="Arial" w:hAnsi="Arial" w:cs="Arial"/>
          <w:sz w:val="22"/>
          <w:szCs w:val="22"/>
        </w:rPr>
        <w:t xml:space="preserve"> is used without meaningful structural change.</w:t>
      </w:r>
    </w:p>
    <w:p w14:paraId="61B8B030"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lack of a universally agreed definition presents significant challenges for research. Studies claiming to evaluate PCC often examine different interventions, ranging from communication strategies to full </w:t>
      </w:r>
      <w:proofErr w:type="spellStart"/>
      <w:r>
        <w:rPr>
          <w:rFonts w:ascii="Arial" w:hAnsi="Arial" w:cs="Arial"/>
          <w:sz w:val="22"/>
          <w:szCs w:val="22"/>
        </w:rPr>
        <w:t>organisational</w:t>
      </w:r>
      <w:proofErr w:type="spellEnd"/>
      <w:r>
        <w:rPr>
          <w:rFonts w:ascii="Arial" w:hAnsi="Arial" w:cs="Arial"/>
          <w:sz w:val="22"/>
          <w:szCs w:val="22"/>
        </w:rPr>
        <w:t xml:space="preserve"> redesigns. This makes comparison difficult and weakens the overall evidence base (Slater, 2006).</w:t>
      </w:r>
    </w:p>
    <w:p w14:paraId="054BFD61" w14:textId="77777777" w:rsidR="00ED3AE6" w:rsidRDefault="008C38B0">
      <w:pPr>
        <w:spacing w:line="360" w:lineRule="auto"/>
        <w:jc w:val="both"/>
      </w:pPr>
      <w:r>
        <w:rPr>
          <w:rFonts w:ascii="Arial" w:hAnsi="Arial" w:cs="Arial"/>
          <w:sz w:val="22"/>
        </w:rPr>
        <w:t>More recent theoretical work has sought to address this ambiguity: McCormack and McCance's (2021) Person-</w:t>
      </w:r>
      <w:proofErr w:type="spellStart"/>
      <w:r>
        <w:rPr>
          <w:rFonts w:ascii="Arial" w:hAnsi="Arial" w:cs="Arial"/>
          <w:sz w:val="22"/>
        </w:rPr>
        <w:t>Centred</w:t>
      </w:r>
      <w:proofErr w:type="spellEnd"/>
      <w:r>
        <w:rPr>
          <w:rFonts w:ascii="Arial" w:hAnsi="Arial" w:cs="Arial"/>
          <w:sz w:val="22"/>
        </w:rPr>
        <w:t xml:space="preserve"> Nursing Framework attempts to </w:t>
      </w:r>
      <w:proofErr w:type="spellStart"/>
      <w:r>
        <w:rPr>
          <w:rFonts w:ascii="Arial" w:hAnsi="Arial" w:cs="Arial"/>
          <w:sz w:val="22"/>
        </w:rPr>
        <w:t>operationalise</w:t>
      </w:r>
      <w:proofErr w:type="spellEnd"/>
      <w:r>
        <w:rPr>
          <w:rFonts w:ascii="Arial" w:hAnsi="Arial" w:cs="Arial"/>
          <w:sz w:val="22"/>
        </w:rPr>
        <w:t xml:space="preserve"> PCC through explicit domains, including prerequisites of the care provider, the care environment, and person-</w:t>
      </w:r>
      <w:proofErr w:type="spellStart"/>
      <w:r>
        <w:rPr>
          <w:rFonts w:ascii="Arial" w:hAnsi="Arial" w:cs="Arial"/>
          <w:sz w:val="22"/>
        </w:rPr>
        <w:t>centred</w:t>
      </w:r>
      <w:proofErr w:type="spellEnd"/>
      <w:r>
        <w:rPr>
          <w:rFonts w:ascii="Arial" w:hAnsi="Arial" w:cs="Arial"/>
          <w:sz w:val="22"/>
        </w:rPr>
        <w:t xml:space="preserve"> processes, offering a more structured basis for evaluating fidelity of implementation than </w:t>
      </w:r>
      <w:proofErr w:type="spellStart"/>
      <w:r>
        <w:rPr>
          <w:rFonts w:ascii="Arial" w:hAnsi="Arial" w:cs="Arial"/>
          <w:sz w:val="22"/>
        </w:rPr>
        <w:t>Kitwood's</w:t>
      </w:r>
      <w:proofErr w:type="spellEnd"/>
      <w:r>
        <w:rPr>
          <w:rFonts w:ascii="Arial" w:hAnsi="Arial" w:cs="Arial"/>
          <w:sz w:val="22"/>
        </w:rPr>
        <w:t xml:space="preserve"> original, more philosophical account. However, even this more detailed framework has been </w:t>
      </w:r>
      <w:proofErr w:type="spellStart"/>
      <w:r>
        <w:rPr>
          <w:rFonts w:ascii="Arial" w:hAnsi="Arial" w:cs="Arial"/>
          <w:sz w:val="22"/>
        </w:rPr>
        <w:t>criticised</w:t>
      </w:r>
      <w:proofErr w:type="spellEnd"/>
      <w:r>
        <w:rPr>
          <w:rFonts w:ascii="Arial" w:hAnsi="Arial" w:cs="Arial"/>
          <w:sz w:val="22"/>
        </w:rPr>
        <w:t xml:space="preserve"> on the grounds that what counts as person-</w:t>
      </w:r>
      <w:proofErr w:type="spellStart"/>
      <w:r>
        <w:rPr>
          <w:rFonts w:ascii="Arial" w:hAnsi="Arial" w:cs="Arial"/>
          <w:sz w:val="22"/>
        </w:rPr>
        <w:t>centred</w:t>
      </w:r>
      <w:proofErr w:type="spellEnd"/>
      <w:r>
        <w:rPr>
          <w:rFonts w:ascii="Arial" w:hAnsi="Arial" w:cs="Arial"/>
          <w:sz w:val="22"/>
        </w:rPr>
        <w:t xml:space="preserve"> in practice can still vary considerably across different care contexts, meaning conceptual ambiguity has not been fully resolved.</w:t>
      </w:r>
    </w:p>
    <w:p w14:paraId="4F4420D8" w14:textId="77777777" w:rsidR="00ED3AE6" w:rsidRDefault="008C38B0">
      <w:pPr>
        <w:pStyle w:val="Heading2"/>
        <w:spacing w:line="360" w:lineRule="auto"/>
        <w:jc w:val="both"/>
        <w:rPr>
          <w:rFonts w:ascii="Arial" w:hAnsi="Arial" w:cs="Arial"/>
          <w:color w:val="auto"/>
          <w:sz w:val="22"/>
          <w:szCs w:val="22"/>
        </w:rPr>
      </w:pPr>
      <w:bookmarkStart w:id="14" w:name="__RefHeading___Toc1531_1328646638"/>
      <w:bookmarkEnd w:id="14"/>
      <w:r>
        <w:rPr>
          <w:rFonts w:ascii="Arial" w:hAnsi="Arial" w:cs="Arial"/>
          <w:b/>
          <w:bCs/>
          <w:color w:val="auto"/>
          <w:sz w:val="28"/>
          <w:szCs w:val="22"/>
        </w:rPr>
        <w:t xml:space="preserve">2.3 Theoretical Foundations and </w:t>
      </w:r>
      <w:proofErr w:type="spellStart"/>
      <w:r>
        <w:rPr>
          <w:rFonts w:ascii="Arial" w:hAnsi="Arial" w:cs="Arial"/>
          <w:b/>
          <w:bCs/>
          <w:color w:val="auto"/>
          <w:sz w:val="28"/>
          <w:szCs w:val="22"/>
        </w:rPr>
        <w:t>Organisational</w:t>
      </w:r>
      <w:proofErr w:type="spellEnd"/>
      <w:r>
        <w:rPr>
          <w:rFonts w:ascii="Arial" w:hAnsi="Arial" w:cs="Arial"/>
          <w:b/>
          <w:bCs/>
          <w:color w:val="auto"/>
          <w:sz w:val="28"/>
          <w:szCs w:val="22"/>
        </w:rPr>
        <w:t xml:space="preserve"> Constraints</w:t>
      </w:r>
    </w:p>
    <w:p w14:paraId="03ACD790"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theoretical roots of PCC lie in humanistic psychology, particularly the work of Carl Rogers, which </w:t>
      </w:r>
      <w:proofErr w:type="spellStart"/>
      <w:r>
        <w:rPr>
          <w:rFonts w:ascii="Arial" w:hAnsi="Arial" w:cs="Arial"/>
          <w:sz w:val="22"/>
          <w:szCs w:val="22"/>
        </w:rPr>
        <w:t>emphasises</w:t>
      </w:r>
      <w:proofErr w:type="spellEnd"/>
      <w:r>
        <w:rPr>
          <w:rFonts w:ascii="Arial" w:hAnsi="Arial" w:cs="Arial"/>
          <w:sz w:val="22"/>
          <w:szCs w:val="22"/>
        </w:rPr>
        <w:t xml:space="preserve"> empathy, autonomy, and unconditional positive regard. These principles align with ethical frameworks in health and social care that </w:t>
      </w:r>
      <w:proofErr w:type="spellStart"/>
      <w:r>
        <w:rPr>
          <w:rFonts w:ascii="Arial" w:hAnsi="Arial" w:cs="Arial"/>
          <w:sz w:val="22"/>
          <w:szCs w:val="22"/>
        </w:rPr>
        <w:t>prioritise</w:t>
      </w:r>
      <w:proofErr w:type="spellEnd"/>
      <w:r>
        <w:rPr>
          <w:rFonts w:ascii="Arial" w:hAnsi="Arial" w:cs="Arial"/>
          <w:sz w:val="22"/>
          <w:szCs w:val="22"/>
        </w:rPr>
        <w:t xml:space="preserve"> dignity and respect for individuals (</w:t>
      </w:r>
      <w:proofErr w:type="spellStart"/>
      <w:r>
        <w:rPr>
          <w:rFonts w:ascii="Arial" w:hAnsi="Arial" w:cs="Arial"/>
          <w:sz w:val="22"/>
          <w:szCs w:val="22"/>
        </w:rPr>
        <w:t>Kitwood</w:t>
      </w:r>
      <w:proofErr w:type="spellEnd"/>
      <w:r>
        <w:rPr>
          <w:rFonts w:ascii="Arial" w:hAnsi="Arial" w:cs="Arial"/>
          <w:sz w:val="22"/>
          <w:szCs w:val="22"/>
        </w:rPr>
        <w:t>, 1997; McCormack and McCance, 2017).</w:t>
      </w:r>
    </w:p>
    <w:p w14:paraId="18D661AB"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However, translating these ideals into practice within residential care settings presents significant challenges. Residential care environments are often </w:t>
      </w:r>
      <w:proofErr w:type="spellStart"/>
      <w:r>
        <w:rPr>
          <w:rFonts w:ascii="Arial" w:hAnsi="Arial" w:cs="Arial"/>
          <w:sz w:val="22"/>
          <w:szCs w:val="22"/>
        </w:rPr>
        <w:t>characterised</w:t>
      </w:r>
      <w:proofErr w:type="spellEnd"/>
      <w:r>
        <w:rPr>
          <w:rFonts w:ascii="Arial" w:hAnsi="Arial" w:cs="Arial"/>
          <w:sz w:val="22"/>
          <w:szCs w:val="22"/>
        </w:rPr>
        <w:t xml:space="preserve"> by rigid routines, high workloads, and limited staffing, which can conflict with the flexible and </w:t>
      </w:r>
      <w:proofErr w:type="spellStart"/>
      <w:r>
        <w:rPr>
          <w:rFonts w:ascii="Arial" w:hAnsi="Arial" w:cs="Arial"/>
          <w:sz w:val="22"/>
          <w:szCs w:val="22"/>
        </w:rPr>
        <w:t>individualised</w:t>
      </w:r>
      <w:proofErr w:type="spellEnd"/>
      <w:r>
        <w:rPr>
          <w:rFonts w:ascii="Arial" w:hAnsi="Arial" w:cs="Arial"/>
          <w:sz w:val="22"/>
          <w:szCs w:val="22"/>
        </w:rPr>
        <w:t xml:space="preserve"> nature of PCC (The King's Fund, 2021).</w:t>
      </w:r>
    </w:p>
    <w:p w14:paraId="736D92FE" w14:textId="77777777" w:rsidR="00ED3AE6" w:rsidRDefault="008C38B0">
      <w:pPr>
        <w:spacing w:line="360" w:lineRule="auto"/>
        <w:jc w:val="both"/>
        <w:rPr>
          <w:rFonts w:ascii="Arial" w:hAnsi="Arial" w:cs="Arial"/>
          <w:sz w:val="22"/>
          <w:szCs w:val="22"/>
        </w:rPr>
      </w:pPr>
      <w:r>
        <w:rPr>
          <w:rFonts w:ascii="Arial" w:hAnsi="Arial" w:cs="Arial"/>
          <w:sz w:val="22"/>
          <w:szCs w:val="22"/>
        </w:rPr>
        <w:t>Research consistently highlights the tension between person-</w:t>
      </w:r>
      <w:proofErr w:type="spellStart"/>
      <w:r>
        <w:rPr>
          <w:rFonts w:ascii="Arial" w:hAnsi="Arial" w:cs="Arial"/>
          <w:sz w:val="22"/>
          <w:szCs w:val="22"/>
        </w:rPr>
        <w:t>centred</w:t>
      </w:r>
      <w:proofErr w:type="spellEnd"/>
      <w:r>
        <w:rPr>
          <w:rFonts w:ascii="Arial" w:hAnsi="Arial" w:cs="Arial"/>
          <w:sz w:val="22"/>
          <w:szCs w:val="22"/>
        </w:rPr>
        <w:t xml:space="preserve"> ideals and </w:t>
      </w:r>
      <w:proofErr w:type="spellStart"/>
      <w:r>
        <w:rPr>
          <w:rFonts w:ascii="Arial" w:hAnsi="Arial" w:cs="Arial"/>
          <w:sz w:val="22"/>
          <w:szCs w:val="22"/>
        </w:rPr>
        <w:t>organisational</w:t>
      </w:r>
      <w:proofErr w:type="spellEnd"/>
      <w:r>
        <w:rPr>
          <w:rFonts w:ascii="Arial" w:hAnsi="Arial" w:cs="Arial"/>
          <w:sz w:val="22"/>
          <w:szCs w:val="22"/>
        </w:rPr>
        <w:t xml:space="preserve"> realities. For example, Spilsbury et al. (2015) found that care staff frequently experience time pressure that limits their ability to engage in meaningful interactions with </w:t>
      </w:r>
      <w:r>
        <w:rPr>
          <w:rFonts w:ascii="Arial" w:hAnsi="Arial" w:cs="Arial"/>
          <w:sz w:val="22"/>
          <w:szCs w:val="22"/>
        </w:rPr>
        <w:lastRenderedPageBreak/>
        <w:t>residents. As a result, care becomes task-focused rather than relational, undermining the principles of PCC.</w:t>
      </w:r>
    </w:p>
    <w:p w14:paraId="4DAD0B1D"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Furthermore, </w:t>
      </w:r>
      <w:proofErr w:type="spellStart"/>
      <w:r>
        <w:rPr>
          <w:rFonts w:ascii="Arial" w:hAnsi="Arial" w:cs="Arial"/>
          <w:sz w:val="22"/>
          <w:szCs w:val="22"/>
        </w:rPr>
        <w:t>organisational</w:t>
      </w:r>
      <w:proofErr w:type="spellEnd"/>
      <w:r>
        <w:rPr>
          <w:rFonts w:ascii="Arial" w:hAnsi="Arial" w:cs="Arial"/>
          <w:sz w:val="22"/>
          <w:szCs w:val="22"/>
        </w:rPr>
        <w:t xml:space="preserve"> culture plays a critical role in shaping care practices. In hierarchical and efficiency-driven environments, PCC may be viewed as secondary to operational demands (Dewing, 2008). Conversely, </w:t>
      </w:r>
      <w:proofErr w:type="spellStart"/>
      <w:r>
        <w:rPr>
          <w:rFonts w:ascii="Arial" w:hAnsi="Arial" w:cs="Arial"/>
          <w:sz w:val="22"/>
          <w:szCs w:val="22"/>
        </w:rPr>
        <w:t>organisations</w:t>
      </w:r>
      <w:proofErr w:type="spellEnd"/>
      <w:r>
        <w:rPr>
          <w:rFonts w:ascii="Arial" w:hAnsi="Arial" w:cs="Arial"/>
          <w:sz w:val="22"/>
          <w:szCs w:val="22"/>
        </w:rPr>
        <w:t xml:space="preserve"> that </w:t>
      </w:r>
      <w:proofErr w:type="spellStart"/>
      <w:r>
        <w:rPr>
          <w:rFonts w:ascii="Arial" w:hAnsi="Arial" w:cs="Arial"/>
          <w:sz w:val="22"/>
          <w:szCs w:val="22"/>
        </w:rPr>
        <w:t>prioritise</w:t>
      </w:r>
      <w:proofErr w:type="spellEnd"/>
      <w:r>
        <w:rPr>
          <w:rFonts w:ascii="Arial" w:hAnsi="Arial" w:cs="Arial"/>
          <w:sz w:val="22"/>
          <w:szCs w:val="22"/>
        </w:rPr>
        <w:t xml:space="preserve"> reflective practice and staff empowerment are more likely to successfully implement PCC (McCormack et al., 2010).</w:t>
      </w:r>
    </w:p>
    <w:p w14:paraId="029046A8" w14:textId="77777777" w:rsidR="00ED3AE6" w:rsidRDefault="008C38B0">
      <w:pPr>
        <w:spacing w:line="360" w:lineRule="auto"/>
        <w:jc w:val="both"/>
      </w:pPr>
      <w:r>
        <w:rPr>
          <w:rFonts w:ascii="Arial" w:hAnsi="Arial" w:cs="Arial"/>
          <w:sz w:val="22"/>
        </w:rPr>
        <w:t>Lynch et al. (2018), studying nursing homes specifically, developed a person-</w:t>
      </w:r>
      <w:proofErr w:type="spellStart"/>
      <w:r>
        <w:rPr>
          <w:rFonts w:ascii="Arial" w:hAnsi="Arial" w:cs="Arial"/>
          <w:sz w:val="22"/>
        </w:rPr>
        <w:t>centred</w:t>
      </w:r>
      <w:proofErr w:type="spellEnd"/>
      <w:r>
        <w:rPr>
          <w:rFonts w:ascii="Arial" w:hAnsi="Arial" w:cs="Arial"/>
          <w:sz w:val="22"/>
        </w:rPr>
        <w:t xml:space="preserve"> situational leadership framework demonstrating that the presence of person-</w:t>
      </w:r>
      <w:proofErr w:type="spellStart"/>
      <w:r>
        <w:rPr>
          <w:rFonts w:ascii="Arial" w:hAnsi="Arial" w:cs="Arial"/>
          <w:sz w:val="22"/>
        </w:rPr>
        <w:t>centredness</w:t>
      </w:r>
      <w:proofErr w:type="spellEnd"/>
      <w:r>
        <w:rPr>
          <w:rFonts w:ascii="Arial" w:hAnsi="Arial" w:cs="Arial"/>
          <w:sz w:val="22"/>
        </w:rPr>
        <w:t xml:space="preserve"> at ward or unit level is strongly shaped by how leadership is enacted moment-to-moment, rather than by formal policy alone, reinforcing the view that leadership </w:t>
      </w:r>
      <w:proofErr w:type="spellStart"/>
      <w:r>
        <w:rPr>
          <w:rFonts w:ascii="Arial" w:hAnsi="Arial" w:cs="Arial"/>
          <w:sz w:val="22"/>
        </w:rPr>
        <w:t>behaviour</w:t>
      </w:r>
      <w:proofErr w:type="spellEnd"/>
      <w:r>
        <w:rPr>
          <w:rFonts w:ascii="Arial" w:hAnsi="Arial" w:cs="Arial"/>
          <w:sz w:val="22"/>
        </w:rPr>
        <w:t xml:space="preserve">, not simply </w:t>
      </w:r>
      <w:proofErr w:type="spellStart"/>
      <w:r>
        <w:rPr>
          <w:rFonts w:ascii="Arial" w:hAnsi="Arial" w:cs="Arial"/>
          <w:sz w:val="22"/>
        </w:rPr>
        <w:t>organisational</w:t>
      </w:r>
      <w:proofErr w:type="spellEnd"/>
      <w:r>
        <w:rPr>
          <w:rFonts w:ascii="Arial" w:hAnsi="Arial" w:cs="Arial"/>
          <w:sz w:val="22"/>
        </w:rPr>
        <w:t xml:space="preserve"> structure, is a critical mediating variable.</w:t>
      </w:r>
    </w:p>
    <w:p w14:paraId="73F35CD1" w14:textId="77777777" w:rsidR="00ED3AE6" w:rsidRDefault="008C38B0">
      <w:pPr>
        <w:spacing w:line="360" w:lineRule="auto"/>
        <w:jc w:val="both"/>
        <w:rPr>
          <w:rFonts w:ascii="Arial" w:hAnsi="Arial" w:cs="Arial"/>
          <w:sz w:val="22"/>
          <w:szCs w:val="22"/>
        </w:rPr>
      </w:pPr>
      <w:r>
        <w:rPr>
          <w:rFonts w:ascii="Arial" w:hAnsi="Arial" w:cs="Arial"/>
          <w:sz w:val="22"/>
          <w:szCs w:val="22"/>
        </w:rPr>
        <w:t>Critically, this suggests that PCC cannot be understood purely as an individual-level intervention. Instead, it is a complex, system-level approach that requires structural, cultural, and managerial alignment. Without such alignment, PCC risks remaining an aspirational concept rather than an embedded practice (The King's Fund, 2021).</w:t>
      </w:r>
    </w:p>
    <w:p w14:paraId="5A3CAA33" w14:textId="77777777" w:rsidR="00ED3AE6" w:rsidRDefault="008C38B0">
      <w:pPr>
        <w:pStyle w:val="Heading2"/>
        <w:spacing w:line="360" w:lineRule="auto"/>
        <w:jc w:val="both"/>
        <w:rPr>
          <w:rFonts w:ascii="Arial" w:hAnsi="Arial" w:cs="Arial"/>
          <w:color w:val="auto"/>
          <w:sz w:val="22"/>
          <w:szCs w:val="22"/>
        </w:rPr>
      </w:pPr>
      <w:bookmarkStart w:id="15" w:name="__RefHeading___Toc1533_1328646638"/>
      <w:bookmarkEnd w:id="15"/>
      <w:r>
        <w:rPr>
          <w:rFonts w:ascii="Arial" w:hAnsi="Arial" w:cs="Arial"/>
          <w:b/>
          <w:bCs/>
          <w:color w:val="auto"/>
          <w:sz w:val="28"/>
          <w:szCs w:val="22"/>
        </w:rPr>
        <w:t>2.4 Psychological and Emotional Outcomes</w:t>
      </w:r>
    </w:p>
    <w:p w14:paraId="645A4310" w14:textId="77777777" w:rsidR="00ED3AE6" w:rsidRDefault="008C38B0">
      <w:pPr>
        <w:spacing w:line="360" w:lineRule="auto"/>
        <w:jc w:val="both"/>
        <w:rPr>
          <w:rFonts w:ascii="Arial" w:hAnsi="Arial" w:cs="Arial"/>
          <w:sz w:val="22"/>
          <w:szCs w:val="22"/>
        </w:rPr>
      </w:pPr>
      <w:r>
        <w:rPr>
          <w:rFonts w:ascii="Arial" w:hAnsi="Arial" w:cs="Arial"/>
          <w:sz w:val="22"/>
          <w:szCs w:val="22"/>
        </w:rPr>
        <w:t>A substantial body of literature suggests that PCC has positive effects on the psychological wellbeing of older adults. Studies have reported reductions in depression, anxiety, and agitation, alongside improvements in dignity, self-esteem, and life satisfaction (NICE, 2022; Brownie and Nancarrow, 2013).</w:t>
      </w:r>
    </w:p>
    <w:p w14:paraId="75CBA32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These findings support the theoretical assumption that </w:t>
      </w:r>
      <w:proofErr w:type="spellStart"/>
      <w:r>
        <w:rPr>
          <w:rFonts w:ascii="Arial" w:hAnsi="Arial" w:cs="Arial"/>
          <w:sz w:val="22"/>
          <w:szCs w:val="22"/>
        </w:rPr>
        <w:t>recognising</w:t>
      </w:r>
      <w:proofErr w:type="spellEnd"/>
      <w:r>
        <w:rPr>
          <w:rFonts w:ascii="Arial" w:hAnsi="Arial" w:cs="Arial"/>
          <w:sz w:val="22"/>
          <w:szCs w:val="22"/>
        </w:rPr>
        <w:t xml:space="preserve"> individuality and promoting meaningful engagement enhances emotional wellbeing. However, a more critical analysis reveals that these outcomes are not universally consistent.</w:t>
      </w:r>
    </w:p>
    <w:p w14:paraId="203F60BF"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For example, Chenoweth et al. (2009) found that while PCC improved quality of life in dementia care settings, the magnitude of improvement varied depending on staff training and </w:t>
      </w:r>
      <w:proofErr w:type="spellStart"/>
      <w:r>
        <w:rPr>
          <w:rFonts w:ascii="Arial" w:hAnsi="Arial" w:cs="Arial"/>
          <w:sz w:val="22"/>
          <w:szCs w:val="22"/>
        </w:rPr>
        <w:t>organisational</w:t>
      </w:r>
      <w:proofErr w:type="spellEnd"/>
      <w:r>
        <w:rPr>
          <w:rFonts w:ascii="Arial" w:hAnsi="Arial" w:cs="Arial"/>
          <w:sz w:val="22"/>
          <w:szCs w:val="22"/>
        </w:rPr>
        <w:t xml:space="preserve"> commitment. Similarly, Rokstad et al. (2013) highlight that PCC interventions are more effective when staff receive structured training and ongoing support.</w:t>
      </w:r>
    </w:p>
    <w:p w14:paraId="3A6F34D0" w14:textId="77777777" w:rsidR="00ED3AE6" w:rsidRDefault="008C38B0">
      <w:pPr>
        <w:spacing w:line="360" w:lineRule="auto"/>
        <w:jc w:val="both"/>
      </w:pPr>
      <w:r>
        <w:rPr>
          <w:rFonts w:ascii="Arial" w:hAnsi="Arial" w:cs="Arial"/>
          <w:sz w:val="22"/>
        </w:rPr>
        <w:t xml:space="preserve">The most substantial UK evidence in this area comes from the WHELD (Well-being and Health for people with Dementia) research </w:t>
      </w:r>
      <w:proofErr w:type="spellStart"/>
      <w:r>
        <w:rPr>
          <w:rFonts w:ascii="Arial" w:hAnsi="Arial" w:cs="Arial"/>
          <w:sz w:val="22"/>
        </w:rPr>
        <w:t>programme</w:t>
      </w:r>
      <w:proofErr w:type="spellEnd"/>
      <w:r>
        <w:rPr>
          <w:rFonts w:ascii="Arial" w:hAnsi="Arial" w:cs="Arial"/>
          <w:sz w:val="22"/>
        </w:rPr>
        <w:t>. Ballard et al. (2018), in a cluster-</w:t>
      </w:r>
      <w:proofErr w:type="spellStart"/>
      <w:r>
        <w:rPr>
          <w:rFonts w:ascii="Arial" w:hAnsi="Arial" w:cs="Arial"/>
          <w:sz w:val="22"/>
        </w:rPr>
        <w:t>randomised</w:t>
      </w:r>
      <w:proofErr w:type="spellEnd"/>
      <w:r>
        <w:rPr>
          <w:rFonts w:ascii="Arial" w:hAnsi="Arial" w:cs="Arial"/>
          <w:sz w:val="22"/>
        </w:rPr>
        <w:t xml:space="preserve"> controlled trial across 69 UK care homes, found that a combined </w:t>
      </w:r>
      <w:proofErr w:type="spellStart"/>
      <w:r>
        <w:rPr>
          <w:rFonts w:ascii="Arial" w:hAnsi="Arial" w:cs="Arial"/>
          <w:sz w:val="22"/>
        </w:rPr>
        <w:t>programme</w:t>
      </w:r>
      <w:proofErr w:type="spellEnd"/>
      <w:r>
        <w:rPr>
          <w:rFonts w:ascii="Arial" w:hAnsi="Arial" w:cs="Arial"/>
          <w:sz w:val="22"/>
        </w:rPr>
        <w:t xml:space="preserve"> of staff training, social interaction, and antipsychotic medication review produced significant improvements in quality of life alongside reductions in agitation and neuropsychiatric symptoms, and was cost-effective relative to usual care. However, a more detailed analysis of the same trial data by Ballard et al. (2017) found that antipsychotic review in isolation, without the accompanying social interaction component, was associated with a significant </w:t>
      </w:r>
      <w:r>
        <w:rPr>
          <w:rFonts w:ascii="Arial" w:hAnsi="Arial" w:cs="Arial"/>
          <w:sz w:val="22"/>
        </w:rPr>
        <w:lastRenderedPageBreak/>
        <w:t>worsening of health-related quality of life, underscoring that it is the combination of elements within PCC, rather than any single component, that appears to drive benefit.</w:t>
      </w:r>
    </w:p>
    <w:p w14:paraId="5749D698"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suggests that PCC is highly context-dependent. The King's Fund (2021) </w:t>
      </w:r>
      <w:proofErr w:type="spellStart"/>
      <w:r>
        <w:rPr>
          <w:rFonts w:ascii="Arial" w:hAnsi="Arial" w:cs="Arial"/>
          <w:sz w:val="22"/>
          <w:szCs w:val="22"/>
        </w:rPr>
        <w:t>emphasises</w:t>
      </w:r>
      <w:proofErr w:type="spellEnd"/>
      <w:r>
        <w:rPr>
          <w:rFonts w:ascii="Arial" w:hAnsi="Arial" w:cs="Arial"/>
          <w:sz w:val="22"/>
          <w:szCs w:val="22"/>
        </w:rPr>
        <w:t xml:space="preserve"> that without adequate staffing levels and leadership support, the benefits of PCC are significantly reduced. This challenges the assumption that PCC is inherently effective and instead positions it as contingent on implementation quality.</w:t>
      </w:r>
    </w:p>
    <w:p w14:paraId="46BA668D" w14:textId="77777777" w:rsidR="00ED3AE6" w:rsidRDefault="008C38B0">
      <w:pPr>
        <w:spacing w:line="360" w:lineRule="auto"/>
        <w:jc w:val="both"/>
        <w:rPr>
          <w:rFonts w:ascii="Arial" w:hAnsi="Arial" w:cs="Arial"/>
          <w:sz w:val="22"/>
          <w:szCs w:val="22"/>
        </w:rPr>
      </w:pPr>
      <w:r>
        <w:rPr>
          <w:rFonts w:ascii="Arial" w:hAnsi="Arial" w:cs="Arial"/>
          <w:sz w:val="22"/>
          <w:szCs w:val="22"/>
        </w:rPr>
        <w:t>Methodological limitations also affect the reliability of findings. Many studies rely on qualitative methods or self-reported measures, which may be subject to bias (Slater, 2006). While these approaches provide valuable insights into lived experience, they do not always provide robust evidence of causality.</w:t>
      </w:r>
    </w:p>
    <w:p w14:paraId="77FD072F" w14:textId="77777777" w:rsidR="00ED3AE6" w:rsidRDefault="008C38B0">
      <w:pPr>
        <w:spacing w:line="360" w:lineRule="auto"/>
        <w:jc w:val="both"/>
        <w:rPr>
          <w:rFonts w:ascii="Arial" w:hAnsi="Arial" w:cs="Arial"/>
          <w:sz w:val="22"/>
          <w:szCs w:val="22"/>
        </w:rPr>
      </w:pPr>
      <w:r>
        <w:rPr>
          <w:rFonts w:ascii="Arial" w:hAnsi="Arial" w:cs="Arial"/>
          <w:sz w:val="22"/>
          <w:szCs w:val="22"/>
        </w:rPr>
        <w:t>Furthermore, there is limited longitudinal research examining the sustained impact of PCC. Most studies focus on short-term improvements, leaving uncertainty about whether benefits persist over time (McCormack and McCance, 2017).</w:t>
      </w:r>
    </w:p>
    <w:p w14:paraId="41099FB8" w14:textId="77777777" w:rsidR="00ED3AE6" w:rsidRDefault="008C38B0">
      <w:pPr>
        <w:spacing w:line="360" w:lineRule="auto"/>
        <w:jc w:val="both"/>
      </w:pPr>
      <w:r>
        <w:rPr>
          <w:rFonts w:ascii="Arial" w:hAnsi="Arial" w:cs="Arial"/>
          <w:sz w:val="22"/>
        </w:rPr>
        <w:t xml:space="preserve">This picture of contingent benefit is complicated further by more recent meta-analytic evidence. Berkovic et al. (2024), </w:t>
      </w:r>
      <w:proofErr w:type="spellStart"/>
      <w:r>
        <w:rPr>
          <w:rFonts w:ascii="Arial" w:hAnsi="Arial" w:cs="Arial"/>
          <w:sz w:val="22"/>
        </w:rPr>
        <w:t>synthesising</w:t>
      </w:r>
      <w:proofErr w:type="spellEnd"/>
      <w:r>
        <w:rPr>
          <w:rFonts w:ascii="Arial" w:hAnsi="Arial" w:cs="Arial"/>
          <w:sz w:val="22"/>
        </w:rPr>
        <w:t xml:space="preserve"> 41 studies of PCC delivery in residential dementia care, found that pooled effects across agitation, quality of life, and neuropsychiatric symptoms did not reach statistical significance, despite individual trials reporting positive results. This discrepancy between promising individual studies and a non-significant pooled effect illustrates precisely the kind of heterogeneity problem discussed above, and cautions against over-</w:t>
      </w:r>
      <w:proofErr w:type="spellStart"/>
      <w:r>
        <w:rPr>
          <w:rFonts w:ascii="Arial" w:hAnsi="Arial" w:cs="Arial"/>
          <w:sz w:val="22"/>
        </w:rPr>
        <w:t>generalising</w:t>
      </w:r>
      <w:proofErr w:type="spellEnd"/>
      <w:r>
        <w:rPr>
          <w:rFonts w:ascii="Arial" w:hAnsi="Arial" w:cs="Arial"/>
          <w:sz w:val="22"/>
        </w:rPr>
        <w:t xml:space="preserve"> from any single positive trial.</w:t>
      </w:r>
    </w:p>
    <w:p w14:paraId="2941233F" w14:textId="77777777" w:rsidR="00ED3AE6" w:rsidRDefault="008C38B0">
      <w:pPr>
        <w:pStyle w:val="Heading2"/>
        <w:spacing w:line="360" w:lineRule="auto"/>
        <w:jc w:val="both"/>
        <w:rPr>
          <w:rFonts w:ascii="Arial" w:hAnsi="Arial" w:cs="Arial"/>
          <w:color w:val="auto"/>
          <w:sz w:val="22"/>
          <w:szCs w:val="22"/>
        </w:rPr>
      </w:pPr>
      <w:bookmarkStart w:id="16" w:name="__RefHeading___Toc1535_1328646638"/>
      <w:bookmarkEnd w:id="16"/>
      <w:r>
        <w:rPr>
          <w:rFonts w:ascii="Arial" w:hAnsi="Arial" w:cs="Arial"/>
          <w:b/>
          <w:bCs/>
          <w:color w:val="auto"/>
          <w:sz w:val="28"/>
          <w:szCs w:val="22"/>
        </w:rPr>
        <w:t xml:space="preserve">2.5 </w:t>
      </w:r>
      <w:proofErr w:type="spellStart"/>
      <w:r>
        <w:rPr>
          <w:rFonts w:ascii="Arial" w:hAnsi="Arial" w:cs="Arial"/>
          <w:b/>
          <w:bCs/>
          <w:color w:val="auto"/>
          <w:sz w:val="28"/>
          <w:szCs w:val="22"/>
        </w:rPr>
        <w:t>Behavioural</w:t>
      </w:r>
      <w:proofErr w:type="spellEnd"/>
      <w:r>
        <w:rPr>
          <w:rFonts w:ascii="Arial" w:hAnsi="Arial" w:cs="Arial"/>
          <w:b/>
          <w:bCs/>
          <w:color w:val="auto"/>
          <w:sz w:val="28"/>
          <w:szCs w:val="22"/>
        </w:rPr>
        <w:t xml:space="preserve"> Outcomes and Dementia Care</w:t>
      </w:r>
    </w:p>
    <w:p w14:paraId="42F1F3B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PCC has been widely applied in dementia care, particularly in addressing </w:t>
      </w:r>
      <w:proofErr w:type="spellStart"/>
      <w:r>
        <w:rPr>
          <w:rFonts w:ascii="Arial" w:hAnsi="Arial" w:cs="Arial"/>
          <w:sz w:val="22"/>
          <w:szCs w:val="22"/>
        </w:rPr>
        <w:t>behavioural</w:t>
      </w:r>
      <w:proofErr w:type="spellEnd"/>
      <w:r>
        <w:rPr>
          <w:rFonts w:ascii="Arial" w:hAnsi="Arial" w:cs="Arial"/>
          <w:sz w:val="22"/>
          <w:szCs w:val="22"/>
        </w:rPr>
        <w:t xml:space="preserve"> and psychological symptoms such as agitation, aggression, and restlessness. </w:t>
      </w:r>
      <w:proofErr w:type="spellStart"/>
      <w:r>
        <w:rPr>
          <w:rFonts w:ascii="Arial" w:hAnsi="Arial" w:cs="Arial"/>
          <w:sz w:val="22"/>
          <w:szCs w:val="22"/>
        </w:rPr>
        <w:t>Kitwood</w:t>
      </w:r>
      <w:proofErr w:type="spellEnd"/>
      <w:r>
        <w:rPr>
          <w:rFonts w:ascii="Arial" w:hAnsi="Arial" w:cs="Arial"/>
          <w:sz w:val="22"/>
          <w:szCs w:val="22"/>
        </w:rPr>
        <w:t xml:space="preserve"> (1997) argued that such </w:t>
      </w:r>
      <w:proofErr w:type="spellStart"/>
      <w:r>
        <w:rPr>
          <w:rFonts w:ascii="Arial" w:hAnsi="Arial" w:cs="Arial"/>
          <w:sz w:val="22"/>
          <w:szCs w:val="22"/>
        </w:rPr>
        <w:t>behaviours</w:t>
      </w:r>
      <w:proofErr w:type="spellEnd"/>
      <w:r>
        <w:rPr>
          <w:rFonts w:ascii="Arial" w:hAnsi="Arial" w:cs="Arial"/>
          <w:sz w:val="22"/>
          <w:szCs w:val="22"/>
        </w:rPr>
        <w:t xml:space="preserve"> are often responses to unmet emotional needs rather than purely neurological decline.</w:t>
      </w:r>
    </w:p>
    <w:p w14:paraId="571F866D"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Empirical studies support this view. Brooker and Latham (2016) found that PCC interventions can reduce distress </w:t>
      </w:r>
      <w:proofErr w:type="spellStart"/>
      <w:r>
        <w:rPr>
          <w:rFonts w:ascii="Arial" w:hAnsi="Arial" w:cs="Arial"/>
          <w:sz w:val="22"/>
          <w:szCs w:val="22"/>
        </w:rPr>
        <w:t>behaviours</w:t>
      </w:r>
      <w:proofErr w:type="spellEnd"/>
      <w:r>
        <w:rPr>
          <w:rFonts w:ascii="Arial" w:hAnsi="Arial" w:cs="Arial"/>
          <w:sz w:val="22"/>
          <w:szCs w:val="22"/>
        </w:rPr>
        <w:t xml:space="preserve"> by improving communication and emotional engagement. Similarly, Fossey et al. (2006) reported reductions in agitation following staff training in PCC approaches.</w:t>
      </w:r>
    </w:p>
    <w:p w14:paraId="6F74E05B"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However, the evidence remains mixed. While some studies demonstrate significant improvements, others report only modest or short-term effects (Chenoweth et al., 2009). This inconsistency may be due to differences in intervention design, staff engagement, and </w:t>
      </w:r>
      <w:proofErr w:type="spellStart"/>
      <w:r>
        <w:rPr>
          <w:rFonts w:ascii="Arial" w:hAnsi="Arial" w:cs="Arial"/>
          <w:sz w:val="22"/>
          <w:szCs w:val="22"/>
        </w:rPr>
        <w:t>organisational</w:t>
      </w:r>
      <w:proofErr w:type="spellEnd"/>
      <w:r>
        <w:rPr>
          <w:rFonts w:ascii="Arial" w:hAnsi="Arial" w:cs="Arial"/>
          <w:sz w:val="22"/>
          <w:szCs w:val="22"/>
        </w:rPr>
        <w:t xml:space="preserve"> context.</w:t>
      </w:r>
    </w:p>
    <w:p w14:paraId="71CFFE50" w14:textId="77777777" w:rsidR="00ED3AE6" w:rsidRDefault="008C38B0">
      <w:pPr>
        <w:spacing w:line="360" w:lineRule="auto"/>
        <w:jc w:val="both"/>
      </w:pPr>
      <w:r>
        <w:rPr>
          <w:rFonts w:ascii="Arial" w:hAnsi="Arial" w:cs="Arial"/>
          <w:sz w:val="22"/>
        </w:rPr>
        <w:t xml:space="preserve">More recent digitally delivered adaptations of PCC training provide some further support: McDermid et al. (2024), evaluating the remote </w:t>
      </w:r>
      <w:proofErr w:type="spellStart"/>
      <w:r>
        <w:rPr>
          <w:rFonts w:ascii="Arial" w:hAnsi="Arial" w:cs="Arial"/>
          <w:sz w:val="22"/>
        </w:rPr>
        <w:t>iWHELD</w:t>
      </w:r>
      <w:proofErr w:type="spellEnd"/>
      <w:r>
        <w:rPr>
          <w:rFonts w:ascii="Arial" w:hAnsi="Arial" w:cs="Arial"/>
          <w:sz w:val="22"/>
        </w:rPr>
        <w:t xml:space="preserve"> </w:t>
      </w:r>
      <w:proofErr w:type="spellStart"/>
      <w:r>
        <w:rPr>
          <w:rFonts w:ascii="Arial" w:hAnsi="Arial" w:cs="Arial"/>
          <w:sz w:val="22"/>
        </w:rPr>
        <w:t>programme</w:t>
      </w:r>
      <w:proofErr w:type="spellEnd"/>
      <w:r>
        <w:rPr>
          <w:rFonts w:ascii="Arial" w:hAnsi="Arial" w:cs="Arial"/>
          <w:sz w:val="22"/>
        </w:rPr>
        <w:t xml:space="preserve"> across 149 UK nursing homes during the COVID-19 pandemic, found significant benefits to quality of life and a </w:t>
      </w:r>
      <w:r>
        <w:rPr>
          <w:rFonts w:ascii="Arial" w:hAnsi="Arial" w:cs="Arial"/>
          <w:sz w:val="22"/>
        </w:rPr>
        <w:lastRenderedPageBreak/>
        <w:t xml:space="preserve">reduction in psychotropic medication use without any worsening of agitation, suggesting that the core mechanisms of PCC training may be deliverable even where in-person contact is constrained. However, a mixed-methods systematic review by Carrier et al. (2023) of staff training interventions targeting </w:t>
      </w:r>
      <w:proofErr w:type="spellStart"/>
      <w:r>
        <w:rPr>
          <w:rFonts w:ascii="Arial" w:hAnsi="Arial" w:cs="Arial"/>
          <w:sz w:val="22"/>
        </w:rPr>
        <w:t>behavioural</w:t>
      </w:r>
      <w:proofErr w:type="spellEnd"/>
      <w:r>
        <w:rPr>
          <w:rFonts w:ascii="Arial" w:hAnsi="Arial" w:cs="Arial"/>
          <w:sz w:val="22"/>
        </w:rPr>
        <w:t xml:space="preserve"> and psychological symptoms of dementia found that the methodological quality of the underlying evidence base was generally weak, reinforcing the caution urged elsewhere in this review against overstating the certainty of </w:t>
      </w:r>
      <w:proofErr w:type="spellStart"/>
      <w:r>
        <w:rPr>
          <w:rFonts w:ascii="Arial" w:hAnsi="Arial" w:cs="Arial"/>
          <w:sz w:val="22"/>
        </w:rPr>
        <w:t>behavioural</w:t>
      </w:r>
      <w:proofErr w:type="spellEnd"/>
      <w:r>
        <w:rPr>
          <w:rFonts w:ascii="Arial" w:hAnsi="Arial" w:cs="Arial"/>
          <w:sz w:val="22"/>
        </w:rPr>
        <w:t xml:space="preserve"> outcome claims.</w:t>
      </w:r>
    </w:p>
    <w:p w14:paraId="535C3B9F" w14:textId="77777777" w:rsidR="00ED3AE6" w:rsidRDefault="008C38B0">
      <w:pPr>
        <w:spacing w:line="360" w:lineRule="auto"/>
        <w:jc w:val="both"/>
      </w:pPr>
      <w:r>
        <w:rPr>
          <w:rFonts w:ascii="Arial" w:hAnsi="Arial" w:cs="Arial"/>
          <w:sz w:val="22"/>
        </w:rPr>
        <w:t xml:space="preserve">This concern echoes an earlier systematic review by Spector, Orrell and Goyder (2013), which likewise found that although several staff training interventions showed promise in reducing </w:t>
      </w:r>
      <w:proofErr w:type="spellStart"/>
      <w:r>
        <w:rPr>
          <w:rFonts w:ascii="Arial" w:hAnsi="Arial" w:cs="Arial"/>
          <w:sz w:val="22"/>
        </w:rPr>
        <w:t>behavioural</w:t>
      </w:r>
      <w:proofErr w:type="spellEnd"/>
      <w:r>
        <w:rPr>
          <w:rFonts w:ascii="Arial" w:hAnsi="Arial" w:cs="Arial"/>
          <w:sz w:val="22"/>
        </w:rPr>
        <w:t xml:space="preserve"> and psychological symptoms of dementia, study quality across the field was generally weak, indicating that this methodological limitation has persisted across more than a decade of subsequent research rather than having been resolved.</w:t>
      </w:r>
    </w:p>
    <w:p w14:paraId="146826A5"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In addition, the sustainability of outcomes is unclear. Few studies examine whether </w:t>
      </w:r>
      <w:proofErr w:type="spellStart"/>
      <w:r>
        <w:rPr>
          <w:rFonts w:ascii="Arial" w:hAnsi="Arial" w:cs="Arial"/>
          <w:sz w:val="22"/>
          <w:szCs w:val="22"/>
        </w:rPr>
        <w:t>behavioural</w:t>
      </w:r>
      <w:proofErr w:type="spellEnd"/>
      <w:r>
        <w:rPr>
          <w:rFonts w:ascii="Arial" w:hAnsi="Arial" w:cs="Arial"/>
          <w:sz w:val="22"/>
          <w:szCs w:val="22"/>
        </w:rPr>
        <w:t xml:space="preserve"> improvements persist without ongoing intervention. This raises concerns about the long-term effectiveness and scalability of PCC interventions.</w:t>
      </w:r>
    </w:p>
    <w:p w14:paraId="7A9F404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Another limitation is the variability in how PCC is </w:t>
      </w:r>
      <w:proofErr w:type="spellStart"/>
      <w:r>
        <w:rPr>
          <w:rFonts w:ascii="Arial" w:hAnsi="Arial" w:cs="Arial"/>
          <w:sz w:val="22"/>
          <w:szCs w:val="22"/>
        </w:rPr>
        <w:t>operationalised</w:t>
      </w:r>
      <w:proofErr w:type="spellEnd"/>
      <w:r>
        <w:rPr>
          <w:rFonts w:ascii="Arial" w:hAnsi="Arial" w:cs="Arial"/>
          <w:sz w:val="22"/>
          <w:szCs w:val="22"/>
        </w:rPr>
        <w:t xml:space="preserve"> in dementia care. Some interventions focus on environmental modifications, while others </w:t>
      </w:r>
      <w:proofErr w:type="spellStart"/>
      <w:r>
        <w:rPr>
          <w:rFonts w:ascii="Arial" w:hAnsi="Arial" w:cs="Arial"/>
          <w:sz w:val="22"/>
          <w:szCs w:val="22"/>
        </w:rPr>
        <w:t>emphasise</w:t>
      </w:r>
      <w:proofErr w:type="spellEnd"/>
      <w:r>
        <w:rPr>
          <w:rFonts w:ascii="Arial" w:hAnsi="Arial" w:cs="Arial"/>
          <w:sz w:val="22"/>
          <w:szCs w:val="22"/>
        </w:rPr>
        <w:t xml:space="preserve"> communication training or care planning. This lack of </w:t>
      </w:r>
      <w:proofErr w:type="spellStart"/>
      <w:r>
        <w:rPr>
          <w:rFonts w:ascii="Arial" w:hAnsi="Arial" w:cs="Arial"/>
          <w:sz w:val="22"/>
          <w:szCs w:val="22"/>
        </w:rPr>
        <w:t>standardisation</w:t>
      </w:r>
      <w:proofErr w:type="spellEnd"/>
      <w:r>
        <w:rPr>
          <w:rFonts w:ascii="Arial" w:hAnsi="Arial" w:cs="Arial"/>
          <w:sz w:val="22"/>
          <w:szCs w:val="22"/>
        </w:rPr>
        <w:t xml:space="preserve"> makes it difficult to compare outcomes across studies (Edvardsson et al., 2014).</w:t>
      </w:r>
    </w:p>
    <w:p w14:paraId="4A722123" w14:textId="77777777" w:rsidR="00ED3AE6" w:rsidRDefault="008C38B0">
      <w:pPr>
        <w:spacing w:line="360" w:lineRule="auto"/>
        <w:jc w:val="both"/>
        <w:rPr>
          <w:rFonts w:ascii="Arial" w:hAnsi="Arial" w:cs="Arial"/>
          <w:sz w:val="22"/>
          <w:szCs w:val="22"/>
        </w:rPr>
      </w:pPr>
      <w:r>
        <w:rPr>
          <w:rFonts w:ascii="Arial" w:hAnsi="Arial" w:cs="Arial"/>
          <w:sz w:val="22"/>
          <w:szCs w:val="22"/>
        </w:rPr>
        <w:t>Critically, this suggests that PCC should be viewed as a flexible framework rather than a fixed intervention. However, this flexibility also complicates evaluation and weakens the overall evidence base.</w:t>
      </w:r>
    </w:p>
    <w:p w14:paraId="176E15DB" w14:textId="77777777" w:rsidR="00ED3AE6" w:rsidRDefault="008C38B0">
      <w:pPr>
        <w:pStyle w:val="Heading2"/>
        <w:spacing w:line="360" w:lineRule="auto"/>
        <w:jc w:val="both"/>
        <w:rPr>
          <w:rFonts w:ascii="Arial" w:hAnsi="Arial" w:cs="Arial"/>
          <w:color w:val="auto"/>
          <w:sz w:val="22"/>
          <w:szCs w:val="22"/>
        </w:rPr>
      </w:pPr>
      <w:bookmarkStart w:id="17" w:name="__RefHeading___Toc1537_1328646638"/>
      <w:bookmarkEnd w:id="17"/>
      <w:r>
        <w:rPr>
          <w:rFonts w:ascii="Arial" w:hAnsi="Arial" w:cs="Arial"/>
          <w:b/>
          <w:bCs/>
          <w:color w:val="auto"/>
          <w:sz w:val="28"/>
          <w:szCs w:val="22"/>
        </w:rPr>
        <w:t>2.6 Social Interaction and Quality of Life</w:t>
      </w:r>
    </w:p>
    <w:p w14:paraId="754939BD" w14:textId="77777777" w:rsidR="00ED3AE6" w:rsidRDefault="008C38B0">
      <w:pPr>
        <w:spacing w:line="360" w:lineRule="auto"/>
        <w:jc w:val="both"/>
        <w:rPr>
          <w:rFonts w:ascii="Arial" w:hAnsi="Arial" w:cs="Arial"/>
          <w:sz w:val="22"/>
          <w:szCs w:val="22"/>
        </w:rPr>
      </w:pPr>
      <w:r>
        <w:rPr>
          <w:rFonts w:ascii="Arial" w:hAnsi="Arial" w:cs="Arial"/>
          <w:sz w:val="22"/>
          <w:szCs w:val="22"/>
        </w:rPr>
        <w:t>Improving social interaction and quality of life is a central aim of PCC in residential care settings. Studies indicate that PCC can enhance relationships between staff and residents, leading to increased trust, communication, and engagement (DHSC, 2021).</w:t>
      </w:r>
    </w:p>
    <w:p w14:paraId="1538F6EE" w14:textId="77777777" w:rsidR="00ED3AE6" w:rsidRDefault="008C38B0">
      <w:pPr>
        <w:spacing w:line="360" w:lineRule="auto"/>
        <w:jc w:val="both"/>
        <w:rPr>
          <w:rFonts w:ascii="Arial" w:hAnsi="Arial" w:cs="Arial"/>
          <w:sz w:val="22"/>
          <w:szCs w:val="22"/>
        </w:rPr>
      </w:pPr>
      <w:r>
        <w:rPr>
          <w:rFonts w:ascii="Arial" w:hAnsi="Arial" w:cs="Arial"/>
          <w:sz w:val="22"/>
          <w:szCs w:val="22"/>
        </w:rPr>
        <w:t>However, quality of life is a complex and multidimensional concept that includes physical, psychological, and social domains. As such, isolating the impact of PCC is challenging. Lawton (1994) argues that quality of life in older adults is influenced by a wide range of factors beyond care practices, including health status, environment, and social relationships.</w:t>
      </w:r>
    </w:p>
    <w:p w14:paraId="4565D842" w14:textId="77777777" w:rsidR="00ED3AE6" w:rsidRDefault="008C38B0">
      <w:pPr>
        <w:spacing w:line="360" w:lineRule="auto"/>
        <w:jc w:val="both"/>
        <w:rPr>
          <w:rFonts w:ascii="Arial" w:hAnsi="Arial" w:cs="Arial"/>
          <w:sz w:val="22"/>
          <w:szCs w:val="22"/>
        </w:rPr>
      </w:pPr>
      <w:r>
        <w:rPr>
          <w:rFonts w:ascii="Arial" w:hAnsi="Arial" w:cs="Arial"/>
          <w:sz w:val="22"/>
          <w:szCs w:val="22"/>
        </w:rPr>
        <w:t>Research findings are therefore mixed. While some studies report significant improvements in quality of life, others find minimal or inconsistent effects (Brownie and Nancarrow, 2013). This variability highlights the difficulty of measuring PCC outcomes reliably.</w:t>
      </w:r>
    </w:p>
    <w:p w14:paraId="6F2646F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Furthermore, measurement tools vary widely across studies. Some use validated instruments such as the Quality of Life in Alzheimer's Disease scale, while others rely on </w:t>
      </w:r>
      <w:r>
        <w:rPr>
          <w:rFonts w:ascii="Arial" w:hAnsi="Arial" w:cs="Arial"/>
          <w:sz w:val="22"/>
          <w:szCs w:val="22"/>
        </w:rPr>
        <w:lastRenderedPageBreak/>
        <w:t>subjective assessments (Brooker and Latham, 2016). This inconsistency limits comparability and reduces the strength of conclusions.</w:t>
      </w:r>
    </w:p>
    <w:p w14:paraId="2A7DA6FC" w14:textId="77777777" w:rsidR="00ED3AE6" w:rsidRDefault="008C38B0">
      <w:pPr>
        <w:spacing w:line="360" w:lineRule="auto"/>
        <w:jc w:val="both"/>
      </w:pPr>
      <w:r>
        <w:rPr>
          <w:rFonts w:ascii="Arial" w:hAnsi="Arial" w:cs="Arial"/>
          <w:sz w:val="22"/>
        </w:rPr>
        <w:t xml:space="preserve">This measurement inconsistency is well documented beyond the studies reviewed here: Aspden et al. (2014), in a systematic review of quality-of-life instruments validated for use in care homes, identified thirteen distinct measures in use and concluded that only a small number had been adequately tested for reliability and responsiveness in this population, while earlier instrument-development work by Smith et al. (2005) and Kane et al. (2003) similarly highlights the practical difficulty of capturing a concept as subjective and multidimensional as quality of life through </w:t>
      </w:r>
      <w:proofErr w:type="spellStart"/>
      <w:r>
        <w:rPr>
          <w:rFonts w:ascii="Arial" w:hAnsi="Arial" w:cs="Arial"/>
          <w:sz w:val="22"/>
        </w:rPr>
        <w:t>standardised</w:t>
      </w:r>
      <w:proofErr w:type="spellEnd"/>
      <w:r>
        <w:rPr>
          <w:rFonts w:ascii="Arial" w:hAnsi="Arial" w:cs="Arial"/>
          <w:sz w:val="22"/>
        </w:rPr>
        <w:t xml:space="preserve"> tools, particularly for residents with more advanced cognitive impairment.</w:t>
      </w:r>
    </w:p>
    <w:p w14:paraId="317BD402" w14:textId="77777777" w:rsidR="00ED3AE6" w:rsidRDefault="008C38B0">
      <w:pPr>
        <w:spacing w:line="360" w:lineRule="auto"/>
        <w:jc w:val="both"/>
      </w:pPr>
      <w:r>
        <w:rPr>
          <w:rFonts w:ascii="Arial" w:hAnsi="Arial" w:cs="Arial"/>
          <w:sz w:val="22"/>
        </w:rPr>
        <w:t>Generic later-life quality-of-life measures adapted for use with older populations, such as the OPQOL-brief (Bowling et al., 2013), offer broader applicability but were not developed specifically for residents with dementia, further illustrating the trade-off between breadth of applicability and condition-specific validity that runs throughout this instrument literature.</w:t>
      </w:r>
    </w:p>
    <w:p w14:paraId="76812EFC" w14:textId="77777777" w:rsidR="00ED3AE6" w:rsidRDefault="008C38B0">
      <w:pPr>
        <w:spacing w:line="360" w:lineRule="auto"/>
        <w:jc w:val="both"/>
        <w:rPr>
          <w:rFonts w:ascii="Arial" w:hAnsi="Arial" w:cs="Arial"/>
          <w:sz w:val="22"/>
          <w:szCs w:val="22"/>
        </w:rPr>
      </w:pPr>
      <w:r>
        <w:rPr>
          <w:rFonts w:ascii="Arial" w:hAnsi="Arial" w:cs="Arial"/>
          <w:sz w:val="22"/>
          <w:szCs w:val="22"/>
        </w:rPr>
        <w:t>There is also evidence of inequality in outcomes. Individuals with higher cognitive functioning tend to benefit more from PCC interventions, while those with advanced dementia may experience fewer improvements (Rokstad et al., 2013). This raises important ethical concerns regarding equity in care provision.</w:t>
      </w:r>
    </w:p>
    <w:p w14:paraId="54F466B7" w14:textId="77777777" w:rsidR="00ED3AE6" w:rsidRDefault="008C38B0">
      <w:pPr>
        <w:pStyle w:val="Heading2"/>
        <w:spacing w:line="360" w:lineRule="auto"/>
        <w:jc w:val="both"/>
        <w:rPr>
          <w:rFonts w:ascii="Arial" w:hAnsi="Arial" w:cs="Arial"/>
          <w:color w:val="auto"/>
          <w:sz w:val="22"/>
          <w:szCs w:val="22"/>
        </w:rPr>
      </w:pPr>
      <w:bookmarkStart w:id="18" w:name="__RefHeading___Toc1539_1328646638"/>
      <w:bookmarkEnd w:id="18"/>
      <w:r>
        <w:rPr>
          <w:rFonts w:ascii="Arial" w:hAnsi="Arial" w:cs="Arial"/>
          <w:b/>
          <w:bCs/>
          <w:color w:val="auto"/>
          <w:sz w:val="28"/>
          <w:szCs w:val="22"/>
        </w:rPr>
        <w:t>2.7 Barriers to Implementation</w:t>
      </w:r>
    </w:p>
    <w:p w14:paraId="3F156D5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literature consistently identifies multiple barriers to implementing PCC in residential care settings. Staffing shortages are among the most significant, limiting the time available for </w:t>
      </w:r>
      <w:proofErr w:type="spellStart"/>
      <w:r>
        <w:rPr>
          <w:rFonts w:ascii="Arial" w:hAnsi="Arial" w:cs="Arial"/>
          <w:sz w:val="22"/>
          <w:szCs w:val="22"/>
        </w:rPr>
        <w:t>personalised</w:t>
      </w:r>
      <w:proofErr w:type="spellEnd"/>
      <w:r>
        <w:rPr>
          <w:rFonts w:ascii="Arial" w:hAnsi="Arial" w:cs="Arial"/>
          <w:sz w:val="22"/>
          <w:szCs w:val="22"/>
        </w:rPr>
        <w:t xml:space="preserve"> interaction (The King's Fund, 2021). High workloads often result in task-oriented care, undermining PCC principles.</w:t>
      </w:r>
    </w:p>
    <w:p w14:paraId="3410B444" w14:textId="77777777" w:rsidR="00ED3AE6" w:rsidRDefault="008C38B0">
      <w:pPr>
        <w:spacing w:line="360" w:lineRule="auto"/>
        <w:jc w:val="both"/>
        <w:rPr>
          <w:rFonts w:ascii="Arial" w:hAnsi="Arial" w:cs="Arial"/>
          <w:sz w:val="22"/>
          <w:szCs w:val="22"/>
        </w:rPr>
      </w:pPr>
      <w:r>
        <w:rPr>
          <w:rFonts w:ascii="Arial" w:hAnsi="Arial" w:cs="Arial"/>
          <w:sz w:val="22"/>
          <w:szCs w:val="22"/>
        </w:rPr>
        <w:t>Training is another key barrier. PCC requires advanced communication and relational skills, yet many care workers receive limited formal training in these areas (Dewing, 2008). Without adequate training, implementation becomes inconsistent.</w:t>
      </w:r>
    </w:p>
    <w:p w14:paraId="7FE072BC" w14:textId="77777777" w:rsidR="00ED3AE6" w:rsidRDefault="008C38B0">
      <w:pPr>
        <w:spacing w:line="360" w:lineRule="auto"/>
        <w:jc w:val="both"/>
      </w:pPr>
      <w:r>
        <w:rPr>
          <w:rFonts w:ascii="Arial" w:hAnsi="Arial" w:cs="Arial"/>
          <w:sz w:val="22"/>
        </w:rPr>
        <w:t>The consequences of inadequate training and chronic understaffing extend beyond care quality to staff wellbeing itself: Costello et al. (2019), in a systematic review and meta-analysis, found consistently high rates of stress and burnout among staff in long-term dementia care facilities, a finding with direct implications for PCC given that sustained, emotionally attuned relational care is difficult to deliver in the context of staff burnout, creating a plausible vicious cycle in which poor working conditions undermine the very capacity for person-</w:t>
      </w:r>
      <w:proofErr w:type="spellStart"/>
      <w:r>
        <w:rPr>
          <w:rFonts w:ascii="Arial" w:hAnsi="Arial" w:cs="Arial"/>
          <w:sz w:val="22"/>
        </w:rPr>
        <w:t>centred</w:t>
      </w:r>
      <w:proofErr w:type="spellEnd"/>
      <w:r>
        <w:rPr>
          <w:rFonts w:ascii="Arial" w:hAnsi="Arial" w:cs="Arial"/>
          <w:sz w:val="22"/>
        </w:rPr>
        <w:t xml:space="preserve"> practice that policy assumes staff already possess.</w:t>
      </w:r>
    </w:p>
    <w:p w14:paraId="609E94ED"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Organisational</w:t>
      </w:r>
      <w:proofErr w:type="spellEnd"/>
      <w:r>
        <w:rPr>
          <w:rFonts w:ascii="Arial" w:hAnsi="Arial" w:cs="Arial"/>
          <w:sz w:val="22"/>
          <w:szCs w:val="22"/>
        </w:rPr>
        <w:t xml:space="preserve"> culture also plays a crucial role. In environments focused on efficiency and risk management, PCC may be </w:t>
      </w:r>
      <w:proofErr w:type="spellStart"/>
      <w:r>
        <w:rPr>
          <w:rFonts w:ascii="Arial" w:hAnsi="Arial" w:cs="Arial"/>
          <w:sz w:val="22"/>
          <w:szCs w:val="22"/>
        </w:rPr>
        <w:t>deprioritised</w:t>
      </w:r>
      <w:proofErr w:type="spellEnd"/>
      <w:r>
        <w:rPr>
          <w:rFonts w:ascii="Arial" w:hAnsi="Arial" w:cs="Arial"/>
          <w:sz w:val="22"/>
          <w:szCs w:val="22"/>
        </w:rPr>
        <w:t xml:space="preserve"> (McCormack et al., 2010). Conversely, </w:t>
      </w:r>
      <w:r>
        <w:rPr>
          <w:rFonts w:ascii="Arial" w:hAnsi="Arial" w:cs="Arial"/>
          <w:sz w:val="22"/>
          <w:szCs w:val="22"/>
        </w:rPr>
        <w:lastRenderedPageBreak/>
        <w:t>supportive leadership and reflective practice environments are associated with more successful implementation.</w:t>
      </w:r>
    </w:p>
    <w:p w14:paraId="3EC4210A" w14:textId="77777777" w:rsidR="00ED3AE6" w:rsidRDefault="008C38B0">
      <w:pPr>
        <w:spacing w:line="360" w:lineRule="auto"/>
        <w:jc w:val="both"/>
      </w:pPr>
      <w:r>
        <w:rPr>
          <w:rFonts w:ascii="Arial" w:hAnsi="Arial" w:cs="Arial"/>
          <w:sz w:val="22"/>
        </w:rPr>
        <w:t xml:space="preserve">Broader culture-change literature supports this interpretation: Hill et al. (2011), reviewing culture-change models in long-term care in the United States, found that improvements in resident outcomes were consistently associated with sustained </w:t>
      </w:r>
      <w:proofErr w:type="spellStart"/>
      <w:r>
        <w:rPr>
          <w:rFonts w:ascii="Arial" w:hAnsi="Arial" w:cs="Arial"/>
          <w:sz w:val="22"/>
        </w:rPr>
        <w:t>organisational</w:t>
      </w:r>
      <w:proofErr w:type="spellEnd"/>
      <w:r>
        <w:rPr>
          <w:rFonts w:ascii="Arial" w:hAnsi="Arial" w:cs="Arial"/>
          <w:sz w:val="22"/>
        </w:rPr>
        <w:t xml:space="preserve"> commitment rather than one-off training initiatives, suggesting that the barriers identified in UK residential care are not context-specific but reflect a more general pattern in institutional long-term care internationally.</w:t>
      </w:r>
    </w:p>
    <w:p w14:paraId="0534476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Resource constraints further limit PCC adoption. </w:t>
      </w:r>
      <w:proofErr w:type="spellStart"/>
      <w:r>
        <w:rPr>
          <w:rFonts w:ascii="Arial" w:hAnsi="Arial" w:cs="Arial"/>
          <w:sz w:val="22"/>
          <w:szCs w:val="22"/>
        </w:rPr>
        <w:t>Personalised</w:t>
      </w:r>
      <w:proofErr w:type="spellEnd"/>
      <w:r>
        <w:rPr>
          <w:rFonts w:ascii="Arial" w:hAnsi="Arial" w:cs="Arial"/>
          <w:sz w:val="22"/>
          <w:szCs w:val="22"/>
        </w:rPr>
        <w:t xml:space="preserve"> care requires time, staffing, and financial investment, all of which may be constrained in underfunded systems (Spilsbury et al., 2015).</w:t>
      </w:r>
    </w:p>
    <w:p w14:paraId="41A46BA0" w14:textId="77777777" w:rsidR="00ED3AE6" w:rsidRDefault="008C38B0">
      <w:pPr>
        <w:pStyle w:val="Heading2"/>
        <w:spacing w:line="360" w:lineRule="auto"/>
        <w:jc w:val="both"/>
        <w:rPr>
          <w:rFonts w:ascii="Arial" w:hAnsi="Arial" w:cs="Arial"/>
          <w:color w:val="auto"/>
          <w:sz w:val="22"/>
          <w:szCs w:val="22"/>
        </w:rPr>
      </w:pPr>
      <w:bookmarkStart w:id="19" w:name="__RefHeading___Toc1541_1328646638"/>
      <w:bookmarkEnd w:id="19"/>
      <w:r>
        <w:rPr>
          <w:rFonts w:ascii="Arial" w:hAnsi="Arial" w:cs="Arial"/>
          <w:b/>
          <w:bCs/>
          <w:color w:val="auto"/>
          <w:sz w:val="28"/>
          <w:szCs w:val="22"/>
        </w:rPr>
        <w:t>2.8 Policy Context and the Theory--Practice Gap</w:t>
      </w:r>
    </w:p>
    <w:p w14:paraId="5BC1A2D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Policy frameworks in the UK strongly advocate PCC. NICE (2022) and DHSC (2021) </w:t>
      </w:r>
      <w:proofErr w:type="spellStart"/>
      <w:r>
        <w:rPr>
          <w:rFonts w:ascii="Arial" w:hAnsi="Arial" w:cs="Arial"/>
          <w:sz w:val="22"/>
          <w:szCs w:val="22"/>
        </w:rPr>
        <w:t>emphasise</w:t>
      </w:r>
      <w:proofErr w:type="spellEnd"/>
      <w:r>
        <w:rPr>
          <w:rFonts w:ascii="Arial" w:hAnsi="Arial" w:cs="Arial"/>
          <w:sz w:val="22"/>
          <w:szCs w:val="22"/>
        </w:rPr>
        <w:t xml:space="preserve"> its importance in improving dignity, independence, and wellbeing.</w:t>
      </w:r>
    </w:p>
    <w:p w14:paraId="2E917B35" w14:textId="77777777" w:rsidR="00ED3AE6" w:rsidRDefault="008C38B0">
      <w:pPr>
        <w:spacing w:line="360" w:lineRule="auto"/>
        <w:jc w:val="both"/>
      </w:pPr>
      <w:r>
        <w:rPr>
          <w:rFonts w:ascii="Arial" w:hAnsi="Arial" w:cs="Arial"/>
          <w:sz w:val="22"/>
        </w:rPr>
        <w:t>The regulatory picture reinforces this policy commitment on paper: the Care Quality Commission (2024), in its most recent state of care assessment, explicitly states that person-</w:t>
      </w:r>
      <w:proofErr w:type="spellStart"/>
      <w:r>
        <w:rPr>
          <w:rFonts w:ascii="Arial" w:hAnsi="Arial" w:cs="Arial"/>
          <w:sz w:val="22"/>
        </w:rPr>
        <w:t>centred</w:t>
      </w:r>
      <w:proofErr w:type="spellEnd"/>
      <w:r>
        <w:rPr>
          <w:rFonts w:ascii="Arial" w:hAnsi="Arial" w:cs="Arial"/>
          <w:sz w:val="22"/>
        </w:rPr>
        <w:t>, compassionate care continues to distinguish outstanding providers from the rest of the sector, while simultaneously documenting continued workforce and funding pressures across adult social care nationally, illustrating the same policy-practice tension explored further in Chapter Four. Updated workforce data from The King's Fund (2026) indicates that, although vacancy rates in social care have fallen from their post-pandemic peak, staffing pressure remains structurally embedded in the sector, meaning the barriers identified in earlier, pre-pandemic literature have not been substantially resolved.</w:t>
      </w:r>
    </w:p>
    <w:p w14:paraId="1E307D51" w14:textId="77777777" w:rsidR="00ED3AE6" w:rsidRDefault="008C38B0">
      <w:pPr>
        <w:spacing w:line="360" w:lineRule="auto"/>
        <w:jc w:val="both"/>
        <w:rPr>
          <w:rFonts w:ascii="Arial" w:hAnsi="Arial" w:cs="Arial"/>
          <w:sz w:val="22"/>
          <w:szCs w:val="22"/>
        </w:rPr>
      </w:pPr>
      <w:r>
        <w:rPr>
          <w:rFonts w:ascii="Arial" w:hAnsi="Arial" w:cs="Arial"/>
          <w:sz w:val="22"/>
          <w:szCs w:val="22"/>
        </w:rPr>
        <w:t>However, a persistent gap exists between policy and practice. While PCC is promoted as a standard of care, real-world implementation is often inconsistent due to structural constraints (The King's Fund, 2021). This disconnect raises questions about whether PCC functions more as an ideological framework than a practical reality.</w:t>
      </w:r>
    </w:p>
    <w:p w14:paraId="454456D4" w14:textId="77777777" w:rsidR="00ED3AE6" w:rsidRDefault="008C38B0">
      <w:pPr>
        <w:spacing w:line="360" w:lineRule="auto"/>
        <w:jc w:val="both"/>
        <w:rPr>
          <w:rFonts w:ascii="Arial" w:hAnsi="Arial" w:cs="Arial"/>
          <w:sz w:val="22"/>
          <w:szCs w:val="22"/>
        </w:rPr>
      </w:pPr>
      <w:bookmarkStart w:id="20" w:name="__RefHeading___Toc1605_1328646638"/>
      <w:bookmarkEnd w:id="20"/>
      <w:r>
        <w:rPr>
          <w:rFonts w:ascii="Arial" w:hAnsi="Arial" w:cs="Arial"/>
          <w:sz w:val="22"/>
          <w:szCs w:val="22"/>
        </w:rPr>
        <w:t xml:space="preserve">Critically, this gap suggests that policy alone is insufficient to drive meaningful change. Effective implementation requires investment, training, and </w:t>
      </w:r>
      <w:proofErr w:type="spellStart"/>
      <w:r>
        <w:rPr>
          <w:rFonts w:ascii="Arial" w:hAnsi="Arial" w:cs="Arial"/>
          <w:sz w:val="22"/>
          <w:szCs w:val="22"/>
        </w:rPr>
        <w:t>organisational</w:t>
      </w:r>
      <w:proofErr w:type="spellEnd"/>
      <w:r>
        <w:rPr>
          <w:rFonts w:ascii="Arial" w:hAnsi="Arial" w:cs="Arial"/>
          <w:sz w:val="22"/>
          <w:szCs w:val="22"/>
        </w:rPr>
        <w:t xml:space="preserve"> transformation.</w:t>
      </w:r>
    </w:p>
    <w:p w14:paraId="69C3EB04" w14:textId="77777777" w:rsidR="00922E6A" w:rsidRDefault="00922E6A">
      <w:pPr>
        <w:pStyle w:val="TableCaption"/>
        <w:spacing w:line="360" w:lineRule="auto"/>
        <w:jc w:val="both"/>
        <w:rPr>
          <w:rFonts w:ascii="Arial" w:hAnsi="Arial" w:cs="Arial"/>
          <w:b/>
          <w:bCs/>
          <w:i/>
          <w:iCs/>
          <w:sz w:val="22"/>
          <w:szCs w:val="22"/>
        </w:rPr>
      </w:pPr>
      <w:bookmarkStart w:id="21" w:name="__RefHeading___Toc1375_2390222576"/>
      <w:bookmarkEnd w:id="21"/>
    </w:p>
    <w:p w14:paraId="1C1BD6CA" w14:textId="77777777" w:rsidR="00922E6A" w:rsidRDefault="00922E6A">
      <w:pPr>
        <w:pStyle w:val="TableCaption"/>
        <w:spacing w:line="360" w:lineRule="auto"/>
        <w:jc w:val="both"/>
        <w:rPr>
          <w:rFonts w:ascii="Arial" w:hAnsi="Arial" w:cs="Arial"/>
          <w:b/>
          <w:bCs/>
          <w:i/>
          <w:iCs/>
          <w:sz w:val="22"/>
          <w:szCs w:val="22"/>
        </w:rPr>
      </w:pPr>
    </w:p>
    <w:p w14:paraId="730BD128" w14:textId="77777777" w:rsidR="00922E6A" w:rsidRDefault="00922E6A">
      <w:pPr>
        <w:pStyle w:val="TableCaption"/>
        <w:spacing w:line="360" w:lineRule="auto"/>
        <w:jc w:val="both"/>
        <w:rPr>
          <w:rFonts w:ascii="Arial" w:hAnsi="Arial" w:cs="Arial"/>
          <w:b/>
          <w:bCs/>
          <w:i/>
          <w:iCs/>
          <w:sz w:val="22"/>
          <w:szCs w:val="22"/>
        </w:rPr>
      </w:pPr>
    </w:p>
    <w:p w14:paraId="2763DA34" w14:textId="77777777" w:rsidR="00922E6A" w:rsidRDefault="00922E6A">
      <w:pPr>
        <w:pStyle w:val="TableCaption"/>
        <w:spacing w:line="360" w:lineRule="auto"/>
        <w:jc w:val="both"/>
        <w:rPr>
          <w:rFonts w:ascii="Arial" w:hAnsi="Arial" w:cs="Arial"/>
          <w:b/>
          <w:bCs/>
          <w:i/>
          <w:iCs/>
          <w:sz w:val="22"/>
          <w:szCs w:val="22"/>
        </w:rPr>
      </w:pPr>
    </w:p>
    <w:p w14:paraId="3CB6BB4E" w14:textId="77777777" w:rsidR="00922E6A" w:rsidRDefault="00922E6A">
      <w:pPr>
        <w:pStyle w:val="TableCaption"/>
        <w:spacing w:line="360" w:lineRule="auto"/>
        <w:jc w:val="both"/>
        <w:rPr>
          <w:rFonts w:ascii="Arial" w:hAnsi="Arial" w:cs="Arial"/>
          <w:b/>
          <w:bCs/>
          <w:i/>
          <w:iCs/>
          <w:sz w:val="22"/>
          <w:szCs w:val="22"/>
        </w:rPr>
      </w:pPr>
    </w:p>
    <w:p w14:paraId="493C84F0" w14:textId="77777777" w:rsidR="00922E6A" w:rsidRDefault="00922E6A">
      <w:pPr>
        <w:pStyle w:val="TableCaption"/>
        <w:spacing w:line="360" w:lineRule="auto"/>
        <w:jc w:val="both"/>
        <w:rPr>
          <w:rFonts w:ascii="Arial" w:hAnsi="Arial" w:cs="Arial"/>
          <w:b/>
          <w:bCs/>
          <w:i/>
          <w:iCs/>
          <w:sz w:val="22"/>
          <w:szCs w:val="22"/>
        </w:rPr>
      </w:pPr>
    </w:p>
    <w:p w14:paraId="31C4D0B7" w14:textId="77777777" w:rsidR="00922E6A" w:rsidRDefault="00922E6A">
      <w:pPr>
        <w:pStyle w:val="TableCaption"/>
        <w:spacing w:line="360" w:lineRule="auto"/>
        <w:jc w:val="both"/>
        <w:rPr>
          <w:rFonts w:ascii="Arial" w:hAnsi="Arial" w:cs="Arial"/>
          <w:b/>
          <w:bCs/>
          <w:i/>
          <w:iCs/>
          <w:sz w:val="22"/>
          <w:szCs w:val="22"/>
        </w:rPr>
      </w:pPr>
    </w:p>
    <w:p w14:paraId="6687DB0A" w14:textId="77777777" w:rsidR="00ED3AE6" w:rsidRDefault="008C38B0">
      <w:pPr>
        <w:pStyle w:val="TableCaption"/>
        <w:spacing w:line="360" w:lineRule="auto"/>
        <w:jc w:val="both"/>
        <w:rPr>
          <w:rFonts w:ascii="Arial" w:hAnsi="Arial" w:cs="Arial"/>
          <w:sz w:val="22"/>
          <w:szCs w:val="22"/>
        </w:rPr>
      </w:pPr>
      <w:r>
        <w:rPr>
          <w:rFonts w:ascii="Arial" w:hAnsi="Arial" w:cs="Arial"/>
          <w:b/>
          <w:bCs/>
          <w:i/>
          <w:iCs/>
          <w:sz w:val="22"/>
          <w:szCs w:val="22"/>
        </w:rPr>
        <w:lastRenderedPageBreak/>
        <w:t xml:space="preserve">Table </w:t>
      </w:r>
      <w:proofErr w:type="gramStart"/>
      <w:r>
        <w:rPr>
          <w:rFonts w:ascii="Arial" w:hAnsi="Arial" w:cs="Arial"/>
          <w:b/>
          <w:bCs/>
          <w:i/>
          <w:iCs/>
          <w:sz w:val="22"/>
          <w:szCs w:val="22"/>
        </w:rPr>
        <w:t>2.1  Summary</w:t>
      </w:r>
      <w:proofErr w:type="gramEnd"/>
      <w:r>
        <w:rPr>
          <w:rFonts w:ascii="Arial" w:hAnsi="Arial" w:cs="Arial"/>
          <w:b/>
          <w:bCs/>
          <w:i/>
          <w:iCs/>
          <w:sz w:val="22"/>
          <w:szCs w:val="22"/>
        </w:rPr>
        <w:t xml:space="preserve"> of Key Empirical Studies Included in the Review</w:t>
      </w:r>
    </w:p>
    <w:tbl>
      <w:tblPr>
        <w:tblStyle w:val="TableGrid"/>
        <w:tblW w:w="9400" w:type="dxa"/>
        <w:tblLayout w:type="fixed"/>
        <w:tblLook w:val="0000" w:firstRow="0" w:lastRow="0" w:firstColumn="0" w:lastColumn="0" w:noHBand="0" w:noVBand="0"/>
      </w:tblPr>
      <w:tblGrid>
        <w:gridCol w:w="1750"/>
        <w:gridCol w:w="1498"/>
        <w:gridCol w:w="1902"/>
        <w:gridCol w:w="1900"/>
        <w:gridCol w:w="2350"/>
      </w:tblGrid>
      <w:tr w:rsidR="00ED3AE6" w14:paraId="07EEDFFD" w14:textId="77777777" w:rsidTr="00922E6A">
        <w:tc>
          <w:tcPr>
            <w:tcW w:w="1750" w:type="dxa"/>
          </w:tcPr>
          <w:p w14:paraId="04EAF151" w14:textId="77777777" w:rsidR="00ED3AE6" w:rsidRDefault="008C38B0">
            <w:pPr>
              <w:spacing w:line="360" w:lineRule="auto"/>
              <w:jc w:val="both"/>
              <w:rPr>
                <w:rFonts w:ascii="Arial" w:hAnsi="Arial" w:cs="Arial"/>
                <w:sz w:val="22"/>
                <w:szCs w:val="22"/>
              </w:rPr>
            </w:pPr>
            <w:r>
              <w:rPr>
                <w:rFonts w:ascii="Arial" w:hAnsi="Arial" w:cs="Arial"/>
                <w:b/>
                <w:bCs/>
                <w:sz w:val="22"/>
                <w:szCs w:val="22"/>
              </w:rPr>
              <w:t>Study</w:t>
            </w:r>
          </w:p>
        </w:tc>
        <w:tc>
          <w:tcPr>
            <w:tcW w:w="1498" w:type="dxa"/>
          </w:tcPr>
          <w:p w14:paraId="44386C5E" w14:textId="77777777" w:rsidR="00ED3AE6" w:rsidRDefault="008C38B0">
            <w:pPr>
              <w:spacing w:line="360" w:lineRule="auto"/>
              <w:jc w:val="both"/>
              <w:rPr>
                <w:rFonts w:ascii="Arial" w:hAnsi="Arial" w:cs="Arial"/>
                <w:sz w:val="22"/>
                <w:szCs w:val="22"/>
              </w:rPr>
            </w:pPr>
            <w:r>
              <w:rPr>
                <w:rFonts w:ascii="Arial" w:hAnsi="Arial" w:cs="Arial"/>
                <w:b/>
                <w:bCs/>
                <w:sz w:val="22"/>
                <w:szCs w:val="22"/>
              </w:rPr>
              <w:t>Design</w:t>
            </w:r>
          </w:p>
        </w:tc>
        <w:tc>
          <w:tcPr>
            <w:tcW w:w="1902" w:type="dxa"/>
          </w:tcPr>
          <w:p w14:paraId="43A237FA" w14:textId="77777777" w:rsidR="00ED3AE6" w:rsidRDefault="008C38B0">
            <w:pPr>
              <w:spacing w:line="360" w:lineRule="auto"/>
              <w:jc w:val="both"/>
              <w:rPr>
                <w:rFonts w:ascii="Arial" w:hAnsi="Arial" w:cs="Arial"/>
                <w:sz w:val="22"/>
                <w:szCs w:val="22"/>
              </w:rPr>
            </w:pPr>
            <w:r>
              <w:rPr>
                <w:rFonts w:ascii="Arial" w:hAnsi="Arial" w:cs="Arial"/>
                <w:b/>
                <w:bCs/>
                <w:sz w:val="22"/>
                <w:szCs w:val="22"/>
              </w:rPr>
              <w:t>Setting / Sample</w:t>
            </w:r>
          </w:p>
        </w:tc>
        <w:tc>
          <w:tcPr>
            <w:tcW w:w="1900" w:type="dxa"/>
          </w:tcPr>
          <w:p w14:paraId="414A45E4" w14:textId="77777777" w:rsidR="00ED3AE6" w:rsidRDefault="008C38B0">
            <w:pPr>
              <w:spacing w:line="360" w:lineRule="auto"/>
              <w:jc w:val="both"/>
              <w:rPr>
                <w:rFonts w:ascii="Arial" w:hAnsi="Arial" w:cs="Arial"/>
                <w:sz w:val="22"/>
                <w:szCs w:val="22"/>
              </w:rPr>
            </w:pPr>
            <w:r>
              <w:rPr>
                <w:rFonts w:ascii="Arial" w:hAnsi="Arial" w:cs="Arial"/>
                <w:b/>
                <w:bCs/>
                <w:sz w:val="22"/>
                <w:szCs w:val="22"/>
              </w:rPr>
              <w:t>Key Outcomes Measured</w:t>
            </w:r>
          </w:p>
        </w:tc>
        <w:tc>
          <w:tcPr>
            <w:tcW w:w="2350" w:type="dxa"/>
          </w:tcPr>
          <w:p w14:paraId="59680E06" w14:textId="77777777" w:rsidR="00ED3AE6" w:rsidRDefault="008C38B0">
            <w:pPr>
              <w:spacing w:line="360" w:lineRule="auto"/>
              <w:jc w:val="both"/>
              <w:rPr>
                <w:rFonts w:ascii="Arial" w:hAnsi="Arial" w:cs="Arial"/>
                <w:sz w:val="22"/>
                <w:szCs w:val="22"/>
              </w:rPr>
            </w:pPr>
            <w:r>
              <w:rPr>
                <w:rFonts w:ascii="Arial" w:hAnsi="Arial" w:cs="Arial"/>
                <w:b/>
                <w:bCs/>
                <w:sz w:val="22"/>
                <w:szCs w:val="22"/>
              </w:rPr>
              <w:t>Key Finding</w:t>
            </w:r>
          </w:p>
        </w:tc>
      </w:tr>
      <w:tr w:rsidR="00ED3AE6" w14:paraId="134CBD72" w14:textId="77777777" w:rsidTr="00922E6A">
        <w:tc>
          <w:tcPr>
            <w:tcW w:w="1750" w:type="dxa"/>
          </w:tcPr>
          <w:p w14:paraId="72139E49" w14:textId="77777777" w:rsidR="00ED3AE6" w:rsidRDefault="008C38B0">
            <w:pPr>
              <w:spacing w:line="360" w:lineRule="auto"/>
              <w:jc w:val="both"/>
              <w:rPr>
                <w:rFonts w:ascii="Arial" w:hAnsi="Arial" w:cs="Arial"/>
                <w:sz w:val="22"/>
                <w:szCs w:val="22"/>
              </w:rPr>
            </w:pPr>
            <w:r>
              <w:rPr>
                <w:rFonts w:ascii="Arial" w:hAnsi="Arial" w:cs="Arial"/>
                <w:sz w:val="22"/>
                <w:szCs w:val="22"/>
              </w:rPr>
              <w:t>Chenoweth et al. (2009)</w:t>
            </w:r>
          </w:p>
        </w:tc>
        <w:tc>
          <w:tcPr>
            <w:tcW w:w="1498" w:type="dxa"/>
          </w:tcPr>
          <w:p w14:paraId="75AC4B41" w14:textId="77777777" w:rsidR="00ED3AE6" w:rsidRDefault="008C38B0">
            <w:pPr>
              <w:spacing w:line="360" w:lineRule="auto"/>
              <w:jc w:val="both"/>
              <w:rPr>
                <w:rFonts w:ascii="Arial" w:hAnsi="Arial" w:cs="Arial"/>
                <w:sz w:val="22"/>
                <w:szCs w:val="22"/>
              </w:rPr>
            </w:pPr>
            <w:r>
              <w:rPr>
                <w:rFonts w:ascii="Arial" w:hAnsi="Arial" w:cs="Arial"/>
                <w:sz w:val="22"/>
                <w:szCs w:val="22"/>
              </w:rPr>
              <w:t>Cluster-</w:t>
            </w:r>
            <w:proofErr w:type="spellStart"/>
            <w:r>
              <w:rPr>
                <w:rFonts w:ascii="Arial" w:hAnsi="Arial" w:cs="Arial"/>
                <w:sz w:val="22"/>
                <w:szCs w:val="22"/>
              </w:rPr>
              <w:t>randomised</w:t>
            </w:r>
            <w:proofErr w:type="spellEnd"/>
            <w:r>
              <w:rPr>
                <w:rFonts w:ascii="Arial" w:hAnsi="Arial" w:cs="Arial"/>
                <w:sz w:val="22"/>
                <w:szCs w:val="22"/>
              </w:rPr>
              <w:t xml:space="preserve"> controlled trial</w:t>
            </w:r>
          </w:p>
        </w:tc>
        <w:tc>
          <w:tcPr>
            <w:tcW w:w="1902" w:type="dxa"/>
          </w:tcPr>
          <w:p w14:paraId="6DCFFCD0" w14:textId="77777777" w:rsidR="00ED3AE6" w:rsidRDefault="008C38B0">
            <w:pPr>
              <w:spacing w:line="360" w:lineRule="auto"/>
              <w:jc w:val="both"/>
              <w:rPr>
                <w:rFonts w:ascii="Arial" w:hAnsi="Arial" w:cs="Arial"/>
                <w:sz w:val="22"/>
                <w:szCs w:val="22"/>
              </w:rPr>
            </w:pPr>
            <w:r>
              <w:rPr>
                <w:rFonts w:ascii="Arial" w:hAnsi="Arial" w:cs="Arial"/>
                <w:sz w:val="22"/>
                <w:szCs w:val="22"/>
              </w:rPr>
              <w:t>Residential dementia-care facilities, Australia</w:t>
            </w:r>
          </w:p>
        </w:tc>
        <w:tc>
          <w:tcPr>
            <w:tcW w:w="1900" w:type="dxa"/>
          </w:tcPr>
          <w:p w14:paraId="5F22AFAC" w14:textId="77777777" w:rsidR="00ED3AE6" w:rsidRDefault="008C38B0">
            <w:pPr>
              <w:spacing w:line="360" w:lineRule="auto"/>
              <w:jc w:val="both"/>
              <w:rPr>
                <w:rFonts w:ascii="Arial" w:hAnsi="Arial" w:cs="Arial"/>
                <w:sz w:val="22"/>
                <w:szCs w:val="22"/>
              </w:rPr>
            </w:pPr>
            <w:r>
              <w:rPr>
                <w:rFonts w:ascii="Arial" w:hAnsi="Arial" w:cs="Arial"/>
                <w:sz w:val="22"/>
                <w:szCs w:val="22"/>
              </w:rPr>
              <w:t>Quality of life; agitation; aggression</w:t>
            </w:r>
          </w:p>
        </w:tc>
        <w:tc>
          <w:tcPr>
            <w:tcW w:w="2350" w:type="dxa"/>
          </w:tcPr>
          <w:p w14:paraId="50BA39EB"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PCC and dementia-care mapping outperformed usual care, but gains varied with staff training and </w:t>
            </w:r>
            <w:proofErr w:type="spellStart"/>
            <w:r>
              <w:rPr>
                <w:rFonts w:ascii="Arial" w:hAnsi="Arial" w:cs="Arial"/>
                <w:sz w:val="22"/>
                <w:szCs w:val="22"/>
              </w:rPr>
              <w:t>organisational</w:t>
            </w:r>
            <w:proofErr w:type="spellEnd"/>
            <w:r>
              <w:rPr>
                <w:rFonts w:ascii="Arial" w:hAnsi="Arial" w:cs="Arial"/>
                <w:sz w:val="22"/>
                <w:szCs w:val="22"/>
              </w:rPr>
              <w:t xml:space="preserve"> commitment</w:t>
            </w:r>
          </w:p>
        </w:tc>
      </w:tr>
      <w:tr w:rsidR="00ED3AE6" w14:paraId="6F616DE1" w14:textId="77777777" w:rsidTr="00922E6A">
        <w:tc>
          <w:tcPr>
            <w:tcW w:w="1750" w:type="dxa"/>
          </w:tcPr>
          <w:p w14:paraId="020C866D" w14:textId="77777777" w:rsidR="00ED3AE6" w:rsidRDefault="008C38B0">
            <w:pPr>
              <w:spacing w:line="360" w:lineRule="auto"/>
              <w:jc w:val="both"/>
              <w:rPr>
                <w:rFonts w:ascii="Arial" w:hAnsi="Arial" w:cs="Arial"/>
                <w:sz w:val="22"/>
                <w:szCs w:val="22"/>
              </w:rPr>
            </w:pPr>
            <w:r>
              <w:rPr>
                <w:rFonts w:ascii="Arial" w:hAnsi="Arial" w:cs="Arial"/>
                <w:sz w:val="22"/>
                <w:szCs w:val="22"/>
              </w:rPr>
              <w:t>Fossey et al. (2006)</w:t>
            </w:r>
          </w:p>
        </w:tc>
        <w:tc>
          <w:tcPr>
            <w:tcW w:w="1498" w:type="dxa"/>
          </w:tcPr>
          <w:p w14:paraId="358DA611" w14:textId="77777777" w:rsidR="00ED3AE6" w:rsidRDefault="008C38B0">
            <w:pPr>
              <w:spacing w:line="360" w:lineRule="auto"/>
              <w:jc w:val="both"/>
              <w:rPr>
                <w:rFonts w:ascii="Arial" w:hAnsi="Arial" w:cs="Arial"/>
                <w:sz w:val="22"/>
                <w:szCs w:val="22"/>
              </w:rPr>
            </w:pPr>
            <w:r>
              <w:rPr>
                <w:rFonts w:ascii="Arial" w:hAnsi="Arial" w:cs="Arial"/>
                <w:sz w:val="22"/>
                <w:szCs w:val="22"/>
              </w:rPr>
              <w:t>Cluster-</w:t>
            </w:r>
            <w:proofErr w:type="spellStart"/>
            <w:r>
              <w:rPr>
                <w:rFonts w:ascii="Arial" w:hAnsi="Arial" w:cs="Arial"/>
                <w:sz w:val="22"/>
                <w:szCs w:val="22"/>
              </w:rPr>
              <w:t>randomised</w:t>
            </w:r>
            <w:proofErr w:type="spellEnd"/>
            <w:r>
              <w:rPr>
                <w:rFonts w:ascii="Arial" w:hAnsi="Arial" w:cs="Arial"/>
                <w:sz w:val="22"/>
                <w:szCs w:val="22"/>
              </w:rPr>
              <w:t xml:space="preserve"> controlled trial</w:t>
            </w:r>
          </w:p>
        </w:tc>
        <w:tc>
          <w:tcPr>
            <w:tcW w:w="1902" w:type="dxa"/>
          </w:tcPr>
          <w:p w14:paraId="1628A2F0" w14:textId="77777777" w:rsidR="00ED3AE6" w:rsidRDefault="008C38B0">
            <w:pPr>
              <w:spacing w:line="360" w:lineRule="auto"/>
              <w:jc w:val="both"/>
              <w:rPr>
                <w:rFonts w:ascii="Arial" w:hAnsi="Arial" w:cs="Arial"/>
                <w:sz w:val="22"/>
                <w:szCs w:val="22"/>
              </w:rPr>
            </w:pPr>
            <w:r>
              <w:rPr>
                <w:rFonts w:ascii="Arial" w:hAnsi="Arial" w:cs="Arial"/>
                <w:sz w:val="22"/>
                <w:szCs w:val="22"/>
              </w:rPr>
              <w:t>Nursing homes, UK</w:t>
            </w:r>
          </w:p>
        </w:tc>
        <w:tc>
          <w:tcPr>
            <w:tcW w:w="1900" w:type="dxa"/>
          </w:tcPr>
          <w:p w14:paraId="2FFF839E" w14:textId="77777777" w:rsidR="00ED3AE6" w:rsidRDefault="008C38B0">
            <w:pPr>
              <w:spacing w:line="360" w:lineRule="auto"/>
              <w:jc w:val="both"/>
              <w:rPr>
                <w:rFonts w:ascii="Arial" w:hAnsi="Arial" w:cs="Arial"/>
                <w:sz w:val="22"/>
                <w:szCs w:val="22"/>
              </w:rPr>
            </w:pPr>
            <w:r>
              <w:rPr>
                <w:rFonts w:ascii="Arial" w:hAnsi="Arial" w:cs="Arial"/>
                <w:sz w:val="22"/>
                <w:szCs w:val="22"/>
              </w:rPr>
              <w:t>Antipsychotic prescribing; agitation</w:t>
            </w:r>
          </w:p>
        </w:tc>
        <w:tc>
          <w:tcPr>
            <w:tcW w:w="2350" w:type="dxa"/>
          </w:tcPr>
          <w:p w14:paraId="7869013D" w14:textId="77777777" w:rsidR="00ED3AE6" w:rsidRDefault="008C38B0">
            <w:pPr>
              <w:spacing w:line="360" w:lineRule="auto"/>
              <w:jc w:val="both"/>
              <w:rPr>
                <w:rFonts w:ascii="Arial" w:hAnsi="Arial" w:cs="Arial"/>
                <w:sz w:val="22"/>
                <w:szCs w:val="22"/>
              </w:rPr>
            </w:pPr>
            <w:r>
              <w:rPr>
                <w:rFonts w:ascii="Arial" w:hAnsi="Arial" w:cs="Arial"/>
                <w:sz w:val="22"/>
                <w:szCs w:val="22"/>
              </w:rPr>
              <w:t>Enhanced person-</w:t>
            </w:r>
            <w:proofErr w:type="spellStart"/>
            <w:r>
              <w:rPr>
                <w:rFonts w:ascii="Arial" w:hAnsi="Arial" w:cs="Arial"/>
                <w:sz w:val="22"/>
                <w:szCs w:val="22"/>
              </w:rPr>
              <w:t>centred</w:t>
            </w:r>
            <w:proofErr w:type="spellEnd"/>
            <w:r>
              <w:rPr>
                <w:rFonts w:ascii="Arial" w:hAnsi="Arial" w:cs="Arial"/>
                <w:sz w:val="22"/>
                <w:szCs w:val="22"/>
              </w:rPr>
              <w:t xml:space="preserve"> psychosocial care reduced antipsychotic use and neuropsychiatric symptoms</w:t>
            </w:r>
          </w:p>
        </w:tc>
      </w:tr>
      <w:tr w:rsidR="00ED3AE6" w14:paraId="64B92C71" w14:textId="77777777" w:rsidTr="00922E6A">
        <w:tc>
          <w:tcPr>
            <w:tcW w:w="1750" w:type="dxa"/>
          </w:tcPr>
          <w:p w14:paraId="07C14029" w14:textId="77777777" w:rsidR="00ED3AE6" w:rsidRDefault="008C38B0">
            <w:pPr>
              <w:spacing w:line="360" w:lineRule="auto"/>
              <w:jc w:val="both"/>
              <w:rPr>
                <w:rFonts w:ascii="Arial" w:hAnsi="Arial" w:cs="Arial"/>
                <w:sz w:val="22"/>
                <w:szCs w:val="22"/>
              </w:rPr>
            </w:pPr>
            <w:r>
              <w:rPr>
                <w:rFonts w:ascii="Arial" w:hAnsi="Arial" w:cs="Arial"/>
                <w:sz w:val="22"/>
                <w:szCs w:val="22"/>
              </w:rPr>
              <w:t>Rokstad et al. (2013)</w:t>
            </w:r>
          </w:p>
        </w:tc>
        <w:tc>
          <w:tcPr>
            <w:tcW w:w="1498" w:type="dxa"/>
          </w:tcPr>
          <w:p w14:paraId="1BC71C45"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10-month </w:t>
            </w:r>
            <w:proofErr w:type="spellStart"/>
            <w:r>
              <w:rPr>
                <w:rFonts w:ascii="Arial" w:hAnsi="Arial" w:cs="Arial"/>
                <w:sz w:val="22"/>
                <w:szCs w:val="22"/>
              </w:rPr>
              <w:t>randomised</w:t>
            </w:r>
            <w:proofErr w:type="spellEnd"/>
            <w:r>
              <w:rPr>
                <w:rFonts w:ascii="Arial" w:hAnsi="Arial" w:cs="Arial"/>
                <w:sz w:val="22"/>
                <w:szCs w:val="22"/>
              </w:rPr>
              <w:t xml:space="preserve"> controlled trial</w:t>
            </w:r>
          </w:p>
        </w:tc>
        <w:tc>
          <w:tcPr>
            <w:tcW w:w="1902" w:type="dxa"/>
          </w:tcPr>
          <w:p w14:paraId="40943F75" w14:textId="77777777" w:rsidR="00ED3AE6" w:rsidRDefault="008C38B0">
            <w:pPr>
              <w:spacing w:line="360" w:lineRule="auto"/>
              <w:jc w:val="both"/>
              <w:rPr>
                <w:rFonts w:ascii="Arial" w:hAnsi="Arial" w:cs="Arial"/>
                <w:sz w:val="22"/>
                <w:szCs w:val="22"/>
              </w:rPr>
            </w:pPr>
            <w:r>
              <w:rPr>
                <w:rFonts w:ascii="Arial" w:hAnsi="Arial" w:cs="Arial"/>
                <w:sz w:val="22"/>
                <w:szCs w:val="22"/>
              </w:rPr>
              <w:t>Nursing homes, Norway</w:t>
            </w:r>
          </w:p>
        </w:tc>
        <w:tc>
          <w:tcPr>
            <w:tcW w:w="1900" w:type="dxa"/>
          </w:tcPr>
          <w:p w14:paraId="125354C8" w14:textId="77777777" w:rsidR="00ED3AE6" w:rsidRDefault="008C38B0">
            <w:pPr>
              <w:spacing w:line="360" w:lineRule="auto"/>
              <w:jc w:val="both"/>
              <w:rPr>
                <w:rFonts w:ascii="Arial" w:hAnsi="Arial" w:cs="Arial"/>
                <w:sz w:val="22"/>
                <w:szCs w:val="22"/>
              </w:rPr>
            </w:pPr>
            <w:r>
              <w:rPr>
                <w:rFonts w:ascii="Arial" w:hAnsi="Arial" w:cs="Arial"/>
                <w:sz w:val="22"/>
                <w:szCs w:val="22"/>
              </w:rPr>
              <w:t>Agitation; neuropsychiatric symptoms; quality of life</w:t>
            </w:r>
          </w:p>
        </w:tc>
        <w:tc>
          <w:tcPr>
            <w:tcW w:w="2350" w:type="dxa"/>
          </w:tcPr>
          <w:p w14:paraId="21E83800" w14:textId="77777777" w:rsidR="00ED3AE6" w:rsidRDefault="008C38B0">
            <w:pPr>
              <w:spacing w:line="360" w:lineRule="auto"/>
              <w:jc w:val="both"/>
              <w:rPr>
                <w:rFonts w:ascii="Arial" w:hAnsi="Arial" w:cs="Arial"/>
                <w:sz w:val="22"/>
                <w:szCs w:val="22"/>
              </w:rPr>
            </w:pPr>
            <w:r>
              <w:rPr>
                <w:rFonts w:ascii="Arial" w:hAnsi="Arial" w:cs="Arial"/>
                <w:sz w:val="22"/>
                <w:szCs w:val="22"/>
              </w:rPr>
              <w:t>PCC reduced agitation and improved quality of life; effect was moderated by staff training</w:t>
            </w:r>
          </w:p>
        </w:tc>
      </w:tr>
      <w:tr w:rsidR="00ED3AE6" w14:paraId="15448B20" w14:textId="77777777" w:rsidTr="00922E6A">
        <w:tc>
          <w:tcPr>
            <w:tcW w:w="1750" w:type="dxa"/>
          </w:tcPr>
          <w:p w14:paraId="2EEAE017" w14:textId="77777777" w:rsidR="00ED3AE6" w:rsidRDefault="008C38B0">
            <w:pPr>
              <w:spacing w:line="360" w:lineRule="auto"/>
              <w:jc w:val="both"/>
              <w:rPr>
                <w:rFonts w:ascii="Arial" w:hAnsi="Arial" w:cs="Arial"/>
                <w:sz w:val="22"/>
                <w:szCs w:val="22"/>
              </w:rPr>
            </w:pPr>
            <w:r>
              <w:rPr>
                <w:rFonts w:ascii="Arial" w:hAnsi="Arial" w:cs="Arial"/>
                <w:sz w:val="22"/>
                <w:szCs w:val="22"/>
              </w:rPr>
              <w:t>Brownie and Nancarrow (2013)</w:t>
            </w:r>
          </w:p>
        </w:tc>
        <w:tc>
          <w:tcPr>
            <w:tcW w:w="1498" w:type="dxa"/>
          </w:tcPr>
          <w:p w14:paraId="03A3A18F" w14:textId="77777777" w:rsidR="00ED3AE6" w:rsidRDefault="008C38B0">
            <w:pPr>
              <w:spacing w:line="360" w:lineRule="auto"/>
              <w:jc w:val="both"/>
              <w:rPr>
                <w:rFonts w:ascii="Arial" w:hAnsi="Arial" w:cs="Arial"/>
                <w:sz w:val="22"/>
                <w:szCs w:val="22"/>
              </w:rPr>
            </w:pPr>
            <w:r>
              <w:rPr>
                <w:rFonts w:ascii="Arial" w:hAnsi="Arial" w:cs="Arial"/>
                <w:sz w:val="22"/>
                <w:szCs w:val="22"/>
              </w:rPr>
              <w:t>Systematic review</w:t>
            </w:r>
          </w:p>
        </w:tc>
        <w:tc>
          <w:tcPr>
            <w:tcW w:w="1902" w:type="dxa"/>
          </w:tcPr>
          <w:p w14:paraId="37799E33" w14:textId="77777777" w:rsidR="00ED3AE6" w:rsidRDefault="008C38B0">
            <w:pPr>
              <w:spacing w:line="360" w:lineRule="auto"/>
              <w:jc w:val="both"/>
              <w:rPr>
                <w:rFonts w:ascii="Arial" w:hAnsi="Arial" w:cs="Arial"/>
                <w:sz w:val="22"/>
                <w:szCs w:val="22"/>
              </w:rPr>
            </w:pPr>
            <w:r>
              <w:rPr>
                <w:rFonts w:ascii="Arial" w:hAnsi="Arial" w:cs="Arial"/>
                <w:sz w:val="22"/>
                <w:szCs w:val="22"/>
              </w:rPr>
              <w:t>Aged-care facilities, multiple countries</w:t>
            </w:r>
          </w:p>
        </w:tc>
        <w:tc>
          <w:tcPr>
            <w:tcW w:w="1900" w:type="dxa"/>
          </w:tcPr>
          <w:p w14:paraId="4FB6EDA8" w14:textId="77777777" w:rsidR="00ED3AE6" w:rsidRDefault="008C38B0">
            <w:pPr>
              <w:spacing w:line="360" w:lineRule="auto"/>
              <w:jc w:val="both"/>
              <w:rPr>
                <w:rFonts w:ascii="Arial" w:hAnsi="Arial" w:cs="Arial"/>
                <w:sz w:val="22"/>
                <w:szCs w:val="22"/>
              </w:rPr>
            </w:pPr>
            <w:r>
              <w:rPr>
                <w:rFonts w:ascii="Arial" w:hAnsi="Arial" w:cs="Arial"/>
                <w:sz w:val="22"/>
                <w:szCs w:val="22"/>
              </w:rPr>
              <w:t>Resident and staff outcomes</w:t>
            </w:r>
          </w:p>
        </w:tc>
        <w:tc>
          <w:tcPr>
            <w:tcW w:w="2350" w:type="dxa"/>
          </w:tcPr>
          <w:p w14:paraId="37C82BC9" w14:textId="77777777" w:rsidR="00ED3AE6" w:rsidRDefault="008C38B0">
            <w:pPr>
              <w:spacing w:line="360" w:lineRule="auto"/>
              <w:jc w:val="both"/>
              <w:rPr>
                <w:rFonts w:ascii="Arial" w:hAnsi="Arial" w:cs="Arial"/>
                <w:sz w:val="22"/>
                <w:szCs w:val="22"/>
              </w:rPr>
            </w:pPr>
            <w:r>
              <w:rPr>
                <w:rFonts w:ascii="Arial" w:hAnsi="Arial" w:cs="Arial"/>
                <w:sz w:val="22"/>
                <w:szCs w:val="22"/>
              </w:rPr>
              <w:t>PCC associated with improved resident and staff outcomes, though underlying evidence quality was variable</w:t>
            </w:r>
          </w:p>
        </w:tc>
      </w:tr>
      <w:tr w:rsidR="00ED3AE6" w14:paraId="13A580A8" w14:textId="77777777" w:rsidTr="00922E6A">
        <w:tc>
          <w:tcPr>
            <w:tcW w:w="1750" w:type="dxa"/>
          </w:tcPr>
          <w:p w14:paraId="0199FA95" w14:textId="77777777" w:rsidR="00ED3AE6" w:rsidRDefault="008C38B0">
            <w:pPr>
              <w:spacing w:line="360" w:lineRule="auto"/>
              <w:jc w:val="both"/>
              <w:rPr>
                <w:rFonts w:ascii="Arial" w:hAnsi="Arial" w:cs="Arial"/>
                <w:sz w:val="22"/>
                <w:szCs w:val="22"/>
              </w:rPr>
            </w:pPr>
            <w:r>
              <w:rPr>
                <w:rFonts w:ascii="Arial" w:hAnsi="Arial" w:cs="Arial"/>
                <w:sz w:val="22"/>
                <w:szCs w:val="22"/>
              </w:rPr>
              <w:t>Edvardsson et al. (2014)</w:t>
            </w:r>
          </w:p>
        </w:tc>
        <w:tc>
          <w:tcPr>
            <w:tcW w:w="1498" w:type="dxa"/>
          </w:tcPr>
          <w:p w14:paraId="0B2EE333" w14:textId="77777777" w:rsidR="00ED3AE6" w:rsidRDefault="008C38B0">
            <w:pPr>
              <w:spacing w:line="360" w:lineRule="auto"/>
              <w:jc w:val="both"/>
              <w:rPr>
                <w:rFonts w:ascii="Arial" w:hAnsi="Arial" w:cs="Arial"/>
                <w:sz w:val="22"/>
                <w:szCs w:val="22"/>
              </w:rPr>
            </w:pPr>
            <w:r>
              <w:rPr>
                <w:rFonts w:ascii="Arial" w:hAnsi="Arial" w:cs="Arial"/>
                <w:sz w:val="22"/>
                <w:szCs w:val="22"/>
              </w:rPr>
              <w:t>Qualitative study</w:t>
            </w:r>
          </w:p>
        </w:tc>
        <w:tc>
          <w:tcPr>
            <w:tcW w:w="1902" w:type="dxa"/>
          </w:tcPr>
          <w:p w14:paraId="20CED06E" w14:textId="77777777" w:rsidR="00ED3AE6" w:rsidRDefault="008C38B0">
            <w:pPr>
              <w:spacing w:line="360" w:lineRule="auto"/>
              <w:jc w:val="both"/>
              <w:rPr>
                <w:rFonts w:ascii="Arial" w:hAnsi="Arial" w:cs="Arial"/>
                <w:sz w:val="22"/>
                <w:szCs w:val="22"/>
              </w:rPr>
            </w:pPr>
            <w:r>
              <w:rPr>
                <w:rFonts w:ascii="Arial" w:hAnsi="Arial" w:cs="Arial"/>
                <w:sz w:val="22"/>
                <w:szCs w:val="22"/>
              </w:rPr>
              <w:t>People with dementia, families and staff</w:t>
            </w:r>
          </w:p>
        </w:tc>
        <w:tc>
          <w:tcPr>
            <w:tcW w:w="1900" w:type="dxa"/>
          </w:tcPr>
          <w:p w14:paraId="391ED415" w14:textId="77777777" w:rsidR="00ED3AE6" w:rsidRDefault="008C38B0">
            <w:pPr>
              <w:spacing w:line="360" w:lineRule="auto"/>
              <w:jc w:val="both"/>
              <w:rPr>
                <w:rFonts w:ascii="Arial" w:hAnsi="Arial" w:cs="Arial"/>
                <w:sz w:val="22"/>
                <w:szCs w:val="22"/>
              </w:rPr>
            </w:pPr>
            <w:r>
              <w:rPr>
                <w:rFonts w:ascii="Arial" w:hAnsi="Arial" w:cs="Arial"/>
                <w:sz w:val="22"/>
                <w:szCs w:val="22"/>
              </w:rPr>
              <w:t>Perceptions and lived experience of PCC</w:t>
            </w:r>
          </w:p>
        </w:tc>
        <w:tc>
          <w:tcPr>
            <w:tcW w:w="2350" w:type="dxa"/>
          </w:tcPr>
          <w:p w14:paraId="6EBAE9B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PCC was frequently reduced to superficial, “tokenistic” practice without structural </w:t>
            </w:r>
            <w:proofErr w:type="spellStart"/>
            <w:r>
              <w:rPr>
                <w:rFonts w:ascii="Arial" w:hAnsi="Arial" w:cs="Arial"/>
                <w:sz w:val="22"/>
                <w:szCs w:val="22"/>
              </w:rPr>
              <w:t>organisational</w:t>
            </w:r>
            <w:proofErr w:type="spellEnd"/>
            <w:r>
              <w:rPr>
                <w:rFonts w:ascii="Arial" w:hAnsi="Arial" w:cs="Arial"/>
                <w:sz w:val="22"/>
                <w:szCs w:val="22"/>
              </w:rPr>
              <w:t xml:space="preserve"> change</w:t>
            </w:r>
          </w:p>
        </w:tc>
      </w:tr>
      <w:tr w:rsidR="00ED3AE6" w14:paraId="64469716" w14:textId="77777777" w:rsidTr="00922E6A">
        <w:tc>
          <w:tcPr>
            <w:tcW w:w="1750" w:type="dxa"/>
          </w:tcPr>
          <w:p w14:paraId="4F4558B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Spilsbury et al. </w:t>
            </w:r>
            <w:r>
              <w:rPr>
                <w:rFonts w:ascii="Arial" w:hAnsi="Arial" w:cs="Arial"/>
                <w:sz w:val="22"/>
                <w:szCs w:val="22"/>
              </w:rPr>
              <w:lastRenderedPageBreak/>
              <w:t>(2015)</w:t>
            </w:r>
          </w:p>
        </w:tc>
        <w:tc>
          <w:tcPr>
            <w:tcW w:w="1498" w:type="dxa"/>
          </w:tcPr>
          <w:p w14:paraId="32693A59"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 xml:space="preserve">Systematic </w:t>
            </w:r>
            <w:r>
              <w:rPr>
                <w:rFonts w:ascii="Arial" w:hAnsi="Arial" w:cs="Arial"/>
                <w:sz w:val="22"/>
                <w:szCs w:val="22"/>
              </w:rPr>
              <w:lastRenderedPageBreak/>
              <w:t>review</w:t>
            </w:r>
          </w:p>
        </w:tc>
        <w:tc>
          <w:tcPr>
            <w:tcW w:w="1902" w:type="dxa"/>
          </w:tcPr>
          <w:p w14:paraId="09F04852"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Nursing homes</w:t>
            </w:r>
          </w:p>
        </w:tc>
        <w:tc>
          <w:tcPr>
            <w:tcW w:w="1900" w:type="dxa"/>
          </w:tcPr>
          <w:p w14:paraId="6213190D"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Nurse staffing </w:t>
            </w:r>
            <w:r>
              <w:rPr>
                <w:rFonts w:ascii="Arial" w:hAnsi="Arial" w:cs="Arial"/>
                <w:sz w:val="22"/>
                <w:szCs w:val="22"/>
              </w:rPr>
              <w:lastRenderedPageBreak/>
              <w:t>levels; quality of care</w:t>
            </w:r>
          </w:p>
        </w:tc>
        <w:tc>
          <w:tcPr>
            <w:tcW w:w="2350" w:type="dxa"/>
          </w:tcPr>
          <w:p w14:paraId="11B4E875"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 xml:space="preserve">Nurse staffing levels </w:t>
            </w:r>
            <w:r>
              <w:rPr>
                <w:rFonts w:ascii="Arial" w:hAnsi="Arial" w:cs="Arial"/>
                <w:sz w:val="22"/>
                <w:szCs w:val="22"/>
              </w:rPr>
              <w:lastRenderedPageBreak/>
              <w:t>were significantly associated with quality-of-care outcomes</w:t>
            </w:r>
          </w:p>
        </w:tc>
      </w:tr>
      <w:tr w:rsidR="00ED3AE6" w14:paraId="2F753F94" w14:textId="77777777" w:rsidTr="00922E6A">
        <w:tc>
          <w:tcPr>
            <w:tcW w:w="1750" w:type="dxa"/>
          </w:tcPr>
          <w:p w14:paraId="031F04E2"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Brooker and Latham (2016)</w:t>
            </w:r>
          </w:p>
        </w:tc>
        <w:tc>
          <w:tcPr>
            <w:tcW w:w="1498" w:type="dxa"/>
          </w:tcPr>
          <w:p w14:paraId="580AF611" w14:textId="77777777" w:rsidR="00ED3AE6" w:rsidRDefault="008C38B0">
            <w:pPr>
              <w:spacing w:line="360" w:lineRule="auto"/>
              <w:jc w:val="both"/>
              <w:rPr>
                <w:rFonts w:ascii="Arial" w:hAnsi="Arial" w:cs="Arial"/>
                <w:sz w:val="22"/>
                <w:szCs w:val="22"/>
              </w:rPr>
            </w:pPr>
            <w:r>
              <w:rPr>
                <w:rFonts w:ascii="Arial" w:hAnsi="Arial" w:cs="Arial"/>
                <w:sz w:val="22"/>
                <w:szCs w:val="22"/>
              </w:rPr>
              <w:t>Practice framework (VIPS model)</w:t>
            </w:r>
          </w:p>
        </w:tc>
        <w:tc>
          <w:tcPr>
            <w:tcW w:w="1902" w:type="dxa"/>
          </w:tcPr>
          <w:p w14:paraId="378ECB36" w14:textId="77777777" w:rsidR="00ED3AE6" w:rsidRDefault="008C38B0">
            <w:pPr>
              <w:spacing w:line="360" w:lineRule="auto"/>
              <w:jc w:val="both"/>
              <w:rPr>
                <w:rFonts w:ascii="Arial" w:hAnsi="Arial" w:cs="Arial"/>
                <w:sz w:val="22"/>
                <w:szCs w:val="22"/>
              </w:rPr>
            </w:pPr>
            <w:r>
              <w:rPr>
                <w:rFonts w:ascii="Arial" w:hAnsi="Arial" w:cs="Arial"/>
                <w:sz w:val="22"/>
                <w:szCs w:val="22"/>
              </w:rPr>
              <w:t>Dementia-care services</w:t>
            </w:r>
          </w:p>
        </w:tc>
        <w:tc>
          <w:tcPr>
            <w:tcW w:w="1900" w:type="dxa"/>
          </w:tcPr>
          <w:p w14:paraId="7C16A9B6"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Distress </w:t>
            </w:r>
            <w:proofErr w:type="spellStart"/>
            <w:r>
              <w:rPr>
                <w:rFonts w:ascii="Arial" w:hAnsi="Arial" w:cs="Arial"/>
                <w:sz w:val="22"/>
                <w:szCs w:val="22"/>
              </w:rPr>
              <w:t>behaviours</w:t>
            </w:r>
            <w:proofErr w:type="spellEnd"/>
            <w:r>
              <w:rPr>
                <w:rFonts w:ascii="Arial" w:hAnsi="Arial" w:cs="Arial"/>
                <w:sz w:val="22"/>
                <w:szCs w:val="22"/>
              </w:rPr>
              <w:t>; communication quality</w:t>
            </w:r>
          </w:p>
        </w:tc>
        <w:tc>
          <w:tcPr>
            <w:tcW w:w="2350" w:type="dxa"/>
          </w:tcPr>
          <w:p w14:paraId="0C7995D2" w14:textId="77777777" w:rsidR="00ED3AE6" w:rsidRDefault="008C38B0">
            <w:pPr>
              <w:spacing w:line="360" w:lineRule="auto"/>
              <w:jc w:val="both"/>
              <w:rPr>
                <w:rFonts w:ascii="Arial" w:hAnsi="Arial" w:cs="Arial"/>
                <w:sz w:val="22"/>
                <w:szCs w:val="22"/>
              </w:rPr>
            </w:pPr>
            <w:r>
              <w:rPr>
                <w:rFonts w:ascii="Arial" w:hAnsi="Arial" w:cs="Arial"/>
                <w:sz w:val="22"/>
                <w:szCs w:val="22"/>
              </w:rPr>
              <w:t>Structured person-</w:t>
            </w:r>
            <w:proofErr w:type="spellStart"/>
            <w:r>
              <w:rPr>
                <w:rFonts w:ascii="Arial" w:hAnsi="Arial" w:cs="Arial"/>
                <w:sz w:val="22"/>
                <w:szCs w:val="22"/>
              </w:rPr>
              <w:t>centred</w:t>
            </w:r>
            <w:proofErr w:type="spellEnd"/>
            <w:r>
              <w:rPr>
                <w:rFonts w:ascii="Arial" w:hAnsi="Arial" w:cs="Arial"/>
                <w:sz w:val="22"/>
                <w:szCs w:val="22"/>
              </w:rPr>
              <w:t xml:space="preserve"> frameworks were associated with reduced distress </w:t>
            </w:r>
            <w:proofErr w:type="spellStart"/>
            <w:r>
              <w:rPr>
                <w:rFonts w:ascii="Arial" w:hAnsi="Arial" w:cs="Arial"/>
                <w:sz w:val="22"/>
                <w:szCs w:val="22"/>
              </w:rPr>
              <w:t>behaviours</w:t>
            </w:r>
            <w:proofErr w:type="spellEnd"/>
            <w:r>
              <w:rPr>
                <w:rFonts w:ascii="Arial" w:hAnsi="Arial" w:cs="Arial"/>
                <w:sz w:val="22"/>
                <w:szCs w:val="22"/>
              </w:rPr>
              <w:t xml:space="preserve"> via improved communication</w:t>
            </w:r>
          </w:p>
        </w:tc>
      </w:tr>
      <w:tr w:rsidR="00ED3AE6" w14:paraId="1036AC34" w14:textId="77777777" w:rsidTr="00922E6A">
        <w:tc>
          <w:tcPr>
            <w:tcW w:w="1750" w:type="dxa"/>
          </w:tcPr>
          <w:p w14:paraId="4014E3A3" w14:textId="77777777" w:rsidR="00ED3AE6" w:rsidRDefault="008C38B0">
            <w:r>
              <w:rPr>
                <w:rFonts w:ascii="Arial" w:hAnsi="Arial" w:cs="Arial"/>
                <w:sz w:val="22"/>
              </w:rPr>
              <w:t>Ballard et al. (2018)</w:t>
            </w:r>
          </w:p>
        </w:tc>
        <w:tc>
          <w:tcPr>
            <w:tcW w:w="1498" w:type="dxa"/>
          </w:tcPr>
          <w:p w14:paraId="7C6DBA01" w14:textId="77777777" w:rsidR="00ED3AE6" w:rsidRDefault="008C38B0">
            <w:r>
              <w:rPr>
                <w:rFonts w:ascii="Arial" w:hAnsi="Arial" w:cs="Arial"/>
                <w:sz w:val="22"/>
              </w:rPr>
              <w:t>Cluster-</w:t>
            </w:r>
            <w:proofErr w:type="spellStart"/>
            <w:r>
              <w:rPr>
                <w:rFonts w:ascii="Arial" w:hAnsi="Arial" w:cs="Arial"/>
                <w:sz w:val="22"/>
              </w:rPr>
              <w:t>randomised</w:t>
            </w:r>
            <w:proofErr w:type="spellEnd"/>
            <w:r>
              <w:rPr>
                <w:rFonts w:ascii="Arial" w:hAnsi="Arial" w:cs="Arial"/>
                <w:sz w:val="22"/>
              </w:rPr>
              <w:t xml:space="preserve"> controlled trial</w:t>
            </w:r>
          </w:p>
        </w:tc>
        <w:tc>
          <w:tcPr>
            <w:tcW w:w="1902" w:type="dxa"/>
          </w:tcPr>
          <w:p w14:paraId="1885B7BE" w14:textId="77777777" w:rsidR="00ED3AE6" w:rsidRDefault="008C38B0">
            <w:r>
              <w:rPr>
                <w:rFonts w:ascii="Arial" w:hAnsi="Arial" w:cs="Arial"/>
                <w:sz w:val="22"/>
              </w:rPr>
              <w:t xml:space="preserve">69 nursing homes, UK (WHELD </w:t>
            </w:r>
            <w:proofErr w:type="spellStart"/>
            <w:r>
              <w:rPr>
                <w:rFonts w:ascii="Arial" w:hAnsi="Arial" w:cs="Arial"/>
                <w:sz w:val="22"/>
              </w:rPr>
              <w:t>programme</w:t>
            </w:r>
            <w:proofErr w:type="spellEnd"/>
            <w:r>
              <w:rPr>
                <w:rFonts w:ascii="Arial" w:hAnsi="Arial" w:cs="Arial"/>
                <w:sz w:val="22"/>
              </w:rPr>
              <w:t>)</w:t>
            </w:r>
          </w:p>
        </w:tc>
        <w:tc>
          <w:tcPr>
            <w:tcW w:w="1900" w:type="dxa"/>
          </w:tcPr>
          <w:p w14:paraId="5CE6C5C5" w14:textId="77777777" w:rsidR="00ED3AE6" w:rsidRDefault="008C38B0">
            <w:r>
              <w:rPr>
                <w:rFonts w:ascii="Arial" w:hAnsi="Arial" w:cs="Arial"/>
                <w:sz w:val="22"/>
              </w:rPr>
              <w:t>Quality of life; agitation; antipsychotic use</w:t>
            </w:r>
          </w:p>
        </w:tc>
        <w:tc>
          <w:tcPr>
            <w:tcW w:w="2350" w:type="dxa"/>
          </w:tcPr>
          <w:p w14:paraId="1C3DF6ED" w14:textId="77777777" w:rsidR="00ED3AE6" w:rsidRDefault="008C38B0">
            <w:r>
              <w:rPr>
                <w:rFonts w:ascii="Arial" w:hAnsi="Arial" w:cs="Arial"/>
                <w:sz w:val="22"/>
              </w:rPr>
              <w:t xml:space="preserve">Combined staff training, social interaction, and medication review produced significant improvements in quality of life and </w:t>
            </w:r>
            <w:proofErr w:type="spellStart"/>
            <w:r>
              <w:rPr>
                <w:rFonts w:ascii="Arial" w:hAnsi="Arial" w:cs="Arial"/>
                <w:sz w:val="22"/>
              </w:rPr>
              <w:t>behavioural</w:t>
            </w:r>
            <w:proofErr w:type="spellEnd"/>
            <w:r>
              <w:rPr>
                <w:rFonts w:ascii="Arial" w:hAnsi="Arial" w:cs="Arial"/>
                <w:sz w:val="22"/>
              </w:rPr>
              <w:t xml:space="preserve"> symptoms; cost-effective versus usual care.</w:t>
            </w:r>
          </w:p>
        </w:tc>
      </w:tr>
      <w:tr w:rsidR="00ED3AE6" w14:paraId="03159608" w14:textId="77777777" w:rsidTr="00922E6A">
        <w:tc>
          <w:tcPr>
            <w:tcW w:w="1750" w:type="dxa"/>
          </w:tcPr>
          <w:p w14:paraId="1C791305" w14:textId="77777777" w:rsidR="00ED3AE6" w:rsidRDefault="008C38B0">
            <w:r>
              <w:rPr>
                <w:rFonts w:ascii="Arial" w:hAnsi="Arial" w:cs="Arial"/>
                <w:sz w:val="22"/>
              </w:rPr>
              <w:t>Berkovic et al. (2024)</w:t>
            </w:r>
          </w:p>
        </w:tc>
        <w:tc>
          <w:tcPr>
            <w:tcW w:w="1498" w:type="dxa"/>
          </w:tcPr>
          <w:p w14:paraId="6BDB6F45" w14:textId="77777777" w:rsidR="00ED3AE6" w:rsidRDefault="008C38B0">
            <w:r>
              <w:rPr>
                <w:rFonts w:ascii="Arial" w:hAnsi="Arial" w:cs="Arial"/>
                <w:sz w:val="22"/>
              </w:rPr>
              <w:t>Systematic review and meta-analysis (41 studies)</w:t>
            </w:r>
          </w:p>
        </w:tc>
        <w:tc>
          <w:tcPr>
            <w:tcW w:w="1902" w:type="dxa"/>
          </w:tcPr>
          <w:p w14:paraId="5C489CB5" w14:textId="77777777" w:rsidR="00ED3AE6" w:rsidRDefault="008C38B0">
            <w:r>
              <w:rPr>
                <w:rFonts w:ascii="Arial" w:hAnsi="Arial" w:cs="Arial"/>
                <w:sz w:val="22"/>
              </w:rPr>
              <w:t>Residential aged care, dementia, multiple countries</w:t>
            </w:r>
          </w:p>
        </w:tc>
        <w:tc>
          <w:tcPr>
            <w:tcW w:w="1900" w:type="dxa"/>
          </w:tcPr>
          <w:p w14:paraId="68B0A24B" w14:textId="77777777" w:rsidR="00ED3AE6" w:rsidRDefault="008C38B0">
            <w:r>
              <w:rPr>
                <w:rFonts w:ascii="Arial" w:hAnsi="Arial" w:cs="Arial"/>
                <w:sz w:val="22"/>
              </w:rPr>
              <w:t>Agitation; quality of life; neuropsychiatric symptoms</w:t>
            </w:r>
          </w:p>
        </w:tc>
        <w:tc>
          <w:tcPr>
            <w:tcW w:w="2350" w:type="dxa"/>
          </w:tcPr>
          <w:p w14:paraId="5B4F0F94" w14:textId="77777777" w:rsidR="00ED3AE6" w:rsidRDefault="008C38B0">
            <w:r>
              <w:rPr>
                <w:rFonts w:ascii="Arial" w:hAnsi="Arial" w:cs="Arial"/>
                <w:sz w:val="22"/>
              </w:rPr>
              <w:t>Pooled effects across outcomes did not reach statistical significance despite positive findings in individual trials, highlighting heterogeneity in how PCC is defined and delivered.</w:t>
            </w:r>
          </w:p>
        </w:tc>
      </w:tr>
    </w:tbl>
    <w:p w14:paraId="6E296EA5" w14:textId="77777777" w:rsidR="00ED3AE6" w:rsidRDefault="008C38B0">
      <w:pPr>
        <w:spacing w:line="360" w:lineRule="auto"/>
        <w:jc w:val="both"/>
        <w:rPr>
          <w:rFonts w:ascii="Arial" w:hAnsi="Arial" w:cs="Arial"/>
          <w:sz w:val="22"/>
          <w:szCs w:val="22"/>
        </w:rPr>
      </w:pPr>
      <w:r>
        <w:rPr>
          <w:rFonts w:ascii="Arial" w:hAnsi="Arial" w:cs="Arial"/>
          <w:i/>
          <w:iCs/>
          <w:sz w:val="22"/>
          <w:szCs w:val="22"/>
        </w:rPr>
        <w:t>Table compiled by the author from the studies discussed in Sections 2.2–2.8 and fully referenced in the Reference list.</w:t>
      </w:r>
    </w:p>
    <w:p w14:paraId="4686A38F" w14:textId="77777777" w:rsidR="00ED3AE6" w:rsidRDefault="008C38B0">
      <w:pPr>
        <w:pStyle w:val="Heading2"/>
        <w:spacing w:line="360" w:lineRule="auto"/>
        <w:jc w:val="both"/>
        <w:rPr>
          <w:rFonts w:ascii="Arial" w:hAnsi="Arial" w:cs="Arial"/>
          <w:color w:val="auto"/>
          <w:sz w:val="22"/>
          <w:szCs w:val="22"/>
        </w:rPr>
      </w:pPr>
      <w:bookmarkStart w:id="22" w:name="__RefHeading___Toc1543_1328646638"/>
      <w:bookmarkEnd w:id="22"/>
      <w:r>
        <w:rPr>
          <w:rFonts w:ascii="Arial" w:hAnsi="Arial" w:cs="Arial"/>
          <w:b/>
          <w:bCs/>
          <w:color w:val="auto"/>
          <w:sz w:val="28"/>
          <w:szCs w:val="22"/>
        </w:rPr>
        <w:t>2.9 Synthesis and Research Gap</w:t>
      </w:r>
    </w:p>
    <w:p w14:paraId="363D79D8"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Overall, the literature suggests that PCC has the potential to improve psychological wellbeing, </w:t>
      </w:r>
      <w:proofErr w:type="spellStart"/>
      <w:r>
        <w:rPr>
          <w:rFonts w:ascii="Arial" w:hAnsi="Arial" w:cs="Arial"/>
          <w:sz w:val="22"/>
          <w:szCs w:val="22"/>
        </w:rPr>
        <w:t>behavioural</w:t>
      </w:r>
      <w:proofErr w:type="spellEnd"/>
      <w:r>
        <w:rPr>
          <w:rFonts w:ascii="Arial" w:hAnsi="Arial" w:cs="Arial"/>
          <w:sz w:val="22"/>
          <w:szCs w:val="22"/>
        </w:rPr>
        <w:t xml:space="preserve"> outcomes, and quality of life among older adults in residential care settings. However, its effectiveness is inconsistent and highly dependent on contextual factors such as staffing, training, and </w:t>
      </w:r>
      <w:proofErr w:type="spellStart"/>
      <w:r>
        <w:rPr>
          <w:rFonts w:ascii="Arial" w:hAnsi="Arial" w:cs="Arial"/>
          <w:sz w:val="22"/>
          <w:szCs w:val="22"/>
        </w:rPr>
        <w:t>organisational</w:t>
      </w:r>
      <w:proofErr w:type="spellEnd"/>
      <w:r>
        <w:rPr>
          <w:rFonts w:ascii="Arial" w:hAnsi="Arial" w:cs="Arial"/>
          <w:sz w:val="22"/>
          <w:szCs w:val="22"/>
        </w:rPr>
        <w:t xml:space="preserve"> culture.</w:t>
      </w:r>
    </w:p>
    <w:p w14:paraId="6F782596"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Key gaps in the literature include a lack of </w:t>
      </w:r>
      <w:proofErr w:type="spellStart"/>
      <w:r>
        <w:rPr>
          <w:rFonts w:ascii="Arial" w:hAnsi="Arial" w:cs="Arial"/>
          <w:sz w:val="22"/>
          <w:szCs w:val="22"/>
        </w:rPr>
        <w:t>standardised</w:t>
      </w:r>
      <w:proofErr w:type="spellEnd"/>
      <w:r>
        <w:rPr>
          <w:rFonts w:ascii="Arial" w:hAnsi="Arial" w:cs="Arial"/>
          <w:sz w:val="22"/>
          <w:szCs w:val="22"/>
        </w:rPr>
        <w:t xml:space="preserve"> definitions, inconsistent outcome measures, limited longitudinal research, and insufficient evaluation of implementation processes. These gaps highlight the need for further critical research into how PCC operates in real-world settings.</w:t>
      </w:r>
    </w:p>
    <w:p w14:paraId="6F46EEB0"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This study therefore seeks to address these limitations by critically evaluating the effectiveness of PCC in improving outcomes for older adults in residential care.</w:t>
      </w:r>
    </w:p>
    <w:p w14:paraId="0F3FD83E" w14:textId="77777777" w:rsidR="00ED3AE6" w:rsidRDefault="008C38B0">
      <w:pPr>
        <w:spacing w:line="360" w:lineRule="auto"/>
        <w:jc w:val="both"/>
        <w:rPr>
          <w:rFonts w:ascii="Arial" w:hAnsi="Arial" w:cs="Arial"/>
          <w:sz w:val="22"/>
          <w:szCs w:val="22"/>
        </w:rPr>
      </w:pPr>
      <w:r>
        <w:br w:type="page"/>
      </w:r>
    </w:p>
    <w:p w14:paraId="1F577135" w14:textId="77777777" w:rsidR="00ED3AE6" w:rsidRDefault="008C38B0">
      <w:pPr>
        <w:pStyle w:val="Heading1"/>
        <w:spacing w:line="360" w:lineRule="auto"/>
        <w:jc w:val="center"/>
        <w:rPr>
          <w:rFonts w:ascii="Arial" w:hAnsi="Arial" w:cs="Arial"/>
          <w:color w:val="auto"/>
          <w:sz w:val="22"/>
          <w:szCs w:val="22"/>
        </w:rPr>
      </w:pPr>
      <w:bookmarkStart w:id="23" w:name="__RefHeading___Toc1545_1328646638"/>
      <w:bookmarkEnd w:id="23"/>
      <w:r>
        <w:rPr>
          <w:rFonts w:ascii="Arial" w:hAnsi="Arial" w:cs="Arial"/>
          <w:b/>
          <w:bCs/>
          <w:color w:val="auto"/>
          <w:szCs w:val="22"/>
        </w:rPr>
        <w:lastRenderedPageBreak/>
        <w:t>CHAPTER THREE</w:t>
      </w:r>
    </w:p>
    <w:p w14:paraId="789EB7F2" w14:textId="77777777" w:rsidR="00ED3AE6" w:rsidRDefault="008C38B0">
      <w:pPr>
        <w:spacing w:line="360" w:lineRule="auto"/>
        <w:jc w:val="center"/>
        <w:rPr>
          <w:rFonts w:ascii="Arial" w:hAnsi="Arial" w:cs="Arial"/>
          <w:sz w:val="22"/>
          <w:szCs w:val="22"/>
        </w:rPr>
      </w:pPr>
      <w:r>
        <w:rPr>
          <w:rFonts w:ascii="Arial" w:hAnsi="Arial" w:cs="Arial"/>
          <w:b/>
          <w:bCs/>
          <w:sz w:val="22"/>
          <w:szCs w:val="22"/>
        </w:rPr>
        <w:t>METHODS</w:t>
      </w:r>
    </w:p>
    <w:p w14:paraId="7C03B9DE" w14:textId="77777777" w:rsidR="00ED3AE6" w:rsidRDefault="008C38B0">
      <w:pPr>
        <w:pStyle w:val="Heading2"/>
        <w:spacing w:line="360" w:lineRule="auto"/>
        <w:jc w:val="both"/>
        <w:rPr>
          <w:rFonts w:ascii="Arial" w:hAnsi="Arial" w:cs="Arial"/>
          <w:color w:val="auto"/>
          <w:sz w:val="22"/>
          <w:szCs w:val="22"/>
        </w:rPr>
      </w:pPr>
      <w:bookmarkStart w:id="24" w:name="__RefHeading___Toc1547_1328646638"/>
      <w:bookmarkEnd w:id="24"/>
      <w:r>
        <w:rPr>
          <w:rFonts w:ascii="Arial" w:hAnsi="Arial" w:cs="Arial"/>
          <w:b/>
          <w:bCs/>
          <w:color w:val="auto"/>
          <w:sz w:val="28"/>
          <w:szCs w:val="22"/>
        </w:rPr>
        <w:t>3.1 Introduction</w:t>
      </w:r>
    </w:p>
    <w:p w14:paraId="35FE7CB3" w14:textId="77777777" w:rsidR="00ED3AE6" w:rsidRDefault="008C38B0">
      <w:pPr>
        <w:spacing w:line="360" w:lineRule="auto"/>
        <w:jc w:val="both"/>
        <w:rPr>
          <w:rFonts w:ascii="Arial" w:hAnsi="Arial" w:cs="Arial"/>
          <w:sz w:val="22"/>
          <w:szCs w:val="22"/>
        </w:rPr>
      </w:pPr>
      <w:r>
        <w:rPr>
          <w:rFonts w:ascii="Arial" w:hAnsi="Arial" w:cs="Arial"/>
          <w:sz w:val="22"/>
          <w:szCs w:val="22"/>
        </w:rPr>
        <w:t>This chapter outlines the methodological approach adopted to address the research question, namely the extent to which person-</w:t>
      </w:r>
      <w:proofErr w:type="spellStart"/>
      <w:r>
        <w:rPr>
          <w:rFonts w:ascii="Arial" w:hAnsi="Arial" w:cs="Arial"/>
          <w:sz w:val="22"/>
          <w:szCs w:val="22"/>
        </w:rPr>
        <w:t>centred</w:t>
      </w:r>
      <w:proofErr w:type="spellEnd"/>
      <w:r>
        <w:rPr>
          <w:rFonts w:ascii="Arial" w:hAnsi="Arial" w:cs="Arial"/>
          <w:sz w:val="22"/>
          <w:szCs w:val="22"/>
        </w:rPr>
        <w:t xml:space="preserve"> care (PCC) improves outcomes for older adults in residential care settings. As established in Chapter One, this study does not involve the collection of primary data from human participants; rather, it adopts a narrative, critical literature review design in order to </w:t>
      </w:r>
      <w:proofErr w:type="spellStart"/>
      <w:r>
        <w:rPr>
          <w:rFonts w:ascii="Arial" w:hAnsi="Arial" w:cs="Arial"/>
          <w:sz w:val="22"/>
          <w:szCs w:val="22"/>
        </w:rPr>
        <w:t>synthesise</w:t>
      </w:r>
      <w:proofErr w:type="spellEnd"/>
      <w:r>
        <w:rPr>
          <w:rFonts w:ascii="Arial" w:hAnsi="Arial" w:cs="Arial"/>
          <w:sz w:val="22"/>
          <w:szCs w:val="22"/>
        </w:rPr>
        <w:t xml:space="preserve"> and evaluate existing evidence on PCC. This chapter justifies the choice of methodology, describes the search strategy and selection criteria, outlines the approach to data analysis, and addresses the ethical considerations and limitations associated with this method.</w:t>
      </w:r>
    </w:p>
    <w:p w14:paraId="7F02AD06" w14:textId="77777777" w:rsidR="00ED3AE6" w:rsidRDefault="008C38B0">
      <w:pPr>
        <w:pStyle w:val="Heading2"/>
        <w:spacing w:line="360" w:lineRule="auto"/>
        <w:jc w:val="both"/>
        <w:rPr>
          <w:rFonts w:ascii="Arial" w:hAnsi="Arial" w:cs="Arial"/>
          <w:color w:val="auto"/>
          <w:sz w:val="22"/>
          <w:szCs w:val="22"/>
        </w:rPr>
      </w:pPr>
      <w:bookmarkStart w:id="25" w:name="__RefHeading___Toc1549_1328646638"/>
      <w:bookmarkEnd w:id="25"/>
      <w:r>
        <w:rPr>
          <w:rFonts w:ascii="Arial" w:hAnsi="Arial" w:cs="Arial"/>
          <w:b/>
          <w:bCs/>
          <w:color w:val="auto"/>
          <w:sz w:val="28"/>
          <w:szCs w:val="22"/>
        </w:rPr>
        <w:t>3.2 Research Design and Rationale</w:t>
      </w:r>
    </w:p>
    <w:p w14:paraId="24B4C2C1" w14:textId="77777777" w:rsidR="00ED3AE6" w:rsidRDefault="008C38B0">
      <w:pPr>
        <w:spacing w:line="360" w:lineRule="auto"/>
        <w:jc w:val="both"/>
        <w:rPr>
          <w:rFonts w:ascii="Arial" w:hAnsi="Arial" w:cs="Arial"/>
          <w:sz w:val="22"/>
          <w:szCs w:val="22"/>
        </w:rPr>
      </w:pPr>
      <w:r>
        <w:rPr>
          <w:rFonts w:ascii="Arial" w:hAnsi="Arial" w:cs="Arial"/>
          <w:sz w:val="22"/>
          <w:szCs w:val="22"/>
        </w:rPr>
        <w:t>A narrative, critical literature review design was selected for this study. This approach involves the identification, evaluation, and synthesis of existing published literature on a defined topic, with the aim of generating new insight through critical analysis rather than the collection of new empirical data (Aveyard, 2019). Given that the research question concerns the effectiveness of an established care philosophy already subject to extensive academic and policy attention, a literature-based design was considered the most appropriate means of answering it within the constraints of an undergraduate dissertation.</w:t>
      </w:r>
    </w:p>
    <w:p w14:paraId="45A03E7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narrative review was </w:t>
      </w:r>
      <w:proofErr w:type="spellStart"/>
      <w:r>
        <w:rPr>
          <w:rFonts w:ascii="Arial" w:hAnsi="Arial" w:cs="Arial"/>
          <w:sz w:val="22"/>
          <w:szCs w:val="22"/>
        </w:rPr>
        <w:t>favoured</w:t>
      </w:r>
      <w:proofErr w:type="spellEnd"/>
      <w:r>
        <w:rPr>
          <w:rFonts w:ascii="Arial" w:hAnsi="Arial" w:cs="Arial"/>
          <w:sz w:val="22"/>
          <w:szCs w:val="22"/>
        </w:rPr>
        <w:t xml:space="preserve"> over a fully systematic review for several reasons. Systematic reviews typically require a highly specified protocol, including pre-registration, dual independent screening, and formal quality appraisal of every included study (Page et al., 2021). While valuable for narrow clinical questions, this was considered less suited to a broad, conceptually rich question spanning psychological, </w:t>
      </w:r>
      <w:proofErr w:type="spellStart"/>
      <w:r>
        <w:rPr>
          <w:rFonts w:ascii="Arial" w:hAnsi="Arial" w:cs="Arial"/>
          <w:sz w:val="22"/>
          <w:szCs w:val="22"/>
        </w:rPr>
        <w:t>behavioural</w:t>
      </w:r>
      <w:proofErr w:type="spellEnd"/>
      <w:r>
        <w:rPr>
          <w:rFonts w:ascii="Arial" w:hAnsi="Arial" w:cs="Arial"/>
          <w:sz w:val="22"/>
          <w:szCs w:val="22"/>
        </w:rPr>
        <w:t xml:space="preserve">, social, </w:t>
      </w:r>
      <w:proofErr w:type="spellStart"/>
      <w:r>
        <w:rPr>
          <w:rFonts w:ascii="Arial" w:hAnsi="Arial" w:cs="Arial"/>
          <w:sz w:val="22"/>
          <w:szCs w:val="22"/>
        </w:rPr>
        <w:t>organisational</w:t>
      </w:r>
      <w:proofErr w:type="spellEnd"/>
      <w:r>
        <w:rPr>
          <w:rFonts w:ascii="Arial" w:hAnsi="Arial" w:cs="Arial"/>
          <w:sz w:val="22"/>
          <w:szCs w:val="22"/>
        </w:rPr>
        <w:t xml:space="preserve">, and policy dimensions of PCC. A narrative approach allowed for a more flexible, thematic synthesis of literature drawn from multiple disciplinary perspectives, consistent with the aim of producing a comprehensive, critically engaged account (Greenhalgh et al., 2018). This is not to suggest the review was unstructured; rather, a structured narrative review approach was adopted, incorporating an explicit search strategy and selection criteria to </w:t>
      </w:r>
      <w:proofErr w:type="spellStart"/>
      <w:r>
        <w:rPr>
          <w:rFonts w:ascii="Arial" w:hAnsi="Arial" w:cs="Arial"/>
          <w:sz w:val="22"/>
          <w:szCs w:val="22"/>
        </w:rPr>
        <w:t>maximise</w:t>
      </w:r>
      <w:proofErr w:type="spellEnd"/>
      <w:r>
        <w:rPr>
          <w:rFonts w:ascii="Arial" w:hAnsi="Arial" w:cs="Arial"/>
          <w:sz w:val="22"/>
          <w:szCs w:val="22"/>
        </w:rPr>
        <w:t xml:space="preserve"> transparency while retaining flexibility (Bryman, 2016).</w:t>
      </w:r>
    </w:p>
    <w:p w14:paraId="2F88C7E6" w14:textId="77777777" w:rsidR="00ED3AE6" w:rsidRDefault="008C38B0">
      <w:pPr>
        <w:pStyle w:val="Heading2"/>
        <w:spacing w:line="360" w:lineRule="auto"/>
        <w:jc w:val="both"/>
        <w:rPr>
          <w:rFonts w:ascii="Arial" w:hAnsi="Arial" w:cs="Arial"/>
          <w:color w:val="auto"/>
          <w:sz w:val="22"/>
          <w:szCs w:val="22"/>
        </w:rPr>
      </w:pPr>
      <w:bookmarkStart w:id="26" w:name="__RefHeading___Toc1551_1328646638"/>
      <w:bookmarkEnd w:id="26"/>
      <w:r>
        <w:rPr>
          <w:rFonts w:ascii="Arial" w:hAnsi="Arial" w:cs="Arial"/>
          <w:b/>
          <w:bCs/>
          <w:color w:val="auto"/>
          <w:sz w:val="28"/>
          <w:szCs w:val="22"/>
        </w:rPr>
        <w:t>3.3 Search Strategy</w:t>
      </w:r>
    </w:p>
    <w:p w14:paraId="2D69A1A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structured search of academic databases was undertaken, including CINAHL, PubMed, Google Scholar, and the university library discovery service, as these are widely </w:t>
      </w:r>
      <w:proofErr w:type="spellStart"/>
      <w:r>
        <w:rPr>
          <w:rFonts w:ascii="Arial" w:hAnsi="Arial" w:cs="Arial"/>
          <w:sz w:val="22"/>
          <w:szCs w:val="22"/>
        </w:rPr>
        <w:t>recognised</w:t>
      </w:r>
      <w:proofErr w:type="spellEnd"/>
      <w:r>
        <w:rPr>
          <w:rFonts w:ascii="Arial" w:hAnsi="Arial" w:cs="Arial"/>
          <w:sz w:val="22"/>
          <w:szCs w:val="22"/>
        </w:rPr>
        <w:t xml:space="preserve"> sources of peer-reviewed health and social care literature (Aveyard, 2019). Grey literature, including reports from the Department of Health and Social Care, the National Institute for </w:t>
      </w:r>
      <w:r>
        <w:rPr>
          <w:rFonts w:ascii="Arial" w:hAnsi="Arial" w:cs="Arial"/>
          <w:sz w:val="22"/>
          <w:szCs w:val="22"/>
        </w:rPr>
        <w:lastRenderedPageBreak/>
        <w:t>Health and Care Excellence, and the King's Fund, was also consulted given the policy-relevant nature of the topic.</w:t>
      </w:r>
    </w:p>
    <w:p w14:paraId="486AD74F" w14:textId="77777777" w:rsidR="00ED3AE6" w:rsidRDefault="008C38B0">
      <w:pPr>
        <w:spacing w:line="360" w:lineRule="auto"/>
        <w:jc w:val="both"/>
        <w:rPr>
          <w:rFonts w:ascii="Arial" w:hAnsi="Arial" w:cs="Arial"/>
          <w:sz w:val="22"/>
          <w:szCs w:val="22"/>
        </w:rPr>
      </w:pPr>
      <w:r>
        <w:rPr>
          <w:rFonts w:ascii="Arial" w:hAnsi="Arial" w:cs="Arial"/>
          <w:sz w:val="22"/>
          <w:szCs w:val="22"/>
        </w:rPr>
        <w:t>Search terms were developed around the central concepts of the research question and combined using Boolean operators, including "person-</w:t>
      </w:r>
      <w:proofErr w:type="spellStart"/>
      <w:r>
        <w:rPr>
          <w:rFonts w:ascii="Arial" w:hAnsi="Arial" w:cs="Arial"/>
          <w:sz w:val="22"/>
          <w:szCs w:val="22"/>
        </w:rPr>
        <w:t>centred</w:t>
      </w:r>
      <w:proofErr w:type="spellEnd"/>
      <w:r>
        <w:rPr>
          <w:rFonts w:ascii="Arial" w:hAnsi="Arial" w:cs="Arial"/>
          <w:sz w:val="22"/>
          <w:szCs w:val="22"/>
        </w:rPr>
        <w:t xml:space="preserve"> care", "older adults", "residential care", "care homes", "dementia care", "quality of life", and "wellbeing", for example: ("person-</w:t>
      </w:r>
      <w:proofErr w:type="spellStart"/>
      <w:r>
        <w:rPr>
          <w:rFonts w:ascii="Arial" w:hAnsi="Arial" w:cs="Arial"/>
          <w:sz w:val="22"/>
          <w:szCs w:val="22"/>
        </w:rPr>
        <w:t>centred</w:t>
      </w:r>
      <w:proofErr w:type="spellEnd"/>
      <w:r>
        <w:rPr>
          <w:rFonts w:ascii="Arial" w:hAnsi="Arial" w:cs="Arial"/>
          <w:sz w:val="22"/>
          <w:szCs w:val="22"/>
        </w:rPr>
        <w:t xml:space="preserve"> care" OR "person-centered care") AND ("older adults" OR "residential care" OR "care home\*") AND ("outcomes" OR "wellbeing"). Reference lists of key papers were also hand-searched, a technique known as snowballing, to capture additional relevant sources not surfaced through database searching alone (Greenhalgh and Peacock, 2005).</w:t>
      </w:r>
    </w:p>
    <w:p w14:paraId="45D2DD85" w14:textId="77777777" w:rsidR="00ED3AE6" w:rsidRDefault="008C38B0">
      <w:pPr>
        <w:pStyle w:val="Heading2"/>
        <w:spacing w:line="360" w:lineRule="auto"/>
        <w:jc w:val="both"/>
        <w:rPr>
          <w:rFonts w:ascii="Arial" w:hAnsi="Arial" w:cs="Arial"/>
          <w:color w:val="auto"/>
          <w:sz w:val="22"/>
          <w:szCs w:val="22"/>
        </w:rPr>
      </w:pPr>
      <w:bookmarkStart w:id="27" w:name="__RefHeading___Toc1553_1328646638"/>
      <w:bookmarkEnd w:id="27"/>
      <w:r>
        <w:rPr>
          <w:rFonts w:ascii="Arial" w:hAnsi="Arial" w:cs="Arial"/>
          <w:b/>
          <w:bCs/>
          <w:color w:val="auto"/>
          <w:sz w:val="28"/>
          <w:szCs w:val="22"/>
        </w:rPr>
        <w:t>3.4 Inclusion and Exclusion Criteria</w:t>
      </w:r>
    </w:p>
    <w:p w14:paraId="45891FC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Literature was included if it: focused specifically on PCC within residential, long-term, or dementia care settings for older adults; was published in English; was published within approximately the last fifteen years, while allowing for foundational texts such as </w:t>
      </w:r>
      <w:proofErr w:type="spellStart"/>
      <w:r>
        <w:rPr>
          <w:rFonts w:ascii="Arial" w:hAnsi="Arial" w:cs="Arial"/>
          <w:sz w:val="22"/>
          <w:szCs w:val="22"/>
        </w:rPr>
        <w:t>Kitwood</w:t>
      </w:r>
      <w:proofErr w:type="spellEnd"/>
      <w:r>
        <w:rPr>
          <w:rFonts w:ascii="Arial" w:hAnsi="Arial" w:cs="Arial"/>
          <w:sz w:val="22"/>
          <w:szCs w:val="22"/>
        </w:rPr>
        <w:t xml:space="preserve"> (1997); was peer-reviewed or produced by a </w:t>
      </w:r>
      <w:proofErr w:type="spellStart"/>
      <w:r>
        <w:rPr>
          <w:rFonts w:ascii="Arial" w:hAnsi="Arial" w:cs="Arial"/>
          <w:sz w:val="22"/>
          <w:szCs w:val="22"/>
        </w:rPr>
        <w:t>recognised</w:t>
      </w:r>
      <w:proofErr w:type="spellEnd"/>
      <w:r>
        <w:rPr>
          <w:rFonts w:ascii="Arial" w:hAnsi="Arial" w:cs="Arial"/>
          <w:sz w:val="22"/>
          <w:szCs w:val="22"/>
        </w:rPr>
        <w:t xml:space="preserve"> governmental or professional body; and provided sufficient detail to allow critical appraisal.</w:t>
      </w:r>
    </w:p>
    <w:p w14:paraId="389483FC"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Literature was excluded if it: focused on PCC in unrelated populations, such as </w:t>
      </w:r>
      <w:proofErr w:type="spellStart"/>
      <w:r>
        <w:rPr>
          <w:rFonts w:ascii="Arial" w:hAnsi="Arial" w:cs="Arial"/>
          <w:sz w:val="22"/>
          <w:szCs w:val="22"/>
        </w:rPr>
        <w:t>paediatric</w:t>
      </w:r>
      <w:proofErr w:type="spellEnd"/>
      <w:r>
        <w:rPr>
          <w:rFonts w:ascii="Arial" w:hAnsi="Arial" w:cs="Arial"/>
          <w:sz w:val="22"/>
          <w:szCs w:val="22"/>
        </w:rPr>
        <w:t xml:space="preserve"> or acute hospital settings; was not available in full text; consisted of opinion pieces or commentary without an evidential basis; or duplicated findings already captured in more comprehensive or recent publications.</w:t>
      </w:r>
    </w:p>
    <w:p w14:paraId="349835F6" w14:textId="77777777" w:rsidR="00ED3AE6" w:rsidRDefault="008C38B0">
      <w:pPr>
        <w:spacing w:line="360" w:lineRule="auto"/>
        <w:jc w:val="both"/>
        <w:rPr>
          <w:rFonts w:ascii="Arial" w:hAnsi="Arial" w:cs="Arial"/>
          <w:sz w:val="22"/>
          <w:szCs w:val="22"/>
        </w:rPr>
      </w:pPr>
      <w:r>
        <w:rPr>
          <w:rFonts w:ascii="Arial" w:hAnsi="Arial" w:cs="Arial"/>
          <w:sz w:val="22"/>
          <w:szCs w:val="22"/>
        </w:rPr>
        <w:t>Applying these criteria, a body of literature was identified comprising empirical studies, systematic and narrative reviews, and policy and guidance documents. This forms the evidential basis for the critical analysis in Chapter Two, discussed further in Chapter Four.</w:t>
      </w:r>
    </w:p>
    <w:p w14:paraId="4E5AE8EC" w14:textId="77777777" w:rsidR="00ED3AE6" w:rsidRDefault="008C38B0">
      <w:pPr>
        <w:spacing w:line="360" w:lineRule="auto"/>
        <w:jc w:val="both"/>
        <w:rPr>
          <w:rFonts w:ascii="Arial" w:hAnsi="Arial" w:cs="Arial"/>
          <w:sz w:val="22"/>
          <w:szCs w:val="22"/>
        </w:rPr>
      </w:pPr>
      <w:r>
        <w:rPr>
          <w:noProof/>
        </w:rPr>
        <w:lastRenderedPageBreak/>
        <w:drawing>
          <wp:inline distT="0" distB="0" distL="0" distR="0" wp14:anchorId="78270F7B" wp14:editId="0D89EB08">
            <wp:extent cx="5657137" cy="46101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12"/>
                    <a:srcRect b="8507"/>
                    <a:stretch/>
                  </pic:blipFill>
                  <pic:spPr bwMode="auto">
                    <a:xfrm>
                      <a:off x="0" y="0"/>
                      <a:ext cx="5657850" cy="461068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i/>
          <w:iCs/>
          <w:sz w:val="22"/>
          <w:szCs w:val="22"/>
        </w:rPr>
        <w:t>Source: constructed by the author, illustrating the search and selection process described in Sections 3.3–3.4.</w:t>
      </w:r>
    </w:p>
    <w:p w14:paraId="10A67550" w14:textId="77777777" w:rsidR="00ED3AE6" w:rsidRDefault="008C38B0">
      <w:pPr>
        <w:pStyle w:val="Heading2"/>
        <w:spacing w:line="360" w:lineRule="auto"/>
        <w:jc w:val="both"/>
        <w:rPr>
          <w:rFonts w:ascii="Arial" w:hAnsi="Arial" w:cs="Arial"/>
          <w:color w:val="auto"/>
          <w:sz w:val="22"/>
          <w:szCs w:val="22"/>
        </w:rPr>
      </w:pPr>
      <w:bookmarkStart w:id="28" w:name="__RefHeading___Toc1555_1328646638"/>
      <w:bookmarkEnd w:id="28"/>
      <w:r>
        <w:rPr>
          <w:rFonts w:ascii="Arial" w:hAnsi="Arial" w:cs="Arial"/>
          <w:b/>
          <w:bCs/>
          <w:color w:val="auto"/>
          <w:sz w:val="28"/>
          <w:szCs w:val="22"/>
        </w:rPr>
        <w:t>3.5 Data Analysis Approach</w:t>
      </w:r>
    </w:p>
    <w:p w14:paraId="5CEF2DC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thematic synthesis approach was used to </w:t>
      </w:r>
      <w:proofErr w:type="spellStart"/>
      <w:r>
        <w:rPr>
          <w:rFonts w:ascii="Arial" w:hAnsi="Arial" w:cs="Arial"/>
          <w:sz w:val="22"/>
          <w:szCs w:val="22"/>
        </w:rPr>
        <w:t>analyse</w:t>
      </w:r>
      <w:proofErr w:type="spellEnd"/>
      <w:r>
        <w:rPr>
          <w:rFonts w:ascii="Arial" w:hAnsi="Arial" w:cs="Arial"/>
          <w:sz w:val="22"/>
          <w:szCs w:val="22"/>
        </w:rPr>
        <w:t xml:space="preserve"> and </w:t>
      </w:r>
      <w:proofErr w:type="spellStart"/>
      <w:r>
        <w:rPr>
          <w:rFonts w:ascii="Arial" w:hAnsi="Arial" w:cs="Arial"/>
          <w:sz w:val="22"/>
          <w:szCs w:val="22"/>
        </w:rPr>
        <w:t>organise</w:t>
      </w:r>
      <w:proofErr w:type="spellEnd"/>
      <w:r>
        <w:rPr>
          <w:rFonts w:ascii="Arial" w:hAnsi="Arial" w:cs="Arial"/>
          <w:sz w:val="22"/>
          <w:szCs w:val="22"/>
        </w:rPr>
        <w:t xml:space="preserve"> the findings (Thomas and Harden, 2008). Each source was read critically, with key findings, arguments, and methodological characteristics recorded. Sources were then grouped according to recurring themes, including the </w:t>
      </w:r>
      <w:proofErr w:type="spellStart"/>
      <w:r>
        <w:rPr>
          <w:rFonts w:ascii="Arial" w:hAnsi="Arial" w:cs="Arial"/>
          <w:sz w:val="22"/>
          <w:szCs w:val="22"/>
        </w:rPr>
        <w:t>conceptualisation</w:t>
      </w:r>
      <w:proofErr w:type="spellEnd"/>
      <w:r>
        <w:rPr>
          <w:rFonts w:ascii="Arial" w:hAnsi="Arial" w:cs="Arial"/>
          <w:sz w:val="22"/>
          <w:szCs w:val="22"/>
        </w:rPr>
        <w:t xml:space="preserve"> of PCC, psychological and emotional outcomes, </w:t>
      </w:r>
      <w:proofErr w:type="spellStart"/>
      <w:r>
        <w:rPr>
          <w:rFonts w:ascii="Arial" w:hAnsi="Arial" w:cs="Arial"/>
          <w:sz w:val="22"/>
          <w:szCs w:val="22"/>
        </w:rPr>
        <w:t>behavioural</w:t>
      </w:r>
      <w:proofErr w:type="spellEnd"/>
      <w:r>
        <w:rPr>
          <w:rFonts w:ascii="Arial" w:hAnsi="Arial" w:cs="Arial"/>
          <w:sz w:val="22"/>
          <w:szCs w:val="22"/>
        </w:rPr>
        <w:t xml:space="preserve"> outcomes in dementia care, social interaction and quality of life, barriers to implementation, and the policy-practice gap. These themes structure the literature review in Chapter Two and are revisited in the discussion in Chapter Four.</w:t>
      </w:r>
    </w:p>
    <w:p w14:paraId="5EBC9345" w14:textId="77777777" w:rsidR="00ED3AE6" w:rsidRDefault="008C38B0">
      <w:pPr>
        <w:spacing w:line="360" w:lineRule="auto"/>
        <w:jc w:val="both"/>
        <w:rPr>
          <w:rFonts w:ascii="Arial" w:hAnsi="Arial" w:cs="Arial"/>
          <w:sz w:val="22"/>
          <w:szCs w:val="22"/>
        </w:rPr>
      </w:pPr>
      <w:r>
        <w:rPr>
          <w:rFonts w:ascii="Arial" w:hAnsi="Arial" w:cs="Arial"/>
          <w:sz w:val="22"/>
          <w:szCs w:val="22"/>
        </w:rPr>
        <w:t>Within each theme, literature was critically compared in order to identify areas of consensus, contradiction, and uncertainty, with particular attention paid to the methodological strength of the evidence underpinning specific claims, for example distinguishing robust mixed-methods evaluations from small-scale qualitative studies or expert opinion. This reflects established guidance that the value of a narrative review lies in the quality of synthesis and critique applied, rather than the volume of literature cited (Greenhalgh et al., 2018).</w:t>
      </w:r>
    </w:p>
    <w:p w14:paraId="036AA5B2" w14:textId="77777777" w:rsidR="00ED3AE6" w:rsidRDefault="008C38B0">
      <w:pPr>
        <w:pStyle w:val="Heading2"/>
        <w:spacing w:line="360" w:lineRule="auto"/>
        <w:jc w:val="both"/>
        <w:rPr>
          <w:rFonts w:ascii="Arial" w:hAnsi="Arial" w:cs="Arial"/>
          <w:color w:val="auto"/>
          <w:sz w:val="22"/>
          <w:szCs w:val="22"/>
        </w:rPr>
      </w:pPr>
      <w:bookmarkStart w:id="29" w:name="__RefHeading___Toc1557_1328646638"/>
      <w:bookmarkEnd w:id="29"/>
      <w:r>
        <w:rPr>
          <w:rFonts w:ascii="Arial" w:hAnsi="Arial" w:cs="Arial"/>
          <w:b/>
          <w:bCs/>
          <w:color w:val="auto"/>
          <w:sz w:val="28"/>
          <w:szCs w:val="22"/>
        </w:rPr>
        <w:t>3.6 Ethical Considerations</w:t>
      </w:r>
    </w:p>
    <w:p w14:paraId="2D635929"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 xml:space="preserve">As this study relies exclusively on previously published, publicly available literature and does not involve human participants, formal ethical approval was not required. Nevertheless, ethical principles remained relevant. Academic integrity was maintained through accurate representation of source material, avoidance of selective or distorted interpretation of findings, and consistent referencing of all sources using the UWTSD Harvard style, giving appropriate credit to original authors (British Educational Research Association, 2018). Particular care was taken to engage critically and even-handedly with literature that challenges or complicates the assumed benefits of PCC, rather than selectively citing only </w:t>
      </w:r>
      <w:proofErr w:type="spellStart"/>
      <w:r>
        <w:rPr>
          <w:rFonts w:ascii="Arial" w:hAnsi="Arial" w:cs="Arial"/>
          <w:sz w:val="22"/>
          <w:szCs w:val="22"/>
        </w:rPr>
        <w:t>favourable</w:t>
      </w:r>
      <w:proofErr w:type="spellEnd"/>
      <w:r>
        <w:rPr>
          <w:rFonts w:ascii="Arial" w:hAnsi="Arial" w:cs="Arial"/>
          <w:sz w:val="22"/>
          <w:szCs w:val="22"/>
        </w:rPr>
        <w:t xml:space="preserve"> studies, reflecting a broader commitment to balanced, intellectually honest research.</w:t>
      </w:r>
    </w:p>
    <w:p w14:paraId="576035E9" w14:textId="77777777" w:rsidR="00ED3AE6" w:rsidRDefault="008C38B0">
      <w:pPr>
        <w:pStyle w:val="Heading2"/>
        <w:spacing w:line="360" w:lineRule="auto"/>
        <w:jc w:val="both"/>
        <w:rPr>
          <w:rFonts w:ascii="Arial" w:hAnsi="Arial" w:cs="Arial"/>
          <w:color w:val="auto"/>
          <w:sz w:val="22"/>
          <w:szCs w:val="22"/>
        </w:rPr>
      </w:pPr>
      <w:bookmarkStart w:id="30" w:name="__RefHeading___Toc1559_1328646638"/>
      <w:bookmarkEnd w:id="30"/>
      <w:r>
        <w:rPr>
          <w:rFonts w:ascii="Arial" w:hAnsi="Arial" w:cs="Arial"/>
          <w:b/>
          <w:bCs/>
          <w:color w:val="auto"/>
          <w:sz w:val="28"/>
          <w:szCs w:val="22"/>
        </w:rPr>
        <w:t>3.7 Limitations of the Methodology</w:t>
      </w:r>
    </w:p>
    <w:p w14:paraId="21011871"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Several limitations should be acknowledged. First, as a narrative rather than systematic review, the search process, while structured, was not exhaustive, and relevant studies may not have been identified. Second, this study relies on secondary analysis, meaning conclusions are inherently constrained by the quality and </w:t>
      </w:r>
      <w:proofErr w:type="spellStart"/>
      <w:r>
        <w:rPr>
          <w:rFonts w:ascii="Arial" w:hAnsi="Arial" w:cs="Arial"/>
          <w:sz w:val="22"/>
          <w:szCs w:val="22"/>
        </w:rPr>
        <w:t>rigour</w:t>
      </w:r>
      <w:proofErr w:type="spellEnd"/>
      <w:r>
        <w:rPr>
          <w:rFonts w:ascii="Arial" w:hAnsi="Arial" w:cs="Arial"/>
          <w:sz w:val="22"/>
          <w:szCs w:val="22"/>
        </w:rPr>
        <w:t xml:space="preserve"> of the original studies; where primary research is limited or methodologically weak, this constrains the strength of conclusions drawn here. Third, the exclusive use of English-language sources may have excluded relevant literature published in other languages, despite PCC being an internationally </w:t>
      </w:r>
      <w:proofErr w:type="spellStart"/>
      <w:r>
        <w:rPr>
          <w:rFonts w:ascii="Arial" w:hAnsi="Arial" w:cs="Arial"/>
          <w:sz w:val="22"/>
          <w:szCs w:val="22"/>
        </w:rPr>
        <w:t>recognised</w:t>
      </w:r>
      <w:proofErr w:type="spellEnd"/>
      <w:r>
        <w:rPr>
          <w:rFonts w:ascii="Arial" w:hAnsi="Arial" w:cs="Arial"/>
          <w:sz w:val="22"/>
          <w:szCs w:val="22"/>
        </w:rPr>
        <w:t xml:space="preserve"> model. Finally, as with any single-researcher review, there is a risk of subjectivity in selection and interpretation; this was mitigated, though not eliminated, through explicit, consistently applied selection criteria.</w:t>
      </w:r>
    </w:p>
    <w:p w14:paraId="42137700" w14:textId="77777777" w:rsidR="00ED3AE6" w:rsidRDefault="008C38B0">
      <w:pPr>
        <w:spacing w:line="360" w:lineRule="auto"/>
        <w:jc w:val="both"/>
        <w:rPr>
          <w:rFonts w:ascii="Arial" w:hAnsi="Arial" w:cs="Arial"/>
          <w:sz w:val="22"/>
          <w:szCs w:val="22"/>
        </w:rPr>
      </w:pPr>
      <w:r>
        <w:rPr>
          <w:rFonts w:ascii="Arial" w:hAnsi="Arial" w:cs="Arial"/>
          <w:sz w:val="22"/>
          <w:szCs w:val="22"/>
        </w:rPr>
        <w:t>Despite these limitations, the chosen methodology provided an appropriate and proportionate means of critically evaluating the existing evidence base on PCC effectiveness, providing a transparent basis for the findings and discussion presented in Chapter Four.</w:t>
      </w:r>
    </w:p>
    <w:p w14:paraId="7FC90D91" w14:textId="77777777" w:rsidR="00ED3AE6" w:rsidRDefault="008C38B0">
      <w:pPr>
        <w:spacing w:line="360" w:lineRule="auto"/>
        <w:jc w:val="both"/>
        <w:rPr>
          <w:rFonts w:ascii="Arial" w:hAnsi="Arial" w:cs="Arial"/>
          <w:sz w:val="22"/>
          <w:szCs w:val="22"/>
        </w:rPr>
      </w:pPr>
      <w:r>
        <w:br w:type="page"/>
      </w:r>
    </w:p>
    <w:p w14:paraId="5F1A7A52" w14:textId="77777777" w:rsidR="00ED3AE6" w:rsidRDefault="008C38B0">
      <w:pPr>
        <w:pStyle w:val="Heading1"/>
        <w:spacing w:line="360" w:lineRule="auto"/>
        <w:jc w:val="center"/>
        <w:rPr>
          <w:rFonts w:ascii="Arial" w:hAnsi="Arial" w:cs="Arial"/>
          <w:color w:val="auto"/>
          <w:sz w:val="22"/>
          <w:szCs w:val="22"/>
        </w:rPr>
      </w:pPr>
      <w:bookmarkStart w:id="31" w:name="__RefHeading___Toc1561_1328646638"/>
      <w:bookmarkEnd w:id="31"/>
      <w:r>
        <w:rPr>
          <w:rFonts w:ascii="Arial" w:hAnsi="Arial" w:cs="Arial"/>
          <w:b/>
          <w:bCs/>
          <w:color w:val="auto"/>
          <w:szCs w:val="22"/>
        </w:rPr>
        <w:lastRenderedPageBreak/>
        <w:t>CHAPTER FOUR</w:t>
      </w:r>
    </w:p>
    <w:p w14:paraId="15D3855E" w14:textId="77777777" w:rsidR="00ED3AE6" w:rsidRDefault="008C38B0">
      <w:pPr>
        <w:spacing w:line="360" w:lineRule="auto"/>
        <w:jc w:val="center"/>
        <w:rPr>
          <w:rFonts w:ascii="Arial" w:hAnsi="Arial" w:cs="Arial"/>
          <w:sz w:val="22"/>
          <w:szCs w:val="22"/>
        </w:rPr>
      </w:pPr>
      <w:r>
        <w:rPr>
          <w:rFonts w:ascii="Arial" w:hAnsi="Arial" w:cs="Arial"/>
          <w:b/>
          <w:bCs/>
          <w:sz w:val="22"/>
          <w:szCs w:val="22"/>
        </w:rPr>
        <w:t>RESULTS AND DISCUSSION</w:t>
      </w:r>
    </w:p>
    <w:p w14:paraId="6EB01800" w14:textId="77777777" w:rsidR="00ED3AE6" w:rsidRDefault="008C38B0">
      <w:pPr>
        <w:pStyle w:val="Heading2"/>
        <w:spacing w:line="360" w:lineRule="auto"/>
        <w:jc w:val="both"/>
        <w:rPr>
          <w:rFonts w:ascii="Arial" w:hAnsi="Arial" w:cs="Arial"/>
          <w:color w:val="auto"/>
          <w:sz w:val="22"/>
          <w:szCs w:val="22"/>
        </w:rPr>
      </w:pPr>
      <w:bookmarkStart w:id="32" w:name="__RefHeading___Toc1563_1328646638"/>
      <w:bookmarkEnd w:id="32"/>
      <w:r>
        <w:rPr>
          <w:rFonts w:ascii="Arial" w:hAnsi="Arial" w:cs="Arial"/>
          <w:b/>
          <w:bCs/>
          <w:color w:val="auto"/>
          <w:sz w:val="28"/>
          <w:szCs w:val="22"/>
        </w:rPr>
        <w:t>4.1 Introduction</w:t>
      </w:r>
    </w:p>
    <w:p w14:paraId="7495A252" w14:textId="77777777" w:rsidR="00ED3AE6" w:rsidRDefault="008C38B0">
      <w:pPr>
        <w:spacing w:line="360" w:lineRule="auto"/>
        <w:jc w:val="both"/>
        <w:rPr>
          <w:rFonts w:ascii="Arial" w:hAnsi="Arial" w:cs="Arial"/>
          <w:sz w:val="22"/>
          <w:szCs w:val="22"/>
        </w:rPr>
      </w:pPr>
      <w:r>
        <w:rPr>
          <w:rFonts w:ascii="Arial" w:hAnsi="Arial" w:cs="Arial"/>
          <w:sz w:val="22"/>
          <w:szCs w:val="22"/>
        </w:rPr>
        <w:t>This chapter presents and critically discusses the findings derived from the literature reviewed in Chapter Two, in relation to the research question concerning the extent to which person-</w:t>
      </w:r>
      <w:proofErr w:type="spellStart"/>
      <w:r>
        <w:rPr>
          <w:rFonts w:ascii="Arial" w:hAnsi="Arial" w:cs="Arial"/>
          <w:sz w:val="22"/>
          <w:szCs w:val="22"/>
        </w:rPr>
        <w:t>centred</w:t>
      </w:r>
      <w:proofErr w:type="spellEnd"/>
      <w:r>
        <w:rPr>
          <w:rFonts w:ascii="Arial" w:hAnsi="Arial" w:cs="Arial"/>
          <w:sz w:val="22"/>
          <w:szCs w:val="22"/>
        </w:rPr>
        <w:t xml:space="preserve"> care (PCC) improves outcomes for older adults in residential care settings. Rather than simply restating the findings of individual studies, this chapter </w:t>
      </w:r>
      <w:proofErr w:type="spellStart"/>
      <w:r>
        <w:rPr>
          <w:rFonts w:ascii="Arial" w:hAnsi="Arial" w:cs="Arial"/>
          <w:sz w:val="22"/>
          <w:szCs w:val="22"/>
        </w:rPr>
        <w:t>synthesises</w:t>
      </w:r>
      <w:proofErr w:type="spellEnd"/>
      <w:r>
        <w:rPr>
          <w:rFonts w:ascii="Arial" w:hAnsi="Arial" w:cs="Arial"/>
          <w:sz w:val="22"/>
          <w:szCs w:val="22"/>
        </w:rPr>
        <w:t xml:space="preserve"> the evidence across the themes identified through the thematic analysis described in Chapter Three, namely the </w:t>
      </w:r>
      <w:proofErr w:type="spellStart"/>
      <w:r>
        <w:rPr>
          <w:rFonts w:ascii="Arial" w:hAnsi="Arial" w:cs="Arial"/>
          <w:sz w:val="22"/>
          <w:szCs w:val="22"/>
        </w:rPr>
        <w:t>conceptualisation</w:t>
      </w:r>
      <w:proofErr w:type="spellEnd"/>
      <w:r>
        <w:rPr>
          <w:rFonts w:ascii="Arial" w:hAnsi="Arial" w:cs="Arial"/>
          <w:sz w:val="22"/>
          <w:szCs w:val="22"/>
        </w:rPr>
        <w:t xml:space="preserve"> of PCC, psychological and emotional outcomes, </w:t>
      </w:r>
      <w:proofErr w:type="spellStart"/>
      <w:r>
        <w:rPr>
          <w:rFonts w:ascii="Arial" w:hAnsi="Arial" w:cs="Arial"/>
          <w:sz w:val="22"/>
          <w:szCs w:val="22"/>
        </w:rPr>
        <w:t>behavioural</w:t>
      </w:r>
      <w:proofErr w:type="spellEnd"/>
      <w:r>
        <w:rPr>
          <w:rFonts w:ascii="Arial" w:hAnsi="Arial" w:cs="Arial"/>
          <w:sz w:val="22"/>
          <w:szCs w:val="22"/>
        </w:rPr>
        <w:t xml:space="preserve"> outcomes in dementia care, social interaction and quality of life, barriers to implementation, and the policy-practice gap. Within each section, the evidence is critically interrogated, areas of consensus and contradiction are highlighted, and the implications for residential care practice are considered. The chapter concludes with a synthesis that directly addresses the research question and links the discussion to the recommendations developed in Chapter Five.</w:t>
      </w:r>
    </w:p>
    <w:p w14:paraId="2B811A67" w14:textId="77777777" w:rsidR="00ED3AE6" w:rsidRDefault="008C38B0">
      <w:pPr>
        <w:spacing w:line="360" w:lineRule="auto"/>
        <w:jc w:val="both"/>
        <w:rPr>
          <w:rFonts w:ascii="Arial" w:hAnsi="Arial" w:cs="Arial"/>
          <w:sz w:val="22"/>
          <w:szCs w:val="22"/>
        </w:rPr>
      </w:pPr>
      <w:bookmarkStart w:id="33" w:name="__RefHeading___Toc1603_1328646638"/>
      <w:bookmarkEnd w:id="33"/>
      <w:r>
        <w:rPr>
          <w:rFonts w:ascii="Arial" w:hAnsi="Arial" w:cs="Arial"/>
          <w:sz w:val="22"/>
          <w:szCs w:val="22"/>
        </w:rPr>
        <w:t xml:space="preserve">It is important to note that, because this study adopts a literature-based design, the "results" presented here are not original empirical data but rather the </w:t>
      </w:r>
      <w:proofErr w:type="spellStart"/>
      <w:r>
        <w:rPr>
          <w:rFonts w:ascii="Arial" w:hAnsi="Arial" w:cs="Arial"/>
          <w:sz w:val="22"/>
          <w:szCs w:val="22"/>
        </w:rPr>
        <w:t>synthesised</w:t>
      </w:r>
      <w:proofErr w:type="spellEnd"/>
      <w:r>
        <w:rPr>
          <w:rFonts w:ascii="Arial" w:hAnsi="Arial" w:cs="Arial"/>
          <w:sz w:val="22"/>
          <w:szCs w:val="22"/>
        </w:rPr>
        <w:t xml:space="preserve"> and critically evaluated findings of the studies and policy documents identified in Chapter Two. This chapter therefore moves beyond description towards interpretation, drawing out the implications, tensions, and gaps within the existing evidence base, in line with the analytical, rather than purely descriptive, expectations of work at this academic level.</w:t>
      </w:r>
    </w:p>
    <w:p w14:paraId="12DEA994" w14:textId="77777777" w:rsidR="00ED3AE6" w:rsidRDefault="008C38B0">
      <w:pPr>
        <w:pStyle w:val="TableCaption"/>
        <w:spacing w:line="360" w:lineRule="auto"/>
        <w:jc w:val="both"/>
        <w:rPr>
          <w:rFonts w:ascii="Arial" w:hAnsi="Arial" w:cs="Arial"/>
          <w:sz w:val="22"/>
          <w:szCs w:val="22"/>
        </w:rPr>
      </w:pPr>
      <w:bookmarkStart w:id="34" w:name="__RefHeading___Toc1373_2390222576"/>
      <w:bookmarkEnd w:id="34"/>
      <w:r>
        <w:rPr>
          <w:rFonts w:ascii="Arial" w:hAnsi="Arial" w:cs="Arial"/>
          <w:b/>
          <w:bCs/>
          <w:i/>
          <w:iCs/>
          <w:sz w:val="22"/>
          <w:szCs w:val="22"/>
        </w:rPr>
        <w:t xml:space="preserve">Table </w:t>
      </w:r>
      <w:proofErr w:type="gramStart"/>
      <w:r>
        <w:rPr>
          <w:rFonts w:ascii="Arial" w:hAnsi="Arial" w:cs="Arial"/>
          <w:b/>
          <w:bCs/>
          <w:i/>
          <w:iCs/>
          <w:sz w:val="22"/>
          <w:szCs w:val="22"/>
        </w:rPr>
        <w:t>4.1  Synthesis</w:t>
      </w:r>
      <w:proofErr w:type="gramEnd"/>
      <w:r>
        <w:rPr>
          <w:rFonts w:ascii="Arial" w:hAnsi="Arial" w:cs="Arial"/>
          <w:b/>
          <w:bCs/>
          <w:i/>
          <w:iCs/>
          <w:sz w:val="22"/>
          <w:szCs w:val="22"/>
        </w:rPr>
        <w:t xml:space="preserve"> of Evidence by Outcome Domain</w:t>
      </w:r>
    </w:p>
    <w:tbl>
      <w:tblPr>
        <w:tblStyle w:val="TableGrid"/>
        <w:tblW w:w="9400" w:type="dxa"/>
        <w:tblLayout w:type="fixed"/>
        <w:tblLook w:val="0000" w:firstRow="0" w:lastRow="0" w:firstColumn="0" w:lastColumn="0" w:noHBand="0" w:noVBand="0"/>
      </w:tblPr>
      <w:tblGrid>
        <w:gridCol w:w="2742"/>
        <w:gridCol w:w="1303"/>
        <w:gridCol w:w="1911"/>
        <w:gridCol w:w="1730"/>
        <w:gridCol w:w="1714"/>
      </w:tblGrid>
      <w:tr w:rsidR="00ED3AE6" w14:paraId="12993391" w14:textId="77777777" w:rsidTr="00922E6A">
        <w:tc>
          <w:tcPr>
            <w:tcW w:w="2742" w:type="dxa"/>
          </w:tcPr>
          <w:p w14:paraId="031C432C" w14:textId="77777777" w:rsidR="00ED3AE6" w:rsidRDefault="008C38B0">
            <w:pPr>
              <w:spacing w:line="360" w:lineRule="auto"/>
              <w:jc w:val="both"/>
              <w:rPr>
                <w:rFonts w:ascii="Arial" w:hAnsi="Arial" w:cs="Arial"/>
                <w:sz w:val="22"/>
                <w:szCs w:val="22"/>
              </w:rPr>
            </w:pPr>
            <w:r>
              <w:rPr>
                <w:rFonts w:ascii="Arial" w:hAnsi="Arial" w:cs="Arial"/>
                <w:b/>
                <w:bCs/>
                <w:sz w:val="22"/>
                <w:szCs w:val="22"/>
              </w:rPr>
              <w:t>Outcome Domain</w:t>
            </w:r>
          </w:p>
        </w:tc>
        <w:tc>
          <w:tcPr>
            <w:tcW w:w="1303" w:type="dxa"/>
          </w:tcPr>
          <w:p w14:paraId="6E49AF7F" w14:textId="77777777" w:rsidR="00ED3AE6" w:rsidRDefault="008C38B0">
            <w:pPr>
              <w:spacing w:line="360" w:lineRule="auto"/>
              <w:jc w:val="both"/>
              <w:rPr>
                <w:rFonts w:ascii="Arial" w:hAnsi="Arial" w:cs="Arial"/>
                <w:sz w:val="22"/>
                <w:szCs w:val="22"/>
              </w:rPr>
            </w:pPr>
            <w:r>
              <w:rPr>
                <w:rFonts w:ascii="Arial" w:hAnsi="Arial" w:cs="Arial"/>
                <w:b/>
                <w:bCs/>
                <w:sz w:val="22"/>
                <w:szCs w:val="22"/>
              </w:rPr>
              <w:t>Direction of Evidence</w:t>
            </w:r>
          </w:p>
        </w:tc>
        <w:tc>
          <w:tcPr>
            <w:tcW w:w="1911" w:type="dxa"/>
          </w:tcPr>
          <w:p w14:paraId="1BDE840B" w14:textId="77777777" w:rsidR="00ED3AE6" w:rsidRDefault="008C38B0">
            <w:pPr>
              <w:spacing w:line="360" w:lineRule="auto"/>
              <w:jc w:val="both"/>
              <w:rPr>
                <w:rFonts w:ascii="Arial" w:hAnsi="Arial" w:cs="Arial"/>
                <w:sz w:val="22"/>
                <w:szCs w:val="22"/>
              </w:rPr>
            </w:pPr>
            <w:r>
              <w:rPr>
                <w:rFonts w:ascii="Arial" w:hAnsi="Arial" w:cs="Arial"/>
                <w:b/>
                <w:bCs/>
                <w:sz w:val="22"/>
                <w:szCs w:val="22"/>
              </w:rPr>
              <w:t>Consistency Across Studies</w:t>
            </w:r>
          </w:p>
        </w:tc>
        <w:tc>
          <w:tcPr>
            <w:tcW w:w="1730" w:type="dxa"/>
          </w:tcPr>
          <w:p w14:paraId="427C4993" w14:textId="77777777" w:rsidR="00ED3AE6" w:rsidRDefault="008C38B0">
            <w:pPr>
              <w:spacing w:line="360" w:lineRule="auto"/>
              <w:jc w:val="both"/>
              <w:rPr>
                <w:rFonts w:ascii="Arial" w:hAnsi="Arial" w:cs="Arial"/>
                <w:sz w:val="22"/>
                <w:szCs w:val="22"/>
              </w:rPr>
            </w:pPr>
            <w:r>
              <w:rPr>
                <w:rFonts w:ascii="Arial" w:hAnsi="Arial" w:cs="Arial"/>
                <w:b/>
                <w:bCs/>
                <w:sz w:val="22"/>
                <w:szCs w:val="22"/>
              </w:rPr>
              <w:t>Key Moderating Factors</w:t>
            </w:r>
          </w:p>
        </w:tc>
        <w:tc>
          <w:tcPr>
            <w:tcW w:w="1714" w:type="dxa"/>
          </w:tcPr>
          <w:p w14:paraId="351F735B" w14:textId="77777777" w:rsidR="00ED3AE6" w:rsidRDefault="008C38B0">
            <w:pPr>
              <w:spacing w:line="360" w:lineRule="auto"/>
              <w:jc w:val="both"/>
              <w:rPr>
                <w:rFonts w:ascii="Arial" w:hAnsi="Arial" w:cs="Arial"/>
                <w:sz w:val="22"/>
                <w:szCs w:val="22"/>
              </w:rPr>
            </w:pPr>
            <w:r>
              <w:rPr>
                <w:rFonts w:ascii="Arial" w:hAnsi="Arial" w:cs="Arial"/>
                <w:b/>
                <w:bCs/>
                <w:sz w:val="22"/>
                <w:szCs w:val="22"/>
              </w:rPr>
              <w:t>Key Sources</w:t>
            </w:r>
          </w:p>
        </w:tc>
      </w:tr>
      <w:tr w:rsidR="00ED3AE6" w14:paraId="42C7E809" w14:textId="77777777" w:rsidTr="00922E6A">
        <w:tc>
          <w:tcPr>
            <w:tcW w:w="2742" w:type="dxa"/>
          </w:tcPr>
          <w:p w14:paraId="1A5BFC6C" w14:textId="77777777" w:rsidR="00ED3AE6" w:rsidRDefault="008C38B0">
            <w:pPr>
              <w:spacing w:line="360" w:lineRule="auto"/>
              <w:jc w:val="both"/>
              <w:rPr>
                <w:rFonts w:ascii="Arial" w:hAnsi="Arial" w:cs="Arial"/>
                <w:sz w:val="22"/>
                <w:szCs w:val="22"/>
              </w:rPr>
            </w:pPr>
            <w:r>
              <w:rPr>
                <w:rFonts w:ascii="Arial" w:hAnsi="Arial" w:cs="Arial"/>
                <w:sz w:val="22"/>
                <w:szCs w:val="22"/>
              </w:rPr>
              <w:t>Psychological and emotional wellbeing</w:t>
            </w:r>
          </w:p>
        </w:tc>
        <w:tc>
          <w:tcPr>
            <w:tcW w:w="1303" w:type="dxa"/>
          </w:tcPr>
          <w:p w14:paraId="55EF7E4B" w14:textId="77777777" w:rsidR="00ED3AE6" w:rsidRDefault="008C38B0">
            <w:pPr>
              <w:spacing w:line="360" w:lineRule="auto"/>
              <w:jc w:val="both"/>
              <w:rPr>
                <w:rFonts w:ascii="Arial" w:hAnsi="Arial" w:cs="Arial"/>
                <w:sz w:val="22"/>
                <w:szCs w:val="22"/>
              </w:rPr>
            </w:pPr>
            <w:r>
              <w:rPr>
                <w:rFonts w:ascii="Arial" w:hAnsi="Arial" w:cs="Arial"/>
                <w:sz w:val="22"/>
                <w:szCs w:val="22"/>
              </w:rPr>
              <w:t>Positive</w:t>
            </w:r>
          </w:p>
        </w:tc>
        <w:tc>
          <w:tcPr>
            <w:tcW w:w="1911" w:type="dxa"/>
          </w:tcPr>
          <w:p w14:paraId="5FCCF2E3" w14:textId="77777777" w:rsidR="00ED3AE6" w:rsidRDefault="008C38B0">
            <w:pPr>
              <w:spacing w:line="360" w:lineRule="auto"/>
              <w:jc w:val="both"/>
              <w:rPr>
                <w:rFonts w:ascii="Arial" w:hAnsi="Arial" w:cs="Arial"/>
                <w:sz w:val="22"/>
                <w:szCs w:val="22"/>
              </w:rPr>
            </w:pPr>
            <w:r>
              <w:rPr>
                <w:rFonts w:ascii="Arial" w:hAnsi="Arial" w:cs="Arial"/>
                <w:sz w:val="22"/>
                <w:szCs w:val="22"/>
              </w:rPr>
              <w:t>Moderate-to-high, but conditional on implementation quality</w:t>
            </w:r>
          </w:p>
        </w:tc>
        <w:tc>
          <w:tcPr>
            <w:tcW w:w="1730" w:type="dxa"/>
          </w:tcPr>
          <w:p w14:paraId="548EE10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Staff training; </w:t>
            </w:r>
            <w:proofErr w:type="spellStart"/>
            <w:r>
              <w:rPr>
                <w:rFonts w:ascii="Arial" w:hAnsi="Arial" w:cs="Arial"/>
                <w:sz w:val="22"/>
                <w:szCs w:val="22"/>
              </w:rPr>
              <w:t>organisational</w:t>
            </w:r>
            <w:proofErr w:type="spellEnd"/>
            <w:r>
              <w:rPr>
                <w:rFonts w:ascii="Arial" w:hAnsi="Arial" w:cs="Arial"/>
                <w:sz w:val="22"/>
                <w:szCs w:val="22"/>
              </w:rPr>
              <w:t xml:space="preserve"> commitment; leadership</w:t>
            </w:r>
          </w:p>
        </w:tc>
        <w:tc>
          <w:tcPr>
            <w:tcW w:w="1714" w:type="dxa"/>
          </w:tcPr>
          <w:p w14:paraId="085BBF55" w14:textId="77777777" w:rsidR="00ED3AE6" w:rsidRDefault="008C38B0">
            <w:pPr>
              <w:spacing w:line="360" w:lineRule="auto"/>
              <w:jc w:val="both"/>
              <w:rPr>
                <w:rFonts w:ascii="Arial" w:hAnsi="Arial" w:cs="Arial"/>
                <w:sz w:val="22"/>
                <w:szCs w:val="22"/>
              </w:rPr>
            </w:pPr>
            <w:r>
              <w:rPr>
                <w:rFonts w:ascii="Arial" w:hAnsi="Arial" w:cs="Arial"/>
                <w:sz w:val="22"/>
                <w:szCs w:val="22"/>
              </w:rPr>
              <w:t>Chenoweth et al. (2009); Rokstad et al. (2013); NICE (2022)</w:t>
            </w:r>
          </w:p>
        </w:tc>
      </w:tr>
      <w:tr w:rsidR="00ED3AE6" w14:paraId="11B6C6C4" w14:textId="77777777" w:rsidTr="00922E6A">
        <w:tc>
          <w:tcPr>
            <w:tcW w:w="2742" w:type="dxa"/>
          </w:tcPr>
          <w:p w14:paraId="0A1D780A"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Behavioural</w:t>
            </w:r>
            <w:proofErr w:type="spellEnd"/>
            <w:r>
              <w:rPr>
                <w:rFonts w:ascii="Arial" w:hAnsi="Arial" w:cs="Arial"/>
                <w:sz w:val="22"/>
                <w:szCs w:val="22"/>
              </w:rPr>
              <w:t>/psychological symptoms in dementia</w:t>
            </w:r>
          </w:p>
        </w:tc>
        <w:tc>
          <w:tcPr>
            <w:tcW w:w="1303" w:type="dxa"/>
          </w:tcPr>
          <w:p w14:paraId="2792D826" w14:textId="77777777" w:rsidR="00ED3AE6" w:rsidRDefault="008C38B0">
            <w:pPr>
              <w:spacing w:line="360" w:lineRule="auto"/>
              <w:jc w:val="both"/>
              <w:rPr>
                <w:rFonts w:ascii="Arial" w:hAnsi="Arial" w:cs="Arial"/>
                <w:sz w:val="22"/>
                <w:szCs w:val="22"/>
              </w:rPr>
            </w:pPr>
            <w:r>
              <w:rPr>
                <w:rFonts w:ascii="Arial" w:hAnsi="Arial" w:cs="Arial"/>
                <w:sz w:val="22"/>
                <w:szCs w:val="22"/>
              </w:rPr>
              <w:t>Positive</w:t>
            </w:r>
          </w:p>
        </w:tc>
        <w:tc>
          <w:tcPr>
            <w:tcW w:w="1911" w:type="dxa"/>
          </w:tcPr>
          <w:p w14:paraId="477AEC57" w14:textId="77777777" w:rsidR="00ED3AE6" w:rsidRDefault="008C38B0">
            <w:pPr>
              <w:spacing w:line="360" w:lineRule="auto"/>
              <w:jc w:val="both"/>
              <w:rPr>
                <w:rFonts w:ascii="Arial" w:hAnsi="Arial" w:cs="Arial"/>
                <w:sz w:val="22"/>
                <w:szCs w:val="22"/>
              </w:rPr>
            </w:pPr>
            <w:r>
              <w:rPr>
                <w:rFonts w:ascii="Arial" w:hAnsi="Arial" w:cs="Arial"/>
                <w:sz w:val="22"/>
                <w:szCs w:val="22"/>
              </w:rPr>
              <w:t>Mixed – some studies report only modest or short-term effects</w:t>
            </w:r>
          </w:p>
        </w:tc>
        <w:tc>
          <w:tcPr>
            <w:tcW w:w="1730" w:type="dxa"/>
          </w:tcPr>
          <w:p w14:paraId="51C9AAD5" w14:textId="77777777" w:rsidR="00ED3AE6" w:rsidRDefault="008C38B0">
            <w:pPr>
              <w:spacing w:line="360" w:lineRule="auto"/>
              <w:jc w:val="both"/>
              <w:rPr>
                <w:rFonts w:ascii="Arial" w:hAnsi="Arial" w:cs="Arial"/>
                <w:sz w:val="22"/>
                <w:szCs w:val="22"/>
              </w:rPr>
            </w:pPr>
            <w:r>
              <w:rPr>
                <w:rFonts w:ascii="Arial" w:hAnsi="Arial" w:cs="Arial"/>
                <w:sz w:val="22"/>
                <w:szCs w:val="22"/>
              </w:rPr>
              <w:t>Depth of staff engagement; intervention design</w:t>
            </w:r>
          </w:p>
        </w:tc>
        <w:tc>
          <w:tcPr>
            <w:tcW w:w="1714" w:type="dxa"/>
          </w:tcPr>
          <w:p w14:paraId="40AB966E"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Brooker and Latham (2016); Fossey et al. (2006); Chenoweth et </w:t>
            </w:r>
            <w:r>
              <w:rPr>
                <w:rFonts w:ascii="Arial" w:hAnsi="Arial" w:cs="Arial"/>
                <w:sz w:val="22"/>
                <w:szCs w:val="22"/>
              </w:rPr>
              <w:lastRenderedPageBreak/>
              <w:t>al. (2009)</w:t>
            </w:r>
          </w:p>
        </w:tc>
      </w:tr>
      <w:tr w:rsidR="00ED3AE6" w14:paraId="302D8C43" w14:textId="77777777" w:rsidTr="00922E6A">
        <w:tc>
          <w:tcPr>
            <w:tcW w:w="2742" w:type="dxa"/>
          </w:tcPr>
          <w:p w14:paraId="2BF407A6"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Social interaction and quality of life</w:t>
            </w:r>
          </w:p>
        </w:tc>
        <w:tc>
          <w:tcPr>
            <w:tcW w:w="1303" w:type="dxa"/>
          </w:tcPr>
          <w:p w14:paraId="4BD638DB" w14:textId="77777777" w:rsidR="00ED3AE6" w:rsidRDefault="008C38B0">
            <w:pPr>
              <w:spacing w:line="360" w:lineRule="auto"/>
              <w:jc w:val="both"/>
              <w:rPr>
                <w:rFonts w:ascii="Arial" w:hAnsi="Arial" w:cs="Arial"/>
                <w:sz w:val="22"/>
                <w:szCs w:val="22"/>
              </w:rPr>
            </w:pPr>
            <w:r>
              <w:rPr>
                <w:rFonts w:ascii="Arial" w:hAnsi="Arial" w:cs="Arial"/>
                <w:sz w:val="22"/>
                <w:szCs w:val="22"/>
              </w:rPr>
              <w:t>Positive, but difficult to isolate</w:t>
            </w:r>
          </w:p>
        </w:tc>
        <w:tc>
          <w:tcPr>
            <w:tcW w:w="1911" w:type="dxa"/>
          </w:tcPr>
          <w:p w14:paraId="74500352" w14:textId="77777777" w:rsidR="00ED3AE6" w:rsidRDefault="008C38B0">
            <w:pPr>
              <w:spacing w:line="360" w:lineRule="auto"/>
              <w:jc w:val="both"/>
              <w:rPr>
                <w:rFonts w:ascii="Arial" w:hAnsi="Arial" w:cs="Arial"/>
                <w:sz w:val="22"/>
                <w:szCs w:val="22"/>
              </w:rPr>
            </w:pPr>
            <w:r>
              <w:rPr>
                <w:rFonts w:ascii="Arial" w:hAnsi="Arial" w:cs="Arial"/>
                <w:sz w:val="22"/>
                <w:szCs w:val="22"/>
              </w:rPr>
              <w:t>Low-to-moderate; measurement approaches vary widely</w:t>
            </w:r>
          </w:p>
        </w:tc>
        <w:tc>
          <w:tcPr>
            <w:tcW w:w="1730" w:type="dxa"/>
          </w:tcPr>
          <w:p w14:paraId="3C9C51DB" w14:textId="77777777" w:rsidR="00ED3AE6" w:rsidRDefault="008C38B0">
            <w:pPr>
              <w:spacing w:line="360" w:lineRule="auto"/>
              <w:jc w:val="both"/>
              <w:rPr>
                <w:rFonts w:ascii="Arial" w:hAnsi="Arial" w:cs="Arial"/>
                <w:sz w:val="22"/>
                <w:szCs w:val="22"/>
              </w:rPr>
            </w:pPr>
            <w:r>
              <w:rPr>
                <w:rFonts w:ascii="Arial" w:hAnsi="Arial" w:cs="Arial"/>
                <w:sz w:val="22"/>
                <w:szCs w:val="22"/>
              </w:rPr>
              <w:t>Cognitive status; outcome-measurement tool used</w:t>
            </w:r>
          </w:p>
        </w:tc>
        <w:tc>
          <w:tcPr>
            <w:tcW w:w="1714" w:type="dxa"/>
          </w:tcPr>
          <w:p w14:paraId="53FD1C25" w14:textId="77777777" w:rsidR="00ED3AE6" w:rsidRDefault="008C38B0">
            <w:pPr>
              <w:spacing w:line="360" w:lineRule="auto"/>
              <w:jc w:val="both"/>
              <w:rPr>
                <w:rFonts w:ascii="Arial" w:hAnsi="Arial" w:cs="Arial"/>
                <w:sz w:val="22"/>
                <w:szCs w:val="22"/>
              </w:rPr>
            </w:pPr>
            <w:r>
              <w:rPr>
                <w:rFonts w:ascii="Arial" w:hAnsi="Arial" w:cs="Arial"/>
                <w:sz w:val="22"/>
                <w:szCs w:val="22"/>
              </w:rPr>
              <w:t>DHSC (2021); Brownie and Nancarrow (2013); Lawton (1994)</w:t>
            </w:r>
          </w:p>
        </w:tc>
      </w:tr>
      <w:tr w:rsidR="00ED3AE6" w14:paraId="0A4A6DEF" w14:textId="77777777" w:rsidTr="00922E6A">
        <w:tc>
          <w:tcPr>
            <w:tcW w:w="2742" w:type="dxa"/>
          </w:tcPr>
          <w:p w14:paraId="5E6AB17E" w14:textId="77777777" w:rsidR="00ED3AE6" w:rsidRDefault="008C38B0">
            <w:pPr>
              <w:spacing w:line="360" w:lineRule="auto"/>
              <w:jc w:val="both"/>
              <w:rPr>
                <w:rFonts w:ascii="Arial" w:hAnsi="Arial" w:cs="Arial"/>
                <w:sz w:val="22"/>
                <w:szCs w:val="22"/>
              </w:rPr>
            </w:pPr>
            <w:r>
              <w:rPr>
                <w:rFonts w:ascii="Arial" w:hAnsi="Arial" w:cs="Arial"/>
                <w:sz w:val="22"/>
                <w:szCs w:val="22"/>
              </w:rPr>
              <w:t>Equity across levels of cognitive impairment</w:t>
            </w:r>
          </w:p>
        </w:tc>
        <w:tc>
          <w:tcPr>
            <w:tcW w:w="1303" w:type="dxa"/>
          </w:tcPr>
          <w:p w14:paraId="3E280FBB" w14:textId="77777777" w:rsidR="00ED3AE6" w:rsidRDefault="008C38B0">
            <w:pPr>
              <w:spacing w:line="360" w:lineRule="auto"/>
              <w:jc w:val="both"/>
              <w:rPr>
                <w:rFonts w:ascii="Arial" w:hAnsi="Arial" w:cs="Arial"/>
                <w:sz w:val="22"/>
                <w:szCs w:val="22"/>
              </w:rPr>
            </w:pPr>
            <w:r>
              <w:rPr>
                <w:rFonts w:ascii="Arial" w:hAnsi="Arial" w:cs="Arial"/>
                <w:sz w:val="22"/>
                <w:szCs w:val="22"/>
              </w:rPr>
              <w:t>Unequal benefit</w:t>
            </w:r>
          </w:p>
        </w:tc>
        <w:tc>
          <w:tcPr>
            <w:tcW w:w="1911" w:type="dxa"/>
          </w:tcPr>
          <w:p w14:paraId="21F0546C" w14:textId="77777777" w:rsidR="00ED3AE6" w:rsidRDefault="008C38B0">
            <w:pPr>
              <w:spacing w:line="360" w:lineRule="auto"/>
              <w:jc w:val="both"/>
              <w:rPr>
                <w:rFonts w:ascii="Arial" w:hAnsi="Arial" w:cs="Arial"/>
                <w:sz w:val="22"/>
                <w:szCs w:val="22"/>
              </w:rPr>
            </w:pPr>
            <w:r>
              <w:rPr>
                <w:rFonts w:ascii="Arial" w:hAnsi="Arial" w:cs="Arial"/>
                <w:sz w:val="22"/>
                <w:szCs w:val="22"/>
              </w:rPr>
              <w:t>Consistent finding of reduced benefit for advanced dementia</w:t>
            </w:r>
          </w:p>
        </w:tc>
        <w:tc>
          <w:tcPr>
            <w:tcW w:w="1730" w:type="dxa"/>
          </w:tcPr>
          <w:p w14:paraId="1BE384C2" w14:textId="77777777" w:rsidR="00ED3AE6" w:rsidRDefault="008C38B0">
            <w:pPr>
              <w:spacing w:line="360" w:lineRule="auto"/>
              <w:jc w:val="both"/>
              <w:rPr>
                <w:rFonts w:ascii="Arial" w:hAnsi="Arial" w:cs="Arial"/>
                <w:sz w:val="22"/>
                <w:szCs w:val="22"/>
              </w:rPr>
            </w:pPr>
            <w:r>
              <w:rPr>
                <w:rFonts w:ascii="Arial" w:hAnsi="Arial" w:cs="Arial"/>
                <w:sz w:val="22"/>
                <w:szCs w:val="22"/>
              </w:rPr>
              <w:t>Severity of dementia; intensity of tailoring</w:t>
            </w:r>
          </w:p>
        </w:tc>
        <w:tc>
          <w:tcPr>
            <w:tcW w:w="1714" w:type="dxa"/>
          </w:tcPr>
          <w:p w14:paraId="0268D1EF" w14:textId="77777777" w:rsidR="00ED3AE6" w:rsidRDefault="008C38B0">
            <w:pPr>
              <w:spacing w:line="360" w:lineRule="auto"/>
              <w:jc w:val="both"/>
              <w:rPr>
                <w:rFonts w:ascii="Arial" w:hAnsi="Arial" w:cs="Arial"/>
                <w:sz w:val="22"/>
                <w:szCs w:val="22"/>
              </w:rPr>
            </w:pPr>
            <w:r>
              <w:rPr>
                <w:rFonts w:ascii="Arial" w:hAnsi="Arial" w:cs="Arial"/>
                <w:sz w:val="22"/>
                <w:szCs w:val="22"/>
              </w:rPr>
              <w:t>Rokstad et al. (2013)</w:t>
            </w:r>
          </w:p>
        </w:tc>
      </w:tr>
    </w:tbl>
    <w:p w14:paraId="64680E77" w14:textId="77777777" w:rsidR="00ED3AE6" w:rsidRDefault="008C38B0">
      <w:pPr>
        <w:spacing w:line="360" w:lineRule="auto"/>
        <w:jc w:val="both"/>
        <w:rPr>
          <w:rFonts w:ascii="Arial" w:hAnsi="Arial" w:cs="Arial"/>
          <w:sz w:val="22"/>
          <w:szCs w:val="22"/>
        </w:rPr>
      </w:pPr>
      <w:r>
        <w:rPr>
          <w:rFonts w:ascii="Arial" w:hAnsi="Arial" w:cs="Arial"/>
          <w:i/>
          <w:iCs/>
          <w:sz w:val="22"/>
          <w:szCs w:val="22"/>
        </w:rPr>
        <w:t xml:space="preserve">Table compiled by the author, </w:t>
      </w:r>
      <w:proofErr w:type="spellStart"/>
      <w:r>
        <w:rPr>
          <w:rFonts w:ascii="Arial" w:hAnsi="Arial" w:cs="Arial"/>
          <w:i/>
          <w:iCs/>
          <w:sz w:val="22"/>
          <w:szCs w:val="22"/>
        </w:rPr>
        <w:t>synthesising</w:t>
      </w:r>
      <w:proofErr w:type="spellEnd"/>
      <w:r>
        <w:rPr>
          <w:rFonts w:ascii="Arial" w:hAnsi="Arial" w:cs="Arial"/>
          <w:i/>
          <w:iCs/>
          <w:sz w:val="22"/>
          <w:szCs w:val="22"/>
        </w:rPr>
        <w:t xml:space="preserve"> the discussion presented in Sections 4.2–4.5.</w:t>
      </w:r>
    </w:p>
    <w:p w14:paraId="06FFD540" w14:textId="77777777" w:rsidR="00ED3AE6" w:rsidRDefault="008C38B0">
      <w:r>
        <w:rPr>
          <w:noProof/>
        </w:rPr>
        <w:drawing>
          <wp:inline distT="0" distB="0" distL="0" distR="0" wp14:anchorId="7F0A436E" wp14:editId="47C9D5A3">
            <wp:extent cx="5029200" cy="2514600"/>
            <wp:effectExtent l="0" t="0" r="0" b="0"/>
            <wp:docPr id="4" name="Picture 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01"/>
                    <pic:cNvPicPr>
                      <a:picLocks noChangeAspect="1" noChangeArrowheads="1"/>
                    </pic:cNvPicPr>
                  </pic:nvPicPr>
                  <pic:blipFill>
                    <a:blip r:embed="rId13"/>
                    <a:stretch>
                      <a:fillRect/>
                    </a:stretch>
                  </pic:blipFill>
                  <pic:spPr bwMode="auto">
                    <a:xfrm>
                      <a:off x="0" y="0"/>
                      <a:ext cx="5029200" cy="2514600"/>
                    </a:xfrm>
                    <a:prstGeom prst="rect">
                      <a:avLst/>
                    </a:prstGeom>
                  </pic:spPr>
                </pic:pic>
              </a:graphicData>
            </a:graphic>
          </wp:inline>
        </w:drawing>
      </w:r>
    </w:p>
    <w:p w14:paraId="1FA49D44" w14:textId="77777777" w:rsidR="00ED3AE6" w:rsidRDefault="008C38B0">
      <w:pPr>
        <w:pStyle w:val="FigureCaption"/>
      </w:pPr>
      <w:bookmarkStart w:id="35" w:name="__RefHeading___Toc1611_1328646638"/>
      <w:bookmarkEnd w:id="35"/>
      <w:r>
        <w:rPr>
          <w:rFonts w:ascii="Arial" w:hAnsi="Arial" w:cs="Arial"/>
          <w:b/>
          <w:i/>
          <w:sz w:val="22"/>
        </w:rPr>
        <w:t xml:space="preserve">Figure </w:t>
      </w:r>
      <w:proofErr w:type="gramStart"/>
      <w:r>
        <w:rPr>
          <w:rFonts w:ascii="Arial" w:hAnsi="Arial" w:cs="Arial"/>
          <w:b/>
          <w:i/>
          <w:sz w:val="22"/>
        </w:rPr>
        <w:t>4.1  Consistency</w:t>
      </w:r>
      <w:proofErr w:type="gramEnd"/>
      <w:r>
        <w:rPr>
          <w:rFonts w:ascii="Arial" w:hAnsi="Arial" w:cs="Arial"/>
          <w:b/>
          <w:i/>
          <w:sz w:val="22"/>
        </w:rPr>
        <w:t xml:space="preserve"> of Evidence Across PCC Outcome Domains</w:t>
      </w:r>
    </w:p>
    <w:p w14:paraId="09320935" w14:textId="77777777" w:rsidR="00ED3AE6" w:rsidRDefault="008C38B0">
      <w:r>
        <w:rPr>
          <w:rFonts w:ascii="Arial" w:hAnsi="Arial" w:cs="Arial"/>
          <w:i/>
          <w:sz w:val="22"/>
        </w:rPr>
        <w:t>Source: constructed by the author from the synthesis presented in Table 4.1 and Sections 4.2–4.5. Ratings reflect the author’s qualitative interpretation of consistency across the reviewed literature and are illustrative rather than derived from statistical meta-analysis.</w:t>
      </w:r>
    </w:p>
    <w:p w14:paraId="5F97DF03" w14:textId="77777777" w:rsidR="00ED3AE6" w:rsidRDefault="00ED3AE6"/>
    <w:p w14:paraId="60536F19" w14:textId="77777777" w:rsidR="00ED3AE6" w:rsidRDefault="008C38B0">
      <w:pPr>
        <w:pStyle w:val="Heading2"/>
        <w:spacing w:line="360" w:lineRule="auto"/>
        <w:jc w:val="both"/>
        <w:rPr>
          <w:rFonts w:ascii="Arial" w:hAnsi="Arial" w:cs="Arial"/>
          <w:color w:val="auto"/>
          <w:sz w:val="22"/>
          <w:szCs w:val="22"/>
        </w:rPr>
      </w:pPr>
      <w:bookmarkStart w:id="36" w:name="__RefHeading___Toc1565_1328646638"/>
      <w:bookmarkEnd w:id="36"/>
      <w:r>
        <w:rPr>
          <w:rFonts w:ascii="Arial" w:hAnsi="Arial" w:cs="Arial"/>
          <w:b/>
          <w:bCs/>
          <w:color w:val="auto"/>
          <w:sz w:val="28"/>
          <w:szCs w:val="22"/>
        </w:rPr>
        <w:t>4.2 The Conceptual Ambiguity of Person-</w:t>
      </w:r>
      <w:proofErr w:type="spellStart"/>
      <w:r>
        <w:rPr>
          <w:rFonts w:ascii="Arial" w:hAnsi="Arial" w:cs="Arial"/>
          <w:b/>
          <w:bCs/>
          <w:color w:val="auto"/>
          <w:sz w:val="28"/>
          <w:szCs w:val="22"/>
        </w:rPr>
        <w:t>Centred</w:t>
      </w:r>
      <w:proofErr w:type="spellEnd"/>
      <w:r>
        <w:rPr>
          <w:rFonts w:ascii="Arial" w:hAnsi="Arial" w:cs="Arial"/>
          <w:b/>
          <w:bCs/>
          <w:color w:val="auto"/>
          <w:sz w:val="28"/>
          <w:szCs w:val="22"/>
        </w:rPr>
        <w:t xml:space="preserve"> Care and Its Implications for Outcomes</w:t>
      </w:r>
    </w:p>
    <w:p w14:paraId="7BD9F95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central finding emerging from the literature is that PCC is not a single, clearly defined intervention but a broad philosophy that is </w:t>
      </w:r>
      <w:proofErr w:type="spellStart"/>
      <w:r>
        <w:rPr>
          <w:rFonts w:ascii="Arial" w:hAnsi="Arial" w:cs="Arial"/>
          <w:sz w:val="22"/>
          <w:szCs w:val="22"/>
        </w:rPr>
        <w:t>operationalised</w:t>
      </w:r>
      <w:proofErr w:type="spellEnd"/>
      <w:r>
        <w:rPr>
          <w:rFonts w:ascii="Arial" w:hAnsi="Arial" w:cs="Arial"/>
          <w:sz w:val="22"/>
          <w:szCs w:val="22"/>
        </w:rPr>
        <w:t xml:space="preserve"> in markedly different ways across studies and care settings (McCormack and McCance, 2017; Edvardsson et al., 2014). This conceptual ambiguity has significant implications for the interpretation of effectiveness data. When studies examining "PCC" range from full </w:t>
      </w:r>
      <w:proofErr w:type="spellStart"/>
      <w:r>
        <w:rPr>
          <w:rFonts w:ascii="Arial" w:hAnsi="Arial" w:cs="Arial"/>
          <w:sz w:val="22"/>
          <w:szCs w:val="22"/>
        </w:rPr>
        <w:t>organisational</w:t>
      </w:r>
      <w:proofErr w:type="spellEnd"/>
      <w:r>
        <w:rPr>
          <w:rFonts w:ascii="Arial" w:hAnsi="Arial" w:cs="Arial"/>
          <w:sz w:val="22"/>
          <w:szCs w:val="22"/>
        </w:rPr>
        <w:t xml:space="preserve"> redesigns to discrete communication training interventions, claims about the effectiveness of PCC as a whole become difficult to substantiate with confidence, since the term may, in practice, refer to </w:t>
      </w:r>
      <w:r>
        <w:rPr>
          <w:rFonts w:ascii="Arial" w:hAnsi="Arial" w:cs="Arial"/>
          <w:sz w:val="22"/>
          <w:szCs w:val="22"/>
        </w:rPr>
        <w:lastRenderedPageBreak/>
        <w:t>substantially different interventions with different mechanisms of action and different plausible outcomes.</w:t>
      </w:r>
    </w:p>
    <w:p w14:paraId="743F1741"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finding is significant because it suggests that the research question itself, framed in terms of whether PCC "improves outcomes", may be somewhat imprecise unless the specific form of PCC under consideration is clearly specified. The evidence indicates that some forms of PCC, particularly those involving sustained staff training and </w:t>
      </w:r>
      <w:proofErr w:type="spellStart"/>
      <w:r>
        <w:rPr>
          <w:rFonts w:ascii="Arial" w:hAnsi="Arial" w:cs="Arial"/>
          <w:sz w:val="22"/>
          <w:szCs w:val="22"/>
        </w:rPr>
        <w:t>organisational</w:t>
      </w:r>
      <w:proofErr w:type="spellEnd"/>
      <w:r>
        <w:rPr>
          <w:rFonts w:ascii="Arial" w:hAnsi="Arial" w:cs="Arial"/>
          <w:sz w:val="22"/>
          <w:szCs w:val="22"/>
        </w:rPr>
        <w:t xml:space="preserve"> commitment, demonstrate more consistent positive outcomes than others, such as superficial or "tokenistic" applications of person-</w:t>
      </w:r>
      <w:proofErr w:type="spellStart"/>
      <w:r>
        <w:rPr>
          <w:rFonts w:ascii="Arial" w:hAnsi="Arial" w:cs="Arial"/>
          <w:sz w:val="22"/>
          <w:szCs w:val="22"/>
        </w:rPr>
        <w:t>centred</w:t>
      </w:r>
      <w:proofErr w:type="spellEnd"/>
      <w:r>
        <w:rPr>
          <w:rFonts w:ascii="Arial" w:hAnsi="Arial" w:cs="Arial"/>
          <w:sz w:val="22"/>
          <w:szCs w:val="22"/>
        </w:rPr>
        <w:t xml:space="preserve"> language without corresponding structural change (Edvardsson et al., 2014; Brooker and Latham, 2016). This points to an important nuance: the effectiveness of PCC may depend less on whether it is adopted in principle and more on the depth and fidelity with which it is implemented in practice.</w:t>
      </w:r>
    </w:p>
    <w:p w14:paraId="336C0FAD" w14:textId="77777777" w:rsidR="00ED3AE6" w:rsidRDefault="008C38B0">
      <w:pPr>
        <w:spacing w:line="360" w:lineRule="auto"/>
        <w:jc w:val="both"/>
        <w:rPr>
          <w:rFonts w:ascii="Arial" w:hAnsi="Arial" w:cs="Arial"/>
          <w:sz w:val="22"/>
          <w:szCs w:val="22"/>
        </w:rPr>
      </w:pPr>
      <w:r>
        <w:rPr>
          <w:rFonts w:ascii="Arial" w:hAnsi="Arial" w:cs="Arial"/>
          <w:sz w:val="22"/>
          <w:szCs w:val="22"/>
        </w:rPr>
        <w:t>This finding also has methodological implications for the broader evidence base. If different studies are, in effect, evaluating different interventions under the same conceptual label, then attempts to compare or aggregate findings across studies, for example through systematic review or meta-analysis, risk producing misleading conclusions, since the underlying "treatment" is not held constant. This may partly explain why the literature reviewed in Chapter Two reports such variable outcomes across what is nominally the same intervention. It also suggests that future primary research would benefit considerably from more precise operational definitions of PCC, specifying not only that an intervention is "person-</w:t>
      </w:r>
      <w:proofErr w:type="spellStart"/>
      <w:r>
        <w:rPr>
          <w:rFonts w:ascii="Arial" w:hAnsi="Arial" w:cs="Arial"/>
          <w:sz w:val="22"/>
          <w:szCs w:val="22"/>
        </w:rPr>
        <w:t>centred</w:t>
      </w:r>
      <w:proofErr w:type="spellEnd"/>
      <w:r>
        <w:rPr>
          <w:rFonts w:ascii="Arial" w:hAnsi="Arial" w:cs="Arial"/>
          <w:sz w:val="22"/>
          <w:szCs w:val="22"/>
        </w:rPr>
        <w:t xml:space="preserve">" but exactly which components, </w:t>
      </w:r>
      <w:proofErr w:type="spellStart"/>
      <w:r>
        <w:rPr>
          <w:rFonts w:ascii="Arial" w:hAnsi="Arial" w:cs="Arial"/>
          <w:sz w:val="22"/>
          <w:szCs w:val="22"/>
        </w:rPr>
        <w:t>behaviours</w:t>
      </w:r>
      <w:proofErr w:type="spellEnd"/>
      <w:r>
        <w:rPr>
          <w:rFonts w:ascii="Arial" w:hAnsi="Arial" w:cs="Arial"/>
          <w:sz w:val="22"/>
          <w:szCs w:val="22"/>
        </w:rPr>
        <w:t>, or structural changes this entails, in order to allow for more meaningful synthesis of findings across studies (Slater, 2006).</w:t>
      </w:r>
    </w:p>
    <w:p w14:paraId="53A22B73" w14:textId="77777777" w:rsidR="00ED3AE6" w:rsidRDefault="008C38B0">
      <w:pPr>
        <w:spacing w:line="360" w:lineRule="auto"/>
        <w:jc w:val="both"/>
        <w:rPr>
          <w:rFonts w:ascii="Arial" w:hAnsi="Arial" w:cs="Arial"/>
          <w:sz w:val="22"/>
          <w:szCs w:val="22"/>
        </w:rPr>
      </w:pPr>
      <w:r>
        <w:rPr>
          <w:rFonts w:ascii="Arial" w:hAnsi="Arial" w:cs="Arial"/>
          <w:sz w:val="22"/>
          <w:szCs w:val="22"/>
        </w:rPr>
        <w:t>This has direct implications for residential care practice. Providers and policymakers seeking to improve outcomes through PCC cannot assume that simply adopting the language or stated values of person-</w:t>
      </w:r>
      <w:proofErr w:type="spellStart"/>
      <w:r>
        <w:rPr>
          <w:rFonts w:ascii="Arial" w:hAnsi="Arial" w:cs="Arial"/>
          <w:sz w:val="22"/>
          <w:szCs w:val="22"/>
        </w:rPr>
        <w:t>centredness</w:t>
      </w:r>
      <w:proofErr w:type="spellEnd"/>
      <w:r>
        <w:rPr>
          <w:rFonts w:ascii="Arial" w:hAnsi="Arial" w:cs="Arial"/>
          <w:sz w:val="22"/>
          <w:szCs w:val="22"/>
        </w:rPr>
        <w:t xml:space="preserve"> will be sufficient; the literature suggests that meaningful outcomes are contingent on PCC being embedded as a comprehensive </w:t>
      </w:r>
      <w:proofErr w:type="spellStart"/>
      <w:r>
        <w:rPr>
          <w:rFonts w:ascii="Arial" w:hAnsi="Arial" w:cs="Arial"/>
          <w:sz w:val="22"/>
          <w:szCs w:val="22"/>
        </w:rPr>
        <w:t>organisational</w:t>
      </w:r>
      <w:proofErr w:type="spellEnd"/>
      <w:r>
        <w:rPr>
          <w:rFonts w:ascii="Arial" w:hAnsi="Arial" w:cs="Arial"/>
          <w:sz w:val="22"/>
          <w:szCs w:val="22"/>
        </w:rPr>
        <w:t xml:space="preserve"> philosophy, encompassing care planning, staff </w:t>
      </w:r>
      <w:proofErr w:type="spellStart"/>
      <w:r>
        <w:rPr>
          <w:rFonts w:ascii="Arial" w:hAnsi="Arial" w:cs="Arial"/>
          <w:sz w:val="22"/>
          <w:szCs w:val="22"/>
        </w:rPr>
        <w:t>behaviour</w:t>
      </w:r>
      <w:proofErr w:type="spellEnd"/>
      <w:r>
        <w:rPr>
          <w:rFonts w:ascii="Arial" w:hAnsi="Arial" w:cs="Arial"/>
          <w:sz w:val="22"/>
          <w:szCs w:val="22"/>
        </w:rPr>
        <w:t xml:space="preserve">, environmental design, and leadership culture, rather than a set of superficial gestures towards </w:t>
      </w:r>
      <w:proofErr w:type="spellStart"/>
      <w:r>
        <w:rPr>
          <w:rFonts w:ascii="Arial" w:hAnsi="Arial" w:cs="Arial"/>
          <w:sz w:val="22"/>
          <w:szCs w:val="22"/>
        </w:rPr>
        <w:t>individualised</w:t>
      </w:r>
      <w:proofErr w:type="spellEnd"/>
      <w:r>
        <w:rPr>
          <w:rFonts w:ascii="Arial" w:hAnsi="Arial" w:cs="Arial"/>
          <w:sz w:val="22"/>
          <w:szCs w:val="22"/>
        </w:rPr>
        <w:t xml:space="preserve"> language in care documentation.</w:t>
      </w:r>
    </w:p>
    <w:p w14:paraId="0F69BF2F"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related point, not always made explicit in the literature reviewed but evident on closer critical reading, is that the conceptual breadth of PCC may itself partly explain its enduring popularity in policy discourse. A concept broad enough to encompass everything from </w:t>
      </w:r>
      <w:proofErr w:type="spellStart"/>
      <w:r>
        <w:rPr>
          <w:rFonts w:ascii="Arial" w:hAnsi="Arial" w:cs="Arial"/>
          <w:sz w:val="22"/>
          <w:szCs w:val="22"/>
        </w:rPr>
        <w:t>individualised</w:t>
      </w:r>
      <w:proofErr w:type="spellEnd"/>
      <w:r>
        <w:rPr>
          <w:rFonts w:ascii="Arial" w:hAnsi="Arial" w:cs="Arial"/>
          <w:sz w:val="22"/>
          <w:szCs w:val="22"/>
        </w:rPr>
        <w:t xml:space="preserve"> meal choices to comprehensive </w:t>
      </w:r>
      <w:proofErr w:type="spellStart"/>
      <w:r>
        <w:rPr>
          <w:rFonts w:ascii="Arial" w:hAnsi="Arial" w:cs="Arial"/>
          <w:sz w:val="22"/>
          <w:szCs w:val="22"/>
        </w:rPr>
        <w:t>organisational</w:t>
      </w:r>
      <w:proofErr w:type="spellEnd"/>
      <w:r>
        <w:rPr>
          <w:rFonts w:ascii="Arial" w:hAnsi="Arial" w:cs="Arial"/>
          <w:sz w:val="22"/>
          <w:szCs w:val="22"/>
        </w:rPr>
        <w:t xml:space="preserve"> restructuring is, almost by definition, difficult for any </w:t>
      </w:r>
      <w:proofErr w:type="spellStart"/>
      <w:r>
        <w:rPr>
          <w:rFonts w:ascii="Arial" w:hAnsi="Arial" w:cs="Arial"/>
          <w:sz w:val="22"/>
          <w:szCs w:val="22"/>
        </w:rPr>
        <w:t>organisation</w:t>
      </w:r>
      <w:proofErr w:type="spellEnd"/>
      <w:r>
        <w:rPr>
          <w:rFonts w:ascii="Arial" w:hAnsi="Arial" w:cs="Arial"/>
          <w:sz w:val="22"/>
          <w:szCs w:val="22"/>
        </w:rPr>
        <w:t xml:space="preserve"> to claim it has failed to adopt in some form. This breadth may therefore confer rhetorical resilience on PCC as a policy concept, even as it simultaneously undermines the precision needed for robust empirical evaluation of its effectiveness, a tension that recurs throughout the findings discussed in this chapter.</w:t>
      </w:r>
    </w:p>
    <w:p w14:paraId="66D830D5" w14:textId="77777777" w:rsidR="00ED3AE6" w:rsidRDefault="008C38B0">
      <w:pPr>
        <w:pStyle w:val="Heading2"/>
        <w:spacing w:line="360" w:lineRule="auto"/>
        <w:jc w:val="both"/>
        <w:rPr>
          <w:rFonts w:ascii="Arial" w:hAnsi="Arial" w:cs="Arial"/>
          <w:color w:val="auto"/>
          <w:sz w:val="22"/>
          <w:szCs w:val="22"/>
        </w:rPr>
      </w:pPr>
      <w:bookmarkStart w:id="37" w:name="__RefHeading___Toc1567_1328646638"/>
      <w:bookmarkEnd w:id="37"/>
      <w:r>
        <w:rPr>
          <w:rFonts w:ascii="Arial" w:hAnsi="Arial" w:cs="Arial"/>
          <w:b/>
          <w:bCs/>
          <w:color w:val="auto"/>
          <w:sz w:val="28"/>
          <w:szCs w:val="22"/>
        </w:rPr>
        <w:lastRenderedPageBreak/>
        <w:t>4.3 Psychological and Emotional Outcomes: A Contingent Benefit</w:t>
      </w:r>
    </w:p>
    <w:p w14:paraId="0ED6558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literature reviewed provides reasonably consistent evidence that PCC is associated with improvements in psychological and emotional outcomes for older adults, including reductions in depression, anxiety, and agitation, and improvements in dignity and life satisfaction (NICE, 2022; Brownie and Nancarrow, 2013). At face value, this supports the assumption underpinning much UK policy that PCC represents an effective means of enhancing wellbeing in residential care, and it aligns with the theoretical case advanced by </w:t>
      </w:r>
      <w:proofErr w:type="spellStart"/>
      <w:r>
        <w:rPr>
          <w:rFonts w:ascii="Arial" w:hAnsi="Arial" w:cs="Arial"/>
          <w:sz w:val="22"/>
          <w:szCs w:val="22"/>
        </w:rPr>
        <w:t>Kitwood</w:t>
      </w:r>
      <w:proofErr w:type="spellEnd"/>
      <w:r>
        <w:rPr>
          <w:rFonts w:ascii="Arial" w:hAnsi="Arial" w:cs="Arial"/>
          <w:sz w:val="22"/>
          <w:szCs w:val="22"/>
        </w:rPr>
        <w:t xml:space="preserve"> (1997) that attending to personhood, rather than focusing narrowly on physical or clinical needs, should be expected to support emotional wellbeing.</w:t>
      </w:r>
    </w:p>
    <w:p w14:paraId="4F9B5F4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However, a more critical reading of the evidence reveals that these benefits are not unconditional. Chenoweth et al. (2009) found that improvements in quality of life associated with PCC varied considerably depending on staff training and </w:t>
      </w:r>
      <w:proofErr w:type="spellStart"/>
      <w:r>
        <w:rPr>
          <w:rFonts w:ascii="Arial" w:hAnsi="Arial" w:cs="Arial"/>
          <w:sz w:val="22"/>
          <w:szCs w:val="22"/>
        </w:rPr>
        <w:t>organisational</w:t>
      </w:r>
      <w:proofErr w:type="spellEnd"/>
      <w:r>
        <w:rPr>
          <w:rFonts w:ascii="Arial" w:hAnsi="Arial" w:cs="Arial"/>
          <w:sz w:val="22"/>
          <w:szCs w:val="22"/>
        </w:rPr>
        <w:t xml:space="preserve"> commitment, while Rokstad et al. (2013) similarly found that the effectiveness of PCC interventions was strongly moderated by the presence of structured staff training and ongoing support. This is a critical finding in relation to the research question, as it suggests that PCC does not function as a uniformly effective intervention; rather, its psychological benefits appear to be highly conditional on the quality of implementation, a point reinforced by The King's Fund (2021), which argues that without adequate staffing and leadership, the benefits of PCC are substantially diminished.</w:t>
      </w:r>
    </w:p>
    <w:p w14:paraId="16A2F4B9" w14:textId="77777777" w:rsidR="00ED3AE6" w:rsidRDefault="008C38B0">
      <w:pPr>
        <w:spacing w:line="360" w:lineRule="auto"/>
        <w:jc w:val="both"/>
      </w:pPr>
      <w:r>
        <w:rPr>
          <w:rFonts w:ascii="Arial" w:hAnsi="Arial" w:cs="Arial"/>
          <w:sz w:val="22"/>
        </w:rPr>
        <w:t xml:space="preserve">The largest UK evidence base bearing on this question comes from the WHELD </w:t>
      </w:r>
      <w:proofErr w:type="spellStart"/>
      <w:r>
        <w:rPr>
          <w:rFonts w:ascii="Arial" w:hAnsi="Arial" w:cs="Arial"/>
          <w:sz w:val="22"/>
        </w:rPr>
        <w:t>programme</w:t>
      </w:r>
      <w:proofErr w:type="spellEnd"/>
      <w:r>
        <w:rPr>
          <w:rFonts w:ascii="Arial" w:hAnsi="Arial" w:cs="Arial"/>
          <w:sz w:val="22"/>
        </w:rPr>
        <w:t xml:space="preserve">. Ballard et al. (2018) found that a combined intervention of staff training, social interaction, and antipsychotic review produced significant quality-of-life and </w:t>
      </w:r>
      <w:proofErr w:type="spellStart"/>
      <w:r>
        <w:rPr>
          <w:rFonts w:ascii="Arial" w:hAnsi="Arial" w:cs="Arial"/>
          <w:sz w:val="22"/>
        </w:rPr>
        <w:t>behavioural</w:t>
      </w:r>
      <w:proofErr w:type="spellEnd"/>
      <w:r>
        <w:rPr>
          <w:rFonts w:ascii="Arial" w:hAnsi="Arial" w:cs="Arial"/>
          <w:sz w:val="22"/>
        </w:rPr>
        <w:t xml:space="preserve"> benefits across 69 care homes, yet a more granular analysis of the same dataset (Ballard et al., 2017) found that antipsychotic review delivered without the social interaction component was associated with a significant worsening of quality of life. This is a critical qualification for the research question: it indicates that PCC's benefit may depend on specific combinations of components acting together, rather than on any single element, which further complicates simple claims that PCC "works" or "does not work" as a unitary intervention.</w:t>
      </w:r>
    </w:p>
    <w:p w14:paraId="04930D1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conditionality raises an important interpretive question: should the inconsistent findings across the literature be read as evidence against the effectiveness of PCC itself, or as evidence of widespread implementation failure rather than a flaw in the underlying model? This review takes the position that the weight of evidence </w:t>
      </w:r>
      <w:proofErr w:type="spellStart"/>
      <w:r>
        <w:rPr>
          <w:rFonts w:ascii="Arial" w:hAnsi="Arial" w:cs="Arial"/>
          <w:sz w:val="22"/>
          <w:szCs w:val="22"/>
        </w:rPr>
        <w:t>favours</w:t>
      </w:r>
      <w:proofErr w:type="spellEnd"/>
      <w:r>
        <w:rPr>
          <w:rFonts w:ascii="Arial" w:hAnsi="Arial" w:cs="Arial"/>
          <w:sz w:val="22"/>
          <w:szCs w:val="22"/>
        </w:rPr>
        <w:t xml:space="preserve"> the latter interpretation. Where PCC is implemented with genuine </w:t>
      </w:r>
      <w:proofErr w:type="spellStart"/>
      <w:r>
        <w:rPr>
          <w:rFonts w:ascii="Arial" w:hAnsi="Arial" w:cs="Arial"/>
          <w:sz w:val="22"/>
          <w:szCs w:val="22"/>
        </w:rPr>
        <w:t>organisational</w:t>
      </w:r>
      <w:proofErr w:type="spellEnd"/>
      <w:r>
        <w:rPr>
          <w:rFonts w:ascii="Arial" w:hAnsi="Arial" w:cs="Arial"/>
          <w:sz w:val="22"/>
          <w:szCs w:val="22"/>
        </w:rPr>
        <w:t xml:space="preserve"> commitment, sustained training, and adequate staffing, the psychological benefits reported are relatively consistent across studies; it is principally in contexts of poor implementation that benefits diminish or disappear. This distinction matters considerably for practice, because it shifts the policy and </w:t>
      </w:r>
      <w:r>
        <w:rPr>
          <w:rFonts w:ascii="Arial" w:hAnsi="Arial" w:cs="Arial"/>
          <w:sz w:val="22"/>
          <w:szCs w:val="22"/>
        </w:rPr>
        <w:lastRenderedPageBreak/>
        <w:t xml:space="preserve">managerial focus away from questioning the validity of PCC as a model and towards addressing the practical and </w:t>
      </w:r>
      <w:proofErr w:type="spellStart"/>
      <w:r>
        <w:rPr>
          <w:rFonts w:ascii="Arial" w:hAnsi="Arial" w:cs="Arial"/>
          <w:sz w:val="22"/>
          <w:szCs w:val="22"/>
        </w:rPr>
        <w:t>organisational</w:t>
      </w:r>
      <w:proofErr w:type="spellEnd"/>
      <w:r>
        <w:rPr>
          <w:rFonts w:ascii="Arial" w:hAnsi="Arial" w:cs="Arial"/>
          <w:sz w:val="22"/>
          <w:szCs w:val="22"/>
        </w:rPr>
        <w:t xml:space="preserve"> conditions required for it to succeed.</w:t>
      </w:r>
    </w:p>
    <w:p w14:paraId="1869E175"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pattern also reflects a broader methodological issue identified in the literature: much of the evidence relies on qualitative or self-reported measures of psychological wellbeing, which, while valuable for capturing lived experience, are subject to potential bias, including social desirability bias and recall bias, and do not always allow robust causal claims to be made about the specific contribution of PCC relative to other factors influencing wellbeing, such as concurrent improvements in staffing or the physical care environment (Slater, 2006). Additionally, the relative absence of longitudinal research means that while short-term psychological improvements following PCC interventions are reasonably well evidenced, the sustainability of these benefits over time remains uncertain (McCormack and McCance, 2017). Without longitudinal data, it is not possible to determine whether psychological improvements represent a stable shift in wellbeing or a temporary effect associated with the novelty of a new intervention or increased staff attention, an effect sometimes referred to in the broader health research literature as a form of observer or attention effect. For residential care practice, this suggests that psychological benefits associated with PCC should not be assumed to be automatic or permanent, but rather as outcomes requiring continuous reinforcement through sustained training, supervision, and </w:t>
      </w:r>
      <w:proofErr w:type="spellStart"/>
      <w:r>
        <w:rPr>
          <w:rFonts w:ascii="Arial" w:hAnsi="Arial" w:cs="Arial"/>
          <w:sz w:val="22"/>
          <w:szCs w:val="22"/>
        </w:rPr>
        <w:t>organisational</w:t>
      </w:r>
      <w:proofErr w:type="spellEnd"/>
      <w:r>
        <w:rPr>
          <w:rFonts w:ascii="Arial" w:hAnsi="Arial" w:cs="Arial"/>
          <w:sz w:val="22"/>
          <w:szCs w:val="22"/>
        </w:rPr>
        <w:t xml:space="preserve"> support, alongside more robust, longer-term evaluation to confirm that observed benefits are durable.</w:t>
      </w:r>
    </w:p>
    <w:p w14:paraId="30FAFE87" w14:textId="77777777" w:rsidR="00ED3AE6" w:rsidRDefault="008C38B0">
      <w:pPr>
        <w:spacing w:line="360" w:lineRule="auto"/>
        <w:jc w:val="both"/>
      </w:pPr>
      <w:r>
        <w:rPr>
          <w:rFonts w:ascii="Arial" w:hAnsi="Arial" w:cs="Arial"/>
          <w:sz w:val="22"/>
        </w:rPr>
        <w:t>This interpretive caution is reinforced by the most recent meta-analytic evidence available. Berkovic et al. (2024), pooling results across 41 studies, found that meta-</w:t>
      </w:r>
      <w:proofErr w:type="spellStart"/>
      <w:r>
        <w:rPr>
          <w:rFonts w:ascii="Arial" w:hAnsi="Arial" w:cs="Arial"/>
          <w:sz w:val="22"/>
        </w:rPr>
        <w:t>analysed</w:t>
      </w:r>
      <w:proofErr w:type="spellEnd"/>
      <w:r>
        <w:rPr>
          <w:rFonts w:ascii="Arial" w:hAnsi="Arial" w:cs="Arial"/>
          <w:sz w:val="22"/>
        </w:rPr>
        <w:t xml:space="preserve"> effects on agitation, quality of life, and neuropsychiatric symptoms did not reach statistical significance, despite several individual trials reporting clear benefits. Rather than undermining the case for PCC outright, this review interprets this finding as further evidence for the argument advanced in Section 4.2: that considerable heterogeneity in how PCC is defined and delivered across studies makes pooled statistical synthesis an unreliable test of its effectiveness, and that trial-level, context-rich evidence may be more informative than meta-analytic averages for a philosophy of care this variably </w:t>
      </w:r>
      <w:proofErr w:type="spellStart"/>
      <w:r>
        <w:rPr>
          <w:rFonts w:ascii="Arial" w:hAnsi="Arial" w:cs="Arial"/>
          <w:sz w:val="22"/>
        </w:rPr>
        <w:t>operationalised</w:t>
      </w:r>
      <w:proofErr w:type="spellEnd"/>
      <w:r>
        <w:rPr>
          <w:rFonts w:ascii="Arial" w:hAnsi="Arial" w:cs="Arial"/>
          <w:sz w:val="22"/>
        </w:rPr>
        <w:t>.</w:t>
      </w:r>
    </w:p>
    <w:p w14:paraId="28033D49" w14:textId="77777777" w:rsidR="00ED3AE6" w:rsidRDefault="008C38B0">
      <w:pPr>
        <w:pStyle w:val="Heading2"/>
        <w:spacing w:line="360" w:lineRule="auto"/>
        <w:jc w:val="both"/>
        <w:rPr>
          <w:rFonts w:ascii="Arial" w:hAnsi="Arial" w:cs="Arial"/>
          <w:color w:val="auto"/>
          <w:sz w:val="22"/>
          <w:szCs w:val="22"/>
        </w:rPr>
      </w:pPr>
      <w:bookmarkStart w:id="38" w:name="__RefHeading___Toc1569_1328646638"/>
      <w:bookmarkEnd w:id="38"/>
      <w:r>
        <w:rPr>
          <w:rFonts w:ascii="Arial" w:hAnsi="Arial" w:cs="Arial"/>
          <w:b/>
          <w:bCs/>
          <w:color w:val="auto"/>
          <w:sz w:val="28"/>
          <w:szCs w:val="22"/>
        </w:rPr>
        <w:t xml:space="preserve">4.4 </w:t>
      </w:r>
      <w:proofErr w:type="spellStart"/>
      <w:r>
        <w:rPr>
          <w:rFonts w:ascii="Arial" w:hAnsi="Arial" w:cs="Arial"/>
          <w:b/>
          <w:bCs/>
          <w:color w:val="auto"/>
          <w:sz w:val="28"/>
          <w:szCs w:val="22"/>
        </w:rPr>
        <w:t>Behavioural</w:t>
      </w:r>
      <w:proofErr w:type="spellEnd"/>
      <w:r>
        <w:rPr>
          <w:rFonts w:ascii="Arial" w:hAnsi="Arial" w:cs="Arial"/>
          <w:b/>
          <w:bCs/>
          <w:color w:val="auto"/>
          <w:sz w:val="28"/>
          <w:szCs w:val="22"/>
        </w:rPr>
        <w:t xml:space="preserve"> Outcomes in Dementia Care: Promising but Inconsistent Evidence</w:t>
      </w:r>
    </w:p>
    <w:p w14:paraId="1F52F4DC"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literature on </w:t>
      </w:r>
      <w:proofErr w:type="spellStart"/>
      <w:r>
        <w:rPr>
          <w:rFonts w:ascii="Arial" w:hAnsi="Arial" w:cs="Arial"/>
          <w:sz w:val="22"/>
          <w:szCs w:val="22"/>
        </w:rPr>
        <w:t>behavioural</w:t>
      </w:r>
      <w:proofErr w:type="spellEnd"/>
      <w:r>
        <w:rPr>
          <w:rFonts w:ascii="Arial" w:hAnsi="Arial" w:cs="Arial"/>
          <w:sz w:val="22"/>
          <w:szCs w:val="22"/>
        </w:rPr>
        <w:t xml:space="preserve"> outcomes presents a similarly nuanced picture. Drawing on </w:t>
      </w:r>
      <w:proofErr w:type="spellStart"/>
      <w:r>
        <w:rPr>
          <w:rFonts w:ascii="Arial" w:hAnsi="Arial" w:cs="Arial"/>
          <w:sz w:val="22"/>
          <w:szCs w:val="22"/>
        </w:rPr>
        <w:t>Kitwood's</w:t>
      </w:r>
      <w:proofErr w:type="spellEnd"/>
      <w:r>
        <w:rPr>
          <w:rFonts w:ascii="Arial" w:hAnsi="Arial" w:cs="Arial"/>
          <w:sz w:val="22"/>
          <w:szCs w:val="22"/>
        </w:rPr>
        <w:t xml:space="preserve"> (1997) foundational argument that </w:t>
      </w:r>
      <w:proofErr w:type="spellStart"/>
      <w:r>
        <w:rPr>
          <w:rFonts w:ascii="Arial" w:hAnsi="Arial" w:cs="Arial"/>
          <w:sz w:val="22"/>
          <w:szCs w:val="22"/>
        </w:rPr>
        <w:t>behavioural</w:t>
      </w:r>
      <w:proofErr w:type="spellEnd"/>
      <w:r>
        <w:rPr>
          <w:rFonts w:ascii="Arial" w:hAnsi="Arial" w:cs="Arial"/>
          <w:sz w:val="22"/>
          <w:szCs w:val="22"/>
        </w:rPr>
        <w:t xml:space="preserve"> and psychological symptoms of dementia, such as agitation and aggression, often represent unmet emotional needs rather than purely neurological decline, several studies provide empirical support for PCC as an effective means of reducing such </w:t>
      </w:r>
      <w:proofErr w:type="spellStart"/>
      <w:r>
        <w:rPr>
          <w:rFonts w:ascii="Arial" w:hAnsi="Arial" w:cs="Arial"/>
          <w:sz w:val="22"/>
          <w:szCs w:val="22"/>
        </w:rPr>
        <w:t>behaviours</w:t>
      </w:r>
      <w:proofErr w:type="spellEnd"/>
      <w:r>
        <w:rPr>
          <w:rFonts w:ascii="Arial" w:hAnsi="Arial" w:cs="Arial"/>
          <w:sz w:val="22"/>
          <w:szCs w:val="22"/>
        </w:rPr>
        <w:t xml:space="preserve">. Brooker and Latham (2016) found that PCC </w:t>
      </w:r>
      <w:r>
        <w:rPr>
          <w:rFonts w:ascii="Arial" w:hAnsi="Arial" w:cs="Arial"/>
          <w:sz w:val="22"/>
          <w:szCs w:val="22"/>
        </w:rPr>
        <w:lastRenderedPageBreak/>
        <w:t xml:space="preserve">interventions reduced distress </w:t>
      </w:r>
      <w:proofErr w:type="spellStart"/>
      <w:r>
        <w:rPr>
          <w:rFonts w:ascii="Arial" w:hAnsi="Arial" w:cs="Arial"/>
          <w:sz w:val="22"/>
          <w:szCs w:val="22"/>
        </w:rPr>
        <w:t>behaviours</w:t>
      </w:r>
      <w:proofErr w:type="spellEnd"/>
      <w:r>
        <w:rPr>
          <w:rFonts w:ascii="Arial" w:hAnsi="Arial" w:cs="Arial"/>
          <w:sz w:val="22"/>
          <w:szCs w:val="22"/>
        </w:rPr>
        <w:t xml:space="preserve"> through improved communication and emotional engagement, while Fossey et al. (2006) reported reductions in agitation following staff training in person-</w:t>
      </w:r>
      <w:proofErr w:type="spellStart"/>
      <w:r>
        <w:rPr>
          <w:rFonts w:ascii="Arial" w:hAnsi="Arial" w:cs="Arial"/>
          <w:sz w:val="22"/>
          <w:szCs w:val="22"/>
        </w:rPr>
        <w:t>centred</w:t>
      </w:r>
      <w:proofErr w:type="spellEnd"/>
      <w:r>
        <w:rPr>
          <w:rFonts w:ascii="Arial" w:hAnsi="Arial" w:cs="Arial"/>
          <w:sz w:val="22"/>
          <w:szCs w:val="22"/>
        </w:rPr>
        <w:t xml:space="preserve"> approaches.</w:t>
      </w:r>
    </w:p>
    <w:p w14:paraId="4C885F82"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These findings lend some support to the proposition that PCC can produce measurable improvements in dementia care outcomes, and they are consistent with the broader theoretical rationale for PCC discussed in Chapter Two, namely that distress </w:t>
      </w:r>
      <w:proofErr w:type="spellStart"/>
      <w:r>
        <w:rPr>
          <w:rFonts w:ascii="Arial" w:hAnsi="Arial" w:cs="Arial"/>
          <w:sz w:val="22"/>
          <w:szCs w:val="22"/>
        </w:rPr>
        <w:t>behaviours</w:t>
      </w:r>
      <w:proofErr w:type="spellEnd"/>
      <w:r>
        <w:rPr>
          <w:rFonts w:ascii="Arial" w:hAnsi="Arial" w:cs="Arial"/>
          <w:sz w:val="22"/>
          <w:szCs w:val="22"/>
        </w:rPr>
        <w:t xml:space="preserve"> often function as a form of communication when verbal expression is impaired. From a practical standpoint, this reframing of </w:t>
      </w:r>
      <w:proofErr w:type="spellStart"/>
      <w:r>
        <w:rPr>
          <w:rFonts w:ascii="Arial" w:hAnsi="Arial" w:cs="Arial"/>
          <w:sz w:val="22"/>
          <w:szCs w:val="22"/>
        </w:rPr>
        <w:t>behaviour</w:t>
      </w:r>
      <w:proofErr w:type="spellEnd"/>
      <w:r>
        <w:rPr>
          <w:rFonts w:ascii="Arial" w:hAnsi="Arial" w:cs="Arial"/>
          <w:sz w:val="22"/>
          <w:szCs w:val="22"/>
        </w:rPr>
        <w:t xml:space="preserve"> as communication, rather than as a problem to be managed or suppressed, represents one of the more significant conceptual contributions of PCC to dementia care, with clear implications for how care staff are trained to interpret and respond to residents' </w:t>
      </w:r>
      <w:proofErr w:type="spellStart"/>
      <w:r>
        <w:rPr>
          <w:rFonts w:ascii="Arial" w:hAnsi="Arial" w:cs="Arial"/>
          <w:sz w:val="22"/>
          <w:szCs w:val="22"/>
        </w:rPr>
        <w:t>behaviour</w:t>
      </w:r>
      <w:proofErr w:type="spellEnd"/>
      <w:r>
        <w:rPr>
          <w:rFonts w:ascii="Arial" w:hAnsi="Arial" w:cs="Arial"/>
          <w:sz w:val="22"/>
          <w:szCs w:val="22"/>
        </w:rPr>
        <w:t>.</w:t>
      </w:r>
    </w:p>
    <w:p w14:paraId="26C4D1EC"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However, the evidence is far from uniform. Chenoweth et al. (2009) found that, while some studies demonstrated significant </w:t>
      </w:r>
      <w:proofErr w:type="spellStart"/>
      <w:r>
        <w:rPr>
          <w:rFonts w:ascii="Arial" w:hAnsi="Arial" w:cs="Arial"/>
          <w:sz w:val="22"/>
          <w:szCs w:val="22"/>
        </w:rPr>
        <w:t>behavioural</w:t>
      </w:r>
      <w:proofErr w:type="spellEnd"/>
      <w:r>
        <w:rPr>
          <w:rFonts w:ascii="Arial" w:hAnsi="Arial" w:cs="Arial"/>
          <w:sz w:val="22"/>
          <w:szCs w:val="22"/>
        </w:rPr>
        <w:t xml:space="preserve"> improvements, others reported only modest or short-term effects, a pattern that this review interprets as reflecting differences in intervention design, depth of staff engagement, and </w:t>
      </w:r>
      <w:proofErr w:type="spellStart"/>
      <w:r>
        <w:rPr>
          <w:rFonts w:ascii="Arial" w:hAnsi="Arial" w:cs="Arial"/>
          <w:sz w:val="22"/>
          <w:szCs w:val="22"/>
        </w:rPr>
        <w:t>organisational</w:t>
      </w:r>
      <w:proofErr w:type="spellEnd"/>
      <w:r>
        <w:rPr>
          <w:rFonts w:ascii="Arial" w:hAnsi="Arial" w:cs="Arial"/>
          <w:sz w:val="22"/>
          <w:szCs w:val="22"/>
        </w:rPr>
        <w:t xml:space="preserve"> context rather than a fundamental flaw in PCC as a model. This inconsistency is significant in relation to the research question because it indicates that </w:t>
      </w:r>
      <w:proofErr w:type="spellStart"/>
      <w:r>
        <w:rPr>
          <w:rFonts w:ascii="Arial" w:hAnsi="Arial" w:cs="Arial"/>
          <w:sz w:val="22"/>
          <w:szCs w:val="22"/>
        </w:rPr>
        <w:t>behavioural</w:t>
      </w:r>
      <w:proofErr w:type="spellEnd"/>
      <w:r>
        <w:rPr>
          <w:rFonts w:ascii="Arial" w:hAnsi="Arial" w:cs="Arial"/>
          <w:sz w:val="22"/>
          <w:szCs w:val="22"/>
        </w:rPr>
        <w:t xml:space="preserve"> outcomes, much like psychological outcomes discussed in Section 4.3, cannot be assumed to follow automatically from the adoption of a person-</w:t>
      </w:r>
      <w:proofErr w:type="spellStart"/>
      <w:r>
        <w:rPr>
          <w:rFonts w:ascii="Arial" w:hAnsi="Arial" w:cs="Arial"/>
          <w:sz w:val="22"/>
          <w:szCs w:val="22"/>
        </w:rPr>
        <w:t>centred</w:t>
      </w:r>
      <w:proofErr w:type="spellEnd"/>
      <w:r>
        <w:rPr>
          <w:rFonts w:ascii="Arial" w:hAnsi="Arial" w:cs="Arial"/>
          <w:sz w:val="22"/>
          <w:szCs w:val="22"/>
        </w:rPr>
        <w:t xml:space="preserve"> approach; they appear instead to depend heavily on the intensity and quality of the intervention delivered.</w:t>
      </w:r>
    </w:p>
    <w:p w14:paraId="67B62073"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further critical issue concerns sustainability and </w:t>
      </w:r>
      <w:proofErr w:type="spellStart"/>
      <w:r>
        <w:rPr>
          <w:rFonts w:ascii="Arial" w:hAnsi="Arial" w:cs="Arial"/>
          <w:sz w:val="22"/>
          <w:szCs w:val="22"/>
        </w:rPr>
        <w:t>standardisation</w:t>
      </w:r>
      <w:proofErr w:type="spellEnd"/>
      <w:r>
        <w:rPr>
          <w:rFonts w:ascii="Arial" w:hAnsi="Arial" w:cs="Arial"/>
          <w:sz w:val="22"/>
          <w:szCs w:val="22"/>
        </w:rPr>
        <w:t xml:space="preserve">. Few studies in the reviewed literature examine whether </w:t>
      </w:r>
      <w:proofErr w:type="spellStart"/>
      <w:r>
        <w:rPr>
          <w:rFonts w:ascii="Arial" w:hAnsi="Arial" w:cs="Arial"/>
          <w:sz w:val="22"/>
          <w:szCs w:val="22"/>
        </w:rPr>
        <w:t>behavioural</w:t>
      </w:r>
      <w:proofErr w:type="spellEnd"/>
      <w:r>
        <w:rPr>
          <w:rFonts w:ascii="Arial" w:hAnsi="Arial" w:cs="Arial"/>
          <w:sz w:val="22"/>
          <w:szCs w:val="22"/>
        </w:rPr>
        <w:t xml:space="preserve"> improvements persist once active intervention ceases, raising important questions about the long-term viability of PCC-based approaches to managing </w:t>
      </w:r>
      <w:proofErr w:type="spellStart"/>
      <w:r>
        <w:rPr>
          <w:rFonts w:ascii="Arial" w:hAnsi="Arial" w:cs="Arial"/>
          <w:sz w:val="22"/>
          <w:szCs w:val="22"/>
        </w:rPr>
        <w:t>behavioural</w:t>
      </w:r>
      <w:proofErr w:type="spellEnd"/>
      <w:r>
        <w:rPr>
          <w:rFonts w:ascii="Arial" w:hAnsi="Arial" w:cs="Arial"/>
          <w:sz w:val="22"/>
          <w:szCs w:val="22"/>
        </w:rPr>
        <w:t xml:space="preserve"> symptoms (Chenoweth et al., 2009). This is a notable gap, given that sustainability is arguably central to the practical value of any care intervention; an approach that produces short-term </w:t>
      </w:r>
      <w:proofErr w:type="spellStart"/>
      <w:r>
        <w:rPr>
          <w:rFonts w:ascii="Arial" w:hAnsi="Arial" w:cs="Arial"/>
          <w:sz w:val="22"/>
          <w:szCs w:val="22"/>
        </w:rPr>
        <w:t>behavioural</w:t>
      </w:r>
      <w:proofErr w:type="spellEnd"/>
      <w:r>
        <w:rPr>
          <w:rFonts w:ascii="Arial" w:hAnsi="Arial" w:cs="Arial"/>
          <w:sz w:val="22"/>
          <w:szCs w:val="22"/>
        </w:rPr>
        <w:t xml:space="preserve"> improvement but requires constant, intensive reinforcement may be of more limited value in resource-constrained residential settings than one that produces more modest but durable change. Moreover, the marked variability in how PCC is </w:t>
      </w:r>
      <w:proofErr w:type="spellStart"/>
      <w:r>
        <w:rPr>
          <w:rFonts w:ascii="Arial" w:hAnsi="Arial" w:cs="Arial"/>
          <w:sz w:val="22"/>
          <w:szCs w:val="22"/>
        </w:rPr>
        <w:t>operationalised</w:t>
      </w:r>
      <w:proofErr w:type="spellEnd"/>
      <w:r>
        <w:rPr>
          <w:rFonts w:ascii="Arial" w:hAnsi="Arial" w:cs="Arial"/>
          <w:sz w:val="22"/>
          <w:szCs w:val="22"/>
        </w:rPr>
        <w:t xml:space="preserve"> in dementia care specifically, ranging from environmental modifications to communication training to comprehensive care planning, makes it difficult to draw clear comparative conclusions across the evidence base (Edvardsson et al., 2014). It is, for example, not possible from the current literature to determine with confidence whether environmental modifications alone produce comparable benefits to communication-focused training, or whether the benefits identified depend on a combination of approaches being applied simultaneously.</w:t>
      </w:r>
    </w:p>
    <w:p w14:paraId="5107D430" w14:textId="77777777" w:rsidR="00ED3AE6" w:rsidRDefault="008C38B0">
      <w:pPr>
        <w:spacing w:line="360" w:lineRule="auto"/>
        <w:jc w:val="both"/>
      </w:pPr>
      <w:r>
        <w:rPr>
          <w:rFonts w:ascii="Arial" w:hAnsi="Arial" w:cs="Arial"/>
          <w:sz w:val="22"/>
        </w:rPr>
        <w:t xml:space="preserve">Some more recent evidence offers a partial, cautious counterpoint on sustainability and scalability specifically: McDermid et al. (2024) found that a remotely delivered adaptation of </w:t>
      </w:r>
      <w:r>
        <w:rPr>
          <w:rFonts w:ascii="Arial" w:hAnsi="Arial" w:cs="Arial"/>
          <w:sz w:val="22"/>
        </w:rPr>
        <w:lastRenderedPageBreak/>
        <w:t xml:space="preserve">WHELD training, implemented across 149 UK nursing homes during the COVID-19 pandemic, produced significant improvements in quality of life and reduced psychotropic medication use without worsening agitation, suggesting that the resource burden of intensive in-person training may not be strictly necessary to </w:t>
      </w:r>
      <w:proofErr w:type="spellStart"/>
      <w:r>
        <w:rPr>
          <w:rFonts w:ascii="Arial" w:hAnsi="Arial" w:cs="Arial"/>
          <w:sz w:val="22"/>
        </w:rPr>
        <w:t>realise</w:t>
      </w:r>
      <w:proofErr w:type="spellEnd"/>
      <w:r>
        <w:rPr>
          <w:rFonts w:ascii="Arial" w:hAnsi="Arial" w:cs="Arial"/>
          <w:sz w:val="22"/>
        </w:rPr>
        <w:t xml:space="preserve"> some benefit. However, this should be weighed against the conclusion of a mixed-methods systematic review by Carrier et al. (2023), which found that the overall methodological quality of staff training research in this area remains weak, meaning that claims about which specific training format is most effective should be treated with corresponding caution.</w:t>
      </w:r>
    </w:p>
    <w:p w14:paraId="34640B4E" w14:textId="77777777" w:rsidR="00ED3AE6" w:rsidRDefault="008C38B0">
      <w:pPr>
        <w:spacing w:line="360" w:lineRule="auto"/>
        <w:jc w:val="both"/>
      </w:pPr>
      <w:r>
        <w:rPr>
          <w:rFonts w:ascii="Arial" w:hAnsi="Arial" w:cs="Arial"/>
          <w:sz w:val="22"/>
        </w:rPr>
        <w:t xml:space="preserve">This is consistent with an earlier systematic review by Spector, Orrell and Goyder (2013), which likewise found promising but methodologically weak evidence for staff training interventions targeting </w:t>
      </w:r>
      <w:proofErr w:type="spellStart"/>
      <w:r>
        <w:rPr>
          <w:rFonts w:ascii="Arial" w:hAnsi="Arial" w:cs="Arial"/>
          <w:sz w:val="22"/>
        </w:rPr>
        <w:t>behavioural</w:t>
      </w:r>
      <w:proofErr w:type="spellEnd"/>
      <w:r>
        <w:rPr>
          <w:rFonts w:ascii="Arial" w:hAnsi="Arial" w:cs="Arial"/>
          <w:sz w:val="22"/>
        </w:rPr>
        <w:t xml:space="preserve"> and psychological symptoms of dementia, suggesting this is a long-standing limitation of the evidence base rather than one specific to more recent studies.</w:t>
      </w:r>
    </w:p>
    <w:p w14:paraId="7D128F51"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Taken together, these findings suggest that PCC should be understood, in relation to </w:t>
      </w:r>
      <w:proofErr w:type="spellStart"/>
      <w:r>
        <w:rPr>
          <w:rFonts w:ascii="Arial" w:hAnsi="Arial" w:cs="Arial"/>
          <w:sz w:val="22"/>
          <w:szCs w:val="22"/>
        </w:rPr>
        <w:t>behavioural</w:t>
      </w:r>
      <w:proofErr w:type="spellEnd"/>
      <w:r>
        <w:rPr>
          <w:rFonts w:ascii="Arial" w:hAnsi="Arial" w:cs="Arial"/>
          <w:sz w:val="22"/>
          <w:szCs w:val="22"/>
        </w:rPr>
        <w:t xml:space="preserve"> outcomes, as a flexible framework with considerable promise rather than a </w:t>
      </w:r>
      <w:proofErr w:type="spellStart"/>
      <w:r>
        <w:rPr>
          <w:rFonts w:ascii="Arial" w:hAnsi="Arial" w:cs="Arial"/>
          <w:sz w:val="22"/>
          <w:szCs w:val="22"/>
        </w:rPr>
        <w:t>standardised</w:t>
      </w:r>
      <w:proofErr w:type="spellEnd"/>
      <w:r>
        <w:rPr>
          <w:rFonts w:ascii="Arial" w:hAnsi="Arial" w:cs="Arial"/>
          <w:sz w:val="22"/>
          <w:szCs w:val="22"/>
        </w:rPr>
        <w:t xml:space="preserve">, fully validated clinical intervention; this flexibility is simultaneously a strength, in that it allows adaptation to individual need and care setting, and a weakness, in that it complicates rigorous evaluation and comparison across studies, and may make it harder for care providers to know precisely which elements of PCC to </w:t>
      </w:r>
      <w:proofErr w:type="spellStart"/>
      <w:r>
        <w:rPr>
          <w:rFonts w:ascii="Arial" w:hAnsi="Arial" w:cs="Arial"/>
          <w:sz w:val="22"/>
          <w:szCs w:val="22"/>
        </w:rPr>
        <w:t>prioritise</w:t>
      </w:r>
      <w:proofErr w:type="spellEnd"/>
      <w:r>
        <w:rPr>
          <w:rFonts w:ascii="Arial" w:hAnsi="Arial" w:cs="Arial"/>
          <w:sz w:val="22"/>
          <w:szCs w:val="22"/>
        </w:rPr>
        <w:t xml:space="preserve"> when resources are limited.</w:t>
      </w:r>
    </w:p>
    <w:p w14:paraId="4C110A6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theme also carries an important practical implication for dementia care specifically. If </w:t>
      </w:r>
      <w:proofErr w:type="spellStart"/>
      <w:r>
        <w:rPr>
          <w:rFonts w:ascii="Arial" w:hAnsi="Arial" w:cs="Arial"/>
          <w:sz w:val="22"/>
          <w:szCs w:val="22"/>
        </w:rPr>
        <w:t>behavioural</w:t>
      </w:r>
      <w:proofErr w:type="spellEnd"/>
      <w:r>
        <w:rPr>
          <w:rFonts w:ascii="Arial" w:hAnsi="Arial" w:cs="Arial"/>
          <w:sz w:val="22"/>
          <w:szCs w:val="22"/>
        </w:rPr>
        <w:t xml:space="preserve"> improvements are heavily dependent on the depth of staff engagement and the comprehensiveness of training, as the evidence suggests, then brief or one-off training interventions, which are common in resource-constrained residential settings as a pragmatic response to high staff turnover, are unlikely to produce the same magnitude of benefit as the more sustained interventions described in studies such as Rokstad et al. (2013). This suggests a potential mismatch between the conditions under which PCC has been shown to be most effective in the research literature and the conditions under which it is typically delivered in everyday residential care practice, where time and budget for staff development are often severely limited.</w:t>
      </w:r>
    </w:p>
    <w:p w14:paraId="44C9653E" w14:textId="77777777" w:rsidR="00ED3AE6" w:rsidRDefault="008C38B0">
      <w:pPr>
        <w:pStyle w:val="Heading2"/>
        <w:spacing w:line="360" w:lineRule="auto"/>
        <w:jc w:val="both"/>
        <w:rPr>
          <w:rFonts w:ascii="Arial" w:hAnsi="Arial" w:cs="Arial"/>
          <w:color w:val="auto"/>
          <w:sz w:val="22"/>
          <w:szCs w:val="22"/>
        </w:rPr>
      </w:pPr>
      <w:bookmarkStart w:id="39" w:name="__RefHeading___Toc1571_1328646638"/>
      <w:bookmarkEnd w:id="39"/>
      <w:r>
        <w:rPr>
          <w:rFonts w:ascii="Arial" w:hAnsi="Arial" w:cs="Arial"/>
          <w:b/>
          <w:bCs/>
          <w:color w:val="auto"/>
          <w:sz w:val="28"/>
          <w:szCs w:val="22"/>
        </w:rPr>
        <w:t>4.5 Social Interaction and Quality of Life: Difficult to Isolate, Difficult to Measure</w:t>
      </w:r>
    </w:p>
    <w:p w14:paraId="7D3DC21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further theme arising from the literature concerns the impact of PCC on social interaction and broader quality of life. There is evidence that PCC can enhance relationships between staff and residents, fostering increased trust, communication, and engagement (DHSC, 2021). This is a meaningful finding given that social isolation is a </w:t>
      </w:r>
      <w:proofErr w:type="spellStart"/>
      <w:r>
        <w:rPr>
          <w:rFonts w:ascii="Arial" w:hAnsi="Arial" w:cs="Arial"/>
          <w:sz w:val="22"/>
          <w:szCs w:val="22"/>
        </w:rPr>
        <w:t>recognised</w:t>
      </w:r>
      <w:proofErr w:type="spellEnd"/>
      <w:r>
        <w:rPr>
          <w:rFonts w:ascii="Arial" w:hAnsi="Arial" w:cs="Arial"/>
          <w:sz w:val="22"/>
          <w:szCs w:val="22"/>
        </w:rPr>
        <w:t xml:space="preserve"> risk factor for </w:t>
      </w:r>
      <w:r>
        <w:rPr>
          <w:rFonts w:ascii="Arial" w:hAnsi="Arial" w:cs="Arial"/>
          <w:sz w:val="22"/>
          <w:szCs w:val="22"/>
        </w:rPr>
        <w:lastRenderedPageBreak/>
        <w:t xml:space="preserve">poor outcomes among older adults in residential care, as noted in Chapter One, and it suggests that PCC may have value not only for clinical or </w:t>
      </w:r>
      <w:proofErr w:type="spellStart"/>
      <w:r>
        <w:rPr>
          <w:rFonts w:ascii="Arial" w:hAnsi="Arial" w:cs="Arial"/>
          <w:sz w:val="22"/>
          <w:szCs w:val="22"/>
        </w:rPr>
        <w:t>behavioural</w:t>
      </w:r>
      <w:proofErr w:type="spellEnd"/>
      <w:r>
        <w:rPr>
          <w:rFonts w:ascii="Arial" w:hAnsi="Arial" w:cs="Arial"/>
          <w:sz w:val="22"/>
          <w:szCs w:val="22"/>
        </w:rPr>
        <w:t xml:space="preserve"> outcomes narrowly defined, but for the broader relational quality of residents' day-to-day lives.</w:t>
      </w:r>
    </w:p>
    <w:p w14:paraId="454C63B2" w14:textId="77777777" w:rsidR="00ED3AE6" w:rsidRDefault="008C38B0">
      <w:pPr>
        <w:spacing w:line="360" w:lineRule="auto"/>
        <w:jc w:val="both"/>
        <w:rPr>
          <w:rFonts w:ascii="Arial" w:hAnsi="Arial" w:cs="Arial"/>
          <w:sz w:val="22"/>
          <w:szCs w:val="22"/>
        </w:rPr>
      </w:pPr>
      <w:r>
        <w:rPr>
          <w:rFonts w:ascii="Arial" w:hAnsi="Arial" w:cs="Arial"/>
          <w:sz w:val="22"/>
          <w:szCs w:val="22"/>
        </w:rPr>
        <w:t>However, this review identifies quality of life as a particularly challenging outcome to attribute to PCC specifically. As Lawton (1994) notes, quality of life in older adults is shaped by a wide range of factors beyond care practices, including health status, physical environment, and broader social relationships, many of which lie outside the direct influence of a care intervention such as PCC. This conceptual point has significant implications for how the findings of individual studies should be interpreted; even a well-designed and well-implemented PCC intervention may show only modest effects on overall quality of life simply because quality of life is influenced by so many factors beyond the scope of any single intervention. Consistent with this, the literature reviewed reports mixed findings: while some studies identify significant improvements in quality of life associated with PCC, others report minimal or inconsistent effects (Brownie and Nancarrow, 2013).</w:t>
      </w:r>
    </w:p>
    <w:p w14:paraId="1E996E12"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inconsistency is compounded by methodological variation in how quality of life is measured. Some studies employ validated instruments, such as the Quality of Life in Alzheimer's Disease scale, while others rely on more subjective or informally constructed assessments (Brooker and Latham, 2016), limiting comparability across the evidence base and weakening the strength of any overall conclusion. This methodological inconsistency, evident also in the discussion of psychological and </w:t>
      </w:r>
      <w:proofErr w:type="spellStart"/>
      <w:r>
        <w:rPr>
          <w:rFonts w:ascii="Arial" w:hAnsi="Arial" w:cs="Arial"/>
          <w:sz w:val="22"/>
          <w:szCs w:val="22"/>
        </w:rPr>
        <w:t>behavioural</w:t>
      </w:r>
      <w:proofErr w:type="spellEnd"/>
      <w:r>
        <w:rPr>
          <w:rFonts w:ascii="Arial" w:hAnsi="Arial" w:cs="Arial"/>
          <w:sz w:val="22"/>
          <w:szCs w:val="22"/>
        </w:rPr>
        <w:t xml:space="preserve"> outcomes above, represents a recurring weakness across the PCC evidence base as a whole, suggesting that the field would benefit from greater </w:t>
      </w:r>
      <w:proofErr w:type="spellStart"/>
      <w:r>
        <w:rPr>
          <w:rFonts w:ascii="Arial" w:hAnsi="Arial" w:cs="Arial"/>
          <w:sz w:val="22"/>
          <w:szCs w:val="22"/>
        </w:rPr>
        <w:t>standardisation</w:t>
      </w:r>
      <w:proofErr w:type="spellEnd"/>
      <w:r>
        <w:rPr>
          <w:rFonts w:ascii="Arial" w:hAnsi="Arial" w:cs="Arial"/>
          <w:sz w:val="22"/>
          <w:szCs w:val="22"/>
        </w:rPr>
        <w:t xml:space="preserve"> in outcome measurement to allow for more confident synthesis of findings in future research.</w:t>
      </w:r>
    </w:p>
    <w:p w14:paraId="7F206A2C" w14:textId="77777777" w:rsidR="00ED3AE6" w:rsidRDefault="008C38B0">
      <w:pPr>
        <w:spacing w:line="360" w:lineRule="auto"/>
        <w:jc w:val="both"/>
      </w:pPr>
      <w:r>
        <w:rPr>
          <w:rFonts w:ascii="Arial" w:hAnsi="Arial" w:cs="Arial"/>
          <w:sz w:val="22"/>
        </w:rPr>
        <w:t xml:space="preserve">This is not merely an incidental limitation of the studies reviewed but a </w:t>
      </w:r>
      <w:proofErr w:type="spellStart"/>
      <w:r>
        <w:rPr>
          <w:rFonts w:ascii="Arial" w:hAnsi="Arial" w:cs="Arial"/>
          <w:sz w:val="22"/>
        </w:rPr>
        <w:t>recognised</w:t>
      </w:r>
      <w:proofErr w:type="spellEnd"/>
      <w:r>
        <w:rPr>
          <w:rFonts w:ascii="Arial" w:hAnsi="Arial" w:cs="Arial"/>
          <w:sz w:val="22"/>
        </w:rPr>
        <w:t xml:space="preserve"> weakness in the wider field: a systematic review by Aspden et al. (2014) of quality-of-life instruments validated for use in care homes found that few available measures had been adequately tested for reliability and responsiveness in this population, while foundational instrument-development work such as Smith et al. (2005) and Kane et al. (2003) illustrates just how methodologically demanding it is to </w:t>
      </w:r>
      <w:proofErr w:type="spellStart"/>
      <w:r>
        <w:rPr>
          <w:rFonts w:ascii="Arial" w:hAnsi="Arial" w:cs="Arial"/>
          <w:sz w:val="22"/>
        </w:rPr>
        <w:t>operationalise</w:t>
      </w:r>
      <w:proofErr w:type="spellEnd"/>
      <w:r>
        <w:rPr>
          <w:rFonts w:ascii="Arial" w:hAnsi="Arial" w:cs="Arial"/>
          <w:sz w:val="22"/>
        </w:rPr>
        <w:t xml:space="preserve"> "quality of life" as a measurable construct at all. This reinforces the conclusion that inconsistent findings across the PCC literature may partly reflect measurement limitations rather than the true absence of an effect.</w:t>
      </w:r>
    </w:p>
    <w:p w14:paraId="19961EAF" w14:textId="77777777" w:rsidR="00ED3AE6" w:rsidRDefault="008C38B0">
      <w:pPr>
        <w:spacing w:line="360" w:lineRule="auto"/>
        <w:jc w:val="both"/>
      </w:pPr>
      <w:r>
        <w:rPr>
          <w:rFonts w:ascii="Arial" w:hAnsi="Arial" w:cs="Arial"/>
          <w:sz w:val="22"/>
        </w:rPr>
        <w:t>Generic instruments developed for the broader older-adult population, such as the OPQOL-brief (Bowling et al., 2013), extend applicability beyond dementia-specific populations but were not designed to capture the particular presentation of quality of life among residents with more advanced cognitive impairment.</w:t>
      </w:r>
    </w:p>
    <w:p w14:paraId="2F23ED6D"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further critical finding, with significant implications for equity in residential care, is that individuals with higher cognitive functioning appear to benefit more from PCC interventions </w:t>
      </w:r>
      <w:r>
        <w:rPr>
          <w:rFonts w:ascii="Arial" w:hAnsi="Arial" w:cs="Arial"/>
          <w:sz w:val="22"/>
          <w:szCs w:val="22"/>
        </w:rPr>
        <w:lastRenderedPageBreak/>
        <w:t>than those with advanced dementia (Rokstad et al., 2013). This raises an important ethical concern: if PCC, as currently implemented, systematically benefits some residents more than others on the basis of cognitive status, this calls into question whether current models of PCC are sufficiently inclusive of the most vulnerable residents within residential care settings, who may also be those with the greatest need. This finding suggests that residents with advanced dementia may require more intensive, individually tailored, or differently designed person-</w:t>
      </w:r>
      <w:proofErr w:type="spellStart"/>
      <w:r>
        <w:rPr>
          <w:rFonts w:ascii="Arial" w:hAnsi="Arial" w:cs="Arial"/>
          <w:sz w:val="22"/>
          <w:szCs w:val="22"/>
        </w:rPr>
        <w:t>centred</w:t>
      </w:r>
      <w:proofErr w:type="spellEnd"/>
      <w:r>
        <w:rPr>
          <w:rFonts w:ascii="Arial" w:hAnsi="Arial" w:cs="Arial"/>
          <w:sz w:val="22"/>
          <w:szCs w:val="22"/>
        </w:rPr>
        <w:t xml:space="preserve"> interventions in order to derive comparable benefit, rather than being served adequately by approaches originally developed with a broader population of older adults in mind. This has clear implications for how PCC training and care planning should be differentiated according to residents' level of cognitive impairment, a point developed further in the recommendations presented in Chapter Five.</w:t>
      </w:r>
    </w:p>
    <w:p w14:paraId="10583DE0" w14:textId="77777777" w:rsidR="00ED3AE6" w:rsidRDefault="008C38B0">
      <w:pPr>
        <w:pStyle w:val="Heading2"/>
        <w:spacing w:line="360" w:lineRule="auto"/>
        <w:jc w:val="both"/>
        <w:rPr>
          <w:rFonts w:ascii="Arial" w:hAnsi="Arial" w:cs="Arial"/>
          <w:color w:val="auto"/>
          <w:sz w:val="22"/>
          <w:szCs w:val="22"/>
        </w:rPr>
      </w:pPr>
      <w:bookmarkStart w:id="40" w:name="__RefHeading___Toc1573_1328646638"/>
      <w:bookmarkEnd w:id="40"/>
      <w:r>
        <w:rPr>
          <w:rFonts w:ascii="Arial" w:hAnsi="Arial" w:cs="Arial"/>
          <w:b/>
          <w:bCs/>
          <w:color w:val="auto"/>
          <w:sz w:val="28"/>
          <w:szCs w:val="22"/>
        </w:rPr>
        <w:t>4.6 Barriers to Implementation: Structural Constraints on Person-</w:t>
      </w:r>
      <w:proofErr w:type="spellStart"/>
      <w:r>
        <w:rPr>
          <w:rFonts w:ascii="Arial" w:hAnsi="Arial" w:cs="Arial"/>
          <w:b/>
          <w:bCs/>
          <w:color w:val="auto"/>
          <w:sz w:val="28"/>
          <w:szCs w:val="22"/>
        </w:rPr>
        <w:t>Centred</w:t>
      </w:r>
      <w:proofErr w:type="spellEnd"/>
      <w:r>
        <w:rPr>
          <w:rFonts w:ascii="Arial" w:hAnsi="Arial" w:cs="Arial"/>
          <w:b/>
          <w:bCs/>
          <w:color w:val="auto"/>
          <w:sz w:val="28"/>
          <w:szCs w:val="22"/>
        </w:rPr>
        <w:t xml:space="preserve"> Ideals</w:t>
      </w:r>
    </w:p>
    <w:p w14:paraId="244A749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The literature consistently and unambiguously identifies a range of structural barriers that constrain the implementation of PCC in residential care settings, and this review treats this as one of the most significant findings in relation to the research question. Staffing shortages emerge as the most frequently cited barrier, limiting the time available for the </w:t>
      </w:r>
      <w:proofErr w:type="spellStart"/>
      <w:r>
        <w:rPr>
          <w:rFonts w:ascii="Arial" w:hAnsi="Arial" w:cs="Arial"/>
          <w:sz w:val="22"/>
          <w:szCs w:val="22"/>
        </w:rPr>
        <w:t>personalised</w:t>
      </w:r>
      <w:proofErr w:type="spellEnd"/>
      <w:r>
        <w:rPr>
          <w:rFonts w:ascii="Arial" w:hAnsi="Arial" w:cs="Arial"/>
          <w:sz w:val="22"/>
          <w:szCs w:val="22"/>
        </w:rPr>
        <w:t xml:space="preserve"> interaction that PCC requires (The King's Fund, 2021), with the result that care provision can become task-oriented by necessity rather than by choice, directly undermining the principles PCC is intended to embody. This finding is particularly significant because it suggests that, in many cases, the failure of PCC to deliver consistent benefits documented throughout this chapter may reflect insufficient staffing resource rather than any deficiency in the model itself; care staff working under significant time pressure may simply lack the capacity to engage in the kind of </w:t>
      </w:r>
      <w:proofErr w:type="spellStart"/>
      <w:r>
        <w:rPr>
          <w:rFonts w:ascii="Arial" w:hAnsi="Arial" w:cs="Arial"/>
          <w:sz w:val="22"/>
          <w:szCs w:val="22"/>
        </w:rPr>
        <w:t>individualised</w:t>
      </w:r>
      <w:proofErr w:type="spellEnd"/>
      <w:r>
        <w:rPr>
          <w:rFonts w:ascii="Arial" w:hAnsi="Arial" w:cs="Arial"/>
          <w:sz w:val="22"/>
          <w:szCs w:val="22"/>
        </w:rPr>
        <w:t>, relational care that PCC envisages, regardless of their training or personal commitment to person-</w:t>
      </w:r>
      <w:proofErr w:type="spellStart"/>
      <w:r>
        <w:rPr>
          <w:rFonts w:ascii="Arial" w:hAnsi="Arial" w:cs="Arial"/>
          <w:sz w:val="22"/>
          <w:szCs w:val="22"/>
        </w:rPr>
        <w:t>centred</w:t>
      </w:r>
      <w:proofErr w:type="spellEnd"/>
      <w:r>
        <w:rPr>
          <w:rFonts w:ascii="Arial" w:hAnsi="Arial" w:cs="Arial"/>
          <w:sz w:val="22"/>
          <w:szCs w:val="22"/>
        </w:rPr>
        <w:t xml:space="preserve"> values.</w:t>
      </w:r>
    </w:p>
    <w:p w14:paraId="5767CA3A" w14:textId="77777777" w:rsidR="00ED3AE6" w:rsidRDefault="008C38B0">
      <w:pPr>
        <w:spacing w:line="360" w:lineRule="auto"/>
        <w:jc w:val="both"/>
        <w:rPr>
          <w:rFonts w:ascii="Arial" w:hAnsi="Arial" w:cs="Arial"/>
          <w:sz w:val="22"/>
          <w:szCs w:val="22"/>
        </w:rPr>
      </w:pPr>
      <w:r>
        <w:rPr>
          <w:rFonts w:ascii="Arial" w:hAnsi="Arial" w:cs="Arial"/>
          <w:sz w:val="22"/>
          <w:szCs w:val="22"/>
        </w:rPr>
        <w:t>Inadequate training represents a second significant barrier. PCC requires sophisticated communication and relational skills that extend well beyond basic care tasks, yet the literature indicates that many care workers receive limited formal training in these areas (Dewing, 2008), a gap that this review interprets as a key explanatory factor behind the inconsistent outcomes discussed in Sections 4.3 and 4.4 above. Where studies report strong positive outcomes associated with PCC, structured staff training is frequently present as a contextual factor (Rokstad et al., 2013); where outcomes are weaker or inconsistent, training appears comparatively limited or absent. This pattern across the literature lends weight to the interpretation that training quality is one of the most important moderating variables in determining whether PCC succeeds or fails in a given setting.</w:t>
      </w:r>
    </w:p>
    <w:p w14:paraId="43C5F933" w14:textId="77777777" w:rsidR="00ED3AE6" w:rsidRDefault="008C38B0">
      <w:pPr>
        <w:spacing w:line="360" w:lineRule="auto"/>
        <w:jc w:val="both"/>
      </w:pPr>
      <w:r>
        <w:rPr>
          <w:rFonts w:ascii="Arial" w:hAnsi="Arial" w:cs="Arial"/>
          <w:sz w:val="22"/>
        </w:rPr>
        <w:lastRenderedPageBreak/>
        <w:t>The consequences of these combined pressures extend to staff wellbeing itself, with implications that compound the barriers already discussed. Costello et al. (2019), in a systematic review and meta-analysis, found consistently elevated rates of stress and burnout among long-term dementia care staff, a finding this review interprets as evidence of a self-reinforcing cycle: understaffing and inadequate training contribute to burnout, and burnout in turn further erodes staff capacity to deliver the emotionally attuned, relational care that PCC requires.</w:t>
      </w:r>
    </w:p>
    <w:p w14:paraId="1CF5E31C"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Organisational</w:t>
      </w:r>
      <w:proofErr w:type="spellEnd"/>
      <w:r>
        <w:rPr>
          <w:rFonts w:ascii="Arial" w:hAnsi="Arial" w:cs="Arial"/>
          <w:sz w:val="22"/>
          <w:szCs w:val="22"/>
        </w:rPr>
        <w:t xml:space="preserve"> culture is identified as a further critical factor: in environments oriented primarily around efficiency, risk management, and regulatory compliance, PCC may be structurally </w:t>
      </w:r>
      <w:proofErr w:type="spellStart"/>
      <w:r>
        <w:rPr>
          <w:rFonts w:ascii="Arial" w:hAnsi="Arial" w:cs="Arial"/>
          <w:sz w:val="22"/>
          <w:szCs w:val="22"/>
        </w:rPr>
        <w:t>deprioritised</w:t>
      </w:r>
      <w:proofErr w:type="spellEnd"/>
      <w:r>
        <w:rPr>
          <w:rFonts w:ascii="Arial" w:hAnsi="Arial" w:cs="Arial"/>
          <w:sz w:val="22"/>
          <w:szCs w:val="22"/>
        </w:rPr>
        <w:t xml:space="preserve">, whereas </w:t>
      </w:r>
      <w:proofErr w:type="spellStart"/>
      <w:r>
        <w:rPr>
          <w:rFonts w:ascii="Arial" w:hAnsi="Arial" w:cs="Arial"/>
          <w:sz w:val="22"/>
          <w:szCs w:val="22"/>
        </w:rPr>
        <w:t>organisations</w:t>
      </w:r>
      <w:proofErr w:type="spellEnd"/>
      <w:r>
        <w:rPr>
          <w:rFonts w:ascii="Arial" w:hAnsi="Arial" w:cs="Arial"/>
          <w:sz w:val="22"/>
          <w:szCs w:val="22"/>
        </w:rPr>
        <w:t xml:space="preserve"> </w:t>
      </w:r>
      <w:proofErr w:type="spellStart"/>
      <w:r>
        <w:rPr>
          <w:rFonts w:ascii="Arial" w:hAnsi="Arial" w:cs="Arial"/>
          <w:sz w:val="22"/>
          <w:szCs w:val="22"/>
        </w:rPr>
        <w:t>characterised</w:t>
      </w:r>
      <w:proofErr w:type="spellEnd"/>
      <w:r>
        <w:rPr>
          <w:rFonts w:ascii="Arial" w:hAnsi="Arial" w:cs="Arial"/>
          <w:sz w:val="22"/>
          <w:szCs w:val="22"/>
        </w:rPr>
        <w:t xml:space="preserve"> by supportive leadership and a culture of reflective practice appear more able to embed PCC successfully (McCormack et al., 2010). This finding aligns closely with the theoretical point made in Chapter Two that PCC should be understood as a system-level, rather than purely individual-level, intervention; an individual care worker with excellent person-</w:t>
      </w:r>
      <w:proofErr w:type="spellStart"/>
      <w:r>
        <w:rPr>
          <w:rFonts w:ascii="Arial" w:hAnsi="Arial" w:cs="Arial"/>
          <w:sz w:val="22"/>
          <w:szCs w:val="22"/>
        </w:rPr>
        <w:t>centred</w:t>
      </w:r>
      <w:proofErr w:type="spellEnd"/>
      <w:r>
        <w:rPr>
          <w:rFonts w:ascii="Arial" w:hAnsi="Arial" w:cs="Arial"/>
          <w:sz w:val="22"/>
          <w:szCs w:val="22"/>
        </w:rPr>
        <w:t xml:space="preserve"> values and skills may nonetheless be unable to deliver person-</w:t>
      </w:r>
      <w:proofErr w:type="spellStart"/>
      <w:r>
        <w:rPr>
          <w:rFonts w:ascii="Arial" w:hAnsi="Arial" w:cs="Arial"/>
          <w:sz w:val="22"/>
          <w:szCs w:val="22"/>
        </w:rPr>
        <w:t>centred</w:t>
      </w:r>
      <w:proofErr w:type="spellEnd"/>
      <w:r>
        <w:rPr>
          <w:rFonts w:ascii="Arial" w:hAnsi="Arial" w:cs="Arial"/>
          <w:sz w:val="22"/>
          <w:szCs w:val="22"/>
        </w:rPr>
        <w:t xml:space="preserve"> care consistently if the wider </w:t>
      </w:r>
      <w:proofErr w:type="spellStart"/>
      <w:r>
        <w:rPr>
          <w:rFonts w:ascii="Arial" w:hAnsi="Arial" w:cs="Arial"/>
          <w:sz w:val="22"/>
          <w:szCs w:val="22"/>
        </w:rPr>
        <w:t>organisational</w:t>
      </w:r>
      <w:proofErr w:type="spellEnd"/>
      <w:r>
        <w:rPr>
          <w:rFonts w:ascii="Arial" w:hAnsi="Arial" w:cs="Arial"/>
          <w:sz w:val="22"/>
          <w:szCs w:val="22"/>
        </w:rPr>
        <w:t xml:space="preserve"> culture does not support, value, or allow time for this approach.</w:t>
      </w:r>
    </w:p>
    <w:p w14:paraId="20166AE3" w14:textId="77777777" w:rsidR="00ED3AE6" w:rsidRDefault="008C38B0">
      <w:pPr>
        <w:spacing w:line="360" w:lineRule="auto"/>
        <w:jc w:val="both"/>
      </w:pPr>
      <w:r>
        <w:rPr>
          <w:rFonts w:ascii="Arial" w:hAnsi="Arial" w:cs="Arial"/>
          <w:sz w:val="22"/>
        </w:rPr>
        <w:t xml:space="preserve">This finding is consistent with international culture-change literature: Hill et al. (2011) found that improvements in resident outcomes in long-term care were consistently linked to sustained </w:t>
      </w:r>
      <w:proofErr w:type="spellStart"/>
      <w:r>
        <w:rPr>
          <w:rFonts w:ascii="Arial" w:hAnsi="Arial" w:cs="Arial"/>
          <w:sz w:val="22"/>
        </w:rPr>
        <w:t>organisational</w:t>
      </w:r>
      <w:proofErr w:type="spellEnd"/>
      <w:r>
        <w:rPr>
          <w:rFonts w:ascii="Arial" w:hAnsi="Arial" w:cs="Arial"/>
          <w:sz w:val="22"/>
        </w:rPr>
        <w:t xml:space="preserve"> commitment rather than short-term training initiatives, suggesting that the </w:t>
      </w:r>
      <w:proofErr w:type="spellStart"/>
      <w:r>
        <w:rPr>
          <w:rFonts w:ascii="Arial" w:hAnsi="Arial" w:cs="Arial"/>
          <w:sz w:val="22"/>
        </w:rPr>
        <w:t>organisational</w:t>
      </w:r>
      <w:proofErr w:type="spellEnd"/>
      <w:r>
        <w:rPr>
          <w:rFonts w:ascii="Arial" w:hAnsi="Arial" w:cs="Arial"/>
          <w:sz w:val="22"/>
        </w:rPr>
        <w:t xml:space="preserve"> barriers to PCC identified in this review are not unique to the UK context but reflect a broader, structural feature of institutional long-term care.</w:t>
      </w:r>
    </w:p>
    <w:p w14:paraId="170F4568" w14:textId="77777777" w:rsidR="00ED3AE6" w:rsidRDefault="008C38B0">
      <w:pPr>
        <w:spacing w:line="360" w:lineRule="auto"/>
        <w:jc w:val="both"/>
        <w:rPr>
          <w:rFonts w:ascii="Arial" w:hAnsi="Arial" w:cs="Arial"/>
          <w:sz w:val="22"/>
          <w:szCs w:val="22"/>
        </w:rPr>
      </w:pPr>
      <w:r>
        <w:rPr>
          <w:rFonts w:ascii="Arial" w:hAnsi="Arial" w:cs="Arial"/>
          <w:sz w:val="22"/>
          <w:szCs w:val="22"/>
        </w:rPr>
        <w:t>Finally, resource constraints, encompassing staffing levels, financial investment, and time, are repeatedly identified as fundamental enablers or inhibitors of PCC, particularly within underfunded residential care settings (Spilsbury et al., 2015). This is a particularly pressing concern within the current UK context, in which residential and long-term care services more broadly are widely reported to face significant financial pressure; this suggests that the barriers to PCC implementation identified in the literature are unlikely to be resolved through training or cultural change alone, in the absence of adequate financial investment in the sector.</w:t>
      </w:r>
    </w:p>
    <w:p w14:paraId="3FE67070" w14:textId="77777777" w:rsidR="00ED3AE6" w:rsidRDefault="008C38B0">
      <w:pPr>
        <w:spacing w:line="360" w:lineRule="auto"/>
        <w:jc w:val="both"/>
        <w:rPr>
          <w:rFonts w:ascii="Arial" w:hAnsi="Arial" w:cs="Arial"/>
          <w:sz w:val="22"/>
          <w:szCs w:val="22"/>
        </w:rPr>
      </w:pPr>
      <w:bookmarkStart w:id="41" w:name="__RefHeading___Toc1601_1328646638"/>
      <w:bookmarkEnd w:id="41"/>
      <w:r>
        <w:rPr>
          <w:rFonts w:ascii="Arial" w:hAnsi="Arial" w:cs="Arial"/>
          <w:sz w:val="22"/>
          <w:szCs w:val="22"/>
        </w:rPr>
        <w:t xml:space="preserve">Taken together, this evidence strongly suggests that the inconsistencies in PCC outcomes identified throughout this chapter are not primarily attributable to weaknesses in PCC as a theoretical model, but rather to the structural and </w:t>
      </w:r>
      <w:proofErr w:type="spellStart"/>
      <w:r>
        <w:rPr>
          <w:rFonts w:ascii="Arial" w:hAnsi="Arial" w:cs="Arial"/>
          <w:sz w:val="22"/>
          <w:szCs w:val="22"/>
        </w:rPr>
        <w:t>organisational</w:t>
      </w:r>
      <w:proofErr w:type="spellEnd"/>
      <w:r>
        <w:rPr>
          <w:rFonts w:ascii="Arial" w:hAnsi="Arial" w:cs="Arial"/>
          <w:sz w:val="22"/>
          <w:szCs w:val="22"/>
        </w:rPr>
        <w:t xml:space="preserve"> conditions within which it is implemented. This is a critical distinction for answering the research question: it indicates that the central issue is not whether PCC can improve outcomes, but whether residential care settings are adequately resourced, staffed, and </w:t>
      </w:r>
      <w:proofErr w:type="spellStart"/>
      <w:r>
        <w:rPr>
          <w:rFonts w:ascii="Arial" w:hAnsi="Arial" w:cs="Arial"/>
          <w:sz w:val="22"/>
          <w:szCs w:val="22"/>
        </w:rPr>
        <w:t>organised</w:t>
      </w:r>
      <w:proofErr w:type="spellEnd"/>
      <w:r>
        <w:rPr>
          <w:rFonts w:ascii="Arial" w:hAnsi="Arial" w:cs="Arial"/>
          <w:sz w:val="22"/>
          <w:szCs w:val="22"/>
        </w:rPr>
        <w:t xml:space="preserve"> to enable it to do so consistently and at scale.</w:t>
      </w:r>
    </w:p>
    <w:p w14:paraId="0674415F" w14:textId="77777777" w:rsidR="00922E6A" w:rsidRDefault="00922E6A">
      <w:pPr>
        <w:pStyle w:val="TableCaption"/>
        <w:spacing w:line="360" w:lineRule="auto"/>
        <w:jc w:val="both"/>
        <w:rPr>
          <w:rFonts w:ascii="Arial" w:hAnsi="Arial" w:cs="Arial"/>
          <w:b/>
          <w:bCs/>
          <w:i/>
          <w:iCs/>
          <w:sz w:val="22"/>
          <w:szCs w:val="22"/>
        </w:rPr>
      </w:pPr>
      <w:bookmarkStart w:id="42" w:name="__RefHeading___Toc1371_2390222576"/>
      <w:bookmarkEnd w:id="42"/>
    </w:p>
    <w:p w14:paraId="34FC9455" w14:textId="77777777" w:rsidR="00ED3AE6" w:rsidRDefault="008C38B0">
      <w:pPr>
        <w:pStyle w:val="TableCaption"/>
        <w:spacing w:line="360" w:lineRule="auto"/>
        <w:jc w:val="both"/>
        <w:rPr>
          <w:rFonts w:ascii="Arial" w:hAnsi="Arial" w:cs="Arial"/>
          <w:sz w:val="22"/>
          <w:szCs w:val="22"/>
        </w:rPr>
      </w:pPr>
      <w:r>
        <w:rPr>
          <w:rFonts w:ascii="Arial" w:hAnsi="Arial" w:cs="Arial"/>
          <w:b/>
          <w:bCs/>
          <w:i/>
          <w:iCs/>
          <w:sz w:val="22"/>
          <w:szCs w:val="22"/>
        </w:rPr>
        <w:lastRenderedPageBreak/>
        <w:t xml:space="preserve">Table </w:t>
      </w:r>
      <w:proofErr w:type="gramStart"/>
      <w:r>
        <w:rPr>
          <w:rFonts w:ascii="Arial" w:hAnsi="Arial" w:cs="Arial"/>
          <w:b/>
          <w:bCs/>
          <w:i/>
          <w:iCs/>
          <w:sz w:val="22"/>
          <w:szCs w:val="22"/>
        </w:rPr>
        <w:t>4.2  Barriers</w:t>
      </w:r>
      <w:proofErr w:type="gramEnd"/>
      <w:r>
        <w:rPr>
          <w:rFonts w:ascii="Arial" w:hAnsi="Arial" w:cs="Arial"/>
          <w:b/>
          <w:bCs/>
          <w:i/>
          <w:iCs/>
          <w:sz w:val="22"/>
          <w:szCs w:val="22"/>
        </w:rPr>
        <w:t xml:space="preserve"> to the Implementation of PCC in UK Residential Care</w:t>
      </w:r>
    </w:p>
    <w:tbl>
      <w:tblPr>
        <w:tblStyle w:val="TableGrid"/>
        <w:tblW w:w="9400" w:type="dxa"/>
        <w:tblLayout w:type="fixed"/>
        <w:tblLook w:val="0000" w:firstRow="0" w:lastRow="0" w:firstColumn="0" w:lastColumn="0" w:noHBand="0" w:noVBand="0"/>
      </w:tblPr>
      <w:tblGrid>
        <w:gridCol w:w="2198"/>
        <w:gridCol w:w="4502"/>
        <w:gridCol w:w="2700"/>
      </w:tblGrid>
      <w:tr w:rsidR="00ED3AE6" w14:paraId="5EEFA669" w14:textId="77777777" w:rsidTr="00922E6A">
        <w:tc>
          <w:tcPr>
            <w:tcW w:w="2198" w:type="dxa"/>
          </w:tcPr>
          <w:p w14:paraId="58D34AE8" w14:textId="77777777" w:rsidR="00ED3AE6" w:rsidRDefault="008C38B0">
            <w:pPr>
              <w:spacing w:line="360" w:lineRule="auto"/>
              <w:jc w:val="both"/>
              <w:rPr>
                <w:rFonts w:ascii="Arial" w:hAnsi="Arial" w:cs="Arial"/>
                <w:sz w:val="22"/>
                <w:szCs w:val="22"/>
              </w:rPr>
            </w:pPr>
            <w:r>
              <w:rPr>
                <w:rFonts w:ascii="Arial" w:hAnsi="Arial" w:cs="Arial"/>
                <w:b/>
                <w:bCs/>
                <w:sz w:val="22"/>
                <w:szCs w:val="22"/>
              </w:rPr>
              <w:t>Barrier</w:t>
            </w:r>
          </w:p>
        </w:tc>
        <w:tc>
          <w:tcPr>
            <w:tcW w:w="4502" w:type="dxa"/>
          </w:tcPr>
          <w:p w14:paraId="3CED91CE" w14:textId="77777777" w:rsidR="00ED3AE6" w:rsidRDefault="008C38B0">
            <w:pPr>
              <w:spacing w:line="360" w:lineRule="auto"/>
              <w:jc w:val="both"/>
              <w:rPr>
                <w:rFonts w:ascii="Arial" w:hAnsi="Arial" w:cs="Arial"/>
                <w:sz w:val="22"/>
                <w:szCs w:val="22"/>
              </w:rPr>
            </w:pPr>
            <w:r>
              <w:rPr>
                <w:rFonts w:ascii="Arial" w:hAnsi="Arial" w:cs="Arial"/>
                <w:b/>
                <w:bCs/>
                <w:sz w:val="22"/>
                <w:szCs w:val="22"/>
              </w:rPr>
              <w:t>Description</w:t>
            </w:r>
          </w:p>
        </w:tc>
        <w:tc>
          <w:tcPr>
            <w:tcW w:w="2700" w:type="dxa"/>
          </w:tcPr>
          <w:p w14:paraId="00FF586B" w14:textId="77777777" w:rsidR="00ED3AE6" w:rsidRDefault="008C38B0">
            <w:pPr>
              <w:spacing w:line="360" w:lineRule="auto"/>
              <w:jc w:val="both"/>
              <w:rPr>
                <w:rFonts w:ascii="Arial" w:hAnsi="Arial" w:cs="Arial"/>
                <w:sz w:val="22"/>
                <w:szCs w:val="22"/>
              </w:rPr>
            </w:pPr>
            <w:r>
              <w:rPr>
                <w:rFonts w:ascii="Arial" w:hAnsi="Arial" w:cs="Arial"/>
                <w:b/>
                <w:bCs/>
                <w:sz w:val="22"/>
                <w:szCs w:val="22"/>
              </w:rPr>
              <w:t>Key Sources</w:t>
            </w:r>
          </w:p>
        </w:tc>
      </w:tr>
      <w:tr w:rsidR="00ED3AE6" w14:paraId="3A6F28FF" w14:textId="77777777" w:rsidTr="00922E6A">
        <w:tc>
          <w:tcPr>
            <w:tcW w:w="2198" w:type="dxa"/>
          </w:tcPr>
          <w:p w14:paraId="2ACFE410" w14:textId="77777777" w:rsidR="00ED3AE6" w:rsidRDefault="008C38B0">
            <w:pPr>
              <w:spacing w:line="360" w:lineRule="auto"/>
              <w:jc w:val="both"/>
              <w:rPr>
                <w:rFonts w:ascii="Arial" w:hAnsi="Arial" w:cs="Arial"/>
                <w:sz w:val="22"/>
                <w:szCs w:val="22"/>
              </w:rPr>
            </w:pPr>
            <w:r>
              <w:rPr>
                <w:rFonts w:ascii="Arial" w:hAnsi="Arial" w:cs="Arial"/>
                <w:sz w:val="22"/>
                <w:szCs w:val="22"/>
              </w:rPr>
              <w:t>Staffing shortages</w:t>
            </w:r>
          </w:p>
        </w:tc>
        <w:tc>
          <w:tcPr>
            <w:tcW w:w="4502" w:type="dxa"/>
          </w:tcPr>
          <w:p w14:paraId="046CF78F"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Limits time available for </w:t>
            </w:r>
            <w:proofErr w:type="spellStart"/>
            <w:r>
              <w:rPr>
                <w:rFonts w:ascii="Arial" w:hAnsi="Arial" w:cs="Arial"/>
                <w:sz w:val="22"/>
                <w:szCs w:val="22"/>
              </w:rPr>
              <w:t>personalised</w:t>
            </w:r>
            <w:proofErr w:type="spellEnd"/>
            <w:r>
              <w:rPr>
                <w:rFonts w:ascii="Arial" w:hAnsi="Arial" w:cs="Arial"/>
                <w:sz w:val="22"/>
                <w:szCs w:val="22"/>
              </w:rPr>
              <w:t xml:space="preserve"> interaction; care becomes task-oriented by necessity</w:t>
            </w:r>
          </w:p>
        </w:tc>
        <w:tc>
          <w:tcPr>
            <w:tcW w:w="2700" w:type="dxa"/>
          </w:tcPr>
          <w:p w14:paraId="6361CFD6" w14:textId="77777777" w:rsidR="00ED3AE6" w:rsidRDefault="008C38B0">
            <w:pPr>
              <w:spacing w:line="360" w:lineRule="auto"/>
              <w:jc w:val="both"/>
              <w:rPr>
                <w:rFonts w:ascii="Arial" w:hAnsi="Arial" w:cs="Arial"/>
                <w:sz w:val="22"/>
                <w:szCs w:val="22"/>
              </w:rPr>
            </w:pPr>
            <w:r>
              <w:rPr>
                <w:rFonts w:ascii="Arial" w:hAnsi="Arial" w:cs="Arial"/>
                <w:sz w:val="22"/>
                <w:szCs w:val="22"/>
              </w:rPr>
              <w:t>The King's Fund (2021); Spilsbury et al. (2015)</w:t>
            </w:r>
          </w:p>
        </w:tc>
      </w:tr>
      <w:tr w:rsidR="00ED3AE6" w14:paraId="38CF29A2" w14:textId="77777777" w:rsidTr="00922E6A">
        <w:tc>
          <w:tcPr>
            <w:tcW w:w="2198" w:type="dxa"/>
          </w:tcPr>
          <w:p w14:paraId="558499D3" w14:textId="77777777" w:rsidR="00ED3AE6" w:rsidRDefault="008C38B0">
            <w:pPr>
              <w:spacing w:line="360" w:lineRule="auto"/>
              <w:jc w:val="both"/>
              <w:rPr>
                <w:rFonts w:ascii="Arial" w:hAnsi="Arial" w:cs="Arial"/>
                <w:sz w:val="22"/>
                <w:szCs w:val="22"/>
              </w:rPr>
            </w:pPr>
            <w:r>
              <w:rPr>
                <w:rFonts w:ascii="Arial" w:hAnsi="Arial" w:cs="Arial"/>
                <w:sz w:val="22"/>
                <w:szCs w:val="22"/>
              </w:rPr>
              <w:t>Inadequate training</w:t>
            </w:r>
          </w:p>
        </w:tc>
        <w:tc>
          <w:tcPr>
            <w:tcW w:w="4502" w:type="dxa"/>
          </w:tcPr>
          <w:p w14:paraId="5B0E0FAA" w14:textId="77777777" w:rsidR="00ED3AE6" w:rsidRDefault="008C38B0">
            <w:pPr>
              <w:spacing w:line="360" w:lineRule="auto"/>
              <w:jc w:val="both"/>
              <w:rPr>
                <w:rFonts w:ascii="Arial" w:hAnsi="Arial" w:cs="Arial"/>
                <w:sz w:val="22"/>
                <w:szCs w:val="22"/>
              </w:rPr>
            </w:pPr>
            <w:r>
              <w:rPr>
                <w:rFonts w:ascii="Arial" w:hAnsi="Arial" w:cs="Arial"/>
                <w:sz w:val="22"/>
                <w:szCs w:val="22"/>
              </w:rPr>
              <w:t>PCC requires advanced communication and relational skills rarely covered by basic training</w:t>
            </w:r>
          </w:p>
        </w:tc>
        <w:tc>
          <w:tcPr>
            <w:tcW w:w="2700" w:type="dxa"/>
          </w:tcPr>
          <w:p w14:paraId="457BC8B2" w14:textId="77777777" w:rsidR="00ED3AE6" w:rsidRDefault="008C38B0">
            <w:pPr>
              <w:spacing w:line="360" w:lineRule="auto"/>
              <w:jc w:val="both"/>
              <w:rPr>
                <w:rFonts w:ascii="Arial" w:hAnsi="Arial" w:cs="Arial"/>
                <w:sz w:val="22"/>
                <w:szCs w:val="22"/>
              </w:rPr>
            </w:pPr>
            <w:r>
              <w:rPr>
                <w:rFonts w:ascii="Arial" w:hAnsi="Arial" w:cs="Arial"/>
                <w:sz w:val="22"/>
                <w:szCs w:val="22"/>
              </w:rPr>
              <w:t>Dewing (2008); Rokstad et al. (2013)</w:t>
            </w:r>
          </w:p>
        </w:tc>
      </w:tr>
      <w:tr w:rsidR="00ED3AE6" w14:paraId="56F87E07" w14:textId="77777777" w:rsidTr="00922E6A">
        <w:tc>
          <w:tcPr>
            <w:tcW w:w="2198" w:type="dxa"/>
          </w:tcPr>
          <w:p w14:paraId="7E7D04F0"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Organisational</w:t>
            </w:r>
            <w:proofErr w:type="spellEnd"/>
            <w:r>
              <w:rPr>
                <w:rFonts w:ascii="Arial" w:hAnsi="Arial" w:cs="Arial"/>
                <w:sz w:val="22"/>
                <w:szCs w:val="22"/>
              </w:rPr>
              <w:t xml:space="preserve"> culture</w:t>
            </w:r>
          </w:p>
        </w:tc>
        <w:tc>
          <w:tcPr>
            <w:tcW w:w="4502" w:type="dxa"/>
          </w:tcPr>
          <w:p w14:paraId="1D336A45"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Efficiency- and risk-focused cultures </w:t>
            </w:r>
            <w:proofErr w:type="spellStart"/>
            <w:r>
              <w:rPr>
                <w:rFonts w:ascii="Arial" w:hAnsi="Arial" w:cs="Arial"/>
                <w:sz w:val="22"/>
                <w:szCs w:val="22"/>
              </w:rPr>
              <w:t>deprioritise</w:t>
            </w:r>
            <w:proofErr w:type="spellEnd"/>
            <w:r>
              <w:rPr>
                <w:rFonts w:ascii="Arial" w:hAnsi="Arial" w:cs="Arial"/>
                <w:sz w:val="22"/>
                <w:szCs w:val="22"/>
              </w:rPr>
              <w:t xml:space="preserve"> PCC; reflective, supportive cultures enable it</w:t>
            </w:r>
          </w:p>
        </w:tc>
        <w:tc>
          <w:tcPr>
            <w:tcW w:w="2700" w:type="dxa"/>
          </w:tcPr>
          <w:p w14:paraId="58808EF0" w14:textId="77777777" w:rsidR="00ED3AE6" w:rsidRDefault="008C38B0">
            <w:pPr>
              <w:spacing w:line="360" w:lineRule="auto"/>
              <w:jc w:val="both"/>
              <w:rPr>
                <w:rFonts w:ascii="Arial" w:hAnsi="Arial" w:cs="Arial"/>
                <w:sz w:val="22"/>
                <w:szCs w:val="22"/>
              </w:rPr>
            </w:pPr>
            <w:r>
              <w:rPr>
                <w:rFonts w:ascii="Arial" w:hAnsi="Arial" w:cs="Arial"/>
                <w:sz w:val="22"/>
                <w:szCs w:val="22"/>
              </w:rPr>
              <w:t>McCormack et al. (2010)</w:t>
            </w:r>
          </w:p>
        </w:tc>
      </w:tr>
      <w:tr w:rsidR="00ED3AE6" w14:paraId="11D682B3" w14:textId="77777777" w:rsidTr="00922E6A">
        <w:tc>
          <w:tcPr>
            <w:tcW w:w="2198" w:type="dxa"/>
          </w:tcPr>
          <w:p w14:paraId="1607C184" w14:textId="77777777" w:rsidR="00ED3AE6" w:rsidRDefault="008C38B0">
            <w:pPr>
              <w:spacing w:line="360" w:lineRule="auto"/>
              <w:jc w:val="both"/>
              <w:rPr>
                <w:rFonts w:ascii="Arial" w:hAnsi="Arial" w:cs="Arial"/>
                <w:sz w:val="22"/>
                <w:szCs w:val="22"/>
              </w:rPr>
            </w:pPr>
            <w:r>
              <w:rPr>
                <w:rFonts w:ascii="Arial" w:hAnsi="Arial" w:cs="Arial"/>
                <w:sz w:val="22"/>
                <w:szCs w:val="22"/>
              </w:rPr>
              <w:t>Resource constraints</w:t>
            </w:r>
          </w:p>
        </w:tc>
        <w:tc>
          <w:tcPr>
            <w:tcW w:w="4502" w:type="dxa"/>
          </w:tcPr>
          <w:p w14:paraId="429798CE" w14:textId="77777777" w:rsidR="00ED3AE6" w:rsidRDefault="008C38B0">
            <w:pPr>
              <w:spacing w:line="360" w:lineRule="auto"/>
              <w:jc w:val="both"/>
              <w:rPr>
                <w:rFonts w:ascii="Arial" w:hAnsi="Arial" w:cs="Arial"/>
                <w:sz w:val="22"/>
                <w:szCs w:val="22"/>
              </w:rPr>
            </w:pPr>
            <w:r>
              <w:rPr>
                <w:rFonts w:ascii="Arial" w:hAnsi="Arial" w:cs="Arial"/>
                <w:sz w:val="22"/>
                <w:szCs w:val="22"/>
              </w:rPr>
              <w:t>Financial and staffing pressures are particularly acute within the underfunded UK care sector</w:t>
            </w:r>
          </w:p>
        </w:tc>
        <w:tc>
          <w:tcPr>
            <w:tcW w:w="2700" w:type="dxa"/>
          </w:tcPr>
          <w:p w14:paraId="4CCDE4FC" w14:textId="77777777" w:rsidR="00ED3AE6" w:rsidRDefault="008C38B0">
            <w:pPr>
              <w:spacing w:line="360" w:lineRule="auto"/>
              <w:jc w:val="both"/>
              <w:rPr>
                <w:rFonts w:ascii="Arial" w:hAnsi="Arial" w:cs="Arial"/>
                <w:sz w:val="22"/>
                <w:szCs w:val="22"/>
              </w:rPr>
            </w:pPr>
            <w:r>
              <w:rPr>
                <w:rFonts w:ascii="Arial" w:hAnsi="Arial" w:cs="Arial"/>
                <w:sz w:val="22"/>
                <w:szCs w:val="22"/>
              </w:rPr>
              <w:t>Spilsbury et al. (2015); The King's Fund (2021)</w:t>
            </w:r>
          </w:p>
        </w:tc>
      </w:tr>
    </w:tbl>
    <w:p w14:paraId="6D60B6C3" w14:textId="77777777" w:rsidR="00ED3AE6" w:rsidRDefault="008C38B0">
      <w:pPr>
        <w:spacing w:line="360" w:lineRule="auto"/>
        <w:jc w:val="both"/>
        <w:rPr>
          <w:rFonts w:ascii="Arial" w:hAnsi="Arial" w:cs="Arial"/>
          <w:sz w:val="22"/>
          <w:szCs w:val="22"/>
        </w:rPr>
      </w:pPr>
      <w:r>
        <w:rPr>
          <w:rFonts w:ascii="Arial" w:hAnsi="Arial" w:cs="Arial"/>
          <w:i/>
          <w:iCs/>
          <w:sz w:val="22"/>
          <w:szCs w:val="22"/>
        </w:rPr>
        <w:t xml:space="preserve">Table compiled by the author, </w:t>
      </w:r>
      <w:proofErr w:type="spellStart"/>
      <w:r>
        <w:rPr>
          <w:rFonts w:ascii="Arial" w:hAnsi="Arial" w:cs="Arial"/>
          <w:i/>
          <w:iCs/>
          <w:sz w:val="22"/>
          <w:szCs w:val="22"/>
        </w:rPr>
        <w:t>synthesising</w:t>
      </w:r>
      <w:proofErr w:type="spellEnd"/>
      <w:r>
        <w:rPr>
          <w:rFonts w:ascii="Arial" w:hAnsi="Arial" w:cs="Arial"/>
          <w:i/>
          <w:iCs/>
          <w:sz w:val="22"/>
          <w:szCs w:val="22"/>
        </w:rPr>
        <w:t xml:space="preserve"> the discussion presented in Section 4.6.</w:t>
      </w:r>
    </w:p>
    <w:p w14:paraId="32503759" w14:textId="77777777" w:rsidR="00ED3AE6" w:rsidRDefault="008C38B0">
      <w:r>
        <w:rPr>
          <w:noProof/>
        </w:rPr>
        <w:drawing>
          <wp:inline distT="0" distB="0" distL="0" distR="0" wp14:anchorId="25159FAA" wp14:editId="499B013E">
            <wp:extent cx="5029200" cy="2286000"/>
            <wp:effectExtent l="0" t="0" r="0" b="0"/>
            <wp:docPr id="5" name="Picture 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02"/>
                    <pic:cNvPicPr>
                      <a:picLocks noChangeAspect="1" noChangeArrowheads="1"/>
                    </pic:cNvPicPr>
                  </pic:nvPicPr>
                  <pic:blipFill rotWithShape="1">
                    <a:blip r:embed="rId14"/>
                    <a:srcRect t="9091"/>
                    <a:stretch/>
                  </pic:blipFill>
                  <pic:spPr bwMode="auto">
                    <a:xfrm>
                      <a:off x="0" y="0"/>
                      <a:ext cx="5029200" cy="2286000"/>
                    </a:xfrm>
                    <a:prstGeom prst="rect">
                      <a:avLst/>
                    </a:prstGeom>
                    <a:ln>
                      <a:noFill/>
                    </a:ln>
                    <a:extLst>
                      <a:ext uri="{53640926-AAD7-44D8-BBD7-CCE9431645EC}">
                        <a14:shadowObscured xmlns:a14="http://schemas.microsoft.com/office/drawing/2010/main"/>
                      </a:ext>
                    </a:extLst>
                  </pic:spPr>
                </pic:pic>
              </a:graphicData>
            </a:graphic>
          </wp:inline>
        </w:drawing>
      </w:r>
    </w:p>
    <w:p w14:paraId="4A68295F" w14:textId="77777777" w:rsidR="00ED3AE6" w:rsidRDefault="008C38B0">
      <w:pPr>
        <w:pStyle w:val="FigureCaption"/>
      </w:pPr>
      <w:bookmarkStart w:id="43" w:name="__RefHeading___Toc1609_1328646638"/>
      <w:bookmarkEnd w:id="43"/>
      <w:r>
        <w:rPr>
          <w:rFonts w:ascii="Arial" w:hAnsi="Arial" w:cs="Arial"/>
          <w:b/>
          <w:i/>
          <w:sz w:val="22"/>
        </w:rPr>
        <w:t xml:space="preserve">Figure </w:t>
      </w:r>
      <w:proofErr w:type="gramStart"/>
      <w:r>
        <w:rPr>
          <w:rFonts w:ascii="Arial" w:hAnsi="Arial" w:cs="Arial"/>
          <w:b/>
          <w:i/>
          <w:sz w:val="22"/>
        </w:rPr>
        <w:t>4.2  Barriers</w:t>
      </w:r>
      <w:proofErr w:type="gramEnd"/>
      <w:r>
        <w:rPr>
          <w:rFonts w:ascii="Arial" w:hAnsi="Arial" w:cs="Arial"/>
          <w:b/>
          <w:i/>
          <w:sz w:val="22"/>
        </w:rPr>
        <w:t xml:space="preserve"> to PCC Implementation Identified in the Reviewed Literature</w:t>
      </w:r>
    </w:p>
    <w:p w14:paraId="19080BC3" w14:textId="77777777" w:rsidR="00ED3AE6" w:rsidRDefault="008C38B0">
      <w:r>
        <w:rPr>
          <w:rFonts w:ascii="Arial" w:hAnsi="Arial" w:cs="Arial"/>
          <w:i/>
          <w:sz w:val="22"/>
        </w:rPr>
        <w:t>Source: constructed by the author from the key sources cited in Table 4.2 and discussed in Section 4.6. Bars indicate the number of key sources identifying each barrier within the reviewed literature, not a comprehensive count across the whole evidence base.</w:t>
      </w:r>
    </w:p>
    <w:p w14:paraId="64B8010B" w14:textId="77777777" w:rsidR="00ED3AE6" w:rsidRDefault="00ED3AE6"/>
    <w:p w14:paraId="020CEE99" w14:textId="77777777" w:rsidR="00ED3AE6" w:rsidRDefault="008C38B0">
      <w:pPr>
        <w:pStyle w:val="Heading2"/>
        <w:spacing w:line="360" w:lineRule="auto"/>
        <w:jc w:val="both"/>
        <w:rPr>
          <w:rFonts w:ascii="Arial" w:hAnsi="Arial" w:cs="Arial"/>
          <w:color w:val="auto"/>
          <w:sz w:val="22"/>
          <w:szCs w:val="22"/>
        </w:rPr>
      </w:pPr>
      <w:bookmarkStart w:id="44" w:name="__RefHeading___Toc1575_1328646638"/>
      <w:bookmarkEnd w:id="44"/>
      <w:r>
        <w:rPr>
          <w:rFonts w:ascii="Arial" w:hAnsi="Arial" w:cs="Arial"/>
          <w:b/>
          <w:bCs/>
          <w:color w:val="auto"/>
          <w:sz w:val="28"/>
          <w:szCs w:val="22"/>
        </w:rPr>
        <w:t>4.7 The Policy-Practice Gap: An Unresolved Tension</w:t>
      </w:r>
    </w:p>
    <w:p w14:paraId="452A10C4" w14:textId="77777777" w:rsidR="00ED3AE6" w:rsidRDefault="008C38B0">
      <w:pPr>
        <w:spacing w:line="360" w:lineRule="auto"/>
        <w:jc w:val="both"/>
        <w:rPr>
          <w:rFonts w:ascii="Arial" w:hAnsi="Arial" w:cs="Arial"/>
          <w:sz w:val="22"/>
          <w:szCs w:val="22"/>
        </w:rPr>
      </w:pPr>
      <w:r>
        <w:rPr>
          <w:rFonts w:ascii="Arial" w:hAnsi="Arial" w:cs="Arial"/>
          <w:sz w:val="22"/>
          <w:szCs w:val="22"/>
        </w:rPr>
        <w:t>The final theme to emerge from the literature concerns the persistent gap between policy endorsement of PCC and its practical implementation. UK policy frameworks, including those produced by NICE (2022) and the DHSC (2021), strongly and consistently advocate PCC as integral to improving dignity, independence, and wellbeing among older adults. However, the evidence reviewed throughout this chapter demonstrates that real-world implementation remains inconsistent, constrained by the structural barriers discussed in Section 4.6 (The King's Fund, 2021).</w:t>
      </w:r>
    </w:p>
    <w:p w14:paraId="79D1F6FC"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 xml:space="preserve">This review interprets this policy-practice gap as a significant and somewhat underexplored finding in its own right. It raises the critical question of whether PCC, as currently promoted, risks functioning more as an ideological or rhetorical commitment than as a practical reality consistently experienced by residents. This concern is reinforced by the fact that policy documents tend to articulate PCC primarily in terms of values and principles, with comparatively limited specification of the practical resourcing, staffing ratios, or training investment required to deliver it; this leaves considerable scope for </w:t>
      </w:r>
      <w:proofErr w:type="spellStart"/>
      <w:r>
        <w:rPr>
          <w:rFonts w:ascii="Arial" w:hAnsi="Arial" w:cs="Arial"/>
          <w:sz w:val="22"/>
          <w:szCs w:val="22"/>
        </w:rPr>
        <w:t>organisations</w:t>
      </w:r>
      <w:proofErr w:type="spellEnd"/>
      <w:r>
        <w:rPr>
          <w:rFonts w:ascii="Arial" w:hAnsi="Arial" w:cs="Arial"/>
          <w:sz w:val="22"/>
          <w:szCs w:val="22"/>
        </w:rPr>
        <w:t xml:space="preserve"> to claim adherence to PCC principles in mission statements and care plans, without necessarily resourcing the practical changes needed to deliver on these commitments in day-to-day care.</w:t>
      </w:r>
    </w:p>
    <w:p w14:paraId="06FD12D8" w14:textId="77777777" w:rsidR="00ED3AE6" w:rsidRDefault="008C38B0">
      <w:pPr>
        <w:spacing w:line="360" w:lineRule="auto"/>
        <w:jc w:val="both"/>
      </w:pPr>
      <w:r>
        <w:rPr>
          <w:rFonts w:ascii="Arial" w:hAnsi="Arial" w:cs="Arial"/>
          <w:sz w:val="22"/>
        </w:rPr>
        <w:t>The most recent regulatory evidence lends further weight to this interpretation: the Care Quality Commission (2024) explicitly identifies person-</w:t>
      </w:r>
      <w:proofErr w:type="spellStart"/>
      <w:r>
        <w:rPr>
          <w:rFonts w:ascii="Arial" w:hAnsi="Arial" w:cs="Arial"/>
          <w:sz w:val="22"/>
        </w:rPr>
        <w:t>centred</w:t>
      </w:r>
      <w:proofErr w:type="spellEnd"/>
      <w:r>
        <w:rPr>
          <w:rFonts w:ascii="Arial" w:hAnsi="Arial" w:cs="Arial"/>
          <w:sz w:val="22"/>
        </w:rPr>
        <w:t>, compassionate care as a marker of outstanding provision, while simultaneously documenting continued workforce and funding pressures across the sector, effectively acknowledging the same tension this review identifies without resolving it. Updated workforce data from The King's Fund (2026) similarly shows that, although vacancy rates have fallen from their post-pandemic peak, staffing pressure remains structurally embedded in adult social care, indicating that the practical conditions required for consistent PCC delivery have not fundamentally improved since the barriers identified earlier in this chapter were first documented.</w:t>
      </w:r>
    </w:p>
    <w:p w14:paraId="35C88E29"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is not to suggest that policy commitment to PCC is misguided; rather, the evidence suggests that policy endorsement alone, without corresponding investment in staffing, training, and </w:t>
      </w:r>
      <w:proofErr w:type="spellStart"/>
      <w:r>
        <w:rPr>
          <w:rFonts w:ascii="Arial" w:hAnsi="Arial" w:cs="Arial"/>
          <w:sz w:val="22"/>
          <w:szCs w:val="22"/>
        </w:rPr>
        <w:t>organisational</w:t>
      </w:r>
      <w:proofErr w:type="spellEnd"/>
      <w:r>
        <w:rPr>
          <w:rFonts w:ascii="Arial" w:hAnsi="Arial" w:cs="Arial"/>
          <w:sz w:val="22"/>
          <w:szCs w:val="22"/>
        </w:rPr>
        <w:t xml:space="preserve"> development, is insufficient to translate the principles of PCC into consistently improved outcomes. This finding has a degree of resonance with broader critiques within health and social care policy literature regarding the gap between aspirational policy rhetoric and the realities of underfunded frontline service delivery, a tension that is not unique to PCC but appears, on the evidence reviewed here, to apply with particular force to its implementation in residential care.</w:t>
      </w:r>
    </w:p>
    <w:p w14:paraId="6A027C61" w14:textId="77777777" w:rsidR="00ED3AE6" w:rsidRPr="00922E6A" w:rsidRDefault="008C38B0" w:rsidP="00922E6A">
      <w:pPr>
        <w:spacing w:line="360" w:lineRule="auto"/>
        <w:jc w:val="both"/>
        <w:rPr>
          <w:rFonts w:ascii="Arial" w:hAnsi="Arial" w:cs="Arial"/>
          <w:sz w:val="22"/>
          <w:szCs w:val="22"/>
        </w:rPr>
      </w:pPr>
      <w:r>
        <w:rPr>
          <w:rFonts w:ascii="Arial" w:hAnsi="Arial" w:cs="Arial"/>
          <w:sz w:val="22"/>
          <w:szCs w:val="22"/>
        </w:rPr>
        <w:t xml:space="preserve">A further dimension of this gap, worth highlighting critically, concerns accountability and measurement. Because PCC is rarely subject to </w:t>
      </w:r>
      <w:proofErr w:type="spellStart"/>
      <w:r>
        <w:rPr>
          <w:rFonts w:ascii="Arial" w:hAnsi="Arial" w:cs="Arial"/>
          <w:sz w:val="22"/>
          <w:szCs w:val="22"/>
        </w:rPr>
        <w:t>standardised</w:t>
      </w:r>
      <w:proofErr w:type="spellEnd"/>
      <w:r>
        <w:rPr>
          <w:rFonts w:ascii="Arial" w:hAnsi="Arial" w:cs="Arial"/>
          <w:sz w:val="22"/>
          <w:szCs w:val="22"/>
        </w:rPr>
        <w:t xml:space="preserve">, mandatory outcome reporting at a national or regulatory level, there is limited systematic data available to assess, on a sector-wide basis, the extent to which residential care providers are achieving the outcomes that policy frameworks assume PCC will deliver. Regulatory inspection frameworks in the UK do assess aspects of dignity and </w:t>
      </w:r>
      <w:proofErr w:type="spellStart"/>
      <w:r>
        <w:rPr>
          <w:rFonts w:ascii="Arial" w:hAnsi="Arial" w:cs="Arial"/>
          <w:sz w:val="22"/>
          <w:szCs w:val="22"/>
        </w:rPr>
        <w:t>individualised</w:t>
      </w:r>
      <w:proofErr w:type="spellEnd"/>
      <w:r>
        <w:rPr>
          <w:rFonts w:ascii="Arial" w:hAnsi="Arial" w:cs="Arial"/>
          <w:sz w:val="22"/>
          <w:szCs w:val="22"/>
        </w:rPr>
        <w:t xml:space="preserve"> care, but the literature reviewed here suggests that inspection alone has not been sufficient to close the gap between policy aspiration and consistent practice. This points to a need not only for greater investment, as discussed above, but for more robust mechanisms of monitoring and accountability </w:t>
      </w:r>
      <w:r>
        <w:rPr>
          <w:rFonts w:ascii="Arial" w:hAnsi="Arial" w:cs="Arial"/>
          <w:sz w:val="22"/>
          <w:szCs w:val="22"/>
        </w:rPr>
        <w:lastRenderedPageBreak/>
        <w:t>specifically tied to person-</w:t>
      </w:r>
      <w:proofErr w:type="spellStart"/>
      <w:r>
        <w:rPr>
          <w:rFonts w:ascii="Arial" w:hAnsi="Arial" w:cs="Arial"/>
          <w:sz w:val="22"/>
          <w:szCs w:val="22"/>
        </w:rPr>
        <w:t>centred</w:t>
      </w:r>
      <w:proofErr w:type="spellEnd"/>
      <w:r>
        <w:rPr>
          <w:rFonts w:ascii="Arial" w:hAnsi="Arial" w:cs="Arial"/>
          <w:sz w:val="22"/>
          <w:szCs w:val="22"/>
        </w:rPr>
        <w:t xml:space="preserve"> outcomes, rather than relying on broader, less specific quality assurance processes.</w:t>
      </w:r>
    </w:p>
    <w:p w14:paraId="7C6A8BFF" w14:textId="77777777" w:rsidR="00ED3AE6" w:rsidRDefault="008C38B0">
      <w:pPr>
        <w:pStyle w:val="Heading2"/>
        <w:spacing w:line="360" w:lineRule="auto"/>
        <w:jc w:val="both"/>
        <w:rPr>
          <w:rFonts w:ascii="Arial" w:hAnsi="Arial" w:cs="Arial"/>
          <w:color w:val="auto"/>
          <w:sz w:val="22"/>
          <w:szCs w:val="22"/>
        </w:rPr>
      </w:pPr>
      <w:bookmarkStart w:id="45" w:name="__RefHeading___Toc1577_1328646638"/>
      <w:bookmarkEnd w:id="45"/>
      <w:r>
        <w:rPr>
          <w:rFonts w:ascii="Arial" w:hAnsi="Arial" w:cs="Arial"/>
          <w:b/>
          <w:bCs/>
          <w:color w:val="auto"/>
          <w:sz w:val="28"/>
          <w:szCs w:val="22"/>
        </w:rPr>
        <w:t>4.8 Synthesis: Answering the Research Question</w:t>
      </w:r>
    </w:p>
    <w:p w14:paraId="1E89B205"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Drawing together the findings discussed in this chapter, it is possible to offer a nuanced, critically grounded answer to the research question concerning the extent to which PCC improves outcomes for older adults in residential care settings. The evidence indicates that PCC has genuine potential to improve psychological wellbeing, reduce </w:t>
      </w:r>
      <w:proofErr w:type="spellStart"/>
      <w:r>
        <w:rPr>
          <w:rFonts w:ascii="Arial" w:hAnsi="Arial" w:cs="Arial"/>
          <w:sz w:val="22"/>
          <w:szCs w:val="22"/>
        </w:rPr>
        <w:t>behavioural</w:t>
      </w:r>
      <w:proofErr w:type="spellEnd"/>
      <w:r>
        <w:rPr>
          <w:rFonts w:ascii="Arial" w:hAnsi="Arial" w:cs="Arial"/>
          <w:sz w:val="22"/>
          <w:szCs w:val="22"/>
        </w:rPr>
        <w:t xml:space="preserve"> and psychological symptoms in dementia care, and enhance social interaction and quality of life. These benefits are most consistently observed where PCC is implemented with depth and fidelity, supported by adequately trained staff, effective leadership, and a supportive </w:t>
      </w:r>
      <w:proofErr w:type="spellStart"/>
      <w:r>
        <w:rPr>
          <w:rFonts w:ascii="Arial" w:hAnsi="Arial" w:cs="Arial"/>
          <w:sz w:val="22"/>
          <w:szCs w:val="22"/>
        </w:rPr>
        <w:t>organisational</w:t>
      </w:r>
      <w:proofErr w:type="spellEnd"/>
      <w:r>
        <w:rPr>
          <w:rFonts w:ascii="Arial" w:hAnsi="Arial" w:cs="Arial"/>
          <w:sz w:val="22"/>
          <w:szCs w:val="22"/>
        </w:rPr>
        <w:t xml:space="preserve"> culture.</w:t>
      </w:r>
    </w:p>
    <w:p w14:paraId="237F3160"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However, this review also finds clear and consistent evidence that these benefits are far from guaranteed. They are contingent on a range of contextual factors, including staffing levels, training quality, </w:t>
      </w:r>
      <w:proofErr w:type="spellStart"/>
      <w:r>
        <w:rPr>
          <w:rFonts w:ascii="Arial" w:hAnsi="Arial" w:cs="Arial"/>
          <w:sz w:val="22"/>
          <w:szCs w:val="22"/>
        </w:rPr>
        <w:t>organisational</w:t>
      </w:r>
      <w:proofErr w:type="spellEnd"/>
      <w:r>
        <w:rPr>
          <w:rFonts w:ascii="Arial" w:hAnsi="Arial" w:cs="Arial"/>
          <w:sz w:val="22"/>
          <w:szCs w:val="22"/>
        </w:rPr>
        <w:t xml:space="preserve"> culture, and resource availability, and they are not equitably distributed across all residents, with those with more advanced dementia appearing to benefit less than those with milder cognitive impairment. Furthermore, methodological limitations in the underlying evidence base, including an over-reliance on qualitative and self-reported measures, limited longitudinal data, and inconsistent </w:t>
      </w:r>
      <w:proofErr w:type="spellStart"/>
      <w:r>
        <w:rPr>
          <w:rFonts w:ascii="Arial" w:hAnsi="Arial" w:cs="Arial"/>
          <w:sz w:val="22"/>
          <w:szCs w:val="22"/>
        </w:rPr>
        <w:t>operationalisation</w:t>
      </w:r>
      <w:proofErr w:type="spellEnd"/>
      <w:r>
        <w:rPr>
          <w:rFonts w:ascii="Arial" w:hAnsi="Arial" w:cs="Arial"/>
          <w:sz w:val="22"/>
          <w:szCs w:val="22"/>
        </w:rPr>
        <w:t xml:space="preserve"> of PCC itself, constrain the confidence with which definitive conclusions can be drawn about the precise magnitude of PCC's effectiveness.</w:t>
      </w:r>
    </w:p>
    <w:p w14:paraId="6195F542"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A recurring pattern across every theme examined in this chapter is that the central determinant of PCC's success appears not to be the validity of PCC as a concept, but the conditions of its implementation: staffing, training, leadership, and </w:t>
      </w:r>
      <w:proofErr w:type="spellStart"/>
      <w:r>
        <w:rPr>
          <w:rFonts w:ascii="Arial" w:hAnsi="Arial" w:cs="Arial"/>
          <w:sz w:val="22"/>
          <w:szCs w:val="22"/>
        </w:rPr>
        <w:t>organisational</w:t>
      </w:r>
      <w:proofErr w:type="spellEnd"/>
      <w:r>
        <w:rPr>
          <w:rFonts w:ascii="Arial" w:hAnsi="Arial" w:cs="Arial"/>
          <w:sz w:val="22"/>
          <w:szCs w:val="22"/>
        </w:rPr>
        <w:t xml:space="preserve"> culture consistently emerge as the variables that distinguish settings in which PCC produces meaningful benefit from those in which it does not. This represents the most significant overall finding of this dissertation.</w:t>
      </w:r>
    </w:p>
    <w:p w14:paraId="50EEC675" w14:textId="77777777" w:rsidR="00ED3AE6" w:rsidRDefault="008C38B0">
      <w:pPr>
        <w:spacing w:line="360" w:lineRule="auto"/>
        <w:jc w:val="both"/>
        <w:rPr>
          <w:rFonts w:ascii="Arial" w:hAnsi="Arial" w:cs="Arial"/>
          <w:sz w:val="22"/>
          <w:szCs w:val="22"/>
        </w:rPr>
      </w:pPr>
      <w:r>
        <w:rPr>
          <w:rFonts w:ascii="Arial" w:hAnsi="Arial" w:cs="Arial"/>
          <w:sz w:val="22"/>
          <w:szCs w:val="22"/>
        </w:rPr>
        <w:t>The overall conclusion supported by this synthesis is therefore that PCC can be an effective approach to improving outcomes for older adults in residential care, but its effectiveness is neither automatic nor universal; it is critically dependent on the conditions under which it is implemented. This finding has direct and significant implications for residential care practice and policy, which are developed further into specific, actionable recommendations in Chapter Five.</w:t>
      </w:r>
    </w:p>
    <w:p w14:paraId="73405C67" w14:textId="77777777" w:rsidR="00ED3AE6" w:rsidRDefault="008C38B0">
      <w:pPr>
        <w:spacing w:line="360" w:lineRule="auto"/>
        <w:jc w:val="both"/>
        <w:rPr>
          <w:rFonts w:ascii="Arial" w:hAnsi="Arial" w:cs="Arial"/>
          <w:sz w:val="22"/>
          <w:szCs w:val="22"/>
        </w:rPr>
      </w:pPr>
      <w:r>
        <w:br w:type="page"/>
      </w:r>
    </w:p>
    <w:p w14:paraId="0725DCD3" w14:textId="77777777" w:rsidR="00ED3AE6" w:rsidRDefault="008C38B0">
      <w:pPr>
        <w:pStyle w:val="Heading1"/>
        <w:spacing w:line="360" w:lineRule="auto"/>
        <w:jc w:val="center"/>
        <w:rPr>
          <w:rFonts w:ascii="Arial" w:hAnsi="Arial" w:cs="Arial"/>
          <w:color w:val="auto"/>
          <w:sz w:val="22"/>
          <w:szCs w:val="22"/>
        </w:rPr>
      </w:pPr>
      <w:bookmarkStart w:id="46" w:name="__RefHeading___Toc1579_1328646638"/>
      <w:bookmarkEnd w:id="46"/>
      <w:r>
        <w:rPr>
          <w:rFonts w:ascii="Arial" w:hAnsi="Arial" w:cs="Arial"/>
          <w:b/>
          <w:bCs/>
          <w:color w:val="auto"/>
          <w:szCs w:val="22"/>
        </w:rPr>
        <w:lastRenderedPageBreak/>
        <w:t>CHAPTER FIVE</w:t>
      </w:r>
    </w:p>
    <w:p w14:paraId="52953270" w14:textId="77777777" w:rsidR="00ED3AE6" w:rsidRDefault="008C38B0">
      <w:pPr>
        <w:spacing w:line="360" w:lineRule="auto"/>
        <w:jc w:val="center"/>
        <w:rPr>
          <w:rFonts w:ascii="Arial" w:hAnsi="Arial" w:cs="Arial"/>
          <w:sz w:val="22"/>
          <w:szCs w:val="22"/>
        </w:rPr>
      </w:pPr>
      <w:r>
        <w:rPr>
          <w:rFonts w:ascii="Arial" w:hAnsi="Arial" w:cs="Arial"/>
          <w:b/>
          <w:bCs/>
          <w:sz w:val="22"/>
          <w:szCs w:val="22"/>
        </w:rPr>
        <w:t>RECOMMENDATIONS AND CONCLUSION</w:t>
      </w:r>
    </w:p>
    <w:p w14:paraId="40BCDDD6" w14:textId="77777777" w:rsidR="00ED3AE6" w:rsidRDefault="008C38B0">
      <w:pPr>
        <w:pStyle w:val="Heading2"/>
        <w:spacing w:line="360" w:lineRule="auto"/>
        <w:jc w:val="both"/>
        <w:rPr>
          <w:rFonts w:ascii="Arial" w:hAnsi="Arial" w:cs="Arial"/>
          <w:color w:val="auto"/>
          <w:sz w:val="22"/>
          <w:szCs w:val="22"/>
        </w:rPr>
      </w:pPr>
      <w:bookmarkStart w:id="47" w:name="__RefHeading___Toc1581_1328646638"/>
      <w:bookmarkEnd w:id="47"/>
      <w:r>
        <w:rPr>
          <w:rFonts w:ascii="Arial" w:hAnsi="Arial" w:cs="Arial"/>
          <w:b/>
          <w:bCs/>
          <w:color w:val="auto"/>
          <w:sz w:val="28"/>
          <w:szCs w:val="22"/>
        </w:rPr>
        <w:t>5.1 Introduction</w:t>
      </w:r>
    </w:p>
    <w:p w14:paraId="28972AD8" w14:textId="77777777" w:rsidR="00ED3AE6" w:rsidRDefault="008C38B0">
      <w:pPr>
        <w:spacing w:line="360" w:lineRule="auto"/>
        <w:jc w:val="both"/>
        <w:rPr>
          <w:rFonts w:ascii="Arial" w:hAnsi="Arial" w:cs="Arial"/>
          <w:sz w:val="22"/>
          <w:szCs w:val="22"/>
        </w:rPr>
      </w:pPr>
      <w:r>
        <w:rPr>
          <w:rFonts w:ascii="Arial" w:hAnsi="Arial" w:cs="Arial"/>
          <w:sz w:val="22"/>
          <w:szCs w:val="22"/>
        </w:rPr>
        <w:t>This final chapter draws together the findings of this dissertation in order to present clear conclusions in relation to the research question, alongside practical recommendations for residential care practice and policy. It also reflects on the limitations of the study and identifies areas for future research.</w:t>
      </w:r>
    </w:p>
    <w:p w14:paraId="4A535A9D" w14:textId="77777777" w:rsidR="00ED3AE6" w:rsidRDefault="008C38B0">
      <w:pPr>
        <w:pStyle w:val="Heading2"/>
        <w:spacing w:line="360" w:lineRule="auto"/>
        <w:jc w:val="both"/>
        <w:rPr>
          <w:rFonts w:ascii="Arial" w:hAnsi="Arial" w:cs="Arial"/>
          <w:color w:val="auto"/>
          <w:sz w:val="22"/>
          <w:szCs w:val="22"/>
        </w:rPr>
      </w:pPr>
      <w:bookmarkStart w:id="48" w:name="__RefHeading___Toc1583_1328646638"/>
      <w:bookmarkEnd w:id="48"/>
      <w:r>
        <w:rPr>
          <w:rFonts w:ascii="Arial" w:hAnsi="Arial" w:cs="Arial"/>
          <w:b/>
          <w:bCs/>
          <w:color w:val="auto"/>
          <w:sz w:val="28"/>
          <w:szCs w:val="22"/>
        </w:rPr>
        <w:t>5.2 Summary of Key Findings</w:t>
      </w:r>
    </w:p>
    <w:p w14:paraId="7AC81113" w14:textId="77777777" w:rsidR="00ED3AE6" w:rsidRDefault="008C38B0">
      <w:pPr>
        <w:spacing w:line="360" w:lineRule="auto"/>
        <w:jc w:val="both"/>
        <w:rPr>
          <w:rFonts w:ascii="Arial" w:hAnsi="Arial" w:cs="Arial"/>
          <w:sz w:val="22"/>
          <w:szCs w:val="22"/>
        </w:rPr>
      </w:pPr>
      <w:r>
        <w:rPr>
          <w:rFonts w:ascii="Arial" w:hAnsi="Arial" w:cs="Arial"/>
          <w:sz w:val="22"/>
          <w:szCs w:val="22"/>
        </w:rPr>
        <w:t>This dissertation set out to critically evaluate the extent to which person-</w:t>
      </w:r>
      <w:proofErr w:type="spellStart"/>
      <w:r>
        <w:rPr>
          <w:rFonts w:ascii="Arial" w:hAnsi="Arial" w:cs="Arial"/>
          <w:sz w:val="22"/>
          <w:szCs w:val="22"/>
        </w:rPr>
        <w:t>centred</w:t>
      </w:r>
      <w:proofErr w:type="spellEnd"/>
      <w:r>
        <w:rPr>
          <w:rFonts w:ascii="Arial" w:hAnsi="Arial" w:cs="Arial"/>
          <w:sz w:val="22"/>
          <w:szCs w:val="22"/>
        </w:rPr>
        <w:t xml:space="preserve"> care (PCC) improves outcomes for older adults in residential care settings. The findings, </w:t>
      </w:r>
      <w:proofErr w:type="spellStart"/>
      <w:r>
        <w:rPr>
          <w:rFonts w:ascii="Arial" w:hAnsi="Arial" w:cs="Arial"/>
          <w:sz w:val="22"/>
          <w:szCs w:val="22"/>
        </w:rPr>
        <w:t>synthesised</w:t>
      </w:r>
      <w:proofErr w:type="spellEnd"/>
      <w:r>
        <w:rPr>
          <w:rFonts w:ascii="Arial" w:hAnsi="Arial" w:cs="Arial"/>
          <w:sz w:val="22"/>
          <w:szCs w:val="22"/>
        </w:rPr>
        <w:t xml:space="preserve"> in Chapter Four, indicate that PCC has genuine potential to improve psychological wellbeing, reduce distress </w:t>
      </w:r>
      <w:proofErr w:type="spellStart"/>
      <w:r>
        <w:rPr>
          <w:rFonts w:ascii="Arial" w:hAnsi="Arial" w:cs="Arial"/>
          <w:sz w:val="22"/>
          <w:szCs w:val="22"/>
        </w:rPr>
        <w:t>behaviours</w:t>
      </w:r>
      <w:proofErr w:type="spellEnd"/>
      <w:r>
        <w:rPr>
          <w:rFonts w:ascii="Arial" w:hAnsi="Arial" w:cs="Arial"/>
          <w:sz w:val="22"/>
          <w:szCs w:val="22"/>
        </w:rPr>
        <w:t xml:space="preserve"> in dementia care, and enhance social interaction and quality of life. However, these benefits are highly contingent on the quality and depth of implementation, rather than being an automatic consequence of adopting PCC in principle. Staffing levels, training quality, </w:t>
      </w:r>
      <w:proofErr w:type="spellStart"/>
      <w:r>
        <w:rPr>
          <w:rFonts w:ascii="Arial" w:hAnsi="Arial" w:cs="Arial"/>
          <w:sz w:val="22"/>
          <w:szCs w:val="22"/>
        </w:rPr>
        <w:t>organisational</w:t>
      </w:r>
      <w:proofErr w:type="spellEnd"/>
      <w:r>
        <w:rPr>
          <w:rFonts w:ascii="Arial" w:hAnsi="Arial" w:cs="Arial"/>
          <w:sz w:val="22"/>
          <w:szCs w:val="22"/>
        </w:rPr>
        <w:t xml:space="preserve"> culture, and leadership consistently emerged as the factors determining whether PCC translates into meaningful improvements for residents. The review also identified a persistent gap between policy endorsement of PCC and its consistent delivery in practice, alongside concerns regarding the equitable distribution of PCC's benefits across residents with differing levels of cognitive impairment.</w:t>
      </w:r>
    </w:p>
    <w:p w14:paraId="6843F026" w14:textId="77777777" w:rsidR="00ED3AE6" w:rsidRDefault="008C38B0">
      <w:pPr>
        <w:pStyle w:val="Heading2"/>
        <w:spacing w:line="360" w:lineRule="auto"/>
        <w:jc w:val="both"/>
        <w:rPr>
          <w:rFonts w:ascii="Arial" w:hAnsi="Arial" w:cs="Arial"/>
          <w:color w:val="auto"/>
          <w:sz w:val="22"/>
          <w:szCs w:val="22"/>
        </w:rPr>
      </w:pPr>
      <w:bookmarkStart w:id="49" w:name="__RefHeading___Toc1585_1328646638"/>
      <w:bookmarkEnd w:id="49"/>
      <w:r>
        <w:rPr>
          <w:rFonts w:ascii="Arial" w:hAnsi="Arial" w:cs="Arial"/>
          <w:b/>
          <w:bCs/>
          <w:color w:val="auto"/>
          <w:sz w:val="28"/>
          <w:szCs w:val="22"/>
        </w:rPr>
        <w:t>5.3 Recommendations for Practice</w:t>
      </w:r>
    </w:p>
    <w:p w14:paraId="1160D18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Based on these findings, several recommendations are proposed for residential care providers and practitioners. First, </w:t>
      </w:r>
      <w:proofErr w:type="spellStart"/>
      <w:r>
        <w:rPr>
          <w:rFonts w:ascii="Arial" w:hAnsi="Arial" w:cs="Arial"/>
          <w:sz w:val="22"/>
          <w:szCs w:val="22"/>
        </w:rPr>
        <w:t>organisations</w:t>
      </w:r>
      <w:proofErr w:type="spellEnd"/>
      <w:r>
        <w:rPr>
          <w:rFonts w:ascii="Arial" w:hAnsi="Arial" w:cs="Arial"/>
          <w:sz w:val="22"/>
          <w:szCs w:val="22"/>
        </w:rPr>
        <w:t xml:space="preserve"> should move beyond adopting the language of person-</w:t>
      </w:r>
      <w:proofErr w:type="spellStart"/>
      <w:r>
        <w:rPr>
          <w:rFonts w:ascii="Arial" w:hAnsi="Arial" w:cs="Arial"/>
          <w:sz w:val="22"/>
          <w:szCs w:val="22"/>
        </w:rPr>
        <w:t>centredness</w:t>
      </w:r>
      <w:proofErr w:type="spellEnd"/>
      <w:r>
        <w:rPr>
          <w:rFonts w:ascii="Arial" w:hAnsi="Arial" w:cs="Arial"/>
          <w:sz w:val="22"/>
          <w:szCs w:val="22"/>
        </w:rPr>
        <w:t xml:space="preserve"> in care documentation and instead embed PCC as a comprehensive </w:t>
      </w:r>
      <w:proofErr w:type="spellStart"/>
      <w:r>
        <w:rPr>
          <w:rFonts w:ascii="Arial" w:hAnsi="Arial" w:cs="Arial"/>
          <w:sz w:val="22"/>
          <w:szCs w:val="22"/>
        </w:rPr>
        <w:t>organisational</w:t>
      </w:r>
      <w:proofErr w:type="spellEnd"/>
      <w:r>
        <w:rPr>
          <w:rFonts w:ascii="Arial" w:hAnsi="Arial" w:cs="Arial"/>
          <w:sz w:val="22"/>
          <w:szCs w:val="22"/>
        </w:rPr>
        <w:t xml:space="preserve"> philosophy, encompassing care planning, staff recruitment, environmental design, and leadership </w:t>
      </w:r>
      <w:proofErr w:type="spellStart"/>
      <w:r>
        <w:rPr>
          <w:rFonts w:ascii="Arial" w:hAnsi="Arial" w:cs="Arial"/>
          <w:sz w:val="22"/>
          <w:szCs w:val="22"/>
        </w:rPr>
        <w:t>behaviour</w:t>
      </w:r>
      <w:proofErr w:type="spellEnd"/>
      <w:r>
        <w:rPr>
          <w:rFonts w:ascii="Arial" w:hAnsi="Arial" w:cs="Arial"/>
          <w:sz w:val="22"/>
          <w:szCs w:val="22"/>
        </w:rPr>
        <w:t>, in order to avoid the tokenistic application identified as a limitation in Chapter Four. Second, sustained, structured staff training in person-</w:t>
      </w:r>
      <w:proofErr w:type="spellStart"/>
      <w:r>
        <w:rPr>
          <w:rFonts w:ascii="Arial" w:hAnsi="Arial" w:cs="Arial"/>
          <w:sz w:val="22"/>
          <w:szCs w:val="22"/>
        </w:rPr>
        <w:t>centred</w:t>
      </w:r>
      <w:proofErr w:type="spellEnd"/>
      <w:r>
        <w:rPr>
          <w:rFonts w:ascii="Arial" w:hAnsi="Arial" w:cs="Arial"/>
          <w:sz w:val="22"/>
          <w:szCs w:val="22"/>
        </w:rPr>
        <w:t xml:space="preserve"> communication and relational care should be </w:t>
      </w:r>
      <w:proofErr w:type="spellStart"/>
      <w:r>
        <w:rPr>
          <w:rFonts w:ascii="Arial" w:hAnsi="Arial" w:cs="Arial"/>
          <w:sz w:val="22"/>
          <w:szCs w:val="22"/>
        </w:rPr>
        <w:t>prioritised</w:t>
      </w:r>
      <w:proofErr w:type="spellEnd"/>
      <w:r>
        <w:rPr>
          <w:rFonts w:ascii="Arial" w:hAnsi="Arial" w:cs="Arial"/>
          <w:sz w:val="22"/>
          <w:szCs w:val="22"/>
        </w:rPr>
        <w:t xml:space="preserve">, rather than brief or one-off training interventions, given the strong association identified in the literature between training depth and the consistency of positive outcomes. Third, care providers should ensure that staffing levels are sufficient to allow for genuinely </w:t>
      </w:r>
      <w:proofErr w:type="spellStart"/>
      <w:r>
        <w:rPr>
          <w:rFonts w:ascii="Arial" w:hAnsi="Arial" w:cs="Arial"/>
          <w:sz w:val="22"/>
          <w:szCs w:val="22"/>
        </w:rPr>
        <w:t>individualised</w:t>
      </w:r>
      <w:proofErr w:type="spellEnd"/>
      <w:r>
        <w:rPr>
          <w:rFonts w:ascii="Arial" w:hAnsi="Arial" w:cs="Arial"/>
          <w:sz w:val="22"/>
          <w:szCs w:val="22"/>
        </w:rPr>
        <w:t xml:space="preserve"> interaction with residents, </w:t>
      </w:r>
      <w:proofErr w:type="spellStart"/>
      <w:r>
        <w:rPr>
          <w:rFonts w:ascii="Arial" w:hAnsi="Arial" w:cs="Arial"/>
          <w:sz w:val="22"/>
          <w:szCs w:val="22"/>
        </w:rPr>
        <w:t>recognising</w:t>
      </w:r>
      <w:proofErr w:type="spellEnd"/>
      <w:r>
        <w:rPr>
          <w:rFonts w:ascii="Arial" w:hAnsi="Arial" w:cs="Arial"/>
          <w:sz w:val="22"/>
          <w:szCs w:val="22"/>
        </w:rPr>
        <w:t xml:space="preserve"> that time pressure is one of the most consistently cited barriers to delivering PCC in practice. Fourth, given the evidence that residents with more advanced dementia may benefit less from generic PCC approaches, care providers should consider how PCC interventions can be more specifically tailored and intensified for residents with higher levels of cognitive impairment, in order to support more equitable outcomes across the resident </w:t>
      </w:r>
      <w:r>
        <w:rPr>
          <w:rFonts w:ascii="Arial" w:hAnsi="Arial" w:cs="Arial"/>
          <w:sz w:val="22"/>
          <w:szCs w:val="22"/>
        </w:rPr>
        <w:lastRenderedPageBreak/>
        <w:t xml:space="preserve">population. Finally, </w:t>
      </w:r>
      <w:proofErr w:type="spellStart"/>
      <w:r>
        <w:rPr>
          <w:rFonts w:ascii="Arial" w:hAnsi="Arial" w:cs="Arial"/>
          <w:sz w:val="22"/>
          <w:szCs w:val="22"/>
        </w:rPr>
        <w:t>organisations</w:t>
      </w:r>
      <w:proofErr w:type="spellEnd"/>
      <w:r>
        <w:rPr>
          <w:rFonts w:ascii="Arial" w:hAnsi="Arial" w:cs="Arial"/>
          <w:sz w:val="22"/>
          <w:szCs w:val="22"/>
        </w:rPr>
        <w:t xml:space="preserve"> should develop more robust, locally meaningful methods of monitoring person-</w:t>
      </w:r>
      <w:proofErr w:type="spellStart"/>
      <w:r>
        <w:rPr>
          <w:rFonts w:ascii="Arial" w:hAnsi="Arial" w:cs="Arial"/>
          <w:sz w:val="22"/>
          <w:szCs w:val="22"/>
        </w:rPr>
        <w:t>centred</w:t>
      </w:r>
      <w:proofErr w:type="spellEnd"/>
      <w:r>
        <w:rPr>
          <w:rFonts w:ascii="Arial" w:hAnsi="Arial" w:cs="Arial"/>
          <w:sz w:val="22"/>
          <w:szCs w:val="22"/>
        </w:rPr>
        <w:t xml:space="preserve"> outcomes, beyond generic quality assurance processes, in order to identify where implementation is falling short of policy expectations.</w:t>
      </w:r>
    </w:p>
    <w:p w14:paraId="4A52D4DA" w14:textId="77777777" w:rsidR="00ED3AE6" w:rsidRDefault="008C38B0">
      <w:pPr>
        <w:pStyle w:val="Heading2"/>
        <w:spacing w:line="360" w:lineRule="auto"/>
        <w:jc w:val="both"/>
        <w:rPr>
          <w:rFonts w:ascii="Arial" w:hAnsi="Arial" w:cs="Arial"/>
          <w:color w:val="auto"/>
          <w:sz w:val="22"/>
          <w:szCs w:val="22"/>
        </w:rPr>
      </w:pPr>
      <w:bookmarkStart w:id="50" w:name="__RefHeading___Toc1587_1328646638"/>
      <w:bookmarkEnd w:id="50"/>
      <w:r>
        <w:rPr>
          <w:rFonts w:ascii="Arial" w:hAnsi="Arial" w:cs="Arial"/>
          <w:b/>
          <w:bCs/>
          <w:color w:val="auto"/>
          <w:sz w:val="28"/>
          <w:szCs w:val="22"/>
        </w:rPr>
        <w:t>5.4 Recommendations for Policy</w:t>
      </w:r>
    </w:p>
    <w:p w14:paraId="66BC7A7F" w14:textId="77777777" w:rsidR="00ED3AE6" w:rsidRDefault="008C38B0">
      <w:pPr>
        <w:spacing w:line="360" w:lineRule="auto"/>
        <w:jc w:val="both"/>
        <w:rPr>
          <w:rFonts w:ascii="Arial" w:hAnsi="Arial" w:cs="Arial"/>
          <w:sz w:val="22"/>
          <w:szCs w:val="22"/>
        </w:rPr>
      </w:pPr>
      <w:bookmarkStart w:id="51" w:name="__RefHeading___Toc1597_1328646638"/>
      <w:bookmarkEnd w:id="51"/>
      <w:r>
        <w:rPr>
          <w:rFonts w:ascii="Arial" w:hAnsi="Arial" w:cs="Arial"/>
          <w:sz w:val="22"/>
          <w:szCs w:val="22"/>
        </w:rPr>
        <w:t>At the policy level, this dissertation recommends that future guidance on PCC should move beyond articulating values and principles to providing clearer specification of the practical resourcing, staffing ratios, and training investment required for effective implementation. Without such specificity, there is a risk that policy commitment to PCC remains largely rhetorical. Furthermore, given the centrality of staffing and resource constraints identified throughout this review, sustained investment in the social care workforce should be regarded as a precondition for, rather than separate from, efforts to promote person-</w:t>
      </w:r>
      <w:proofErr w:type="spellStart"/>
      <w:r>
        <w:rPr>
          <w:rFonts w:ascii="Arial" w:hAnsi="Arial" w:cs="Arial"/>
          <w:sz w:val="22"/>
          <w:szCs w:val="22"/>
        </w:rPr>
        <w:t>centred</w:t>
      </w:r>
      <w:proofErr w:type="spellEnd"/>
      <w:r>
        <w:rPr>
          <w:rFonts w:ascii="Arial" w:hAnsi="Arial" w:cs="Arial"/>
          <w:sz w:val="22"/>
          <w:szCs w:val="22"/>
        </w:rPr>
        <w:t xml:space="preserve"> approaches. Consideration should also be given to strengthening regulatory and inspection mechanisms specifically in relation to person-</w:t>
      </w:r>
      <w:proofErr w:type="spellStart"/>
      <w:r>
        <w:rPr>
          <w:rFonts w:ascii="Arial" w:hAnsi="Arial" w:cs="Arial"/>
          <w:sz w:val="22"/>
          <w:szCs w:val="22"/>
        </w:rPr>
        <w:t>centred</w:t>
      </w:r>
      <w:proofErr w:type="spellEnd"/>
      <w:r>
        <w:rPr>
          <w:rFonts w:ascii="Arial" w:hAnsi="Arial" w:cs="Arial"/>
          <w:sz w:val="22"/>
          <w:szCs w:val="22"/>
        </w:rPr>
        <w:t xml:space="preserve"> outcomes, to ensure greater accountability for the consistent delivery of PCC principles in practice.</w:t>
      </w:r>
    </w:p>
    <w:p w14:paraId="67B44907" w14:textId="77777777" w:rsidR="00ED3AE6" w:rsidRDefault="008C38B0">
      <w:pPr>
        <w:pStyle w:val="TableCaption"/>
        <w:spacing w:line="360" w:lineRule="auto"/>
        <w:jc w:val="both"/>
        <w:rPr>
          <w:rFonts w:ascii="Arial" w:hAnsi="Arial" w:cs="Arial"/>
          <w:sz w:val="22"/>
          <w:szCs w:val="22"/>
        </w:rPr>
      </w:pPr>
      <w:bookmarkStart w:id="52" w:name="__RefHeading___Toc1369_2390222576"/>
      <w:bookmarkEnd w:id="52"/>
      <w:r>
        <w:rPr>
          <w:rFonts w:ascii="Arial" w:hAnsi="Arial" w:cs="Arial"/>
          <w:b/>
          <w:bCs/>
          <w:i/>
          <w:iCs/>
          <w:sz w:val="22"/>
          <w:szCs w:val="22"/>
        </w:rPr>
        <w:t xml:space="preserve">Table </w:t>
      </w:r>
      <w:proofErr w:type="gramStart"/>
      <w:r>
        <w:rPr>
          <w:rFonts w:ascii="Arial" w:hAnsi="Arial" w:cs="Arial"/>
          <w:b/>
          <w:bCs/>
          <w:i/>
          <w:iCs/>
          <w:sz w:val="22"/>
          <w:szCs w:val="22"/>
        </w:rPr>
        <w:t>5.1  Summary</w:t>
      </w:r>
      <w:proofErr w:type="gramEnd"/>
      <w:r>
        <w:rPr>
          <w:rFonts w:ascii="Arial" w:hAnsi="Arial" w:cs="Arial"/>
          <w:b/>
          <w:bCs/>
          <w:i/>
          <w:iCs/>
          <w:sz w:val="22"/>
          <w:szCs w:val="22"/>
        </w:rPr>
        <w:t xml:space="preserve"> of Recommendations for Practice and Policy</w:t>
      </w:r>
    </w:p>
    <w:tbl>
      <w:tblPr>
        <w:tblStyle w:val="TableGrid"/>
        <w:tblW w:w="9400" w:type="dxa"/>
        <w:tblLayout w:type="fixed"/>
        <w:tblLook w:val="0000" w:firstRow="0" w:lastRow="0" w:firstColumn="0" w:lastColumn="0" w:noHBand="0" w:noVBand="0"/>
      </w:tblPr>
      <w:tblGrid>
        <w:gridCol w:w="1300"/>
        <w:gridCol w:w="4498"/>
        <w:gridCol w:w="3602"/>
      </w:tblGrid>
      <w:tr w:rsidR="00ED3AE6" w14:paraId="7E28BA7C" w14:textId="77777777" w:rsidTr="00922E6A">
        <w:tc>
          <w:tcPr>
            <w:tcW w:w="1300" w:type="dxa"/>
          </w:tcPr>
          <w:p w14:paraId="0A628B28" w14:textId="77777777" w:rsidR="00ED3AE6" w:rsidRDefault="008C38B0">
            <w:pPr>
              <w:spacing w:line="360" w:lineRule="auto"/>
              <w:jc w:val="both"/>
              <w:rPr>
                <w:rFonts w:ascii="Arial" w:hAnsi="Arial" w:cs="Arial"/>
                <w:sz w:val="22"/>
                <w:szCs w:val="22"/>
              </w:rPr>
            </w:pPr>
            <w:r>
              <w:rPr>
                <w:rFonts w:ascii="Arial" w:hAnsi="Arial" w:cs="Arial"/>
                <w:b/>
                <w:bCs/>
                <w:sz w:val="22"/>
                <w:szCs w:val="22"/>
              </w:rPr>
              <w:t>Level</w:t>
            </w:r>
          </w:p>
        </w:tc>
        <w:tc>
          <w:tcPr>
            <w:tcW w:w="4498" w:type="dxa"/>
          </w:tcPr>
          <w:p w14:paraId="01812972" w14:textId="77777777" w:rsidR="00ED3AE6" w:rsidRDefault="008C38B0">
            <w:pPr>
              <w:spacing w:line="360" w:lineRule="auto"/>
              <w:jc w:val="both"/>
              <w:rPr>
                <w:rFonts w:ascii="Arial" w:hAnsi="Arial" w:cs="Arial"/>
                <w:sz w:val="22"/>
                <w:szCs w:val="22"/>
              </w:rPr>
            </w:pPr>
            <w:r>
              <w:rPr>
                <w:rFonts w:ascii="Arial" w:hAnsi="Arial" w:cs="Arial"/>
                <w:b/>
                <w:bCs/>
                <w:sz w:val="22"/>
                <w:szCs w:val="22"/>
              </w:rPr>
              <w:t>Recommendation</w:t>
            </w:r>
          </w:p>
        </w:tc>
        <w:tc>
          <w:tcPr>
            <w:tcW w:w="3602" w:type="dxa"/>
          </w:tcPr>
          <w:p w14:paraId="531F9876" w14:textId="77777777" w:rsidR="00ED3AE6" w:rsidRDefault="008C38B0">
            <w:pPr>
              <w:spacing w:line="360" w:lineRule="auto"/>
              <w:jc w:val="both"/>
              <w:rPr>
                <w:rFonts w:ascii="Arial" w:hAnsi="Arial" w:cs="Arial"/>
                <w:sz w:val="22"/>
                <w:szCs w:val="22"/>
              </w:rPr>
            </w:pPr>
            <w:r>
              <w:rPr>
                <w:rFonts w:ascii="Arial" w:hAnsi="Arial" w:cs="Arial"/>
                <w:b/>
                <w:bCs/>
                <w:sz w:val="22"/>
                <w:szCs w:val="22"/>
              </w:rPr>
              <w:t>Rationale</w:t>
            </w:r>
          </w:p>
        </w:tc>
      </w:tr>
      <w:tr w:rsidR="00ED3AE6" w14:paraId="40BB70BC" w14:textId="77777777" w:rsidTr="00922E6A">
        <w:tc>
          <w:tcPr>
            <w:tcW w:w="1300" w:type="dxa"/>
          </w:tcPr>
          <w:p w14:paraId="7B87279F" w14:textId="77777777" w:rsidR="00ED3AE6" w:rsidRDefault="008C38B0">
            <w:pPr>
              <w:spacing w:line="360" w:lineRule="auto"/>
              <w:jc w:val="both"/>
              <w:rPr>
                <w:rFonts w:ascii="Arial" w:hAnsi="Arial" w:cs="Arial"/>
                <w:sz w:val="22"/>
                <w:szCs w:val="22"/>
              </w:rPr>
            </w:pPr>
            <w:r>
              <w:rPr>
                <w:rFonts w:ascii="Arial" w:hAnsi="Arial" w:cs="Arial"/>
                <w:sz w:val="22"/>
                <w:szCs w:val="22"/>
              </w:rPr>
              <w:t>Practice</w:t>
            </w:r>
          </w:p>
        </w:tc>
        <w:tc>
          <w:tcPr>
            <w:tcW w:w="4498" w:type="dxa"/>
          </w:tcPr>
          <w:p w14:paraId="0B07F347"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Embed PCC as a comprehensive </w:t>
            </w:r>
            <w:proofErr w:type="spellStart"/>
            <w:r>
              <w:rPr>
                <w:rFonts w:ascii="Arial" w:hAnsi="Arial" w:cs="Arial"/>
                <w:sz w:val="22"/>
                <w:szCs w:val="22"/>
              </w:rPr>
              <w:t>organisational</w:t>
            </w:r>
            <w:proofErr w:type="spellEnd"/>
            <w:r>
              <w:rPr>
                <w:rFonts w:ascii="Arial" w:hAnsi="Arial" w:cs="Arial"/>
                <w:sz w:val="22"/>
                <w:szCs w:val="22"/>
              </w:rPr>
              <w:t xml:space="preserve"> philosophy, not merely the language of care documentation</w:t>
            </w:r>
          </w:p>
        </w:tc>
        <w:tc>
          <w:tcPr>
            <w:tcW w:w="3602" w:type="dxa"/>
          </w:tcPr>
          <w:p w14:paraId="4B0CAFA7" w14:textId="77777777" w:rsidR="00ED3AE6" w:rsidRDefault="008C38B0">
            <w:pPr>
              <w:spacing w:line="360" w:lineRule="auto"/>
              <w:jc w:val="both"/>
              <w:rPr>
                <w:rFonts w:ascii="Arial" w:hAnsi="Arial" w:cs="Arial"/>
                <w:sz w:val="22"/>
                <w:szCs w:val="22"/>
              </w:rPr>
            </w:pPr>
            <w:r>
              <w:rPr>
                <w:rFonts w:ascii="Arial" w:hAnsi="Arial" w:cs="Arial"/>
                <w:sz w:val="22"/>
                <w:szCs w:val="22"/>
              </w:rPr>
              <w:t>Avoids the “tokenistic” application of PCC identified in Chapter Four</w:t>
            </w:r>
          </w:p>
        </w:tc>
      </w:tr>
      <w:tr w:rsidR="00ED3AE6" w14:paraId="50D7C92D" w14:textId="77777777" w:rsidTr="00922E6A">
        <w:tc>
          <w:tcPr>
            <w:tcW w:w="1300" w:type="dxa"/>
          </w:tcPr>
          <w:p w14:paraId="71E0B8AE" w14:textId="77777777" w:rsidR="00ED3AE6" w:rsidRDefault="008C38B0">
            <w:pPr>
              <w:spacing w:line="360" w:lineRule="auto"/>
              <w:jc w:val="both"/>
              <w:rPr>
                <w:rFonts w:ascii="Arial" w:hAnsi="Arial" w:cs="Arial"/>
                <w:sz w:val="22"/>
                <w:szCs w:val="22"/>
              </w:rPr>
            </w:pPr>
            <w:r>
              <w:rPr>
                <w:rFonts w:ascii="Arial" w:hAnsi="Arial" w:cs="Arial"/>
                <w:sz w:val="22"/>
                <w:szCs w:val="22"/>
              </w:rPr>
              <w:t>Practice</w:t>
            </w:r>
          </w:p>
        </w:tc>
        <w:tc>
          <w:tcPr>
            <w:tcW w:w="4498" w:type="dxa"/>
          </w:tcPr>
          <w:p w14:paraId="5519E9FD" w14:textId="77777777" w:rsidR="00ED3AE6" w:rsidRDefault="008C38B0">
            <w:pPr>
              <w:spacing w:line="360" w:lineRule="auto"/>
              <w:jc w:val="both"/>
              <w:rPr>
                <w:rFonts w:ascii="Arial" w:hAnsi="Arial" w:cs="Arial"/>
                <w:sz w:val="22"/>
                <w:szCs w:val="22"/>
              </w:rPr>
            </w:pPr>
            <w:proofErr w:type="spellStart"/>
            <w:r>
              <w:rPr>
                <w:rFonts w:ascii="Arial" w:hAnsi="Arial" w:cs="Arial"/>
                <w:sz w:val="22"/>
                <w:szCs w:val="22"/>
              </w:rPr>
              <w:t>Prioritise</w:t>
            </w:r>
            <w:proofErr w:type="spellEnd"/>
            <w:r>
              <w:rPr>
                <w:rFonts w:ascii="Arial" w:hAnsi="Arial" w:cs="Arial"/>
                <w:sz w:val="22"/>
                <w:szCs w:val="22"/>
              </w:rPr>
              <w:t xml:space="preserve"> sustained, structured staff training in person-</w:t>
            </w:r>
            <w:proofErr w:type="spellStart"/>
            <w:r>
              <w:rPr>
                <w:rFonts w:ascii="Arial" w:hAnsi="Arial" w:cs="Arial"/>
                <w:sz w:val="22"/>
                <w:szCs w:val="22"/>
              </w:rPr>
              <w:t>centred</w:t>
            </w:r>
            <w:proofErr w:type="spellEnd"/>
            <w:r>
              <w:rPr>
                <w:rFonts w:ascii="Arial" w:hAnsi="Arial" w:cs="Arial"/>
                <w:sz w:val="22"/>
                <w:szCs w:val="22"/>
              </w:rPr>
              <w:t xml:space="preserve"> communication and relational care</w:t>
            </w:r>
          </w:p>
        </w:tc>
        <w:tc>
          <w:tcPr>
            <w:tcW w:w="3602" w:type="dxa"/>
          </w:tcPr>
          <w:p w14:paraId="5E3275A3" w14:textId="77777777" w:rsidR="00ED3AE6" w:rsidRDefault="008C38B0">
            <w:pPr>
              <w:spacing w:line="360" w:lineRule="auto"/>
              <w:jc w:val="both"/>
              <w:rPr>
                <w:rFonts w:ascii="Arial" w:hAnsi="Arial" w:cs="Arial"/>
                <w:sz w:val="22"/>
                <w:szCs w:val="22"/>
              </w:rPr>
            </w:pPr>
            <w:r>
              <w:rPr>
                <w:rFonts w:ascii="Arial" w:hAnsi="Arial" w:cs="Arial"/>
                <w:sz w:val="22"/>
                <w:szCs w:val="22"/>
              </w:rPr>
              <w:t>Training depth is consistently linked to more positive and consistent outcomes</w:t>
            </w:r>
          </w:p>
        </w:tc>
      </w:tr>
      <w:tr w:rsidR="00ED3AE6" w14:paraId="2E28EE2A" w14:textId="77777777" w:rsidTr="00922E6A">
        <w:tc>
          <w:tcPr>
            <w:tcW w:w="1300" w:type="dxa"/>
          </w:tcPr>
          <w:p w14:paraId="014DB0D2" w14:textId="77777777" w:rsidR="00ED3AE6" w:rsidRDefault="008C38B0">
            <w:pPr>
              <w:spacing w:line="360" w:lineRule="auto"/>
              <w:jc w:val="both"/>
              <w:rPr>
                <w:rFonts w:ascii="Arial" w:hAnsi="Arial" w:cs="Arial"/>
                <w:sz w:val="22"/>
                <w:szCs w:val="22"/>
              </w:rPr>
            </w:pPr>
            <w:r>
              <w:rPr>
                <w:rFonts w:ascii="Arial" w:hAnsi="Arial" w:cs="Arial"/>
                <w:sz w:val="22"/>
                <w:szCs w:val="22"/>
              </w:rPr>
              <w:t>Practice</w:t>
            </w:r>
          </w:p>
        </w:tc>
        <w:tc>
          <w:tcPr>
            <w:tcW w:w="4498" w:type="dxa"/>
          </w:tcPr>
          <w:p w14:paraId="1C852A3A"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Ensure staffing levels allow genuinely </w:t>
            </w:r>
            <w:proofErr w:type="spellStart"/>
            <w:r>
              <w:rPr>
                <w:rFonts w:ascii="Arial" w:hAnsi="Arial" w:cs="Arial"/>
                <w:sz w:val="22"/>
                <w:szCs w:val="22"/>
              </w:rPr>
              <w:t>individualised</w:t>
            </w:r>
            <w:proofErr w:type="spellEnd"/>
            <w:r>
              <w:rPr>
                <w:rFonts w:ascii="Arial" w:hAnsi="Arial" w:cs="Arial"/>
                <w:sz w:val="22"/>
                <w:szCs w:val="22"/>
              </w:rPr>
              <w:t xml:space="preserve"> interaction with residents</w:t>
            </w:r>
          </w:p>
        </w:tc>
        <w:tc>
          <w:tcPr>
            <w:tcW w:w="3602" w:type="dxa"/>
          </w:tcPr>
          <w:p w14:paraId="3BB1C6EB" w14:textId="77777777" w:rsidR="00ED3AE6" w:rsidRDefault="008C38B0">
            <w:pPr>
              <w:spacing w:line="360" w:lineRule="auto"/>
              <w:jc w:val="both"/>
              <w:rPr>
                <w:rFonts w:ascii="Arial" w:hAnsi="Arial" w:cs="Arial"/>
                <w:sz w:val="22"/>
                <w:szCs w:val="22"/>
              </w:rPr>
            </w:pPr>
            <w:r>
              <w:rPr>
                <w:rFonts w:ascii="Arial" w:hAnsi="Arial" w:cs="Arial"/>
                <w:sz w:val="22"/>
                <w:szCs w:val="22"/>
              </w:rPr>
              <w:t>Time pressure is the most consistently cited barrier to PCC delivery</w:t>
            </w:r>
          </w:p>
        </w:tc>
      </w:tr>
      <w:tr w:rsidR="00ED3AE6" w14:paraId="3AA8B71B" w14:textId="77777777" w:rsidTr="00922E6A">
        <w:tc>
          <w:tcPr>
            <w:tcW w:w="1300" w:type="dxa"/>
          </w:tcPr>
          <w:p w14:paraId="734599AC" w14:textId="77777777" w:rsidR="00ED3AE6" w:rsidRDefault="008C38B0">
            <w:pPr>
              <w:spacing w:line="360" w:lineRule="auto"/>
              <w:jc w:val="both"/>
              <w:rPr>
                <w:rFonts w:ascii="Arial" w:hAnsi="Arial" w:cs="Arial"/>
                <w:sz w:val="22"/>
                <w:szCs w:val="22"/>
              </w:rPr>
            </w:pPr>
            <w:r>
              <w:rPr>
                <w:rFonts w:ascii="Arial" w:hAnsi="Arial" w:cs="Arial"/>
                <w:sz w:val="22"/>
                <w:szCs w:val="22"/>
              </w:rPr>
              <w:t>Practice</w:t>
            </w:r>
          </w:p>
        </w:tc>
        <w:tc>
          <w:tcPr>
            <w:tcW w:w="4498" w:type="dxa"/>
          </w:tcPr>
          <w:p w14:paraId="50254236" w14:textId="77777777" w:rsidR="00ED3AE6" w:rsidRDefault="008C38B0">
            <w:pPr>
              <w:spacing w:line="360" w:lineRule="auto"/>
              <w:jc w:val="both"/>
              <w:rPr>
                <w:rFonts w:ascii="Arial" w:hAnsi="Arial" w:cs="Arial"/>
                <w:sz w:val="22"/>
                <w:szCs w:val="22"/>
              </w:rPr>
            </w:pPr>
            <w:r>
              <w:rPr>
                <w:rFonts w:ascii="Arial" w:hAnsi="Arial" w:cs="Arial"/>
                <w:sz w:val="22"/>
                <w:szCs w:val="22"/>
              </w:rPr>
              <w:t>Tailor and intensify PCC approaches for residents with more advanced dementia</w:t>
            </w:r>
          </w:p>
        </w:tc>
        <w:tc>
          <w:tcPr>
            <w:tcW w:w="3602" w:type="dxa"/>
          </w:tcPr>
          <w:p w14:paraId="4069ECA8" w14:textId="77777777" w:rsidR="00ED3AE6" w:rsidRDefault="008C38B0">
            <w:pPr>
              <w:spacing w:line="360" w:lineRule="auto"/>
              <w:jc w:val="both"/>
              <w:rPr>
                <w:rFonts w:ascii="Arial" w:hAnsi="Arial" w:cs="Arial"/>
                <w:sz w:val="22"/>
                <w:szCs w:val="22"/>
              </w:rPr>
            </w:pPr>
            <w:r>
              <w:rPr>
                <w:rFonts w:ascii="Arial" w:hAnsi="Arial" w:cs="Arial"/>
                <w:sz w:val="22"/>
                <w:szCs w:val="22"/>
              </w:rPr>
              <w:t>Addresses the inequity in benefit identified across levels of cognitive impairment</w:t>
            </w:r>
          </w:p>
        </w:tc>
      </w:tr>
      <w:tr w:rsidR="00ED3AE6" w14:paraId="0D3F0AD4" w14:textId="77777777" w:rsidTr="00922E6A">
        <w:tc>
          <w:tcPr>
            <w:tcW w:w="1300" w:type="dxa"/>
          </w:tcPr>
          <w:p w14:paraId="75856AFC" w14:textId="77777777" w:rsidR="00ED3AE6" w:rsidRDefault="008C38B0">
            <w:pPr>
              <w:spacing w:line="360" w:lineRule="auto"/>
              <w:jc w:val="both"/>
              <w:rPr>
                <w:rFonts w:ascii="Arial" w:hAnsi="Arial" w:cs="Arial"/>
                <w:sz w:val="22"/>
                <w:szCs w:val="22"/>
              </w:rPr>
            </w:pPr>
            <w:r>
              <w:rPr>
                <w:rFonts w:ascii="Arial" w:hAnsi="Arial" w:cs="Arial"/>
                <w:sz w:val="22"/>
                <w:szCs w:val="22"/>
              </w:rPr>
              <w:t>Practice</w:t>
            </w:r>
          </w:p>
        </w:tc>
        <w:tc>
          <w:tcPr>
            <w:tcW w:w="4498" w:type="dxa"/>
          </w:tcPr>
          <w:p w14:paraId="1A664022" w14:textId="77777777" w:rsidR="00ED3AE6" w:rsidRDefault="008C38B0">
            <w:pPr>
              <w:spacing w:line="360" w:lineRule="auto"/>
              <w:jc w:val="both"/>
              <w:rPr>
                <w:rFonts w:ascii="Arial" w:hAnsi="Arial" w:cs="Arial"/>
                <w:sz w:val="22"/>
                <w:szCs w:val="22"/>
              </w:rPr>
            </w:pPr>
            <w:r>
              <w:rPr>
                <w:rFonts w:ascii="Arial" w:hAnsi="Arial" w:cs="Arial"/>
                <w:sz w:val="22"/>
                <w:szCs w:val="22"/>
              </w:rPr>
              <w:t>Develop locally meaningful methods of monitoring person-</w:t>
            </w:r>
            <w:proofErr w:type="spellStart"/>
            <w:r>
              <w:rPr>
                <w:rFonts w:ascii="Arial" w:hAnsi="Arial" w:cs="Arial"/>
                <w:sz w:val="22"/>
                <w:szCs w:val="22"/>
              </w:rPr>
              <w:t>centred</w:t>
            </w:r>
            <w:proofErr w:type="spellEnd"/>
            <w:r>
              <w:rPr>
                <w:rFonts w:ascii="Arial" w:hAnsi="Arial" w:cs="Arial"/>
                <w:sz w:val="22"/>
                <w:szCs w:val="22"/>
              </w:rPr>
              <w:t xml:space="preserve"> outcomes</w:t>
            </w:r>
          </w:p>
        </w:tc>
        <w:tc>
          <w:tcPr>
            <w:tcW w:w="3602" w:type="dxa"/>
          </w:tcPr>
          <w:p w14:paraId="5FB7121F" w14:textId="77777777" w:rsidR="00ED3AE6" w:rsidRDefault="008C38B0">
            <w:pPr>
              <w:spacing w:line="360" w:lineRule="auto"/>
              <w:jc w:val="both"/>
              <w:rPr>
                <w:rFonts w:ascii="Arial" w:hAnsi="Arial" w:cs="Arial"/>
                <w:sz w:val="22"/>
                <w:szCs w:val="22"/>
              </w:rPr>
            </w:pPr>
            <w:r>
              <w:rPr>
                <w:rFonts w:ascii="Arial" w:hAnsi="Arial" w:cs="Arial"/>
                <w:sz w:val="22"/>
                <w:szCs w:val="22"/>
              </w:rPr>
              <w:t>Generic quality-assurance processes do not adequately capture PCC fidelity</w:t>
            </w:r>
          </w:p>
        </w:tc>
      </w:tr>
      <w:tr w:rsidR="00ED3AE6" w14:paraId="06278C7D" w14:textId="77777777" w:rsidTr="00922E6A">
        <w:tc>
          <w:tcPr>
            <w:tcW w:w="1300" w:type="dxa"/>
          </w:tcPr>
          <w:p w14:paraId="468F1925" w14:textId="77777777" w:rsidR="00ED3AE6" w:rsidRDefault="008C38B0">
            <w:pPr>
              <w:spacing w:line="360" w:lineRule="auto"/>
              <w:jc w:val="both"/>
              <w:rPr>
                <w:rFonts w:ascii="Arial" w:hAnsi="Arial" w:cs="Arial"/>
                <w:sz w:val="22"/>
                <w:szCs w:val="22"/>
              </w:rPr>
            </w:pPr>
            <w:r>
              <w:rPr>
                <w:rFonts w:ascii="Arial" w:hAnsi="Arial" w:cs="Arial"/>
                <w:sz w:val="22"/>
                <w:szCs w:val="22"/>
              </w:rPr>
              <w:t>Policy</w:t>
            </w:r>
          </w:p>
        </w:tc>
        <w:tc>
          <w:tcPr>
            <w:tcW w:w="4498" w:type="dxa"/>
          </w:tcPr>
          <w:p w14:paraId="7AC467C5" w14:textId="77777777" w:rsidR="00ED3AE6" w:rsidRDefault="008C38B0">
            <w:pPr>
              <w:spacing w:line="360" w:lineRule="auto"/>
              <w:jc w:val="both"/>
              <w:rPr>
                <w:rFonts w:ascii="Arial" w:hAnsi="Arial" w:cs="Arial"/>
                <w:sz w:val="22"/>
                <w:szCs w:val="22"/>
              </w:rPr>
            </w:pPr>
            <w:r>
              <w:rPr>
                <w:rFonts w:ascii="Arial" w:hAnsi="Arial" w:cs="Arial"/>
                <w:sz w:val="22"/>
                <w:szCs w:val="22"/>
              </w:rPr>
              <w:t>Specify practical resourcing, staffing ratios and training investment within national PCC guidance</w:t>
            </w:r>
          </w:p>
        </w:tc>
        <w:tc>
          <w:tcPr>
            <w:tcW w:w="3602" w:type="dxa"/>
          </w:tcPr>
          <w:p w14:paraId="5BCDEDC5" w14:textId="77777777" w:rsidR="00ED3AE6" w:rsidRDefault="008C38B0">
            <w:pPr>
              <w:spacing w:line="360" w:lineRule="auto"/>
              <w:jc w:val="both"/>
              <w:rPr>
                <w:rFonts w:ascii="Arial" w:hAnsi="Arial" w:cs="Arial"/>
                <w:sz w:val="22"/>
                <w:szCs w:val="22"/>
              </w:rPr>
            </w:pPr>
            <w:r>
              <w:rPr>
                <w:rFonts w:ascii="Arial" w:hAnsi="Arial" w:cs="Arial"/>
                <w:sz w:val="22"/>
                <w:szCs w:val="22"/>
              </w:rPr>
              <w:t>Prevents policy commitment to PCC from remaining largely rhetorical</w:t>
            </w:r>
          </w:p>
        </w:tc>
      </w:tr>
      <w:tr w:rsidR="00ED3AE6" w14:paraId="7960EA7E" w14:textId="77777777" w:rsidTr="00922E6A">
        <w:tc>
          <w:tcPr>
            <w:tcW w:w="1300" w:type="dxa"/>
          </w:tcPr>
          <w:p w14:paraId="36455CCB" w14:textId="77777777" w:rsidR="00ED3AE6" w:rsidRDefault="008C38B0">
            <w:pPr>
              <w:spacing w:line="360" w:lineRule="auto"/>
              <w:jc w:val="both"/>
              <w:rPr>
                <w:rFonts w:ascii="Arial" w:hAnsi="Arial" w:cs="Arial"/>
                <w:sz w:val="22"/>
                <w:szCs w:val="22"/>
              </w:rPr>
            </w:pPr>
            <w:r>
              <w:rPr>
                <w:rFonts w:ascii="Arial" w:hAnsi="Arial" w:cs="Arial"/>
                <w:sz w:val="22"/>
                <w:szCs w:val="22"/>
              </w:rPr>
              <w:t>Policy</w:t>
            </w:r>
          </w:p>
        </w:tc>
        <w:tc>
          <w:tcPr>
            <w:tcW w:w="4498" w:type="dxa"/>
          </w:tcPr>
          <w:p w14:paraId="1E05B93B" w14:textId="77777777" w:rsidR="00ED3AE6" w:rsidRDefault="008C38B0">
            <w:pPr>
              <w:spacing w:line="360" w:lineRule="auto"/>
              <w:jc w:val="both"/>
              <w:rPr>
                <w:rFonts w:ascii="Arial" w:hAnsi="Arial" w:cs="Arial"/>
                <w:sz w:val="22"/>
                <w:szCs w:val="22"/>
              </w:rPr>
            </w:pPr>
            <w:r>
              <w:rPr>
                <w:rFonts w:ascii="Arial" w:hAnsi="Arial" w:cs="Arial"/>
                <w:sz w:val="22"/>
                <w:szCs w:val="22"/>
              </w:rPr>
              <w:t>Strengthen regulatory and inspection mechanisms tied specifically to person-</w:t>
            </w:r>
            <w:proofErr w:type="spellStart"/>
            <w:r>
              <w:rPr>
                <w:rFonts w:ascii="Arial" w:hAnsi="Arial" w:cs="Arial"/>
                <w:sz w:val="22"/>
                <w:szCs w:val="22"/>
              </w:rPr>
              <w:lastRenderedPageBreak/>
              <w:t>centred</w:t>
            </w:r>
            <w:proofErr w:type="spellEnd"/>
            <w:r>
              <w:rPr>
                <w:rFonts w:ascii="Arial" w:hAnsi="Arial" w:cs="Arial"/>
                <w:sz w:val="22"/>
                <w:szCs w:val="22"/>
              </w:rPr>
              <w:t xml:space="preserve"> outcomes</w:t>
            </w:r>
          </w:p>
        </w:tc>
        <w:tc>
          <w:tcPr>
            <w:tcW w:w="3602" w:type="dxa"/>
          </w:tcPr>
          <w:p w14:paraId="5C9FCBF9" w14:textId="77777777" w:rsidR="00ED3AE6" w:rsidRDefault="008C38B0">
            <w:pPr>
              <w:spacing w:line="360" w:lineRule="auto"/>
              <w:jc w:val="both"/>
              <w:rPr>
                <w:rFonts w:ascii="Arial" w:hAnsi="Arial" w:cs="Arial"/>
                <w:sz w:val="22"/>
                <w:szCs w:val="22"/>
              </w:rPr>
            </w:pPr>
            <w:r>
              <w:rPr>
                <w:rFonts w:ascii="Arial" w:hAnsi="Arial" w:cs="Arial"/>
                <w:sz w:val="22"/>
                <w:szCs w:val="22"/>
              </w:rPr>
              <w:lastRenderedPageBreak/>
              <w:t xml:space="preserve">Improves accountability for the consistent delivery of PCC </w:t>
            </w:r>
            <w:r>
              <w:rPr>
                <w:rFonts w:ascii="Arial" w:hAnsi="Arial" w:cs="Arial"/>
                <w:sz w:val="22"/>
                <w:szCs w:val="22"/>
              </w:rPr>
              <w:lastRenderedPageBreak/>
              <w:t>principles</w:t>
            </w:r>
          </w:p>
        </w:tc>
      </w:tr>
    </w:tbl>
    <w:p w14:paraId="1610D837" w14:textId="77777777" w:rsidR="00ED3AE6" w:rsidRDefault="008C38B0">
      <w:pPr>
        <w:spacing w:line="360" w:lineRule="auto"/>
        <w:jc w:val="both"/>
        <w:rPr>
          <w:rFonts w:ascii="Arial" w:hAnsi="Arial" w:cs="Arial"/>
          <w:sz w:val="22"/>
          <w:szCs w:val="22"/>
        </w:rPr>
      </w:pPr>
      <w:r>
        <w:rPr>
          <w:rFonts w:ascii="Arial" w:hAnsi="Arial" w:cs="Arial"/>
          <w:i/>
          <w:iCs/>
          <w:sz w:val="22"/>
          <w:szCs w:val="22"/>
        </w:rPr>
        <w:lastRenderedPageBreak/>
        <w:t xml:space="preserve">Table compiled by the author, </w:t>
      </w:r>
      <w:proofErr w:type="spellStart"/>
      <w:r>
        <w:rPr>
          <w:rFonts w:ascii="Arial" w:hAnsi="Arial" w:cs="Arial"/>
          <w:i/>
          <w:iCs/>
          <w:sz w:val="22"/>
          <w:szCs w:val="22"/>
        </w:rPr>
        <w:t>synthesising</w:t>
      </w:r>
      <w:proofErr w:type="spellEnd"/>
      <w:r>
        <w:rPr>
          <w:rFonts w:ascii="Arial" w:hAnsi="Arial" w:cs="Arial"/>
          <w:i/>
          <w:iCs/>
          <w:sz w:val="22"/>
          <w:szCs w:val="22"/>
        </w:rPr>
        <w:t xml:space="preserve"> the recommendations discussed in Sections 5.3 and 5.4.</w:t>
      </w:r>
    </w:p>
    <w:p w14:paraId="1F4373F3" w14:textId="77777777" w:rsidR="00ED3AE6" w:rsidRDefault="008C38B0">
      <w:pPr>
        <w:pStyle w:val="Heading2"/>
        <w:spacing w:line="360" w:lineRule="auto"/>
        <w:jc w:val="both"/>
        <w:rPr>
          <w:rFonts w:ascii="Arial" w:hAnsi="Arial" w:cs="Arial"/>
          <w:color w:val="auto"/>
          <w:sz w:val="22"/>
          <w:szCs w:val="22"/>
        </w:rPr>
      </w:pPr>
      <w:bookmarkStart w:id="53" w:name="__RefHeading___Toc1589_1328646638"/>
      <w:bookmarkEnd w:id="53"/>
      <w:r>
        <w:rPr>
          <w:rFonts w:ascii="Arial" w:hAnsi="Arial" w:cs="Arial"/>
          <w:b/>
          <w:bCs/>
          <w:color w:val="auto"/>
          <w:sz w:val="28"/>
          <w:szCs w:val="22"/>
        </w:rPr>
        <w:t>5.5 Recommendations for Future Research</w:t>
      </w:r>
    </w:p>
    <w:p w14:paraId="79C3ED11"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review has identified several gaps that warrant attention in future research. There is a clear need for more robust longitudinal studies examining whether the psychological and </w:t>
      </w:r>
      <w:proofErr w:type="spellStart"/>
      <w:r>
        <w:rPr>
          <w:rFonts w:ascii="Arial" w:hAnsi="Arial" w:cs="Arial"/>
          <w:sz w:val="22"/>
          <w:szCs w:val="22"/>
        </w:rPr>
        <w:t>behavioural</w:t>
      </w:r>
      <w:proofErr w:type="spellEnd"/>
      <w:r>
        <w:rPr>
          <w:rFonts w:ascii="Arial" w:hAnsi="Arial" w:cs="Arial"/>
          <w:sz w:val="22"/>
          <w:szCs w:val="22"/>
        </w:rPr>
        <w:t xml:space="preserve"> benefits associated with PCC are sustained over time, rather than representing short-term effects. Future research would also benefit from greater consistency in how PCC is </w:t>
      </w:r>
      <w:proofErr w:type="spellStart"/>
      <w:r>
        <w:rPr>
          <w:rFonts w:ascii="Arial" w:hAnsi="Arial" w:cs="Arial"/>
          <w:sz w:val="22"/>
          <w:szCs w:val="22"/>
        </w:rPr>
        <w:t>operationalised</w:t>
      </w:r>
      <w:proofErr w:type="spellEnd"/>
      <w:r>
        <w:rPr>
          <w:rFonts w:ascii="Arial" w:hAnsi="Arial" w:cs="Arial"/>
          <w:sz w:val="22"/>
          <w:szCs w:val="22"/>
        </w:rPr>
        <w:t xml:space="preserve"> and measured across studies, potentially through the development of a more </w:t>
      </w:r>
      <w:proofErr w:type="spellStart"/>
      <w:r>
        <w:rPr>
          <w:rFonts w:ascii="Arial" w:hAnsi="Arial" w:cs="Arial"/>
          <w:sz w:val="22"/>
          <w:szCs w:val="22"/>
        </w:rPr>
        <w:t>standardised</w:t>
      </w:r>
      <w:proofErr w:type="spellEnd"/>
      <w:r>
        <w:rPr>
          <w:rFonts w:ascii="Arial" w:hAnsi="Arial" w:cs="Arial"/>
          <w:sz w:val="22"/>
          <w:szCs w:val="22"/>
        </w:rPr>
        <w:t xml:space="preserve"> framework or fidelity measure, in order to facilitate more meaningful comparison and synthesis of findings. Further investigation is also needed into how PCC can be adapted to more equitably benefit residents with advanced dementia, who appear, on the basis of the evidence reviewed here, to benefit less from current approaches than those with milder cognitive impairment.</w:t>
      </w:r>
    </w:p>
    <w:p w14:paraId="6C6AA36D" w14:textId="77777777" w:rsidR="00ED3AE6" w:rsidRDefault="008C38B0">
      <w:pPr>
        <w:pStyle w:val="Heading2"/>
        <w:spacing w:line="360" w:lineRule="auto"/>
        <w:jc w:val="both"/>
        <w:rPr>
          <w:rFonts w:ascii="Arial" w:hAnsi="Arial" w:cs="Arial"/>
          <w:color w:val="auto"/>
          <w:sz w:val="22"/>
          <w:szCs w:val="22"/>
        </w:rPr>
      </w:pPr>
      <w:bookmarkStart w:id="54" w:name="__RefHeading___Toc1591_1328646638"/>
      <w:bookmarkEnd w:id="54"/>
      <w:r>
        <w:rPr>
          <w:rFonts w:ascii="Arial" w:hAnsi="Arial" w:cs="Arial"/>
          <w:b/>
          <w:bCs/>
          <w:color w:val="auto"/>
          <w:sz w:val="28"/>
          <w:szCs w:val="22"/>
        </w:rPr>
        <w:t>5.6 Limitations of the Study</w:t>
      </w:r>
    </w:p>
    <w:p w14:paraId="520C8F59" w14:textId="77777777" w:rsidR="00ED3AE6" w:rsidRDefault="008C38B0">
      <w:pPr>
        <w:spacing w:line="360" w:lineRule="auto"/>
        <w:jc w:val="both"/>
        <w:rPr>
          <w:rFonts w:ascii="Arial" w:hAnsi="Arial" w:cs="Arial"/>
          <w:sz w:val="22"/>
          <w:szCs w:val="22"/>
        </w:rPr>
      </w:pPr>
      <w:r>
        <w:rPr>
          <w:rFonts w:ascii="Arial" w:hAnsi="Arial" w:cs="Arial"/>
          <w:sz w:val="22"/>
          <w:szCs w:val="22"/>
        </w:rPr>
        <w:t>As discussed in Chapter Three, this dissertation is based on a narrative literature review rather than a fully systematic review or primary empirical research, and its conclusions are therefore shaped by the scope and quality of the existing published evidence. The reliance on secondary sources means that this study cannot resolve the methodological limitations present within the underlying literature, such as the predominance of qualitative and self-reported outcome measures and the relative scarcity of longitudinal data. The exclusive use of English-language sources may also have excluded relevant international literature on PCC, a model that is applied across a wide range of countries and care systems.</w:t>
      </w:r>
    </w:p>
    <w:p w14:paraId="46E421D2" w14:textId="77777777" w:rsidR="00ED3AE6" w:rsidRDefault="008C38B0">
      <w:pPr>
        <w:pStyle w:val="Heading2"/>
        <w:spacing w:line="360" w:lineRule="auto"/>
        <w:jc w:val="both"/>
        <w:rPr>
          <w:rFonts w:ascii="Arial" w:hAnsi="Arial" w:cs="Arial"/>
          <w:color w:val="auto"/>
          <w:sz w:val="22"/>
          <w:szCs w:val="22"/>
        </w:rPr>
      </w:pPr>
      <w:bookmarkStart w:id="55" w:name="__RefHeading___Toc1593_1328646638"/>
      <w:bookmarkEnd w:id="55"/>
      <w:r>
        <w:rPr>
          <w:rFonts w:ascii="Arial" w:hAnsi="Arial" w:cs="Arial"/>
          <w:b/>
          <w:bCs/>
          <w:color w:val="auto"/>
          <w:sz w:val="28"/>
          <w:szCs w:val="22"/>
        </w:rPr>
        <w:t>5.7 Conclusion</w:t>
      </w:r>
    </w:p>
    <w:p w14:paraId="38F262FC" w14:textId="77777777" w:rsidR="00ED3AE6" w:rsidRDefault="008C38B0">
      <w:pPr>
        <w:spacing w:line="360" w:lineRule="auto"/>
        <w:jc w:val="both"/>
        <w:rPr>
          <w:rFonts w:ascii="Arial" w:hAnsi="Arial" w:cs="Arial"/>
          <w:sz w:val="22"/>
          <w:szCs w:val="22"/>
        </w:rPr>
      </w:pPr>
      <w:r>
        <w:rPr>
          <w:rFonts w:ascii="Arial" w:hAnsi="Arial" w:cs="Arial"/>
          <w:sz w:val="22"/>
          <w:szCs w:val="22"/>
        </w:rPr>
        <w:t>This dissertation has critically examined the extent to which person-</w:t>
      </w:r>
      <w:proofErr w:type="spellStart"/>
      <w:r>
        <w:rPr>
          <w:rFonts w:ascii="Arial" w:hAnsi="Arial" w:cs="Arial"/>
          <w:sz w:val="22"/>
          <w:szCs w:val="22"/>
        </w:rPr>
        <w:t>centred</w:t>
      </w:r>
      <w:proofErr w:type="spellEnd"/>
      <w:r>
        <w:rPr>
          <w:rFonts w:ascii="Arial" w:hAnsi="Arial" w:cs="Arial"/>
          <w:sz w:val="22"/>
          <w:szCs w:val="22"/>
        </w:rPr>
        <w:t xml:space="preserve"> care improves outcomes for older adults in residential care settings. The findings indicate that PCC is not a uniformly effective or ineffective intervention but a model whose impact is strongly shaped by the conditions of its implementation. Where PCC is delivered with depth, supported by adequate staffing, sustained training, and </w:t>
      </w:r>
      <w:proofErr w:type="spellStart"/>
      <w:r>
        <w:rPr>
          <w:rFonts w:ascii="Arial" w:hAnsi="Arial" w:cs="Arial"/>
          <w:sz w:val="22"/>
          <w:szCs w:val="22"/>
        </w:rPr>
        <w:t>organisational</w:t>
      </w:r>
      <w:proofErr w:type="spellEnd"/>
      <w:r>
        <w:rPr>
          <w:rFonts w:ascii="Arial" w:hAnsi="Arial" w:cs="Arial"/>
          <w:sz w:val="22"/>
          <w:szCs w:val="22"/>
        </w:rPr>
        <w:t xml:space="preserve"> commitment, the evidence suggests genuine improvements in psychological wellbeing, </w:t>
      </w:r>
      <w:proofErr w:type="spellStart"/>
      <w:r>
        <w:rPr>
          <w:rFonts w:ascii="Arial" w:hAnsi="Arial" w:cs="Arial"/>
          <w:sz w:val="22"/>
          <w:szCs w:val="22"/>
        </w:rPr>
        <w:t>behavioural</w:t>
      </w:r>
      <w:proofErr w:type="spellEnd"/>
      <w:r>
        <w:rPr>
          <w:rFonts w:ascii="Arial" w:hAnsi="Arial" w:cs="Arial"/>
          <w:sz w:val="22"/>
          <w:szCs w:val="22"/>
        </w:rPr>
        <w:t xml:space="preserve"> outcomes, and social engagement. Where these conditions are absent, the benefits of PCC are diminished or inconsistent.</w:t>
      </w:r>
    </w:p>
    <w:p w14:paraId="45CC3464" w14:textId="77777777" w:rsidR="00ED3AE6" w:rsidRDefault="008C38B0">
      <w:pPr>
        <w:spacing w:line="360" w:lineRule="auto"/>
        <w:jc w:val="both"/>
        <w:rPr>
          <w:rFonts w:ascii="Arial" w:hAnsi="Arial" w:cs="Arial"/>
          <w:sz w:val="22"/>
          <w:szCs w:val="22"/>
        </w:rPr>
      </w:pPr>
      <w:r>
        <w:rPr>
          <w:rFonts w:ascii="Arial" w:hAnsi="Arial" w:cs="Arial"/>
          <w:sz w:val="22"/>
          <w:szCs w:val="22"/>
        </w:rPr>
        <w:t xml:space="preserve">This conclusion carries an important implication for residential care practice and policy: the central challenge is not whether PCC represents a valid or worthwhile approach to care, but whether residential care systems are adequately resourced, trained, and </w:t>
      </w:r>
      <w:proofErr w:type="spellStart"/>
      <w:r>
        <w:rPr>
          <w:rFonts w:ascii="Arial" w:hAnsi="Arial" w:cs="Arial"/>
          <w:sz w:val="22"/>
          <w:szCs w:val="22"/>
        </w:rPr>
        <w:t>organised</w:t>
      </w:r>
      <w:proofErr w:type="spellEnd"/>
      <w:r>
        <w:rPr>
          <w:rFonts w:ascii="Arial" w:hAnsi="Arial" w:cs="Arial"/>
          <w:sz w:val="22"/>
          <w:szCs w:val="22"/>
        </w:rPr>
        <w:t xml:space="preserve"> to deliver it consistently and equitably. Addressing this challenge will require sustained investment, </w:t>
      </w:r>
      <w:r>
        <w:rPr>
          <w:rFonts w:ascii="Arial" w:hAnsi="Arial" w:cs="Arial"/>
          <w:sz w:val="22"/>
          <w:szCs w:val="22"/>
        </w:rPr>
        <w:lastRenderedPageBreak/>
        <w:t xml:space="preserve">more precise </w:t>
      </w:r>
      <w:proofErr w:type="spellStart"/>
      <w:r>
        <w:rPr>
          <w:rFonts w:ascii="Arial" w:hAnsi="Arial" w:cs="Arial"/>
          <w:sz w:val="22"/>
          <w:szCs w:val="22"/>
        </w:rPr>
        <w:t>operationalisation</w:t>
      </w:r>
      <w:proofErr w:type="spellEnd"/>
      <w:r>
        <w:rPr>
          <w:rFonts w:ascii="Arial" w:hAnsi="Arial" w:cs="Arial"/>
          <w:sz w:val="22"/>
          <w:szCs w:val="22"/>
        </w:rPr>
        <w:t xml:space="preserve"> of PCC in both research and practice, and a stronger focus on ensuring that the benefits of person-</w:t>
      </w:r>
      <w:proofErr w:type="spellStart"/>
      <w:r>
        <w:rPr>
          <w:rFonts w:ascii="Arial" w:hAnsi="Arial" w:cs="Arial"/>
          <w:sz w:val="22"/>
          <w:szCs w:val="22"/>
        </w:rPr>
        <w:t>centred</w:t>
      </w:r>
      <w:proofErr w:type="spellEnd"/>
      <w:r>
        <w:rPr>
          <w:rFonts w:ascii="Arial" w:hAnsi="Arial" w:cs="Arial"/>
          <w:sz w:val="22"/>
          <w:szCs w:val="22"/>
        </w:rPr>
        <w:t xml:space="preserve"> approaches are extended to all residents, including those with the most advanced care needs. In this respect, the future effectiveness of person-</w:t>
      </w:r>
      <w:proofErr w:type="spellStart"/>
      <w:r>
        <w:rPr>
          <w:rFonts w:ascii="Arial" w:hAnsi="Arial" w:cs="Arial"/>
          <w:sz w:val="22"/>
          <w:szCs w:val="22"/>
        </w:rPr>
        <w:t>centred</w:t>
      </w:r>
      <w:proofErr w:type="spellEnd"/>
      <w:r>
        <w:rPr>
          <w:rFonts w:ascii="Arial" w:hAnsi="Arial" w:cs="Arial"/>
          <w:sz w:val="22"/>
          <w:szCs w:val="22"/>
        </w:rPr>
        <w:t xml:space="preserve"> care in residential settings depends less on further validating the underlying philosophy and more on closing the persistent gap between policy aspiration and the practical realities of everyday care delivery.</w:t>
      </w:r>
    </w:p>
    <w:p w14:paraId="4602A7CF" w14:textId="77777777" w:rsidR="00ED3AE6" w:rsidRDefault="00ED3AE6">
      <w:pPr>
        <w:spacing w:line="360" w:lineRule="auto"/>
        <w:jc w:val="both"/>
        <w:rPr>
          <w:rFonts w:ascii="Arial" w:hAnsi="Arial" w:cs="Arial"/>
          <w:sz w:val="22"/>
          <w:szCs w:val="22"/>
        </w:rPr>
      </w:pPr>
    </w:p>
    <w:p w14:paraId="6EEC94FA" w14:textId="77777777" w:rsidR="00ED3AE6" w:rsidRDefault="00ED3AE6">
      <w:pPr>
        <w:spacing w:line="360" w:lineRule="auto"/>
        <w:jc w:val="both"/>
        <w:rPr>
          <w:rFonts w:ascii="Arial" w:hAnsi="Arial" w:cs="Arial"/>
          <w:sz w:val="22"/>
          <w:szCs w:val="22"/>
        </w:rPr>
      </w:pPr>
    </w:p>
    <w:p w14:paraId="051C206D" w14:textId="77777777" w:rsidR="00ED3AE6" w:rsidRDefault="00ED3AE6">
      <w:pPr>
        <w:spacing w:line="360" w:lineRule="auto"/>
        <w:jc w:val="both"/>
        <w:rPr>
          <w:rFonts w:ascii="Arial" w:hAnsi="Arial" w:cs="Arial"/>
          <w:sz w:val="22"/>
          <w:szCs w:val="22"/>
        </w:rPr>
      </w:pPr>
    </w:p>
    <w:p w14:paraId="2314B4C4" w14:textId="77777777" w:rsidR="00ED3AE6" w:rsidRDefault="00ED3AE6">
      <w:pPr>
        <w:spacing w:line="360" w:lineRule="auto"/>
        <w:jc w:val="both"/>
        <w:rPr>
          <w:rFonts w:ascii="Arial" w:hAnsi="Arial" w:cs="Arial"/>
          <w:sz w:val="22"/>
          <w:szCs w:val="22"/>
        </w:rPr>
      </w:pPr>
    </w:p>
    <w:p w14:paraId="6C677B66" w14:textId="77777777" w:rsidR="00ED3AE6" w:rsidRDefault="00ED3AE6">
      <w:pPr>
        <w:spacing w:line="360" w:lineRule="auto"/>
        <w:jc w:val="both"/>
        <w:rPr>
          <w:rFonts w:ascii="Arial" w:hAnsi="Arial" w:cs="Arial"/>
          <w:sz w:val="22"/>
          <w:szCs w:val="22"/>
        </w:rPr>
      </w:pPr>
    </w:p>
    <w:p w14:paraId="58F5DABC" w14:textId="77777777" w:rsidR="00ED3AE6" w:rsidRDefault="00ED3AE6">
      <w:pPr>
        <w:spacing w:line="360" w:lineRule="auto"/>
        <w:jc w:val="both"/>
        <w:rPr>
          <w:rFonts w:ascii="Arial" w:hAnsi="Arial" w:cs="Arial"/>
          <w:sz w:val="22"/>
          <w:szCs w:val="22"/>
        </w:rPr>
      </w:pPr>
    </w:p>
    <w:p w14:paraId="6AD540AD" w14:textId="77777777" w:rsidR="00ED3AE6" w:rsidRDefault="00ED3AE6">
      <w:pPr>
        <w:spacing w:line="360" w:lineRule="auto"/>
        <w:jc w:val="both"/>
        <w:rPr>
          <w:rFonts w:ascii="Arial" w:hAnsi="Arial" w:cs="Arial"/>
          <w:sz w:val="22"/>
          <w:szCs w:val="22"/>
        </w:rPr>
      </w:pPr>
    </w:p>
    <w:p w14:paraId="121F19A6" w14:textId="77777777" w:rsidR="00ED3AE6" w:rsidRDefault="00ED3AE6">
      <w:pPr>
        <w:spacing w:line="360" w:lineRule="auto"/>
        <w:jc w:val="both"/>
        <w:rPr>
          <w:rFonts w:ascii="Arial" w:hAnsi="Arial" w:cs="Arial"/>
          <w:sz w:val="22"/>
          <w:szCs w:val="22"/>
        </w:rPr>
      </w:pPr>
    </w:p>
    <w:p w14:paraId="4E279EE4" w14:textId="77777777" w:rsidR="00ED3AE6" w:rsidRDefault="00ED3AE6">
      <w:pPr>
        <w:spacing w:line="360" w:lineRule="auto"/>
        <w:jc w:val="both"/>
        <w:rPr>
          <w:rFonts w:ascii="Arial" w:hAnsi="Arial" w:cs="Arial"/>
          <w:sz w:val="22"/>
          <w:szCs w:val="22"/>
        </w:rPr>
      </w:pPr>
    </w:p>
    <w:p w14:paraId="61076366" w14:textId="77777777" w:rsidR="00ED3AE6" w:rsidRDefault="00ED3AE6">
      <w:pPr>
        <w:spacing w:line="360" w:lineRule="auto"/>
        <w:jc w:val="both"/>
        <w:rPr>
          <w:rFonts w:ascii="Arial" w:hAnsi="Arial" w:cs="Arial"/>
          <w:sz w:val="22"/>
          <w:szCs w:val="22"/>
        </w:rPr>
      </w:pPr>
    </w:p>
    <w:p w14:paraId="737D2056" w14:textId="77777777" w:rsidR="00ED3AE6" w:rsidRDefault="00ED3AE6">
      <w:pPr>
        <w:spacing w:line="360" w:lineRule="auto"/>
        <w:jc w:val="both"/>
        <w:rPr>
          <w:rFonts w:ascii="Arial" w:hAnsi="Arial" w:cs="Arial"/>
          <w:sz w:val="22"/>
          <w:szCs w:val="22"/>
        </w:rPr>
      </w:pPr>
    </w:p>
    <w:p w14:paraId="224E6CBE" w14:textId="77777777" w:rsidR="00ED3AE6" w:rsidRDefault="00ED3AE6">
      <w:pPr>
        <w:spacing w:line="360" w:lineRule="auto"/>
        <w:jc w:val="both"/>
        <w:rPr>
          <w:rFonts w:ascii="Arial" w:hAnsi="Arial" w:cs="Arial"/>
          <w:sz w:val="22"/>
          <w:szCs w:val="22"/>
        </w:rPr>
      </w:pPr>
    </w:p>
    <w:p w14:paraId="35AE8546" w14:textId="77777777" w:rsidR="00ED3AE6" w:rsidRDefault="00ED3AE6">
      <w:pPr>
        <w:spacing w:line="360" w:lineRule="auto"/>
        <w:jc w:val="both"/>
        <w:rPr>
          <w:rFonts w:ascii="Arial" w:hAnsi="Arial" w:cs="Arial"/>
          <w:sz w:val="22"/>
          <w:szCs w:val="22"/>
        </w:rPr>
      </w:pPr>
    </w:p>
    <w:p w14:paraId="033B9684" w14:textId="77777777" w:rsidR="00ED3AE6" w:rsidRDefault="00ED3AE6">
      <w:pPr>
        <w:spacing w:line="360" w:lineRule="auto"/>
        <w:jc w:val="both"/>
        <w:rPr>
          <w:rFonts w:ascii="Arial" w:hAnsi="Arial" w:cs="Arial"/>
          <w:sz w:val="22"/>
          <w:szCs w:val="22"/>
        </w:rPr>
      </w:pPr>
    </w:p>
    <w:p w14:paraId="2009EF64" w14:textId="77777777" w:rsidR="00ED3AE6" w:rsidRDefault="00ED3AE6">
      <w:pPr>
        <w:spacing w:line="360" w:lineRule="auto"/>
        <w:jc w:val="both"/>
        <w:rPr>
          <w:rFonts w:ascii="Arial" w:hAnsi="Arial" w:cs="Arial"/>
          <w:sz w:val="22"/>
          <w:szCs w:val="22"/>
        </w:rPr>
      </w:pPr>
    </w:p>
    <w:p w14:paraId="383193F7" w14:textId="77777777" w:rsidR="00ED3AE6" w:rsidRDefault="00ED3AE6">
      <w:pPr>
        <w:spacing w:line="360" w:lineRule="auto"/>
        <w:jc w:val="both"/>
        <w:rPr>
          <w:rFonts w:ascii="Arial" w:hAnsi="Arial" w:cs="Arial"/>
          <w:sz w:val="22"/>
          <w:szCs w:val="22"/>
        </w:rPr>
      </w:pPr>
    </w:p>
    <w:p w14:paraId="610643E5" w14:textId="77777777" w:rsidR="00ED3AE6" w:rsidRDefault="00ED3AE6">
      <w:pPr>
        <w:spacing w:line="360" w:lineRule="auto"/>
        <w:jc w:val="both"/>
        <w:rPr>
          <w:rFonts w:ascii="Arial" w:hAnsi="Arial" w:cs="Arial"/>
          <w:sz w:val="22"/>
          <w:szCs w:val="22"/>
        </w:rPr>
      </w:pPr>
    </w:p>
    <w:p w14:paraId="486787E0" w14:textId="77777777" w:rsidR="00ED3AE6" w:rsidRDefault="00ED3AE6">
      <w:pPr>
        <w:spacing w:line="360" w:lineRule="auto"/>
        <w:jc w:val="both"/>
        <w:rPr>
          <w:rFonts w:ascii="Arial" w:hAnsi="Arial" w:cs="Arial"/>
          <w:sz w:val="22"/>
          <w:szCs w:val="22"/>
        </w:rPr>
      </w:pPr>
    </w:p>
    <w:p w14:paraId="46D4747E" w14:textId="77777777" w:rsidR="00ED3AE6" w:rsidRDefault="00ED3AE6">
      <w:pPr>
        <w:spacing w:line="360" w:lineRule="auto"/>
        <w:jc w:val="both"/>
        <w:rPr>
          <w:rFonts w:ascii="Arial" w:hAnsi="Arial" w:cs="Arial"/>
          <w:sz w:val="22"/>
          <w:szCs w:val="22"/>
        </w:rPr>
      </w:pPr>
    </w:p>
    <w:p w14:paraId="5F85D0A0" w14:textId="77777777" w:rsidR="00ED3AE6" w:rsidRDefault="00ED3AE6">
      <w:pPr>
        <w:spacing w:line="360" w:lineRule="auto"/>
        <w:jc w:val="both"/>
        <w:rPr>
          <w:rFonts w:ascii="Arial" w:hAnsi="Arial" w:cs="Arial"/>
          <w:sz w:val="22"/>
          <w:szCs w:val="22"/>
        </w:rPr>
      </w:pPr>
    </w:p>
    <w:p w14:paraId="2BA17593" w14:textId="77777777" w:rsidR="00ED3AE6" w:rsidRDefault="00ED3AE6">
      <w:pPr>
        <w:spacing w:line="360" w:lineRule="auto"/>
        <w:jc w:val="both"/>
        <w:rPr>
          <w:rFonts w:ascii="Arial" w:hAnsi="Arial" w:cs="Arial"/>
          <w:sz w:val="22"/>
          <w:szCs w:val="22"/>
        </w:rPr>
      </w:pPr>
    </w:p>
    <w:p w14:paraId="6C284E02" w14:textId="77777777" w:rsidR="00ED3AE6" w:rsidRDefault="00ED3AE6">
      <w:pPr>
        <w:spacing w:line="360" w:lineRule="auto"/>
        <w:jc w:val="both"/>
        <w:rPr>
          <w:rFonts w:ascii="Arial" w:hAnsi="Arial" w:cs="Arial"/>
          <w:sz w:val="22"/>
          <w:szCs w:val="22"/>
        </w:rPr>
      </w:pPr>
    </w:p>
    <w:p w14:paraId="6145991D" w14:textId="77777777" w:rsidR="00ED3AE6" w:rsidRDefault="00ED3AE6">
      <w:pPr>
        <w:spacing w:line="360" w:lineRule="auto"/>
        <w:jc w:val="both"/>
        <w:rPr>
          <w:rFonts w:ascii="Arial" w:hAnsi="Arial" w:cs="Arial"/>
          <w:sz w:val="22"/>
          <w:szCs w:val="22"/>
        </w:rPr>
      </w:pPr>
    </w:p>
    <w:p w14:paraId="460FC713" w14:textId="77777777" w:rsidR="00ED3AE6" w:rsidRDefault="00ED3AE6">
      <w:pPr>
        <w:spacing w:line="360" w:lineRule="auto"/>
        <w:jc w:val="both"/>
        <w:rPr>
          <w:rFonts w:ascii="Arial" w:hAnsi="Arial" w:cs="Arial"/>
          <w:sz w:val="22"/>
          <w:szCs w:val="22"/>
        </w:rPr>
      </w:pPr>
    </w:p>
    <w:p w14:paraId="66550010" w14:textId="77777777" w:rsidR="00ED3AE6" w:rsidRDefault="00ED3AE6">
      <w:pPr>
        <w:spacing w:line="360" w:lineRule="auto"/>
        <w:jc w:val="both"/>
        <w:rPr>
          <w:rFonts w:ascii="Arial" w:hAnsi="Arial" w:cs="Arial"/>
          <w:sz w:val="22"/>
          <w:szCs w:val="22"/>
        </w:rPr>
      </w:pPr>
    </w:p>
    <w:p w14:paraId="65F04FAF" w14:textId="77777777" w:rsidR="00ED3AE6" w:rsidRDefault="00ED3AE6">
      <w:pPr>
        <w:spacing w:line="360" w:lineRule="auto"/>
        <w:jc w:val="both"/>
        <w:rPr>
          <w:rFonts w:ascii="Arial" w:hAnsi="Arial" w:cs="Arial"/>
          <w:sz w:val="22"/>
          <w:szCs w:val="22"/>
        </w:rPr>
      </w:pPr>
    </w:p>
    <w:p w14:paraId="4F2DDFAA" w14:textId="77777777" w:rsidR="00ED3AE6" w:rsidRDefault="00ED3AE6">
      <w:pPr>
        <w:spacing w:line="360" w:lineRule="auto"/>
        <w:jc w:val="both"/>
        <w:rPr>
          <w:rFonts w:ascii="Arial" w:hAnsi="Arial" w:cs="Arial"/>
          <w:sz w:val="22"/>
          <w:szCs w:val="22"/>
        </w:rPr>
      </w:pPr>
    </w:p>
    <w:p w14:paraId="2DEA5699" w14:textId="77777777" w:rsidR="00922E6A" w:rsidRDefault="00922E6A">
      <w:pPr>
        <w:spacing w:line="360" w:lineRule="auto"/>
        <w:jc w:val="both"/>
        <w:rPr>
          <w:rFonts w:ascii="Arial" w:hAnsi="Arial" w:cs="Arial"/>
          <w:b/>
          <w:bCs/>
          <w:sz w:val="22"/>
          <w:szCs w:val="22"/>
        </w:rPr>
      </w:pPr>
    </w:p>
    <w:p w14:paraId="1208FD42" w14:textId="77777777" w:rsidR="00922E6A" w:rsidRDefault="00922E6A">
      <w:pPr>
        <w:spacing w:line="360" w:lineRule="auto"/>
        <w:jc w:val="both"/>
        <w:rPr>
          <w:rFonts w:ascii="Arial" w:hAnsi="Arial" w:cs="Arial"/>
          <w:b/>
          <w:bCs/>
          <w:sz w:val="22"/>
          <w:szCs w:val="22"/>
        </w:rPr>
      </w:pPr>
    </w:p>
    <w:p w14:paraId="7DE88000" w14:textId="77777777" w:rsidR="00922E6A" w:rsidRDefault="00922E6A">
      <w:pPr>
        <w:spacing w:line="360" w:lineRule="auto"/>
        <w:jc w:val="both"/>
        <w:rPr>
          <w:rFonts w:ascii="Arial" w:hAnsi="Arial" w:cs="Arial"/>
          <w:b/>
          <w:bCs/>
          <w:sz w:val="22"/>
          <w:szCs w:val="22"/>
        </w:rPr>
      </w:pPr>
    </w:p>
    <w:p w14:paraId="5B837496" w14:textId="77777777" w:rsidR="00922E6A" w:rsidRDefault="00922E6A">
      <w:pPr>
        <w:spacing w:line="360" w:lineRule="auto"/>
        <w:jc w:val="both"/>
        <w:rPr>
          <w:rFonts w:ascii="Arial" w:hAnsi="Arial" w:cs="Arial"/>
          <w:b/>
          <w:bCs/>
          <w:sz w:val="22"/>
          <w:szCs w:val="22"/>
        </w:rPr>
      </w:pPr>
    </w:p>
    <w:p w14:paraId="5D1C909B" w14:textId="77777777" w:rsidR="00ED3AE6" w:rsidRPr="00922E6A" w:rsidRDefault="008C38B0">
      <w:pPr>
        <w:spacing w:line="360" w:lineRule="auto"/>
        <w:jc w:val="both"/>
        <w:rPr>
          <w:rFonts w:ascii="Arial" w:hAnsi="Arial" w:cs="Arial"/>
          <w:sz w:val="32"/>
          <w:szCs w:val="22"/>
        </w:rPr>
      </w:pPr>
      <w:r w:rsidRPr="00922E6A">
        <w:rPr>
          <w:rFonts w:ascii="Arial" w:hAnsi="Arial" w:cs="Arial"/>
          <w:b/>
          <w:bCs/>
          <w:sz w:val="32"/>
          <w:szCs w:val="22"/>
        </w:rPr>
        <w:lastRenderedPageBreak/>
        <w:t>REFERENCES</w:t>
      </w:r>
    </w:p>
    <w:p w14:paraId="2BE47CA7" w14:textId="77777777" w:rsidR="00ED3AE6" w:rsidRDefault="008C38B0">
      <w:pPr>
        <w:spacing w:line="360" w:lineRule="auto"/>
        <w:ind w:left="480" w:hanging="480"/>
        <w:jc w:val="both"/>
        <w:rPr>
          <w:rFonts w:ascii="Arial" w:hAnsi="Arial" w:cs="Arial"/>
          <w:sz w:val="22"/>
          <w:szCs w:val="22"/>
        </w:rPr>
      </w:pPr>
      <w:r>
        <w:rPr>
          <w:rFonts w:ascii="Arial" w:hAnsi="Arial" w:cs="Arial"/>
          <w:sz w:val="22"/>
        </w:rPr>
        <w:t>Aspden, T., Bradshaw, S.A., Playford, E.D. and Riazi, A. (2014) 'Quality-of-life measures for use within care homes: a systematic review of their measurement properties', Age and Ageing, 43(5), pp. 596–603.</w:t>
      </w:r>
    </w:p>
    <w:p w14:paraId="778ECD2F" w14:textId="77777777" w:rsidR="00ED3AE6" w:rsidRDefault="008C38B0">
      <w:pPr>
        <w:spacing w:line="360" w:lineRule="auto"/>
        <w:ind w:left="480" w:hanging="480"/>
        <w:jc w:val="both"/>
        <w:rPr>
          <w:rFonts w:ascii="Arial" w:hAnsi="Arial" w:cs="Arial"/>
          <w:sz w:val="22"/>
          <w:szCs w:val="22"/>
        </w:rPr>
      </w:pPr>
      <w:r>
        <w:rPr>
          <w:rFonts w:ascii="Arial" w:hAnsi="Arial" w:cs="Arial"/>
          <w:sz w:val="22"/>
        </w:rPr>
        <w:t>Aveyard, H. (2019) Doing a Literature Review in Health and Social Care: A Practical Guide. 4th ed. London: Open University Press.</w:t>
      </w:r>
    </w:p>
    <w:p w14:paraId="3C627EF5"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Ballard, C., Corbett, A., Orrell, M., Williams, G., Moniz-Cook, E., Romeo, R., Woods, B., Garrod, L., </w:t>
      </w:r>
      <w:proofErr w:type="spellStart"/>
      <w:r>
        <w:rPr>
          <w:rFonts w:ascii="Arial" w:hAnsi="Arial" w:cs="Arial"/>
          <w:sz w:val="22"/>
        </w:rPr>
        <w:t>Testad</w:t>
      </w:r>
      <w:proofErr w:type="spellEnd"/>
      <w:r>
        <w:rPr>
          <w:rFonts w:ascii="Arial" w:hAnsi="Arial" w:cs="Arial"/>
          <w:sz w:val="22"/>
        </w:rPr>
        <w:t xml:space="preserve">, I., Woodward-Carlton, B., </w:t>
      </w:r>
      <w:proofErr w:type="spellStart"/>
      <w:r>
        <w:rPr>
          <w:rFonts w:ascii="Arial" w:hAnsi="Arial" w:cs="Arial"/>
          <w:sz w:val="22"/>
        </w:rPr>
        <w:t>Wenborn</w:t>
      </w:r>
      <w:proofErr w:type="spellEnd"/>
      <w:r>
        <w:rPr>
          <w:rFonts w:ascii="Arial" w:hAnsi="Arial" w:cs="Arial"/>
          <w:sz w:val="22"/>
        </w:rPr>
        <w:t>, J., Knapp, M. and Fossey, J. (2018) 'Impact of person-</w:t>
      </w:r>
      <w:proofErr w:type="spellStart"/>
      <w:r>
        <w:rPr>
          <w:rFonts w:ascii="Arial" w:hAnsi="Arial" w:cs="Arial"/>
          <w:sz w:val="22"/>
        </w:rPr>
        <w:t>centred</w:t>
      </w:r>
      <w:proofErr w:type="spellEnd"/>
      <w:r>
        <w:rPr>
          <w:rFonts w:ascii="Arial" w:hAnsi="Arial" w:cs="Arial"/>
          <w:sz w:val="22"/>
        </w:rPr>
        <w:t xml:space="preserve"> care training and person-</w:t>
      </w:r>
      <w:proofErr w:type="spellStart"/>
      <w:r>
        <w:rPr>
          <w:rFonts w:ascii="Arial" w:hAnsi="Arial" w:cs="Arial"/>
          <w:sz w:val="22"/>
        </w:rPr>
        <w:t>centred</w:t>
      </w:r>
      <w:proofErr w:type="spellEnd"/>
      <w:r>
        <w:rPr>
          <w:rFonts w:ascii="Arial" w:hAnsi="Arial" w:cs="Arial"/>
          <w:sz w:val="22"/>
        </w:rPr>
        <w:t xml:space="preserve"> activities on quality of life, agitation, and antipsychotic use in people with dementia living in nursing homes: a cluster-</w:t>
      </w:r>
      <w:proofErr w:type="spellStart"/>
      <w:r>
        <w:rPr>
          <w:rFonts w:ascii="Arial" w:hAnsi="Arial" w:cs="Arial"/>
          <w:sz w:val="22"/>
        </w:rPr>
        <w:t>randomised</w:t>
      </w:r>
      <w:proofErr w:type="spellEnd"/>
      <w:r>
        <w:rPr>
          <w:rFonts w:ascii="Arial" w:hAnsi="Arial" w:cs="Arial"/>
          <w:sz w:val="22"/>
        </w:rPr>
        <w:t xml:space="preserve"> controlled trial', PLOS Medicine, 15(2), e1002500.</w:t>
      </w:r>
    </w:p>
    <w:p w14:paraId="29AD52A6"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Ballard, C., Orrell, M., Moniz-Cook, E., Woods, B., Whitaker, R., Corbett, A., Aarsland, D., Murray, J., Lawrence, V., </w:t>
      </w:r>
      <w:proofErr w:type="spellStart"/>
      <w:r>
        <w:rPr>
          <w:rFonts w:ascii="Arial" w:hAnsi="Arial" w:cs="Arial"/>
          <w:sz w:val="22"/>
        </w:rPr>
        <w:t>Testad</w:t>
      </w:r>
      <w:proofErr w:type="spellEnd"/>
      <w:r>
        <w:rPr>
          <w:rFonts w:ascii="Arial" w:hAnsi="Arial" w:cs="Arial"/>
          <w:sz w:val="22"/>
        </w:rPr>
        <w:t xml:space="preserve">, I., Knapp, M., Romeo, R., Zala, D., Stafford, J., Hoare, Z., Garrod, L., Sun, Y., McLaughlin, E., Woodward-Carlton, B., Williams, G. and Fossey, J. (2020) Improving Mental Health and Reducing Antipsychotic Use in People with Dementia in Care Homes: The WHELD Research </w:t>
      </w:r>
      <w:proofErr w:type="spellStart"/>
      <w:r>
        <w:rPr>
          <w:rFonts w:ascii="Arial" w:hAnsi="Arial" w:cs="Arial"/>
          <w:sz w:val="22"/>
        </w:rPr>
        <w:t>Programme</w:t>
      </w:r>
      <w:proofErr w:type="spellEnd"/>
      <w:r>
        <w:rPr>
          <w:rFonts w:ascii="Arial" w:hAnsi="Arial" w:cs="Arial"/>
          <w:sz w:val="22"/>
        </w:rPr>
        <w:t xml:space="preserve"> Including Two RCTs. Southampton: NIHR Journals Library.</w:t>
      </w:r>
    </w:p>
    <w:p w14:paraId="79487561"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Ballard, C., Orrell, M., Sun, Y., Moniz-Cook, E., Stafford, J., Whitaker, R., Woods, B., Corbett, A., Banerjee, S., </w:t>
      </w:r>
      <w:proofErr w:type="spellStart"/>
      <w:r>
        <w:rPr>
          <w:rFonts w:ascii="Arial" w:hAnsi="Arial" w:cs="Arial"/>
          <w:sz w:val="22"/>
        </w:rPr>
        <w:t>Testad</w:t>
      </w:r>
      <w:proofErr w:type="spellEnd"/>
      <w:r>
        <w:rPr>
          <w:rFonts w:ascii="Arial" w:hAnsi="Arial" w:cs="Arial"/>
          <w:sz w:val="22"/>
        </w:rPr>
        <w:t xml:space="preserve">, I., Garrod, L., Khan, Z., Woodward-Carlton, B., </w:t>
      </w:r>
      <w:proofErr w:type="spellStart"/>
      <w:r>
        <w:rPr>
          <w:rFonts w:ascii="Arial" w:hAnsi="Arial" w:cs="Arial"/>
          <w:sz w:val="22"/>
        </w:rPr>
        <w:t>Wenborn</w:t>
      </w:r>
      <w:proofErr w:type="spellEnd"/>
      <w:r>
        <w:rPr>
          <w:rFonts w:ascii="Arial" w:hAnsi="Arial" w:cs="Arial"/>
          <w:sz w:val="22"/>
        </w:rPr>
        <w:t xml:space="preserve">, J. and Fossey, J. (2017) 'Impact of antipsychotic review and non-pharmacological intervention on health-related quality of life in people with dementia living in care homes: WHELD–a factorial cluster </w:t>
      </w:r>
      <w:proofErr w:type="spellStart"/>
      <w:r>
        <w:rPr>
          <w:rFonts w:ascii="Arial" w:hAnsi="Arial" w:cs="Arial"/>
          <w:sz w:val="22"/>
        </w:rPr>
        <w:t>randomised</w:t>
      </w:r>
      <w:proofErr w:type="spellEnd"/>
      <w:r>
        <w:rPr>
          <w:rFonts w:ascii="Arial" w:hAnsi="Arial" w:cs="Arial"/>
          <w:sz w:val="22"/>
        </w:rPr>
        <w:t xml:space="preserve"> controlled trial', International Journal of Geriatric Psychiatry, 32(10), pp. 1094–1103.</w:t>
      </w:r>
    </w:p>
    <w:p w14:paraId="6BCC0A97"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Berkovic, D.E., MacRae, A.M., </w:t>
      </w:r>
      <w:proofErr w:type="spellStart"/>
      <w:r>
        <w:rPr>
          <w:rFonts w:ascii="Arial" w:hAnsi="Arial" w:cs="Arial"/>
          <w:sz w:val="22"/>
        </w:rPr>
        <w:t>Gulline</w:t>
      </w:r>
      <w:proofErr w:type="spellEnd"/>
      <w:r>
        <w:rPr>
          <w:rFonts w:ascii="Arial" w:hAnsi="Arial" w:cs="Arial"/>
          <w:sz w:val="22"/>
        </w:rPr>
        <w:t>, H., Horsman, P., Soh, S.E., Skouteris, H. and Ayton, D.R. (2024) 'The delivery of person-centered care for people living with dementia in residential aged care: a systematic review and meta-analysis', The Gerontologist, 64(5), gnad052.</w:t>
      </w:r>
    </w:p>
    <w:p w14:paraId="0DBF228B" w14:textId="77777777" w:rsidR="00ED3AE6" w:rsidRDefault="008C38B0">
      <w:pPr>
        <w:spacing w:line="360" w:lineRule="auto"/>
        <w:ind w:left="480" w:hanging="480"/>
        <w:jc w:val="both"/>
        <w:rPr>
          <w:rFonts w:ascii="Arial" w:hAnsi="Arial" w:cs="Arial"/>
          <w:sz w:val="22"/>
          <w:szCs w:val="22"/>
        </w:rPr>
      </w:pPr>
      <w:r>
        <w:rPr>
          <w:rFonts w:ascii="Arial" w:hAnsi="Arial" w:cs="Arial"/>
          <w:sz w:val="22"/>
        </w:rPr>
        <w:t>Bowling, A., Hankins, M., Windle, G., Bilotta, C. and Grant, R. (2013) 'A short measure of quality of life in older age: the performance of the brief Older People's Quality of Life questionnaire (OPQOL-brief)', Archives of Gerontology and Geriatrics, 56(1), pp. 181–187.</w:t>
      </w:r>
    </w:p>
    <w:p w14:paraId="789CE052" w14:textId="77777777" w:rsidR="00ED3AE6" w:rsidRDefault="008C38B0">
      <w:pPr>
        <w:spacing w:line="360" w:lineRule="auto"/>
        <w:ind w:left="480" w:hanging="480"/>
        <w:jc w:val="both"/>
        <w:rPr>
          <w:rFonts w:ascii="Arial" w:hAnsi="Arial" w:cs="Arial"/>
          <w:sz w:val="22"/>
          <w:szCs w:val="22"/>
        </w:rPr>
      </w:pPr>
      <w:r>
        <w:rPr>
          <w:rFonts w:ascii="Arial" w:hAnsi="Arial" w:cs="Arial"/>
          <w:sz w:val="22"/>
        </w:rPr>
        <w:t>British Educational Research Association (2018) Ethical Guidelines for Educational Research. 4th ed. London: BERA.</w:t>
      </w:r>
    </w:p>
    <w:p w14:paraId="3556A1FA" w14:textId="77777777" w:rsidR="00ED3AE6" w:rsidRDefault="008C38B0">
      <w:pPr>
        <w:spacing w:line="360" w:lineRule="auto"/>
        <w:ind w:left="480" w:hanging="480"/>
        <w:jc w:val="both"/>
        <w:rPr>
          <w:rFonts w:ascii="Arial" w:hAnsi="Arial" w:cs="Arial"/>
          <w:sz w:val="22"/>
          <w:szCs w:val="22"/>
        </w:rPr>
      </w:pPr>
      <w:r>
        <w:rPr>
          <w:rFonts w:ascii="Arial" w:hAnsi="Arial" w:cs="Arial"/>
          <w:sz w:val="22"/>
        </w:rPr>
        <w:t>Brooker, D. and Latham, I. (2016) Person-</w:t>
      </w:r>
      <w:proofErr w:type="spellStart"/>
      <w:r>
        <w:rPr>
          <w:rFonts w:ascii="Arial" w:hAnsi="Arial" w:cs="Arial"/>
          <w:sz w:val="22"/>
        </w:rPr>
        <w:t>Centred</w:t>
      </w:r>
      <w:proofErr w:type="spellEnd"/>
      <w:r>
        <w:rPr>
          <w:rFonts w:ascii="Arial" w:hAnsi="Arial" w:cs="Arial"/>
          <w:sz w:val="22"/>
        </w:rPr>
        <w:t xml:space="preserve"> Dementia Care: Making Services Better with the VIPS Framework. 2nd ed. London: Jessica Kingsley Publishers.</w:t>
      </w:r>
    </w:p>
    <w:p w14:paraId="5790B4C8" w14:textId="77777777" w:rsidR="00ED3AE6" w:rsidRDefault="008C38B0">
      <w:pPr>
        <w:spacing w:line="360" w:lineRule="auto"/>
        <w:ind w:left="480" w:hanging="480"/>
        <w:jc w:val="both"/>
        <w:rPr>
          <w:rFonts w:ascii="Arial" w:hAnsi="Arial" w:cs="Arial"/>
          <w:sz w:val="22"/>
          <w:szCs w:val="22"/>
        </w:rPr>
      </w:pPr>
      <w:r>
        <w:rPr>
          <w:rFonts w:ascii="Arial" w:hAnsi="Arial" w:cs="Arial"/>
          <w:sz w:val="22"/>
        </w:rPr>
        <w:lastRenderedPageBreak/>
        <w:t>Brownie, S. and Nancarrow, S. (2013) 'Effects of person-centered care on residents and staff in aged-care facilities: a systematic review', Clinical Interventions in Aging, 8, pp. 1-10.</w:t>
      </w:r>
    </w:p>
    <w:p w14:paraId="65744900" w14:textId="77777777" w:rsidR="00ED3AE6" w:rsidRDefault="008C38B0">
      <w:pPr>
        <w:spacing w:line="360" w:lineRule="auto"/>
        <w:ind w:left="480" w:hanging="480"/>
        <w:jc w:val="both"/>
        <w:rPr>
          <w:rFonts w:ascii="Arial" w:hAnsi="Arial" w:cs="Arial"/>
          <w:sz w:val="22"/>
          <w:szCs w:val="22"/>
        </w:rPr>
      </w:pPr>
      <w:r>
        <w:rPr>
          <w:rFonts w:ascii="Arial" w:hAnsi="Arial" w:cs="Arial"/>
          <w:sz w:val="22"/>
        </w:rPr>
        <w:t>Bryman, A. (2016) Social Research Methods. 5th ed. Oxford: Oxford University Press.</w:t>
      </w:r>
    </w:p>
    <w:p w14:paraId="392177DE" w14:textId="77777777" w:rsidR="00ED3AE6" w:rsidRDefault="008C38B0">
      <w:pPr>
        <w:spacing w:line="360" w:lineRule="auto"/>
        <w:ind w:left="480" w:hanging="480"/>
        <w:jc w:val="both"/>
        <w:rPr>
          <w:rFonts w:ascii="Arial" w:hAnsi="Arial" w:cs="Arial"/>
          <w:sz w:val="22"/>
          <w:szCs w:val="22"/>
        </w:rPr>
      </w:pPr>
      <w:r>
        <w:rPr>
          <w:rFonts w:ascii="Arial" w:hAnsi="Arial" w:cs="Arial"/>
          <w:sz w:val="22"/>
        </w:rPr>
        <w:t>Care Quality Commission (2024) The State of Health Care and Adult Social Care in England 2023/24. London: CQC.</w:t>
      </w:r>
    </w:p>
    <w:p w14:paraId="54004495" w14:textId="77777777" w:rsidR="00ED3AE6" w:rsidRDefault="008C38B0">
      <w:pPr>
        <w:spacing w:line="360" w:lineRule="auto"/>
        <w:ind w:left="480" w:hanging="480"/>
        <w:jc w:val="both"/>
        <w:rPr>
          <w:rFonts w:ascii="Arial" w:hAnsi="Arial" w:cs="Arial"/>
          <w:sz w:val="22"/>
          <w:szCs w:val="22"/>
        </w:rPr>
      </w:pPr>
      <w:r>
        <w:rPr>
          <w:rFonts w:ascii="Arial" w:hAnsi="Arial" w:cs="Arial"/>
          <w:sz w:val="22"/>
        </w:rPr>
        <w:t>Carehome.co.uk (2025) Care Home Facts &amp; Stats: Settings, Population and Workforce. [Online]. Available at: https://www.carehome.co.uk/advice/care-home-stats-number-of-settings-population-workforce (Accessed: 13 July 2026).</w:t>
      </w:r>
    </w:p>
    <w:p w14:paraId="2953E62A"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Carrier, D., Toulouse, É. and Rochefort, C.M. (2023) 'Staff training interventions to prevent or reduce </w:t>
      </w:r>
      <w:proofErr w:type="spellStart"/>
      <w:r>
        <w:rPr>
          <w:rFonts w:ascii="Arial" w:hAnsi="Arial" w:cs="Arial"/>
          <w:sz w:val="22"/>
        </w:rPr>
        <w:t>behavioural</w:t>
      </w:r>
      <w:proofErr w:type="spellEnd"/>
      <w:r>
        <w:rPr>
          <w:rFonts w:ascii="Arial" w:hAnsi="Arial" w:cs="Arial"/>
          <w:sz w:val="22"/>
        </w:rPr>
        <w:t xml:space="preserve"> and psychological symptoms of dementia in nursing home residents: a mixed methods systematic review', Dementia and Geriatric Cognitive Disorders, 52(3), pp. 117–146.</w:t>
      </w:r>
    </w:p>
    <w:p w14:paraId="12B1B187"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Chenoweth, L., King, M.T., Jeon, Y.H., </w:t>
      </w:r>
      <w:proofErr w:type="spellStart"/>
      <w:r>
        <w:rPr>
          <w:rFonts w:ascii="Arial" w:hAnsi="Arial" w:cs="Arial"/>
          <w:sz w:val="22"/>
        </w:rPr>
        <w:t>Brodaty</w:t>
      </w:r>
      <w:proofErr w:type="spellEnd"/>
      <w:r>
        <w:rPr>
          <w:rFonts w:ascii="Arial" w:hAnsi="Arial" w:cs="Arial"/>
          <w:sz w:val="22"/>
        </w:rPr>
        <w:t>, H., Stein-Parbury, J., Norman, R., Haas, M. and Luscombe, G. (2009) 'Caring for Aged Dementia Care Resident Study (CADRES) of person-</w:t>
      </w:r>
      <w:proofErr w:type="spellStart"/>
      <w:r>
        <w:rPr>
          <w:rFonts w:ascii="Arial" w:hAnsi="Arial" w:cs="Arial"/>
          <w:sz w:val="22"/>
        </w:rPr>
        <w:t>centred</w:t>
      </w:r>
      <w:proofErr w:type="spellEnd"/>
      <w:r>
        <w:rPr>
          <w:rFonts w:ascii="Arial" w:hAnsi="Arial" w:cs="Arial"/>
          <w:sz w:val="22"/>
        </w:rPr>
        <w:t xml:space="preserve"> care, dementia-care mapping, and usual care in dementia: a cluster-</w:t>
      </w:r>
      <w:proofErr w:type="spellStart"/>
      <w:r>
        <w:rPr>
          <w:rFonts w:ascii="Arial" w:hAnsi="Arial" w:cs="Arial"/>
          <w:sz w:val="22"/>
        </w:rPr>
        <w:t>randomised</w:t>
      </w:r>
      <w:proofErr w:type="spellEnd"/>
      <w:r>
        <w:rPr>
          <w:rFonts w:ascii="Arial" w:hAnsi="Arial" w:cs="Arial"/>
          <w:sz w:val="22"/>
        </w:rPr>
        <w:t xml:space="preserve"> trial', The Lancet Neurology, 8(4), pp. 317-325.</w:t>
      </w:r>
    </w:p>
    <w:p w14:paraId="45F43A78" w14:textId="77777777" w:rsidR="00ED3AE6" w:rsidRDefault="008C38B0">
      <w:pPr>
        <w:spacing w:line="360" w:lineRule="auto"/>
        <w:ind w:left="480" w:hanging="480"/>
        <w:jc w:val="both"/>
        <w:rPr>
          <w:rFonts w:ascii="Arial" w:hAnsi="Arial" w:cs="Arial"/>
          <w:sz w:val="22"/>
          <w:szCs w:val="22"/>
        </w:rPr>
      </w:pPr>
      <w:r>
        <w:rPr>
          <w:rFonts w:ascii="Arial" w:hAnsi="Arial" w:cs="Arial"/>
          <w:sz w:val="22"/>
        </w:rPr>
        <w:t>Costello, H., Walsh, S., Cooper, C. and Livingston, G. (2019) 'A systematic review and meta-analysis of the prevalence and associations of stress and burnout among staff in long-term care facilities for people with dementia', International Psychogeriatrics, 31(8), pp. 1203–1216.</w:t>
      </w:r>
    </w:p>
    <w:p w14:paraId="4573F0CC" w14:textId="77777777" w:rsidR="00ED3AE6" w:rsidRDefault="008C38B0">
      <w:pPr>
        <w:spacing w:line="360" w:lineRule="auto"/>
        <w:ind w:left="480" w:hanging="480"/>
        <w:jc w:val="both"/>
        <w:rPr>
          <w:rFonts w:ascii="Arial" w:hAnsi="Arial" w:cs="Arial"/>
          <w:sz w:val="22"/>
          <w:szCs w:val="22"/>
        </w:rPr>
      </w:pPr>
      <w:r>
        <w:rPr>
          <w:rFonts w:ascii="Arial" w:hAnsi="Arial" w:cs="Arial"/>
          <w:sz w:val="22"/>
        </w:rPr>
        <w:t>Department of Health and Social Care (2021) People at the Heart of Care: Adult Social Care Reform White Paper. London: DHSC.</w:t>
      </w:r>
    </w:p>
    <w:p w14:paraId="0BE9AED5" w14:textId="77777777" w:rsidR="00ED3AE6" w:rsidRDefault="008C38B0">
      <w:pPr>
        <w:spacing w:line="360" w:lineRule="auto"/>
        <w:ind w:left="480" w:hanging="480"/>
        <w:jc w:val="both"/>
        <w:rPr>
          <w:rFonts w:ascii="Arial" w:hAnsi="Arial" w:cs="Arial"/>
          <w:sz w:val="22"/>
          <w:szCs w:val="22"/>
        </w:rPr>
      </w:pPr>
      <w:r>
        <w:rPr>
          <w:rFonts w:ascii="Arial" w:hAnsi="Arial" w:cs="Arial"/>
          <w:sz w:val="22"/>
        </w:rPr>
        <w:t>Dewing, J. (2008) 'Personhood and dementia: revisiting Tom Kitwood's ideas', International Journal of Older People Nursing, 3(1), pp. 3-13.</w:t>
      </w:r>
    </w:p>
    <w:p w14:paraId="1EE4EA5D" w14:textId="77777777" w:rsidR="00ED3AE6" w:rsidRDefault="008C38B0">
      <w:pPr>
        <w:spacing w:line="360" w:lineRule="auto"/>
        <w:ind w:left="480" w:hanging="480"/>
        <w:jc w:val="both"/>
        <w:rPr>
          <w:rFonts w:ascii="Arial" w:hAnsi="Arial" w:cs="Arial"/>
          <w:sz w:val="22"/>
          <w:szCs w:val="22"/>
        </w:rPr>
      </w:pPr>
      <w:r>
        <w:rPr>
          <w:rFonts w:ascii="Arial" w:hAnsi="Arial" w:cs="Arial"/>
          <w:sz w:val="22"/>
        </w:rPr>
        <w:t>Edvardsson, D., Fetherstonhaugh, D. and Nay, R. (2014) 'Promoting a continuation of self and normality: person-</w:t>
      </w:r>
      <w:proofErr w:type="spellStart"/>
      <w:r>
        <w:rPr>
          <w:rFonts w:ascii="Arial" w:hAnsi="Arial" w:cs="Arial"/>
          <w:sz w:val="22"/>
        </w:rPr>
        <w:t>centred</w:t>
      </w:r>
      <w:proofErr w:type="spellEnd"/>
      <w:r>
        <w:rPr>
          <w:rFonts w:ascii="Arial" w:hAnsi="Arial" w:cs="Arial"/>
          <w:sz w:val="22"/>
        </w:rPr>
        <w:t xml:space="preserve"> care as described by people with dementia, their family members and aged care staff', Journal of Clinical Nursing, 19(17-18), pp. 2611-2618.</w:t>
      </w:r>
    </w:p>
    <w:p w14:paraId="4EFFA21D"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Fossey, J., Ballard, C., Juszczak, E., James, I., Alder, N., Jacoby, R. and Howard, R. (2006) 'Effect of enhanced psychosocial care on antipsychotic use in nursing home residents with severe dementia: cluster </w:t>
      </w:r>
      <w:proofErr w:type="spellStart"/>
      <w:r>
        <w:rPr>
          <w:rFonts w:ascii="Arial" w:hAnsi="Arial" w:cs="Arial"/>
          <w:sz w:val="22"/>
        </w:rPr>
        <w:t>randomised</w:t>
      </w:r>
      <w:proofErr w:type="spellEnd"/>
      <w:r>
        <w:rPr>
          <w:rFonts w:ascii="Arial" w:hAnsi="Arial" w:cs="Arial"/>
          <w:sz w:val="22"/>
        </w:rPr>
        <w:t xml:space="preserve"> trial', BMJ, 332(7544), pp. 756-761.</w:t>
      </w:r>
    </w:p>
    <w:p w14:paraId="3FFB1272" w14:textId="77777777" w:rsidR="00ED3AE6" w:rsidRDefault="008C38B0">
      <w:pPr>
        <w:spacing w:line="360" w:lineRule="auto"/>
        <w:ind w:left="480" w:hanging="480"/>
        <w:jc w:val="both"/>
        <w:rPr>
          <w:rFonts w:ascii="Arial" w:hAnsi="Arial" w:cs="Arial"/>
          <w:sz w:val="22"/>
          <w:szCs w:val="22"/>
        </w:rPr>
      </w:pPr>
      <w:r>
        <w:rPr>
          <w:rFonts w:ascii="Arial" w:hAnsi="Arial" w:cs="Arial"/>
          <w:sz w:val="22"/>
        </w:rPr>
        <w:t>Greenhalgh, T. and Peacock, R. (2005) 'Effectiveness and efficiency of search methods in systematic reviews of complex evidence: audit of primary sources', BMJ, 331(7524), pp. 1064-1065.</w:t>
      </w:r>
    </w:p>
    <w:p w14:paraId="1DFF6613" w14:textId="77777777" w:rsidR="00ED3AE6" w:rsidRDefault="008C38B0">
      <w:pPr>
        <w:spacing w:line="360" w:lineRule="auto"/>
        <w:ind w:left="480" w:hanging="480"/>
        <w:jc w:val="both"/>
        <w:rPr>
          <w:rFonts w:ascii="Arial" w:hAnsi="Arial" w:cs="Arial"/>
          <w:sz w:val="22"/>
          <w:szCs w:val="22"/>
        </w:rPr>
      </w:pPr>
      <w:r>
        <w:rPr>
          <w:rFonts w:ascii="Arial" w:hAnsi="Arial" w:cs="Arial"/>
          <w:sz w:val="22"/>
        </w:rPr>
        <w:t xml:space="preserve">Greenhalgh, T., Thorne, S. and </w:t>
      </w:r>
      <w:proofErr w:type="spellStart"/>
      <w:r>
        <w:rPr>
          <w:rFonts w:ascii="Arial" w:hAnsi="Arial" w:cs="Arial"/>
          <w:sz w:val="22"/>
        </w:rPr>
        <w:t>Malterud</w:t>
      </w:r>
      <w:proofErr w:type="spellEnd"/>
      <w:r>
        <w:rPr>
          <w:rFonts w:ascii="Arial" w:hAnsi="Arial" w:cs="Arial"/>
          <w:sz w:val="22"/>
        </w:rPr>
        <w:t>, K. (2018) 'Time to challenge the spurious hierarchy of systematic over narrative reviews?', European Journal of Clinical Investigation, 48(6), e12931.</w:t>
      </w:r>
    </w:p>
    <w:p w14:paraId="69FBA564" w14:textId="77777777" w:rsidR="00ED3AE6" w:rsidRDefault="008C38B0">
      <w:pPr>
        <w:spacing w:line="360" w:lineRule="auto"/>
        <w:ind w:left="480" w:hanging="480"/>
        <w:jc w:val="both"/>
        <w:rPr>
          <w:rFonts w:ascii="Arial" w:hAnsi="Arial" w:cs="Arial"/>
          <w:sz w:val="22"/>
          <w:szCs w:val="22"/>
        </w:rPr>
      </w:pPr>
      <w:r>
        <w:rPr>
          <w:rFonts w:ascii="Arial" w:hAnsi="Arial" w:cs="Arial"/>
          <w:sz w:val="22"/>
        </w:rPr>
        <w:lastRenderedPageBreak/>
        <w:t>Hill, N.L., Kolanowski, A.M. and Milone-Nuzzo, P. (2011) 'Culture change models and resident health outcomes in long-term care', Journal of Nursing Scholarship, 43(1), pp. 30–40.</w:t>
      </w:r>
    </w:p>
    <w:p w14:paraId="7604D9E5" w14:textId="77777777" w:rsidR="00ED3AE6" w:rsidRDefault="008C38B0">
      <w:pPr>
        <w:spacing w:line="360" w:lineRule="auto"/>
        <w:ind w:left="480" w:hanging="480"/>
        <w:jc w:val="both"/>
        <w:rPr>
          <w:rFonts w:ascii="Arial" w:hAnsi="Arial" w:cs="Arial"/>
          <w:sz w:val="22"/>
          <w:szCs w:val="22"/>
        </w:rPr>
      </w:pPr>
      <w:r>
        <w:rPr>
          <w:rFonts w:ascii="Arial" w:hAnsi="Arial" w:cs="Arial"/>
          <w:sz w:val="22"/>
        </w:rPr>
        <w:t>House of Commons Library (2024) The UK's Changing Population. London: House of Commons Library.</w:t>
      </w:r>
    </w:p>
    <w:p w14:paraId="33282DF6" w14:textId="77777777" w:rsidR="00ED3AE6" w:rsidRDefault="008C38B0">
      <w:pPr>
        <w:spacing w:line="360" w:lineRule="auto"/>
        <w:ind w:left="480" w:hanging="480"/>
        <w:jc w:val="both"/>
        <w:rPr>
          <w:rFonts w:ascii="Arial" w:hAnsi="Arial" w:cs="Arial"/>
          <w:sz w:val="22"/>
          <w:szCs w:val="22"/>
        </w:rPr>
      </w:pPr>
      <w:r>
        <w:rPr>
          <w:rFonts w:ascii="Arial" w:hAnsi="Arial" w:cs="Arial"/>
          <w:sz w:val="22"/>
        </w:rPr>
        <w:t>Kane, R.A., Kling, K.C., Bershadsky, B., Kane, R.L., Giles, K. and Degenholtz, H.B. et al. (2003) 'Quality of life measures for nursing home residents', The Journals of Gerontology: Series A, 58(3), pp. 240–248.</w:t>
      </w:r>
    </w:p>
    <w:p w14:paraId="2778154E" w14:textId="77777777" w:rsidR="00ED3AE6" w:rsidRDefault="008C38B0">
      <w:pPr>
        <w:spacing w:line="360" w:lineRule="auto"/>
        <w:ind w:left="480" w:hanging="480"/>
        <w:jc w:val="both"/>
        <w:rPr>
          <w:rFonts w:ascii="Arial" w:hAnsi="Arial" w:cs="Arial"/>
          <w:sz w:val="22"/>
          <w:szCs w:val="22"/>
        </w:rPr>
      </w:pPr>
      <w:proofErr w:type="spellStart"/>
      <w:r>
        <w:rPr>
          <w:rFonts w:ascii="Arial" w:hAnsi="Arial" w:cs="Arial"/>
          <w:sz w:val="22"/>
        </w:rPr>
        <w:t>Kitwood</w:t>
      </w:r>
      <w:proofErr w:type="spellEnd"/>
      <w:r>
        <w:rPr>
          <w:rFonts w:ascii="Arial" w:hAnsi="Arial" w:cs="Arial"/>
          <w:sz w:val="22"/>
        </w:rPr>
        <w:t>, T. (1997) Dementia Reconsidered: The Person Comes First. Buckingham: Open University Press.</w:t>
      </w:r>
    </w:p>
    <w:p w14:paraId="44D60A22" w14:textId="77777777" w:rsidR="00ED3AE6" w:rsidRDefault="008C38B0">
      <w:pPr>
        <w:spacing w:line="360" w:lineRule="auto"/>
        <w:ind w:left="480" w:hanging="480"/>
        <w:jc w:val="both"/>
        <w:rPr>
          <w:rFonts w:ascii="Arial" w:hAnsi="Arial" w:cs="Arial"/>
          <w:sz w:val="22"/>
          <w:szCs w:val="22"/>
        </w:rPr>
      </w:pPr>
      <w:r>
        <w:rPr>
          <w:rFonts w:ascii="Arial" w:hAnsi="Arial" w:cs="Arial"/>
          <w:sz w:val="22"/>
        </w:rPr>
        <w:t>Lawton, M.P. (1994) 'Quality of life in Alzheimer's disease', Alzheimer Disease and Associated Disorders, 8(3), pp. 138-150.</w:t>
      </w:r>
    </w:p>
    <w:p w14:paraId="624F880D" w14:textId="77777777" w:rsidR="00ED3AE6" w:rsidRDefault="008C38B0">
      <w:pPr>
        <w:spacing w:line="360" w:lineRule="auto"/>
        <w:jc w:val="both"/>
      </w:pPr>
      <w:r>
        <w:rPr>
          <w:rFonts w:ascii="Arial" w:hAnsi="Arial" w:cs="Arial"/>
          <w:sz w:val="22"/>
        </w:rPr>
        <w:t>Lynch, B.M., McCance, T., McCormack, B. and Brown, D. (2018) 'The development of the person-</w:t>
      </w:r>
      <w:proofErr w:type="spellStart"/>
      <w:r>
        <w:rPr>
          <w:rFonts w:ascii="Arial" w:hAnsi="Arial" w:cs="Arial"/>
          <w:sz w:val="22"/>
        </w:rPr>
        <w:t>centred</w:t>
      </w:r>
      <w:proofErr w:type="spellEnd"/>
      <w:r>
        <w:rPr>
          <w:rFonts w:ascii="Arial" w:hAnsi="Arial" w:cs="Arial"/>
          <w:sz w:val="22"/>
        </w:rPr>
        <w:t xml:space="preserve"> situational leadership framework: revealing the being of person-</w:t>
      </w:r>
      <w:proofErr w:type="spellStart"/>
      <w:r>
        <w:rPr>
          <w:rFonts w:ascii="Arial" w:hAnsi="Arial" w:cs="Arial"/>
          <w:sz w:val="22"/>
        </w:rPr>
        <w:t>centredness</w:t>
      </w:r>
      <w:proofErr w:type="spellEnd"/>
      <w:r>
        <w:rPr>
          <w:rFonts w:ascii="Arial" w:hAnsi="Arial" w:cs="Arial"/>
          <w:sz w:val="22"/>
        </w:rPr>
        <w:t xml:space="preserve"> in nursing homes', Journal of Clinical Nursing, 27(1–2), pp. 427–440.</w:t>
      </w:r>
    </w:p>
    <w:p w14:paraId="2023426D" w14:textId="77777777" w:rsidR="00ED3AE6" w:rsidRDefault="008C38B0">
      <w:pPr>
        <w:spacing w:line="360" w:lineRule="auto"/>
        <w:jc w:val="both"/>
      </w:pPr>
      <w:r>
        <w:rPr>
          <w:rFonts w:ascii="Arial" w:hAnsi="Arial" w:cs="Arial"/>
          <w:sz w:val="22"/>
        </w:rPr>
        <w:t>McCormack, B. and McCance, T. (2017) Person-</w:t>
      </w:r>
      <w:proofErr w:type="spellStart"/>
      <w:r>
        <w:rPr>
          <w:rFonts w:ascii="Arial" w:hAnsi="Arial" w:cs="Arial"/>
          <w:sz w:val="22"/>
        </w:rPr>
        <w:t>Centred</w:t>
      </w:r>
      <w:proofErr w:type="spellEnd"/>
      <w:r>
        <w:rPr>
          <w:rFonts w:ascii="Arial" w:hAnsi="Arial" w:cs="Arial"/>
          <w:sz w:val="22"/>
        </w:rPr>
        <w:t xml:space="preserve"> Practice in Nursing and Health Care: Theory and Practice. 2nd ed. Chichester: Wiley-Blackwell.</w:t>
      </w:r>
    </w:p>
    <w:p w14:paraId="03B81210" w14:textId="77777777" w:rsidR="00ED3AE6" w:rsidRDefault="008C38B0">
      <w:pPr>
        <w:spacing w:line="360" w:lineRule="auto"/>
        <w:jc w:val="both"/>
      </w:pPr>
      <w:r>
        <w:rPr>
          <w:rFonts w:ascii="Arial" w:hAnsi="Arial" w:cs="Arial"/>
          <w:sz w:val="22"/>
        </w:rPr>
        <w:t>McCormack, B. and McCance, T. (2021) 'The person-</w:t>
      </w:r>
      <w:proofErr w:type="spellStart"/>
      <w:r>
        <w:rPr>
          <w:rFonts w:ascii="Arial" w:hAnsi="Arial" w:cs="Arial"/>
          <w:sz w:val="22"/>
        </w:rPr>
        <w:t>centred</w:t>
      </w:r>
      <w:proofErr w:type="spellEnd"/>
      <w:r>
        <w:rPr>
          <w:rFonts w:ascii="Arial" w:hAnsi="Arial" w:cs="Arial"/>
          <w:sz w:val="22"/>
        </w:rPr>
        <w:t xml:space="preserve"> nursing framework', in Dewing, J., McCormack, B. and McCance, T. (eds) Person-</w:t>
      </w:r>
      <w:proofErr w:type="spellStart"/>
      <w:r>
        <w:rPr>
          <w:rFonts w:ascii="Arial" w:hAnsi="Arial" w:cs="Arial"/>
          <w:sz w:val="22"/>
        </w:rPr>
        <w:t>Centred</w:t>
      </w:r>
      <w:proofErr w:type="spellEnd"/>
      <w:r>
        <w:rPr>
          <w:rFonts w:ascii="Arial" w:hAnsi="Arial" w:cs="Arial"/>
          <w:sz w:val="22"/>
        </w:rPr>
        <w:t xml:space="preserve"> Nursing Research: Methodology, Methods and Outcomes. Cham: Springer, pp. 13–32.</w:t>
      </w:r>
    </w:p>
    <w:p w14:paraId="4799A7B5" w14:textId="77777777" w:rsidR="00ED3AE6" w:rsidRDefault="008C38B0">
      <w:pPr>
        <w:spacing w:line="360" w:lineRule="auto"/>
        <w:jc w:val="both"/>
      </w:pPr>
      <w:r>
        <w:rPr>
          <w:rFonts w:ascii="Arial" w:hAnsi="Arial" w:cs="Arial"/>
          <w:sz w:val="22"/>
        </w:rPr>
        <w:t>McCormack, B., Dewing, J. and McCance, T. (2010) 'Developing person-</w:t>
      </w:r>
      <w:proofErr w:type="spellStart"/>
      <w:r>
        <w:rPr>
          <w:rFonts w:ascii="Arial" w:hAnsi="Arial" w:cs="Arial"/>
          <w:sz w:val="22"/>
        </w:rPr>
        <w:t>centred</w:t>
      </w:r>
      <w:proofErr w:type="spellEnd"/>
      <w:r>
        <w:rPr>
          <w:rFonts w:ascii="Arial" w:hAnsi="Arial" w:cs="Arial"/>
          <w:sz w:val="22"/>
        </w:rPr>
        <w:t xml:space="preserve"> care: addressing contextual challenges through practice development', Online Journal of Issues in Nursing, 16(2).</w:t>
      </w:r>
    </w:p>
    <w:p w14:paraId="6CC3B7EC" w14:textId="77777777" w:rsidR="00ED3AE6" w:rsidRDefault="008C38B0">
      <w:pPr>
        <w:spacing w:line="360" w:lineRule="auto"/>
        <w:jc w:val="both"/>
      </w:pPr>
      <w:r>
        <w:rPr>
          <w:rFonts w:ascii="Arial" w:hAnsi="Arial" w:cs="Arial"/>
          <w:sz w:val="22"/>
        </w:rPr>
        <w:t xml:space="preserve">McDermid, J., Henley, W., Corbett, A., Williams, G., Fossey, J., Clare, L., Fox, C., Aarsland, D., Khan, Z., Soto, M., Woodward-Carlton, B., Moniz Cook, E., Cummings, J., Sweetnam, A., Chan, X., Lawrence, M. and Ballard, C. (2024) 'Impact of the </w:t>
      </w:r>
      <w:proofErr w:type="spellStart"/>
      <w:r>
        <w:rPr>
          <w:rFonts w:ascii="Arial" w:hAnsi="Arial" w:cs="Arial"/>
          <w:sz w:val="22"/>
        </w:rPr>
        <w:t>iWHELD</w:t>
      </w:r>
      <w:proofErr w:type="spellEnd"/>
      <w:r>
        <w:rPr>
          <w:rFonts w:ascii="Arial" w:hAnsi="Arial" w:cs="Arial"/>
          <w:sz w:val="22"/>
        </w:rPr>
        <w:t xml:space="preserve"> digital person-centered care program on quality of life, agitation and psychotropic medications in people with dementia living in nursing homes during the COVID-19 pandemic: a randomized controlled trial', Alzheimer's &amp; Dementia, 20(3), pp. 1797–1806.</w:t>
      </w:r>
    </w:p>
    <w:p w14:paraId="2B73CB87" w14:textId="77777777" w:rsidR="00ED3AE6" w:rsidRDefault="008C38B0">
      <w:pPr>
        <w:spacing w:line="360" w:lineRule="auto"/>
        <w:jc w:val="both"/>
      </w:pPr>
      <w:r>
        <w:rPr>
          <w:rFonts w:ascii="Arial" w:hAnsi="Arial" w:cs="Arial"/>
          <w:sz w:val="22"/>
        </w:rPr>
        <w:t>National Institute for Health and Care Excellence (2022) People's Experience in Adult Social Care Services: Improving the Experience of Care and Support for People Using Adult Social Care Services. NG214. London: NICE.</w:t>
      </w:r>
    </w:p>
    <w:p w14:paraId="1453B803" w14:textId="77777777" w:rsidR="00ED3AE6" w:rsidRDefault="008C38B0">
      <w:pPr>
        <w:spacing w:line="360" w:lineRule="auto"/>
        <w:jc w:val="both"/>
      </w:pPr>
      <w:r>
        <w:rPr>
          <w:rFonts w:ascii="Arial" w:hAnsi="Arial" w:cs="Arial"/>
          <w:sz w:val="22"/>
        </w:rPr>
        <w:t xml:space="preserve">Page, M.J., McKenzie, J.E., Bossuyt, P.M., </w:t>
      </w:r>
      <w:proofErr w:type="spellStart"/>
      <w:r>
        <w:rPr>
          <w:rFonts w:ascii="Arial" w:hAnsi="Arial" w:cs="Arial"/>
          <w:sz w:val="22"/>
        </w:rPr>
        <w:t>Boutron</w:t>
      </w:r>
      <w:proofErr w:type="spellEnd"/>
      <w:r>
        <w:rPr>
          <w:rFonts w:ascii="Arial" w:hAnsi="Arial" w:cs="Arial"/>
          <w:sz w:val="22"/>
        </w:rPr>
        <w:t xml:space="preserve">, I., Hoffmann, T.C., Mulrow, C.D., </w:t>
      </w:r>
      <w:proofErr w:type="spellStart"/>
      <w:r>
        <w:rPr>
          <w:rFonts w:ascii="Arial" w:hAnsi="Arial" w:cs="Arial"/>
          <w:sz w:val="22"/>
        </w:rPr>
        <w:t>Shamseer</w:t>
      </w:r>
      <w:proofErr w:type="spellEnd"/>
      <w:r>
        <w:rPr>
          <w:rFonts w:ascii="Arial" w:hAnsi="Arial" w:cs="Arial"/>
          <w:sz w:val="22"/>
        </w:rPr>
        <w:t xml:space="preserve">, L., Tetzlaff, J.M., Akl, E.A., Brennan, S.E., Chou, R., Glanville, J., Grimshaw, J.M., Hróbjartsson, A., Lalu, M.M., Li, T., Loder, E.W., Mayo-Wilson, E., McDonald, S., McGuinness, L.A., Stewart, L.A., Thomas, J., </w:t>
      </w:r>
      <w:proofErr w:type="spellStart"/>
      <w:r>
        <w:rPr>
          <w:rFonts w:ascii="Arial" w:hAnsi="Arial" w:cs="Arial"/>
          <w:sz w:val="22"/>
        </w:rPr>
        <w:t>Tricco</w:t>
      </w:r>
      <w:proofErr w:type="spellEnd"/>
      <w:r>
        <w:rPr>
          <w:rFonts w:ascii="Arial" w:hAnsi="Arial" w:cs="Arial"/>
          <w:sz w:val="22"/>
        </w:rPr>
        <w:t xml:space="preserve">, A.C., Welch, V.A., Whiting, P. and </w:t>
      </w:r>
      <w:r>
        <w:rPr>
          <w:rFonts w:ascii="Arial" w:hAnsi="Arial" w:cs="Arial"/>
          <w:sz w:val="22"/>
        </w:rPr>
        <w:lastRenderedPageBreak/>
        <w:t>Moher, D. (2021) 'The PRISMA 2020 statement: an updated guideline for reporting systematic reviews', BMJ, 372, n71.</w:t>
      </w:r>
    </w:p>
    <w:p w14:paraId="6AC706E1" w14:textId="77777777" w:rsidR="00ED3AE6" w:rsidRDefault="008C38B0">
      <w:pPr>
        <w:spacing w:line="360" w:lineRule="auto"/>
        <w:jc w:val="both"/>
      </w:pPr>
      <w:r>
        <w:rPr>
          <w:rFonts w:ascii="Arial" w:hAnsi="Arial" w:cs="Arial"/>
          <w:sz w:val="22"/>
        </w:rPr>
        <w:t>Rogers, C.R. (1961) On Becoming a Person: A Therapist's View of Psychotherapy. Boston: Houghton Mifflin.</w:t>
      </w:r>
    </w:p>
    <w:p w14:paraId="705FE3FD" w14:textId="77777777" w:rsidR="00ED3AE6" w:rsidRDefault="008C38B0">
      <w:pPr>
        <w:spacing w:line="360" w:lineRule="auto"/>
        <w:jc w:val="both"/>
      </w:pPr>
      <w:r>
        <w:rPr>
          <w:rFonts w:ascii="Arial" w:hAnsi="Arial" w:cs="Arial"/>
          <w:sz w:val="22"/>
        </w:rPr>
        <w:t xml:space="preserve">Rokstad, A.M.M., Røsvik, J., Kirkevold, Ø., </w:t>
      </w:r>
      <w:proofErr w:type="spellStart"/>
      <w:r>
        <w:rPr>
          <w:rFonts w:ascii="Arial" w:hAnsi="Arial" w:cs="Arial"/>
          <w:sz w:val="22"/>
        </w:rPr>
        <w:t>Selbaek</w:t>
      </w:r>
      <w:proofErr w:type="spellEnd"/>
      <w:r>
        <w:rPr>
          <w:rFonts w:ascii="Arial" w:hAnsi="Arial" w:cs="Arial"/>
          <w:sz w:val="22"/>
        </w:rPr>
        <w:t xml:space="preserve">, G., </w:t>
      </w:r>
      <w:proofErr w:type="spellStart"/>
      <w:r>
        <w:rPr>
          <w:rFonts w:ascii="Arial" w:hAnsi="Arial" w:cs="Arial"/>
          <w:sz w:val="22"/>
        </w:rPr>
        <w:t>Saltyte</w:t>
      </w:r>
      <w:proofErr w:type="spellEnd"/>
      <w:r>
        <w:rPr>
          <w:rFonts w:ascii="Arial" w:hAnsi="Arial" w:cs="Arial"/>
          <w:sz w:val="22"/>
        </w:rPr>
        <w:t xml:space="preserve"> Benth, J. and Engedal, K. (2013) 'The effect of person-</w:t>
      </w:r>
      <w:proofErr w:type="spellStart"/>
      <w:r>
        <w:rPr>
          <w:rFonts w:ascii="Arial" w:hAnsi="Arial" w:cs="Arial"/>
          <w:sz w:val="22"/>
        </w:rPr>
        <w:t>centred</w:t>
      </w:r>
      <w:proofErr w:type="spellEnd"/>
      <w:r>
        <w:rPr>
          <w:rFonts w:ascii="Arial" w:hAnsi="Arial" w:cs="Arial"/>
          <w:sz w:val="22"/>
        </w:rPr>
        <w:t xml:space="preserve"> dementia care to prevent agitation and other neuropsychiatric symptoms and enhance quality of life in nursing home patients: a 10-month randomized controlled trial', Dementia and Geriatric Cognitive Disorders, 36(5-6), pp. 340-353.</w:t>
      </w:r>
    </w:p>
    <w:p w14:paraId="29BA63A9" w14:textId="77777777" w:rsidR="00ED3AE6" w:rsidRDefault="008C38B0">
      <w:pPr>
        <w:spacing w:line="360" w:lineRule="auto"/>
        <w:jc w:val="both"/>
      </w:pPr>
      <w:r>
        <w:rPr>
          <w:rFonts w:ascii="Arial" w:hAnsi="Arial" w:cs="Arial"/>
          <w:sz w:val="22"/>
        </w:rPr>
        <w:t>Skills for Care (2025) The State of the Adult Social Care Sector and Workforce in England. Leeds: Skills for Care.</w:t>
      </w:r>
    </w:p>
    <w:p w14:paraId="6E8E22E2" w14:textId="77777777" w:rsidR="00ED3AE6" w:rsidRDefault="008C38B0">
      <w:pPr>
        <w:spacing w:line="360" w:lineRule="auto"/>
        <w:jc w:val="both"/>
      </w:pPr>
      <w:r>
        <w:rPr>
          <w:rFonts w:ascii="Arial" w:hAnsi="Arial" w:cs="Arial"/>
          <w:sz w:val="22"/>
        </w:rPr>
        <w:t>Slater, L. (2006) 'Person-</w:t>
      </w:r>
      <w:proofErr w:type="spellStart"/>
      <w:r>
        <w:rPr>
          <w:rFonts w:ascii="Arial" w:hAnsi="Arial" w:cs="Arial"/>
          <w:sz w:val="22"/>
        </w:rPr>
        <w:t>centredness</w:t>
      </w:r>
      <w:proofErr w:type="spellEnd"/>
      <w:r>
        <w:rPr>
          <w:rFonts w:ascii="Arial" w:hAnsi="Arial" w:cs="Arial"/>
          <w:sz w:val="22"/>
        </w:rPr>
        <w:t>: a concept analysis', Contemporary Nurse, 23(1), pp. 135-144.</w:t>
      </w:r>
    </w:p>
    <w:p w14:paraId="5DDD25CC" w14:textId="77777777" w:rsidR="00ED3AE6" w:rsidRDefault="008C38B0">
      <w:pPr>
        <w:spacing w:line="360" w:lineRule="auto"/>
        <w:jc w:val="both"/>
      </w:pPr>
      <w:r>
        <w:rPr>
          <w:rFonts w:ascii="Arial" w:hAnsi="Arial" w:cs="Arial"/>
          <w:sz w:val="22"/>
        </w:rPr>
        <w:t>Smith, S.C., Lamping, D.L., Banerjee, S., Harwood, R., Foley, B., Smith, P., Cook, J.C., Murray, J., Prince, M., Levin, E., Mann, A. and Knapp, M. (2005) 'Measurement of health-related quality of life for people with dementia: development of a new instrument (DEMQOL) and an evaluation of current methodology', Health Technology Assessment, 9(10).</w:t>
      </w:r>
    </w:p>
    <w:p w14:paraId="07FFD9F4" w14:textId="77777777" w:rsidR="00ED3AE6" w:rsidRDefault="008C38B0">
      <w:pPr>
        <w:spacing w:line="360" w:lineRule="auto"/>
        <w:jc w:val="both"/>
      </w:pPr>
      <w:r>
        <w:rPr>
          <w:rFonts w:ascii="Arial" w:hAnsi="Arial" w:cs="Arial"/>
          <w:sz w:val="22"/>
        </w:rPr>
        <w:t xml:space="preserve">Spector, A., Orrell, M. and Goyder, J. (2013) 'A systematic review of staff training interventions to reduce the </w:t>
      </w:r>
      <w:proofErr w:type="spellStart"/>
      <w:r>
        <w:rPr>
          <w:rFonts w:ascii="Arial" w:hAnsi="Arial" w:cs="Arial"/>
          <w:sz w:val="22"/>
        </w:rPr>
        <w:t>behavioural</w:t>
      </w:r>
      <w:proofErr w:type="spellEnd"/>
      <w:r>
        <w:rPr>
          <w:rFonts w:ascii="Arial" w:hAnsi="Arial" w:cs="Arial"/>
          <w:sz w:val="22"/>
        </w:rPr>
        <w:t xml:space="preserve"> and psychological symptoms of dementia', Ageing Research Reviews, 12(1), pp. 354–364.</w:t>
      </w:r>
    </w:p>
    <w:p w14:paraId="7D592D1E" w14:textId="77777777" w:rsidR="00ED3AE6" w:rsidRDefault="008C38B0">
      <w:pPr>
        <w:spacing w:line="360" w:lineRule="auto"/>
        <w:jc w:val="both"/>
      </w:pPr>
      <w:r>
        <w:rPr>
          <w:rFonts w:ascii="Arial" w:hAnsi="Arial" w:cs="Arial"/>
          <w:sz w:val="22"/>
        </w:rPr>
        <w:t xml:space="preserve">Spilsbury, K., Hewitt, C., Stirk, L. and Bowman, C. (2015) 'The relationship between </w:t>
      </w:r>
      <w:proofErr w:type="gramStart"/>
      <w:r>
        <w:rPr>
          <w:rFonts w:ascii="Arial" w:hAnsi="Arial" w:cs="Arial"/>
          <w:sz w:val="22"/>
        </w:rPr>
        <w:t>nurse</w:t>
      </w:r>
      <w:proofErr w:type="gramEnd"/>
      <w:r>
        <w:rPr>
          <w:rFonts w:ascii="Arial" w:hAnsi="Arial" w:cs="Arial"/>
          <w:sz w:val="22"/>
        </w:rPr>
        <w:t xml:space="preserve"> staffing and quality of care in nursing homes: a systematic review', International Journal of Nursing Studies, 48(6), pp. 732-750.</w:t>
      </w:r>
    </w:p>
    <w:p w14:paraId="6124E30A" w14:textId="77777777" w:rsidR="00ED3AE6" w:rsidRDefault="008C38B0">
      <w:pPr>
        <w:spacing w:line="360" w:lineRule="auto"/>
        <w:jc w:val="both"/>
      </w:pPr>
      <w:r>
        <w:rPr>
          <w:rFonts w:ascii="Arial" w:hAnsi="Arial" w:cs="Arial"/>
          <w:sz w:val="22"/>
        </w:rPr>
        <w:t>The King's Fund (2021) Social Care 360. London: The King's Fund.</w:t>
      </w:r>
    </w:p>
    <w:p w14:paraId="5F26DC4F" w14:textId="77777777" w:rsidR="00ED3AE6" w:rsidRDefault="008C38B0">
      <w:pPr>
        <w:spacing w:line="360" w:lineRule="auto"/>
        <w:jc w:val="both"/>
      </w:pPr>
      <w:r>
        <w:rPr>
          <w:rFonts w:ascii="Arial" w:hAnsi="Arial" w:cs="Arial"/>
          <w:sz w:val="22"/>
        </w:rPr>
        <w:t>The King's Fund (2026) Social Care 360: Workforce and Carers. London: The King's Fund.</w:t>
      </w:r>
    </w:p>
    <w:p w14:paraId="70DEAF31" w14:textId="77777777" w:rsidR="00ED3AE6" w:rsidRDefault="008C38B0">
      <w:pPr>
        <w:spacing w:line="360" w:lineRule="auto"/>
        <w:jc w:val="both"/>
      </w:pPr>
      <w:r>
        <w:rPr>
          <w:rFonts w:ascii="Arial" w:hAnsi="Arial" w:cs="Arial"/>
          <w:sz w:val="22"/>
        </w:rPr>
        <w:t>Thomas, J. and Harden, A. (2008) 'Methods for the thematic synthesis of qualitative research in systematic reviews', BMC Medical Research Methodology, 8, p. 45.</w:t>
      </w:r>
    </w:p>
    <w:p w14:paraId="29F3EB9B" w14:textId="77777777" w:rsidR="00ED3AE6" w:rsidRDefault="008C38B0">
      <w:pPr>
        <w:spacing w:line="360" w:lineRule="auto"/>
        <w:jc w:val="both"/>
      </w:pPr>
      <w:r>
        <w:rPr>
          <w:rFonts w:ascii="Arial" w:hAnsi="Arial" w:cs="Arial"/>
          <w:sz w:val="22"/>
        </w:rPr>
        <w:t>World Health Organization (2015) World Report on Ageing and Health. Geneva: WHO.</w:t>
      </w:r>
    </w:p>
    <w:p w14:paraId="0DA25614" w14:textId="77777777" w:rsidR="00ED3AE6" w:rsidRDefault="008C38B0">
      <w:pPr>
        <w:spacing w:line="360" w:lineRule="auto"/>
        <w:jc w:val="both"/>
      </w:pPr>
      <w:r>
        <w:rPr>
          <w:rFonts w:ascii="Arial" w:hAnsi="Arial" w:cs="Arial"/>
          <w:sz w:val="22"/>
        </w:rPr>
        <w:t>World Health Organization (2021) Ageing and Health. Geneva: WHO.</w:t>
      </w:r>
    </w:p>
    <w:sectPr w:rsidR="00ED3AE6">
      <w:footerReference w:type="default" r:id="rId15"/>
      <w:pgSz w:w="11906" w:h="16838"/>
      <w:pgMar w:top="1440" w:right="1440" w:bottom="1440" w:left="1440" w:header="0" w:footer="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9295F" w14:textId="77777777" w:rsidR="009671E0" w:rsidRDefault="009671E0" w:rsidP="008C38B0">
      <w:r>
        <w:separator/>
      </w:r>
    </w:p>
  </w:endnote>
  <w:endnote w:type="continuationSeparator" w:id="0">
    <w:p w14:paraId="3D3B0B64" w14:textId="77777777" w:rsidR="009671E0" w:rsidRDefault="009671E0" w:rsidP="008C3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swiss"/>
    <w:pitch w:val="variable"/>
  </w:font>
  <w:font w:name="Noto Sans CJK SC">
    <w:panose1 w:val="00000000000000000000"/>
    <w:charset w:val="00"/>
    <w:family w:val="roman"/>
    <w:notTrueType/>
    <w:pitch w:val="default"/>
  </w:font>
  <w:font w:name="FreeSans">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719445"/>
      <w:docPartObj>
        <w:docPartGallery w:val="Page Numbers (Bottom of Page)"/>
        <w:docPartUnique/>
      </w:docPartObj>
    </w:sdtPr>
    <w:sdtEndPr>
      <w:rPr>
        <w:noProof/>
      </w:rPr>
    </w:sdtEndPr>
    <w:sdtContent>
      <w:p w14:paraId="20EF9F8D" w14:textId="77777777" w:rsidR="008C38B0" w:rsidRDefault="008C38B0">
        <w:pPr>
          <w:pStyle w:val="Footer"/>
          <w:jc w:val="center"/>
        </w:pPr>
        <w:r>
          <w:fldChar w:fldCharType="begin"/>
        </w:r>
        <w:r>
          <w:instrText xml:space="preserve"> PAGE   \* MERGEFORMAT </w:instrText>
        </w:r>
        <w:r>
          <w:fldChar w:fldCharType="separate"/>
        </w:r>
        <w:r w:rsidR="0072525E">
          <w:rPr>
            <w:noProof/>
          </w:rPr>
          <w:t>6</w:t>
        </w:r>
        <w:r>
          <w:rPr>
            <w:noProof/>
          </w:rPr>
          <w:fldChar w:fldCharType="end"/>
        </w:r>
      </w:p>
    </w:sdtContent>
  </w:sdt>
  <w:p w14:paraId="23C8BA51" w14:textId="77777777" w:rsidR="008C38B0" w:rsidRDefault="008C3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C6F5D" w14:textId="77777777" w:rsidR="009671E0" w:rsidRDefault="009671E0" w:rsidP="008C38B0">
      <w:r>
        <w:separator/>
      </w:r>
    </w:p>
  </w:footnote>
  <w:footnote w:type="continuationSeparator" w:id="0">
    <w:p w14:paraId="245D81D1" w14:textId="77777777" w:rsidR="009671E0" w:rsidRDefault="009671E0" w:rsidP="008C38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11D02"/>
    <w:multiLevelType w:val="multilevel"/>
    <w:tmpl w:val="055626E8"/>
    <w:lvl w:ilvl="0">
      <w:start w:val="1"/>
      <w:numFmt w:val="bullet"/>
      <w:lvlText w:val=""/>
      <w:lvlJc w:val="left"/>
      <w:pPr>
        <w:tabs>
          <w:tab w:val="num" w:pos="0"/>
        </w:tabs>
        <w:ind w:left="720" w:hanging="360"/>
      </w:pPr>
      <w:rPr>
        <w:rFonts w:ascii="Symbol" w:hAnsi="Symbol" w:cs="Symbol" w:hint="default"/>
      </w:rPr>
    </w:lvl>
    <w:lvl w:ilvl="1">
      <w:numFmt w:val="decimal"/>
      <w:lvlText w:val=""/>
      <w:lvlJc w:val="left"/>
      <w:pPr>
        <w:tabs>
          <w:tab w:val="num" w:pos="0"/>
        </w:tabs>
        <w:ind w:left="0" w:firstLine="0"/>
      </w:pPr>
    </w:lvl>
    <w:lvl w:ilvl="2">
      <w:numFmt w:val="decimal"/>
      <w:lvlText w:val=""/>
      <w:lvlJc w:val="left"/>
      <w:pPr>
        <w:tabs>
          <w:tab w:val="num" w:pos="0"/>
        </w:tabs>
        <w:ind w:left="0" w:firstLine="0"/>
      </w:pPr>
    </w:lvl>
    <w:lvl w:ilvl="3">
      <w:numFmt w:val="decimal"/>
      <w:lvlText w:val=""/>
      <w:lvlJc w:val="left"/>
      <w:pPr>
        <w:tabs>
          <w:tab w:val="num" w:pos="0"/>
        </w:tabs>
        <w:ind w:left="0" w:firstLine="0"/>
      </w:pPr>
    </w:lvl>
    <w:lvl w:ilvl="4">
      <w:numFmt w:val="decimal"/>
      <w:lvlText w:val=""/>
      <w:lvlJc w:val="left"/>
      <w:pPr>
        <w:tabs>
          <w:tab w:val="num" w:pos="0"/>
        </w:tabs>
        <w:ind w:left="0" w:firstLine="0"/>
      </w:pPr>
    </w:lvl>
    <w:lvl w:ilvl="5">
      <w:numFmt w:val="decimal"/>
      <w:lvlText w:val=""/>
      <w:lvlJc w:val="left"/>
      <w:pPr>
        <w:tabs>
          <w:tab w:val="num" w:pos="0"/>
        </w:tabs>
        <w:ind w:left="0" w:firstLine="0"/>
      </w:pPr>
    </w:lvl>
    <w:lvl w:ilvl="6">
      <w:numFmt w:val="decimal"/>
      <w:lvlText w:val=""/>
      <w:lvlJc w:val="left"/>
      <w:pPr>
        <w:tabs>
          <w:tab w:val="num" w:pos="0"/>
        </w:tabs>
        <w:ind w:left="0" w:firstLine="0"/>
      </w:pPr>
    </w:lvl>
    <w:lvl w:ilvl="7">
      <w:numFmt w:val="decimal"/>
      <w:lvlText w:val=""/>
      <w:lvlJc w:val="left"/>
      <w:pPr>
        <w:tabs>
          <w:tab w:val="num" w:pos="0"/>
        </w:tabs>
        <w:ind w:left="0" w:firstLine="0"/>
      </w:pPr>
    </w:lvl>
    <w:lvl w:ilvl="8">
      <w:numFmt w:val="decimal"/>
      <w:lvlText w:val=""/>
      <w:lvlJc w:val="left"/>
      <w:pPr>
        <w:tabs>
          <w:tab w:val="num" w:pos="0"/>
        </w:tabs>
        <w:ind w:left="0" w:firstLine="0"/>
      </w:pPr>
    </w:lvl>
  </w:abstractNum>
  <w:abstractNum w:abstractNumId="1" w15:restartNumberingAfterBreak="0">
    <w:nsid w:val="12AB5C58"/>
    <w:multiLevelType w:val="multilevel"/>
    <w:tmpl w:val="B66AB3B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7EBA7F13"/>
    <w:multiLevelType w:val="multilevel"/>
    <w:tmpl w:val="9DA689C0"/>
    <w:lvl w:ilvl="0">
      <w:start w:val="1"/>
      <w:numFmt w:val="bullet"/>
      <w:lvlText w:val=""/>
      <w:lvlJc w:val="left"/>
      <w:pPr>
        <w:tabs>
          <w:tab w:val="num" w:pos="0"/>
        </w:tabs>
        <w:ind w:left="720" w:hanging="360"/>
      </w:pPr>
      <w:rPr>
        <w:rFonts w:ascii="Symbol" w:hAnsi="Symbol" w:cs="Symbol" w:hint="default"/>
      </w:rPr>
    </w:lvl>
    <w:lvl w:ilvl="1">
      <w:numFmt w:val="decimal"/>
      <w:lvlText w:val=""/>
      <w:lvlJc w:val="left"/>
      <w:pPr>
        <w:tabs>
          <w:tab w:val="num" w:pos="0"/>
        </w:tabs>
        <w:ind w:left="0" w:firstLine="0"/>
      </w:pPr>
    </w:lvl>
    <w:lvl w:ilvl="2">
      <w:numFmt w:val="decimal"/>
      <w:lvlText w:val=""/>
      <w:lvlJc w:val="left"/>
      <w:pPr>
        <w:tabs>
          <w:tab w:val="num" w:pos="0"/>
        </w:tabs>
        <w:ind w:left="0" w:firstLine="0"/>
      </w:pPr>
    </w:lvl>
    <w:lvl w:ilvl="3">
      <w:numFmt w:val="decimal"/>
      <w:lvlText w:val=""/>
      <w:lvlJc w:val="left"/>
      <w:pPr>
        <w:tabs>
          <w:tab w:val="num" w:pos="0"/>
        </w:tabs>
        <w:ind w:left="0" w:firstLine="0"/>
      </w:pPr>
    </w:lvl>
    <w:lvl w:ilvl="4">
      <w:numFmt w:val="decimal"/>
      <w:lvlText w:val=""/>
      <w:lvlJc w:val="left"/>
      <w:pPr>
        <w:tabs>
          <w:tab w:val="num" w:pos="0"/>
        </w:tabs>
        <w:ind w:left="0" w:firstLine="0"/>
      </w:pPr>
    </w:lvl>
    <w:lvl w:ilvl="5">
      <w:numFmt w:val="decimal"/>
      <w:lvlText w:val=""/>
      <w:lvlJc w:val="left"/>
      <w:pPr>
        <w:tabs>
          <w:tab w:val="num" w:pos="0"/>
        </w:tabs>
        <w:ind w:left="0" w:firstLine="0"/>
      </w:pPr>
    </w:lvl>
    <w:lvl w:ilvl="6">
      <w:numFmt w:val="decimal"/>
      <w:lvlText w:val=""/>
      <w:lvlJc w:val="left"/>
      <w:pPr>
        <w:tabs>
          <w:tab w:val="num" w:pos="0"/>
        </w:tabs>
        <w:ind w:left="0" w:firstLine="0"/>
      </w:pPr>
    </w:lvl>
    <w:lvl w:ilvl="7">
      <w:numFmt w:val="decimal"/>
      <w:lvlText w:val=""/>
      <w:lvlJc w:val="left"/>
      <w:pPr>
        <w:tabs>
          <w:tab w:val="num" w:pos="0"/>
        </w:tabs>
        <w:ind w:left="0" w:firstLine="0"/>
      </w:pPr>
    </w:lvl>
    <w:lvl w:ilvl="8">
      <w:numFmt w:val="decimal"/>
      <w:lvlText w:val=""/>
      <w:lvlJc w:val="left"/>
      <w:pPr>
        <w:tabs>
          <w:tab w:val="num" w:pos="0"/>
        </w:tabs>
        <w:ind w:left="0" w:firstLine="0"/>
      </w:pPr>
    </w:lvl>
  </w:abstractNum>
  <w:num w:numId="1" w16cid:durableId="165175190">
    <w:abstractNumId w:val="0"/>
  </w:num>
  <w:num w:numId="2" w16cid:durableId="105318142">
    <w:abstractNumId w:val="2"/>
  </w:num>
  <w:num w:numId="3" w16cid:durableId="2145000147">
    <w:abstractNumId w:val="1"/>
  </w:num>
  <w:num w:numId="4" w16cid:durableId="16930564">
    <w:abstractNumId w:val="2"/>
    <w:lvlOverride w:ilvl="0">
      <w:startOverride w:val="1"/>
    </w:lvlOverride>
  </w:num>
  <w:num w:numId="5" w16cid:durableId="1908612485">
    <w:abstractNumId w:val="2"/>
  </w:num>
  <w:num w:numId="6" w16cid:durableId="487746524">
    <w:abstractNumId w:val="2"/>
  </w:num>
  <w:num w:numId="7" w16cid:durableId="1608804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3AE6"/>
    <w:rsid w:val="000C44B6"/>
    <w:rsid w:val="001F2CB5"/>
    <w:rsid w:val="003F78D0"/>
    <w:rsid w:val="004F09B2"/>
    <w:rsid w:val="0072525E"/>
    <w:rsid w:val="008C38B0"/>
    <w:rsid w:val="008E2CED"/>
    <w:rsid w:val="00922E6A"/>
    <w:rsid w:val="009671E0"/>
    <w:rsid w:val="00CD4408"/>
    <w:rsid w:val="00DC73B1"/>
    <w:rsid w:val="00E72407"/>
    <w:rsid w:val="00ED3AE6"/>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5D950"/>
  <w15:docId w15:val="{1C0C44B9-1EBF-4F46-BF3E-4E614DAAD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sz w:val="24"/>
        <w:szCs w:val="24"/>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character" w:customStyle="1" w:styleId="BalloonTextChar">
    <w:name w:val="Balloon Text Char"/>
    <w:basedOn w:val="DefaultParagraphFont"/>
    <w:link w:val="BalloonText"/>
    <w:uiPriority w:val="99"/>
    <w:semiHidden/>
    <w:qFormat/>
    <w:rsid w:val="00D16C18"/>
    <w:rPr>
      <w:rFonts w:ascii="Tahoma" w:hAnsi="Tahoma" w:cs="Tahoma"/>
      <w:sz w:val="16"/>
      <w:szCs w:val="16"/>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rPr>
  </w:style>
  <w:style w:type="paragraph" w:customStyle="1" w:styleId="Index">
    <w:name w:val="Index"/>
    <w:basedOn w:val="Normal"/>
    <w:qFormat/>
    <w:pPr>
      <w:suppressLineNumbers/>
    </w:pPr>
    <w:rPr>
      <w:rFonts w:cs="FreeSans"/>
    </w:rPr>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paragraph" w:styleId="FootnoteText">
    <w:name w:val="footnote text"/>
    <w:link w:val="FootnoteTextChar"/>
    <w:uiPriority w:val="99"/>
    <w:semiHidden/>
    <w:unhideWhenUsed/>
    <w:rPr>
      <w:sz w:val="20"/>
      <w:szCs w:val="20"/>
    </w:rPr>
  </w:style>
  <w:style w:type="paragraph" w:styleId="EndnoteText">
    <w:name w:val="endnote text"/>
    <w:link w:val="EndnoteTextChar"/>
    <w:uiPriority w:val="99"/>
    <w:semiHidden/>
    <w:unhideWhenUsed/>
    <w:rPr>
      <w:sz w:val="20"/>
      <w:szCs w:val="20"/>
    </w:rPr>
  </w:style>
  <w:style w:type="paragraph" w:styleId="BalloonText">
    <w:name w:val="Balloon Text"/>
    <w:basedOn w:val="Normal"/>
    <w:link w:val="BalloonTextChar"/>
    <w:uiPriority w:val="99"/>
    <w:semiHidden/>
    <w:unhideWhenUsed/>
    <w:qFormat/>
    <w:rsid w:val="00D16C18"/>
    <w:rPr>
      <w:rFonts w:ascii="Tahoma" w:hAnsi="Tahoma" w:cs="Tahoma"/>
      <w:sz w:val="16"/>
      <w:szCs w:val="16"/>
    </w:rPr>
  </w:style>
  <w:style w:type="paragraph" w:styleId="TOC2">
    <w:name w:val="toc 2"/>
    <w:basedOn w:val="Normal"/>
    <w:next w:val="Normal"/>
    <w:autoRedefine/>
    <w:uiPriority w:val="39"/>
    <w:unhideWhenUsed/>
    <w:rsid w:val="00F812D2"/>
    <w:pPr>
      <w:spacing w:after="100" w:line="276" w:lineRule="auto"/>
      <w:ind w:left="220"/>
    </w:pPr>
    <w:rPr>
      <w:rFonts w:asciiTheme="minorHAnsi" w:eastAsiaTheme="minorHAnsi" w:hAnsiTheme="minorHAnsi" w:cstheme="minorBidi"/>
      <w:sz w:val="22"/>
      <w:szCs w:val="22"/>
    </w:rPr>
  </w:style>
  <w:style w:type="paragraph" w:customStyle="1" w:styleId="TableCaption">
    <w:name w:val="TableCaption"/>
    <w:basedOn w:val="Normal"/>
    <w:next w:val="Normal"/>
    <w:qFormat/>
  </w:style>
  <w:style w:type="paragraph" w:customStyle="1" w:styleId="FigureCaption">
    <w:name w:val="FigureCaption"/>
    <w:basedOn w:val="Normal"/>
    <w:next w:val="Normal"/>
    <w:qFormat/>
  </w:style>
  <w:style w:type="paragraph" w:styleId="TOC1">
    <w:name w:val="toc 1"/>
    <w:basedOn w:val="Normal"/>
    <w:next w:val="Normal"/>
    <w:autoRedefine/>
    <w:uiPriority w:val="39"/>
    <w:unhideWhenUsed/>
    <w:rsid w:val="00F812D2"/>
    <w:pPr>
      <w:spacing w:after="100" w:line="276" w:lineRule="auto"/>
    </w:pPr>
    <w:rPr>
      <w:rFonts w:asciiTheme="minorHAnsi" w:eastAsiaTheme="minorHAnsi" w:hAnsiTheme="minorHAnsi" w:cstheme="minorBidi"/>
      <w:sz w:val="22"/>
      <w:szCs w:val="22"/>
    </w:rPr>
  </w:style>
  <w:style w:type="table" w:styleId="TableGrid">
    <w:name w:val="Table Grid"/>
    <w:basedOn w:val="TableNormal"/>
    <w:uiPriority w:val="59"/>
    <w:rsid w:val="00922E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8C38B0"/>
    <w:pPr>
      <w:suppressAutoHyphens w:val="0"/>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8C38B0"/>
    <w:pPr>
      <w:tabs>
        <w:tab w:val="center" w:pos="4680"/>
        <w:tab w:val="right" w:pos="9360"/>
      </w:tabs>
    </w:pPr>
  </w:style>
  <w:style w:type="character" w:customStyle="1" w:styleId="HeaderChar">
    <w:name w:val="Header Char"/>
    <w:basedOn w:val="DefaultParagraphFont"/>
    <w:link w:val="Header"/>
    <w:uiPriority w:val="99"/>
    <w:rsid w:val="008C38B0"/>
  </w:style>
  <w:style w:type="paragraph" w:styleId="Footer">
    <w:name w:val="footer"/>
    <w:basedOn w:val="Normal"/>
    <w:link w:val="FooterChar"/>
    <w:uiPriority w:val="99"/>
    <w:unhideWhenUsed/>
    <w:rsid w:val="008C38B0"/>
    <w:pPr>
      <w:tabs>
        <w:tab w:val="center" w:pos="4680"/>
        <w:tab w:val="right" w:pos="9360"/>
      </w:tabs>
    </w:pPr>
  </w:style>
  <w:style w:type="character" w:customStyle="1" w:styleId="FooterChar">
    <w:name w:val="Footer Char"/>
    <w:basedOn w:val="DefaultParagraphFont"/>
    <w:link w:val="Footer"/>
    <w:uiPriority w:val="99"/>
    <w:rsid w:val="008C38B0"/>
  </w:style>
  <w:style w:type="paragraph" w:styleId="NormalWeb">
    <w:name w:val="Normal (Web)"/>
    <w:basedOn w:val="Normal"/>
    <w:uiPriority w:val="99"/>
    <w:semiHidden/>
    <w:unhideWhenUsed/>
    <w:rsid w:val="008C38B0"/>
    <w:pPr>
      <w:suppressAutoHyphens w:val="0"/>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294405">
      <w:bodyDiv w:val="1"/>
      <w:marLeft w:val="0"/>
      <w:marRight w:val="0"/>
      <w:marTop w:val="0"/>
      <w:marBottom w:val="0"/>
      <w:divBdr>
        <w:top w:val="none" w:sz="0" w:space="0" w:color="auto"/>
        <w:left w:val="none" w:sz="0" w:space="0" w:color="auto"/>
        <w:bottom w:val="none" w:sz="0" w:space="0" w:color="auto"/>
        <w:right w:val="none" w:sz="0" w:space="0" w:color="auto"/>
      </w:divBdr>
    </w:div>
    <w:div w:id="8081357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62d38765b0affc1eae5babdf82fc00d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31571bf3a6a9a054423961d035f62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A03A7DE9-EB96-4984-BA39-61765B865C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3A5A82-21E9-453B-A88D-D594907D1292}">
  <ds:schemaRefs>
    <ds:schemaRef ds:uri="http://schemas.microsoft.com/sharepoint/v3/contenttype/forms"/>
  </ds:schemaRefs>
</ds:datastoreItem>
</file>

<file path=customXml/itemProps3.xml><?xml version="1.0" encoding="utf-8"?>
<ds:datastoreItem xmlns:ds="http://schemas.openxmlformats.org/officeDocument/2006/customXml" ds:itemID="{8E359D54-8EFD-4789-8F51-6BE602F0909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15653</Words>
  <Characters>89223</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Yahaddy Bangura (2315639)</cp:lastModifiedBy>
  <cp:revision>2</cp:revision>
  <dcterms:created xsi:type="dcterms:W3CDTF">2026-07-26T13:24:00Z</dcterms:created>
  <dcterms:modified xsi:type="dcterms:W3CDTF">2026-07-26T13:24:00Z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