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7D3335" w14:textId="77777777" w:rsidR="00B573E9" w:rsidRDefault="00B573E9">
      <w:pPr>
        <w:jc w:val="both"/>
        <w:rPr>
          <w:sz w:val="40"/>
          <w:szCs w:val="40"/>
        </w:rPr>
      </w:pPr>
    </w:p>
    <w:p w14:paraId="36225983" w14:textId="77777777" w:rsidR="00B573E9" w:rsidRDefault="00B573E9">
      <w:pPr>
        <w:jc w:val="both"/>
        <w:rPr>
          <w:sz w:val="40"/>
          <w:szCs w:val="40"/>
        </w:rPr>
      </w:pPr>
    </w:p>
    <w:p w14:paraId="5ED0C796" w14:textId="77777777" w:rsidR="00B573E9" w:rsidRDefault="00B573E9">
      <w:pPr>
        <w:jc w:val="both"/>
        <w:rPr>
          <w:sz w:val="40"/>
          <w:szCs w:val="40"/>
        </w:rPr>
      </w:pPr>
    </w:p>
    <w:p w14:paraId="0A85ACE6" w14:textId="77777777" w:rsidR="00B573E9" w:rsidRPr="004A65DF" w:rsidRDefault="00065069">
      <w:pPr>
        <w:jc w:val="center"/>
        <w:rPr>
          <w:sz w:val="36"/>
          <w:szCs w:val="40"/>
        </w:rPr>
      </w:pPr>
      <w:r w:rsidRPr="004A65DF">
        <w:rPr>
          <w:sz w:val="36"/>
          <w:szCs w:val="40"/>
        </w:rPr>
        <w:t>BA International Hotel Management</w:t>
      </w:r>
    </w:p>
    <w:p w14:paraId="45469A25" w14:textId="77777777" w:rsidR="00B573E9" w:rsidRPr="004A65DF" w:rsidRDefault="00065069">
      <w:pPr>
        <w:jc w:val="center"/>
        <w:rPr>
          <w:sz w:val="36"/>
          <w:szCs w:val="40"/>
        </w:rPr>
      </w:pPr>
      <w:r w:rsidRPr="004A65DF">
        <w:rPr>
          <w:sz w:val="36"/>
          <w:szCs w:val="40"/>
        </w:rPr>
        <w:t>Financial Management for the Hotel Industry</w:t>
      </w:r>
    </w:p>
    <w:p w14:paraId="409445D3" w14:textId="77777777" w:rsidR="00B573E9" w:rsidRPr="004A65DF" w:rsidRDefault="00065069">
      <w:pPr>
        <w:jc w:val="center"/>
        <w:rPr>
          <w:sz w:val="36"/>
          <w:szCs w:val="40"/>
        </w:rPr>
      </w:pPr>
      <w:r w:rsidRPr="004A65DF">
        <w:rPr>
          <w:sz w:val="36"/>
          <w:szCs w:val="40"/>
        </w:rPr>
        <w:t>BMIH5007</w:t>
      </w:r>
    </w:p>
    <w:p w14:paraId="134774F7" w14:textId="77777777" w:rsidR="00B573E9" w:rsidRPr="00641C43" w:rsidRDefault="00065069" w:rsidP="004A65DF">
      <w:pPr>
        <w:jc w:val="center"/>
        <w:rPr>
          <w:sz w:val="32"/>
          <w:szCs w:val="40"/>
        </w:rPr>
      </w:pPr>
      <w:r w:rsidRPr="00641C43">
        <w:rPr>
          <w:sz w:val="32"/>
          <w:szCs w:val="40"/>
        </w:rPr>
        <w:t>Assignment 2</w:t>
      </w:r>
    </w:p>
    <w:p w14:paraId="375EDBE2" w14:textId="77777777" w:rsidR="004A65DF" w:rsidRPr="00B01705" w:rsidRDefault="004A65DF" w:rsidP="004A65DF">
      <w:pPr>
        <w:jc w:val="center"/>
        <w:rPr>
          <w:sz w:val="32"/>
          <w:szCs w:val="40"/>
        </w:rPr>
      </w:pPr>
      <w:r w:rsidRPr="00B01705">
        <w:rPr>
          <w:sz w:val="32"/>
          <w:szCs w:val="40"/>
        </w:rPr>
        <w:t>Report Case Study: The Seaview Resort</w:t>
      </w:r>
    </w:p>
    <w:p w14:paraId="4D2630C3" w14:textId="77777777" w:rsidR="00B573E9" w:rsidRDefault="00B573E9">
      <w:pPr>
        <w:jc w:val="both"/>
        <w:rPr>
          <w:b/>
          <w:bCs/>
          <w:i/>
          <w:iCs/>
          <w:szCs w:val="24"/>
        </w:rPr>
      </w:pPr>
    </w:p>
    <w:p w14:paraId="4D298381" w14:textId="77777777" w:rsidR="00B573E9" w:rsidRDefault="00B573E9">
      <w:pPr>
        <w:jc w:val="both"/>
        <w:rPr>
          <w:b/>
          <w:bCs/>
          <w:i/>
          <w:iCs/>
          <w:szCs w:val="24"/>
        </w:rPr>
      </w:pPr>
    </w:p>
    <w:p w14:paraId="4CA6BD76" w14:textId="77777777" w:rsidR="00B573E9" w:rsidRDefault="00B573E9">
      <w:pPr>
        <w:jc w:val="both"/>
        <w:rPr>
          <w:b/>
          <w:bCs/>
          <w:i/>
          <w:iCs/>
          <w:szCs w:val="24"/>
        </w:rPr>
      </w:pPr>
    </w:p>
    <w:p w14:paraId="33BF2A4A" w14:textId="77777777" w:rsidR="007818D6" w:rsidRDefault="007818D6">
      <w:pPr>
        <w:jc w:val="both"/>
        <w:rPr>
          <w:b/>
          <w:bCs/>
          <w:i/>
          <w:iCs/>
          <w:szCs w:val="24"/>
        </w:rPr>
      </w:pPr>
    </w:p>
    <w:p w14:paraId="47C62B3B" w14:textId="77777777" w:rsidR="007818D6" w:rsidRDefault="007818D6">
      <w:pPr>
        <w:jc w:val="both"/>
        <w:rPr>
          <w:b/>
          <w:bCs/>
          <w:i/>
          <w:iCs/>
          <w:szCs w:val="24"/>
        </w:rPr>
      </w:pPr>
    </w:p>
    <w:p w14:paraId="187541D0" w14:textId="77777777" w:rsidR="007818D6" w:rsidRDefault="007818D6">
      <w:pPr>
        <w:jc w:val="both"/>
        <w:rPr>
          <w:b/>
          <w:bCs/>
          <w:i/>
          <w:iCs/>
          <w:szCs w:val="24"/>
        </w:rPr>
      </w:pPr>
    </w:p>
    <w:p w14:paraId="656A980F" w14:textId="77777777" w:rsidR="007818D6" w:rsidRDefault="007818D6">
      <w:pPr>
        <w:jc w:val="both"/>
        <w:rPr>
          <w:b/>
          <w:bCs/>
          <w:i/>
          <w:iCs/>
          <w:szCs w:val="24"/>
        </w:rPr>
      </w:pPr>
    </w:p>
    <w:p w14:paraId="45586CF0" w14:textId="77777777" w:rsidR="007818D6" w:rsidRDefault="007818D6">
      <w:pPr>
        <w:jc w:val="both"/>
        <w:rPr>
          <w:b/>
          <w:bCs/>
          <w:i/>
          <w:iCs/>
          <w:szCs w:val="24"/>
        </w:rPr>
      </w:pPr>
    </w:p>
    <w:p w14:paraId="6C5805D5" w14:textId="77777777" w:rsidR="007818D6" w:rsidRDefault="007818D6">
      <w:pPr>
        <w:jc w:val="both"/>
        <w:rPr>
          <w:b/>
          <w:bCs/>
          <w:i/>
          <w:iCs/>
          <w:szCs w:val="24"/>
        </w:rPr>
      </w:pPr>
    </w:p>
    <w:p w14:paraId="07E4A3A2" w14:textId="77777777" w:rsidR="007818D6" w:rsidRDefault="007818D6">
      <w:pPr>
        <w:jc w:val="both"/>
        <w:rPr>
          <w:b/>
          <w:bCs/>
          <w:i/>
          <w:iCs/>
          <w:szCs w:val="24"/>
        </w:rPr>
      </w:pPr>
    </w:p>
    <w:p w14:paraId="69663D04" w14:textId="77777777" w:rsidR="007818D6" w:rsidRDefault="007818D6">
      <w:pPr>
        <w:jc w:val="both"/>
        <w:rPr>
          <w:b/>
          <w:bCs/>
          <w:i/>
          <w:iCs/>
          <w:szCs w:val="24"/>
        </w:rPr>
      </w:pPr>
    </w:p>
    <w:p w14:paraId="123FA104" w14:textId="77777777" w:rsidR="007818D6" w:rsidRDefault="007818D6">
      <w:pPr>
        <w:jc w:val="both"/>
        <w:rPr>
          <w:b/>
          <w:bCs/>
          <w:i/>
          <w:iCs/>
          <w:szCs w:val="24"/>
        </w:rPr>
      </w:pPr>
    </w:p>
    <w:p w14:paraId="2E10D2C6" w14:textId="77777777" w:rsidR="007818D6" w:rsidRDefault="007818D6">
      <w:pPr>
        <w:jc w:val="both"/>
        <w:rPr>
          <w:b/>
          <w:bCs/>
          <w:i/>
          <w:iCs/>
          <w:szCs w:val="24"/>
        </w:rPr>
      </w:pPr>
    </w:p>
    <w:p w14:paraId="5672B1DF" w14:textId="77777777" w:rsidR="007818D6" w:rsidRDefault="007818D6">
      <w:pPr>
        <w:jc w:val="both"/>
        <w:rPr>
          <w:b/>
          <w:bCs/>
          <w:i/>
          <w:iCs/>
          <w:szCs w:val="24"/>
        </w:rPr>
      </w:pPr>
    </w:p>
    <w:p w14:paraId="091E9DD8" w14:textId="0DA20CCB" w:rsidR="007818D6" w:rsidRPr="007818D6" w:rsidRDefault="007818D6">
      <w:pPr>
        <w:jc w:val="both"/>
        <w:rPr>
          <w:bCs/>
          <w:iCs/>
          <w:szCs w:val="24"/>
        </w:rPr>
      </w:pPr>
      <w:r w:rsidRPr="007818D6">
        <w:rPr>
          <w:bCs/>
          <w:iCs/>
          <w:szCs w:val="24"/>
        </w:rPr>
        <w:t xml:space="preserve">Student </w:t>
      </w:r>
      <w:r w:rsidR="00A32B10" w:rsidRPr="007818D6">
        <w:rPr>
          <w:bCs/>
          <w:iCs/>
          <w:szCs w:val="24"/>
        </w:rPr>
        <w:t>Name:</w:t>
      </w:r>
      <w:r w:rsidR="00A32B10">
        <w:rPr>
          <w:bCs/>
          <w:iCs/>
          <w:szCs w:val="24"/>
        </w:rPr>
        <w:t xml:space="preserve"> Gabriela Anghel</w:t>
      </w:r>
    </w:p>
    <w:p w14:paraId="769A152C" w14:textId="530309F7" w:rsidR="00B573E9" w:rsidRDefault="00065069">
      <w:pPr>
        <w:jc w:val="both"/>
        <w:rPr>
          <w:bCs/>
          <w:iCs/>
          <w:szCs w:val="24"/>
        </w:rPr>
      </w:pPr>
      <w:r w:rsidRPr="007818D6">
        <w:rPr>
          <w:bCs/>
          <w:iCs/>
          <w:szCs w:val="24"/>
        </w:rPr>
        <w:t>ID:</w:t>
      </w:r>
      <w:r w:rsidR="00A32B10">
        <w:rPr>
          <w:bCs/>
          <w:iCs/>
          <w:szCs w:val="24"/>
        </w:rPr>
        <w:t xml:space="preserve"> 2131340</w:t>
      </w:r>
    </w:p>
    <w:p w14:paraId="102B318C" w14:textId="77777777" w:rsidR="007818D6" w:rsidRDefault="007818D6">
      <w:pPr>
        <w:jc w:val="both"/>
        <w:rPr>
          <w:bCs/>
          <w:iCs/>
          <w:szCs w:val="24"/>
        </w:rPr>
      </w:pPr>
    </w:p>
    <w:p w14:paraId="64188560" w14:textId="77777777" w:rsidR="007818D6" w:rsidRPr="007818D6" w:rsidRDefault="007818D6">
      <w:pPr>
        <w:jc w:val="both"/>
        <w:rPr>
          <w:b/>
          <w:bCs/>
          <w:iCs/>
          <w:szCs w:val="24"/>
        </w:rPr>
      </w:pPr>
      <w:r>
        <w:rPr>
          <w:bCs/>
          <w:iCs/>
          <w:szCs w:val="24"/>
        </w:rPr>
        <w:t>Word Count:</w:t>
      </w:r>
      <w:r w:rsidR="00B45383">
        <w:rPr>
          <w:bCs/>
          <w:iCs/>
          <w:szCs w:val="24"/>
        </w:rPr>
        <w:t xml:space="preserve"> 2031</w:t>
      </w:r>
    </w:p>
    <w:p w14:paraId="1BC19296" w14:textId="77777777" w:rsidR="007818D6" w:rsidRPr="007818D6" w:rsidRDefault="007818D6">
      <w:pPr>
        <w:jc w:val="both"/>
        <w:rPr>
          <w:b/>
          <w:bCs/>
          <w:iCs/>
          <w:szCs w:val="24"/>
        </w:rPr>
      </w:pPr>
    </w:p>
    <w:p w14:paraId="6C214EBE" w14:textId="77777777" w:rsidR="007818D6" w:rsidRDefault="007818D6">
      <w:pPr>
        <w:jc w:val="both"/>
        <w:rPr>
          <w:b/>
          <w:bCs/>
          <w:i/>
          <w:iCs/>
          <w:szCs w:val="24"/>
        </w:rPr>
      </w:pPr>
    </w:p>
    <w:p w14:paraId="54D6CF73" w14:textId="77777777" w:rsidR="007818D6" w:rsidRDefault="007818D6">
      <w:pPr>
        <w:jc w:val="both"/>
        <w:rPr>
          <w:b/>
          <w:bCs/>
          <w:i/>
          <w:iCs/>
          <w:szCs w:val="24"/>
        </w:rPr>
      </w:pPr>
    </w:p>
    <w:p w14:paraId="4FE15581" w14:textId="77777777" w:rsidR="007818D6" w:rsidRDefault="007818D6">
      <w:pPr>
        <w:jc w:val="both"/>
        <w:rPr>
          <w:b/>
          <w:bCs/>
          <w:i/>
          <w:iCs/>
          <w:szCs w:val="24"/>
        </w:rPr>
        <w:sectPr w:rsidR="007818D6">
          <w:footerReference w:type="default" r:id="rId9"/>
          <w:pgSz w:w="11906" w:h="16838"/>
          <w:pgMar w:top="1440" w:right="1800" w:bottom="1440" w:left="1800" w:header="720" w:footer="720" w:gutter="0"/>
          <w:cols w:space="720"/>
          <w:docGrid w:linePitch="360"/>
        </w:sectPr>
      </w:pPr>
    </w:p>
    <w:sdt>
      <w:sdtPr>
        <w:rPr>
          <w:rFonts w:ascii="Times New Roman" w:eastAsiaTheme="minorEastAsia" w:hAnsi="Times New Roman" w:cstheme="minorBidi"/>
          <w:color w:val="auto"/>
          <w:sz w:val="24"/>
          <w:szCs w:val="20"/>
          <w:lang w:eastAsia="zh-CN"/>
        </w:rPr>
        <w:id w:val="-1669792772"/>
        <w:docPartObj>
          <w:docPartGallery w:val="Table of Contents"/>
          <w:docPartUnique/>
        </w:docPartObj>
      </w:sdtPr>
      <w:sdtEndPr>
        <w:rPr>
          <w:b/>
          <w:bCs/>
          <w:noProof/>
        </w:rPr>
      </w:sdtEndPr>
      <w:sdtContent>
        <w:p w14:paraId="129A10D4" w14:textId="77777777" w:rsidR="00304851" w:rsidRPr="00AC3762" w:rsidRDefault="00304851">
          <w:pPr>
            <w:pStyle w:val="TOCHeading"/>
            <w:rPr>
              <w:rFonts w:ascii="Times New Roman" w:hAnsi="Times New Roman" w:cs="Times New Roman"/>
              <w:b/>
            </w:rPr>
          </w:pPr>
          <w:r w:rsidRPr="00AC3762">
            <w:rPr>
              <w:rFonts w:ascii="Times New Roman" w:hAnsi="Times New Roman" w:cs="Times New Roman"/>
              <w:b/>
            </w:rPr>
            <w:t>Table of Contents</w:t>
          </w:r>
        </w:p>
        <w:p w14:paraId="3B845C20" w14:textId="77777777" w:rsidR="00304851" w:rsidRDefault="00304851">
          <w:pPr>
            <w:pStyle w:val="TOC1"/>
            <w:tabs>
              <w:tab w:val="right" w:leader="dot" w:pos="8296"/>
            </w:tabs>
            <w:rPr>
              <w:rFonts w:asciiTheme="minorHAnsi" w:hAnsiTheme="minorHAnsi"/>
              <w:noProof/>
              <w:sz w:val="22"/>
              <w:szCs w:val="22"/>
              <w:lang w:eastAsia="en-US"/>
            </w:rPr>
          </w:pPr>
          <w:r>
            <w:fldChar w:fldCharType="begin"/>
          </w:r>
          <w:r>
            <w:instrText xml:space="preserve"> TOC \o "1-3" \h \z \u </w:instrText>
          </w:r>
          <w:r>
            <w:fldChar w:fldCharType="separate"/>
          </w:r>
          <w:hyperlink w:anchor="_Toc151000683" w:history="1">
            <w:r w:rsidRPr="003E2E80">
              <w:rPr>
                <w:rStyle w:val="Hyperlink"/>
                <w:noProof/>
              </w:rPr>
              <w:t>Introduction</w:t>
            </w:r>
            <w:r>
              <w:rPr>
                <w:noProof/>
                <w:webHidden/>
              </w:rPr>
              <w:tab/>
            </w:r>
            <w:r>
              <w:rPr>
                <w:noProof/>
                <w:webHidden/>
              </w:rPr>
              <w:fldChar w:fldCharType="begin"/>
            </w:r>
            <w:r>
              <w:rPr>
                <w:noProof/>
                <w:webHidden/>
              </w:rPr>
              <w:instrText xml:space="preserve"> PAGEREF _Toc151000683 \h </w:instrText>
            </w:r>
            <w:r>
              <w:rPr>
                <w:noProof/>
                <w:webHidden/>
              </w:rPr>
            </w:r>
            <w:r>
              <w:rPr>
                <w:noProof/>
                <w:webHidden/>
              </w:rPr>
              <w:fldChar w:fldCharType="separate"/>
            </w:r>
            <w:r>
              <w:rPr>
                <w:noProof/>
                <w:webHidden/>
              </w:rPr>
              <w:t>1</w:t>
            </w:r>
            <w:r>
              <w:rPr>
                <w:noProof/>
                <w:webHidden/>
              </w:rPr>
              <w:fldChar w:fldCharType="end"/>
            </w:r>
          </w:hyperlink>
        </w:p>
        <w:p w14:paraId="5FCEF98F" w14:textId="77777777" w:rsidR="00304851" w:rsidRDefault="00000000">
          <w:pPr>
            <w:pStyle w:val="TOC1"/>
            <w:tabs>
              <w:tab w:val="right" w:leader="dot" w:pos="8296"/>
            </w:tabs>
            <w:rPr>
              <w:rFonts w:asciiTheme="minorHAnsi" w:hAnsiTheme="minorHAnsi"/>
              <w:noProof/>
              <w:sz w:val="22"/>
              <w:szCs w:val="22"/>
              <w:lang w:eastAsia="en-US"/>
            </w:rPr>
          </w:pPr>
          <w:hyperlink w:anchor="_Toc151000684" w:history="1">
            <w:r w:rsidR="00304851" w:rsidRPr="003E2E80">
              <w:rPr>
                <w:rStyle w:val="Hyperlink"/>
                <w:noProof/>
              </w:rPr>
              <w:t>Scope and Objectives</w:t>
            </w:r>
            <w:r w:rsidR="00304851">
              <w:rPr>
                <w:noProof/>
                <w:webHidden/>
              </w:rPr>
              <w:tab/>
            </w:r>
            <w:r w:rsidR="00304851">
              <w:rPr>
                <w:noProof/>
                <w:webHidden/>
              </w:rPr>
              <w:fldChar w:fldCharType="begin"/>
            </w:r>
            <w:r w:rsidR="00304851">
              <w:rPr>
                <w:noProof/>
                <w:webHidden/>
              </w:rPr>
              <w:instrText xml:space="preserve"> PAGEREF _Toc151000684 \h </w:instrText>
            </w:r>
            <w:r w:rsidR="00304851">
              <w:rPr>
                <w:noProof/>
                <w:webHidden/>
              </w:rPr>
            </w:r>
            <w:r w:rsidR="00304851">
              <w:rPr>
                <w:noProof/>
                <w:webHidden/>
              </w:rPr>
              <w:fldChar w:fldCharType="separate"/>
            </w:r>
            <w:r w:rsidR="00304851">
              <w:rPr>
                <w:noProof/>
                <w:webHidden/>
              </w:rPr>
              <w:t>2</w:t>
            </w:r>
            <w:r w:rsidR="00304851">
              <w:rPr>
                <w:noProof/>
                <w:webHidden/>
              </w:rPr>
              <w:fldChar w:fldCharType="end"/>
            </w:r>
          </w:hyperlink>
        </w:p>
        <w:p w14:paraId="2248DD29" w14:textId="77777777" w:rsidR="00304851" w:rsidRDefault="00000000">
          <w:pPr>
            <w:pStyle w:val="TOC2"/>
            <w:tabs>
              <w:tab w:val="right" w:leader="dot" w:pos="8296"/>
            </w:tabs>
            <w:ind w:left="480"/>
            <w:rPr>
              <w:rFonts w:asciiTheme="minorHAnsi" w:hAnsiTheme="minorHAnsi"/>
              <w:noProof/>
              <w:sz w:val="22"/>
              <w:szCs w:val="22"/>
              <w:lang w:eastAsia="en-US"/>
            </w:rPr>
          </w:pPr>
          <w:hyperlink w:anchor="_Toc151000685" w:history="1">
            <w:r w:rsidR="00304851" w:rsidRPr="003E2E80">
              <w:rPr>
                <w:rStyle w:val="Hyperlink"/>
                <w:noProof/>
              </w:rPr>
              <w:t>Scope</w:t>
            </w:r>
            <w:r w:rsidR="00304851">
              <w:rPr>
                <w:noProof/>
                <w:webHidden/>
              </w:rPr>
              <w:tab/>
            </w:r>
            <w:r w:rsidR="00304851">
              <w:rPr>
                <w:noProof/>
                <w:webHidden/>
              </w:rPr>
              <w:fldChar w:fldCharType="begin"/>
            </w:r>
            <w:r w:rsidR="00304851">
              <w:rPr>
                <w:noProof/>
                <w:webHidden/>
              </w:rPr>
              <w:instrText xml:space="preserve"> PAGEREF _Toc151000685 \h </w:instrText>
            </w:r>
            <w:r w:rsidR="00304851">
              <w:rPr>
                <w:noProof/>
                <w:webHidden/>
              </w:rPr>
            </w:r>
            <w:r w:rsidR="00304851">
              <w:rPr>
                <w:noProof/>
                <w:webHidden/>
              </w:rPr>
              <w:fldChar w:fldCharType="separate"/>
            </w:r>
            <w:r w:rsidR="00304851">
              <w:rPr>
                <w:noProof/>
                <w:webHidden/>
              </w:rPr>
              <w:t>2</w:t>
            </w:r>
            <w:r w:rsidR="00304851">
              <w:rPr>
                <w:noProof/>
                <w:webHidden/>
              </w:rPr>
              <w:fldChar w:fldCharType="end"/>
            </w:r>
          </w:hyperlink>
        </w:p>
        <w:p w14:paraId="60592B2F" w14:textId="77777777" w:rsidR="00304851" w:rsidRDefault="00000000">
          <w:pPr>
            <w:pStyle w:val="TOC2"/>
            <w:tabs>
              <w:tab w:val="right" w:leader="dot" w:pos="8296"/>
            </w:tabs>
            <w:ind w:left="480"/>
            <w:rPr>
              <w:rFonts w:asciiTheme="minorHAnsi" w:hAnsiTheme="minorHAnsi"/>
              <w:noProof/>
              <w:sz w:val="22"/>
              <w:szCs w:val="22"/>
              <w:lang w:eastAsia="en-US"/>
            </w:rPr>
          </w:pPr>
          <w:hyperlink w:anchor="_Toc151000686" w:history="1">
            <w:r w:rsidR="00304851" w:rsidRPr="003E2E80">
              <w:rPr>
                <w:rStyle w:val="Hyperlink"/>
                <w:noProof/>
              </w:rPr>
              <w:t>Objectives</w:t>
            </w:r>
            <w:r w:rsidR="00304851">
              <w:rPr>
                <w:noProof/>
                <w:webHidden/>
              </w:rPr>
              <w:tab/>
            </w:r>
            <w:r w:rsidR="00304851">
              <w:rPr>
                <w:noProof/>
                <w:webHidden/>
              </w:rPr>
              <w:fldChar w:fldCharType="begin"/>
            </w:r>
            <w:r w:rsidR="00304851">
              <w:rPr>
                <w:noProof/>
                <w:webHidden/>
              </w:rPr>
              <w:instrText xml:space="preserve"> PAGEREF _Toc151000686 \h </w:instrText>
            </w:r>
            <w:r w:rsidR="00304851">
              <w:rPr>
                <w:noProof/>
                <w:webHidden/>
              </w:rPr>
            </w:r>
            <w:r w:rsidR="00304851">
              <w:rPr>
                <w:noProof/>
                <w:webHidden/>
              </w:rPr>
              <w:fldChar w:fldCharType="separate"/>
            </w:r>
            <w:r w:rsidR="00304851">
              <w:rPr>
                <w:noProof/>
                <w:webHidden/>
              </w:rPr>
              <w:t>2</w:t>
            </w:r>
            <w:r w:rsidR="00304851">
              <w:rPr>
                <w:noProof/>
                <w:webHidden/>
              </w:rPr>
              <w:fldChar w:fldCharType="end"/>
            </w:r>
          </w:hyperlink>
        </w:p>
        <w:p w14:paraId="57DA9A3E" w14:textId="77777777" w:rsidR="00304851" w:rsidRDefault="00000000">
          <w:pPr>
            <w:pStyle w:val="TOC1"/>
            <w:tabs>
              <w:tab w:val="right" w:leader="dot" w:pos="8296"/>
            </w:tabs>
            <w:rPr>
              <w:rFonts w:asciiTheme="minorHAnsi" w:hAnsiTheme="minorHAnsi"/>
              <w:noProof/>
              <w:sz w:val="22"/>
              <w:szCs w:val="22"/>
              <w:lang w:eastAsia="en-US"/>
            </w:rPr>
          </w:pPr>
          <w:hyperlink w:anchor="_Toc151000687" w:history="1">
            <w:r w:rsidR="00304851" w:rsidRPr="003E2E80">
              <w:rPr>
                <w:rStyle w:val="Hyperlink"/>
                <w:noProof/>
              </w:rPr>
              <w:t>Financial Ratios</w:t>
            </w:r>
            <w:r w:rsidR="00304851">
              <w:rPr>
                <w:noProof/>
                <w:webHidden/>
              </w:rPr>
              <w:tab/>
            </w:r>
            <w:r w:rsidR="00304851">
              <w:rPr>
                <w:noProof/>
                <w:webHidden/>
              </w:rPr>
              <w:fldChar w:fldCharType="begin"/>
            </w:r>
            <w:r w:rsidR="00304851">
              <w:rPr>
                <w:noProof/>
                <w:webHidden/>
              </w:rPr>
              <w:instrText xml:space="preserve"> PAGEREF _Toc151000687 \h </w:instrText>
            </w:r>
            <w:r w:rsidR="00304851">
              <w:rPr>
                <w:noProof/>
                <w:webHidden/>
              </w:rPr>
            </w:r>
            <w:r w:rsidR="00304851">
              <w:rPr>
                <w:noProof/>
                <w:webHidden/>
              </w:rPr>
              <w:fldChar w:fldCharType="separate"/>
            </w:r>
            <w:r w:rsidR="00304851">
              <w:rPr>
                <w:noProof/>
                <w:webHidden/>
              </w:rPr>
              <w:t>3</w:t>
            </w:r>
            <w:r w:rsidR="00304851">
              <w:rPr>
                <w:noProof/>
                <w:webHidden/>
              </w:rPr>
              <w:fldChar w:fldCharType="end"/>
            </w:r>
          </w:hyperlink>
        </w:p>
        <w:p w14:paraId="785C1323" w14:textId="77777777" w:rsidR="00304851" w:rsidRDefault="00000000">
          <w:pPr>
            <w:pStyle w:val="TOC1"/>
            <w:tabs>
              <w:tab w:val="right" w:leader="dot" w:pos="8296"/>
            </w:tabs>
            <w:rPr>
              <w:rFonts w:asciiTheme="minorHAnsi" w:hAnsiTheme="minorHAnsi"/>
              <w:noProof/>
              <w:sz w:val="22"/>
              <w:szCs w:val="22"/>
              <w:lang w:eastAsia="en-US"/>
            </w:rPr>
          </w:pPr>
          <w:hyperlink w:anchor="_Toc151000688" w:history="1">
            <w:r w:rsidR="00304851" w:rsidRPr="003E2E80">
              <w:rPr>
                <w:rStyle w:val="Hyperlink"/>
                <w:noProof/>
              </w:rPr>
              <w:t>SWOT Analysis</w:t>
            </w:r>
            <w:r w:rsidR="00304851">
              <w:rPr>
                <w:noProof/>
                <w:webHidden/>
              </w:rPr>
              <w:tab/>
            </w:r>
            <w:r w:rsidR="00304851">
              <w:rPr>
                <w:noProof/>
                <w:webHidden/>
              </w:rPr>
              <w:fldChar w:fldCharType="begin"/>
            </w:r>
            <w:r w:rsidR="00304851">
              <w:rPr>
                <w:noProof/>
                <w:webHidden/>
              </w:rPr>
              <w:instrText xml:space="preserve"> PAGEREF _Toc151000688 \h </w:instrText>
            </w:r>
            <w:r w:rsidR="00304851">
              <w:rPr>
                <w:noProof/>
                <w:webHidden/>
              </w:rPr>
            </w:r>
            <w:r w:rsidR="00304851">
              <w:rPr>
                <w:noProof/>
                <w:webHidden/>
              </w:rPr>
              <w:fldChar w:fldCharType="separate"/>
            </w:r>
            <w:r w:rsidR="00304851">
              <w:rPr>
                <w:noProof/>
                <w:webHidden/>
              </w:rPr>
              <w:t>5</w:t>
            </w:r>
            <w:r w:rsidR="00304851">
              <w:rPr>
                <w:noProof/>
                <w:webHidden/>
              </w:rPr>
              <w:fldChar w:fldCharType="end"/>
            </w:r>
          </w:hyperlink>
        </w:p>
        <w:p w14:paraId="7F572504" w14:textId="77777777" w:rsidR="00304851" w:rsidRDefault="00000000">
          <w:pPr>
            <w:pStyle w:val="TOC1"/>
            <w:tabs>
              <w:tab w:val="right" w:leader="dot" w:pos="8296"/>
            </w:tabs>
            <w:rPr>
              <w:rFonts w:asciiTheme="minorHAnsi" w:hAnsiTheme="minorHAnsi"/>
              <w:noProof/>
              <w:sz w:val="22"/>
              <w:szCs w:val="22"/>
              <w:lang w:eastAsia="en-US"/>
            </w:rPr>
          </w:pPr>
          <w:hyperlink w:anchor="_Toc151000689" w:history="1">
            <w:r w:rsidR="00304851" w:rsidRPr="003E2E80">
              <w:rPr>
                <w:rStyle w:val="Hyperlink"/>
                <w:noProof/>
              </w:rPr>
              <w:t>Market Analysis</w:t>
            </w:r>
            <w:r w:rsidR="00304851">
              <w:rPr>
                <w:noProof/>
                <w:webHidden/>
              </w:rPr>
              <w:tab/>
            </w:r>
            <w:r w:rsidR="00304851">
              <w:rPr>
                <w:noProof/>
                <w:webHidden/>
              </w:rPr>
              <w:fldChar w:fldCharType="begin"/>
            </w:r>
            <w:r w:rsidR="00304851">
              <w:rPr>
                <w:noProof/>
                <w:webHidden/>
              </w:rPr>
              <w:instrText xml:space="preserve"> PAGEREF _Toc151000689 \h </w:instrText>
            </w:r>
            <w:r w:rsidR="00304851">
              <w:rPr>
                <w:noProof/>
                <w:webHidden/>
              </w:rPr>
            </w:r>
            <w:r w:rsidR="00304851">
              <w:rPr>
                <w:noProof/>
                <w:webHidden/>
              </w:rPr>
              <w:fldChar w:fldCharType="separate"/>
            </w:r>
            <w:r w:rsidR="00304851">
              <w:rPr>
                <w:noProof/>
                <w:webHidden/>
              </w:rPr>
              <w:t>7</w:t>
            </w:r>
            <w:r w:rsidR="00304851">
              <w:rPr>
                <w:noProof/>
                <w:webHidden/>
              </w:rPr>
              <w:fldChar w:fldCharType="end"/>
            </w:r>
          </w:hyperlink>
        </w:p>
        <w:p w14:paraId="4D33FBAB" w14:textId="77777777" w:rsidR="00304851" w:rsidRDefault="00000000">
          <w:pPr>
            <w:pStyle w:val="TOC1"/>
            <w:tabs>
              <w:tab w:val="right" w:leader="dot" w:pos="8296"/>
            </w:tabs>
            <w:rPr>
              <w:rFonts w:asciiTheme="minorHAnsi" w:hAnsiTheme="minorHAnsi"/>
              <w:noProof/>
              <w:sz w:val="22"/>
              <w:szCs w:val="22"/>
              <w:lang w:eastAsia="en-US"/>
            </w:rPr>
          </w:pPr>
          <w:hyperlink w:anchor="_Toc151000690" w:history="1">
            <w:r w:rsidR="00304851" w:rsidRPr="003E2E80">
              <w:rPr>
                <w:rStyle w:val="Hyperlink"/>
                <w:noProof/>
              </w:rPr>
              <w:t>Turnaround Strategy</w:t>
            </w:r>
            <w:r w:rsidR="00304851">
              <w:rPr>
                <w:noProof/>
                <w:webHidden/>
              </w:rPr>
              <w:tab/>
            </w:r>
            <w:r w:rsidR="00304851">
              <w:rPr>
                <w:noProof/>
                <w:webHidden/>
              </w:rPr>
              <w:fldChar w:fldCharType="begin"/>
            </w:r>
            <w:r w:rsidR="00304851">
              <w:rPr>
                <w:noProof/>
                <w:webHidden/>
              </w:rPr>
              <w:instrText xml:space="preserve"> PAGEREF _Toc151000690 \h </w:instrText>
            </w:r>
            <w:r w:rsidR="00304851">
              <w:rPr>
                <w:noProof/>
                <w:webHidden/>
              </w:rPr>
            </w:r>
            <w:r w:rsidR="00304851">
              <w:rPr>
                <w:noProof/>
                <w:webHidden/>
              </w:rPr>
              <w:fldChar w:fldCharType="separate"/>
            </w:r>
            <w:r w:rsidR="00304851">
              <w:rPr>
                <w:noProof/>
                <w:webHidden/>
              </w:rPr>
              <w:t>8</w:t>
            </w:r>
            <w:r w:rsidR="00304851">
              <w:rPr>
                <w:noProof/>
                <w:webHidden/>
              </w:rPr>
              <w:fldChar w:fldCharType="end"/>
            </w:r>
          </w:hyperlink>
        </w:p>
        <w:p w14:paraId="5E4ABAA4" w14:textId="77777777" w:rsidR="00304851" w:rsidRDefault="00000000">
          <w:pPr>
            <w:pStyle w:val="TOC1"/>
            <w:tabs>
              <w:tab w:val="right" w:leader="dot" w:pos="8296"/>
            </w:tabs>
            <w:rPr>
              <w:rFonts w:asciiTheme="minorHAnsi" w:hAnsiTheme="minorHAnsi"/>
              <w:noProof/>
              <w:sz w:val="22"/>
              <w:szCs w:val="22"/>
              <w:lang w:eastAsia="en-US"/>
            </w:rPr>
          </w:pPr>
          <w:hyperlink w:anchor="_Toc151000691" w:history="1">
            <w:r w:rsidR="00304851" w:rsidRPr="003E2E80">
              <w:rPr>
                <w:rStyle w:val="Hyperlink"/>
                <w:noProof/>
              </w:rPr>
              <w:t>Financial Projections (2023-2026)</w:t>
            </w:r>
            <w:r w:rsidR="00304851">
              <w:rPr>
                <w:noProof/>
                <w:webHidden/>
              </w:rPr>
              <w:tab/>
            </w:r>
            <w:r w:rsidR="00304851">
              <w:rPr>
                <w:noProof/>
                <w:webHidden/>
              </w:rPr>
              <w:fldChar w:fldCharType="begin"/>
            </w:r>
            <w:r w:rsidR="00304851">
              <w:rPr>
                <w:noProof/>
                <w:webHidden/>
              </w:rPr>
              <w:instrText xml:space="preserve"> PAGEREF _Toc151000691 \h </w:instrText>
            </w:r>
            <w:r w:rsidR="00304851">
              <w:rPr>
                <w:noProof/>
                <w:webHidden/>
              </w:rPr>
            </w:r>
            <w:r w:rsidR="00304851">
              <w:rPr>
                <w:noProof/>
                <w:webHidden/>
              </w:rPr>
              <w:fldChar w:fldCharType="separate"/>
            </w:r>
            <w:r w:rsidR="00304851">
              <w:rPr>
                <w:noProof/>
                <w:webHidden/>
              </w:rPr>
              <w:t>9</w:t>
            </w:r>
            <w:r w:rsidR="00304851">
              <w:rPr>
                <w:noProof/>
                <w:webHidden/>
              </w:rPr>
              <w:fldChar w:fldCharType="end"/>
            </w:r>
          </w:hyperlink>
        </w:p>
        <w:p w14:paraId="73E71884" w14:textId="77777777" w:rsidR="00304851" w:rsidRDefault="00000000">
          <w:pPr>
            <w:pStyle w:val="TOC2"/>
            <w:tabs>
              <w:tab w:val="right" w:leader="dot" w:pos="8296"/>
            </w:tabs>
            <w:ind w:left="480"/>
            <w:rPr>
              <w:rFonts w:asciiTheme="minorHAnsi" w:hAnsiTheme="minorHAnsi"/>
              <w:noProof/>
              <w:sz w:val="22"/>
              <w:szCs w:val="22"/>
              <w:lang w:eastAsia="en-US"/>
            </w:rPr>
          </w:pPr>
          <w:hyperlink w:anchor="_Toc151000692" w:history="1">
            <w:r w:rsidR="00304851" w:rsidRPr="003E2E80">
              <w:rPr>
                <w:rStyle w:val="Hyperlink"/>
                <w:noProof/>
              </w:rPr>
              <w:t>Revenue Growth</w:t>
            </w:r>
            <w:r w:rsidR="00304851">
              <w:rPr>
                <w:noProof/>
                <w:webHidden/>
              </w:rPr>
              <w:tab/>
            </w:r>
            <w:r w:rsidR="00304851">
              <w:rPr>
                <w:noProof/>
                <w:webHidden/>
              </w:rPr>
              <w:fldChar w:fldCharType="begin"/>
            </w:r>
            <w:r w:rsidR="00304851">
              <w:rPr>
                <w:noProof/>
                <w:webHidden/>
              </w:rPr>
              <w:instrText xml:space="preserve"> PAGEREF _Toc151000692 \h </w:instrText>
            </w:r>
            <w:r w:rsidR="00304851">
              <w:rPr>
                <w:noProof/>
                <w:webHidden/>
              </w:rPr>
            </w:r>
            <w:r w:rsidR="00304851">
              <w:rPr>
                <w:noProof/>
                <w:webHidden/>
              </w:rPr>
              <w:fldChar w:fldCharType="separate"/>
            </w:r>
            <w:r w:rsidR="00304851">
              <w:rPr>
                <w:noProof/>
                <w:webHidden/>
              </w:rPr>
              <w:t>9</w:t>
            </w:r>
            <w:r w:rsidR="00304851">
              <w:rPr>
                <w:noProof/>
                <w:webHidden/>
              </w:rPr>
              <w:fldChar w:fldCharType="end"/>
            </w:r>
          </w:hyperlink>
        </w:p>
        <w:p w14:paraId="03A47239" w14:textId="77777777" w:rsidR="00304851" w:rsidRDefault="00000000">
          <w:pPr>
            <w:pStyle w:val="TOC2"/>
            <w:tabs>
              <w:tab w:val="right" w:leader="dot" w:pos="8296"/>
            </w:tabs>
            <w:ind w:left="480"/>
            <w:rPr>
              <w:rFonts w:asciiTheme="minorHAnsi" w:hAnsiTheme="minorHAnsi"/>
              <w:noProof/>
              <w:sz w:val="22"/>
              <w:szCs w:val="22"/>
              <w:lang w:eastAsia="en-US"/>
            </w:rPr>
          </w:pPr>
          <w:hyperlink w:anchor="_Toc151000693" w:history="1">
            <w:r w:rsidR="00304851" w:rsidRPr="003E2E80">
              <w:rPr>
                <w:rStyle w:val="Hyperlink"/>
                <w:noProof/>
              </w:rPr>
              <w:t>Net Profit Margin Target</w:t>
            </w:r>
            <w:r w:rsidR="00304851">
              <w:rPr>
                <w:noProof/>
                <w:webHidden/>
              </w:rPr>
              <w:tab/>
            </w:r>
            <w:r w:rsidR="00304851">
              <w:rPr>
                <w:noProof/>
                <w:webHidden/>
              </w:rPr>
              <w:fldChar w:fldCharType="begin"/>
            </w:r>
            <w:r w:rsidR="00304851">
              <w:rPr>
                <w:noProof/>
                <w:webHidden/>
              </w:rPr>
              <w:instrText xml:space="preserve"> PAGEREF _Toc151000693 \h </w:instrText>
            </w:r>
            <w:r w:rsidR="00304851">
              <w:rPr>
                <w:noProof/>
                <w:webHidden/>
              </w:rPr>
            </w:r>
            <w:r w:rsidR="00304851">
              <w:rPr>
                <w:noProof/>
                <w:webHidden/>
              </w:rPr>
              <w:fldChar w:fldCharType="separate"/>
            </w:r>
            <w:r w:rsidR="00304851">
              <w:rPr>
                <w:noProof/>
                <w:webHidden/>
              </w:rPr>
              <w:t>9</w:t>
            </w:r>
            <w:r w:rsidR="00304851">
              <w:rPr>
                <w:noProof/>
                <w:webHidden/>
              </w:rPr>
              <w:fldChar w:fldCharType="end"/>
            </w:r>
          </w:hyperlink>
        </w:p>
        <w:p w14:paraId="56BEA855" w14:textId="77777777" w:rsidR="00304851" w:rsidRDefault="00000000">
          <w:pPr>
            <w:pStyle w:val="TOC2"/>
            <w:tabs>
              <w:tab w:val="right" w:leader="dot" w:pos="8296"/>
            </w:tabs>
            <w:ind w:left="480"/>
            <w:rPr>
              <w:rFonts w:asciiTheme="minorHAnsi" w:hAnsiTheme="minorHAnsi"/>
              <w:noProof/>
              <w:sz w:val="22"/>
              <w:szCs w:val="22"/>
              <w:lang w:eastAsia="en-US"/>
            </w:rPr>
          </w:pPr>
          <w:hyperlink w:anchor="_Toc151000694" w:history="1">
            <w:r w:rsidR="00304851" w:rsidRPr="003E2E80">
              <w:rPr>
                <w:rStyle w:val="Hyperlink"/>
                <w:noProof/>
              </w:rPr>
              <w:t>Cashflow break even</w:t>
            </w:r>
            <w:r w:rsidR="00304851">
              <w:rPr>
                <w:noProof/>
                <w:webHidden/>
              </w:rPr>
              <w:tab/>
            </w:r>
            <w:r w:rsidR="00304851">
              <w:rPr>
                <w:noProof/>
                <w:webHidden/>
              </w:rPr>
              <w:fldChar w:fldCharType="begin"/>
            </w:r>
            <w:r w:rsidR="00304851">
              <w:rPr>
                <w:noProof/>
                <w:webHidden/>
              </w:rPr>
              <w:instrText xml:space="preserve"> PAGEREF _Toc151000694 \h </w:instrText>
            </w:r>
            <w:r w:rsidR="00304851">
              <w:rPr>
                <w:noProof/>
                <w:webHidden/>
              </w:rPr>
            </w:r>
            <w:r w:rsidR="00304851">
              <w:rPr>
                <w:noProof/>
                <w:webHidden/>
              </w:rPr>
              <w:fldChar w:fldCharType="separate"/>
            </w:r>
            <w:r w:rsidR="00304851">
              <w:rPr>
                <w:noProof/>
                <w:webHidden/>
              </w:rPr>
              <w:t>9</w:t>
            </w:r>
            <w:r w:rsidR="00304851">
              <w:rPr>
                <w:noProof/>
                <w:webHidden/>
              </w:rPr>
              <w:fldChar w:fldCharType="end"/>
            </w:r>
          </w:hyperlink>
        </w:p>
        <w:p w14:paraId="6B4CA47C" w14:textId="77777777" w:rsidR="00304851" w:rsidRDefault="00000000">
          <w:pPr>
            <w:pStyle w:val="TOC2"/>
            <w:tabs>
              <w:tab w:val="right" w:leader="dot" w:pos="8296"/>
            </w:tabs>
            <w:ind w:left="480"/>
            <w:rPr>
              <w:rFonts w:asciiTheme="minorHAnsi" w:hAnsiTheme="minorHAnsi"/>
              <w:noProof/>
              <w:sz w:val="22"/>
              <w:szCs w:val="22"/>
              <w:lang w:eastAsia="en-US"/>
            </w:rPr>
          </w:pPr>
          <w:hyperlink w:anchor="_Toc151000695" w:history="1">
            <w:r w:rsidR="00304851" w:rsidRPr="003E2E80">
              <w:rPr>
                <w:rStyle w:val="Hyperlink"/>
                <w:noProof/>
              </w:rPr>
              <w:t>Other Considerations</w:t>
            </w:r>
            <w:r w:rsidR="00304851">
              <w:rPr>
                <w:noProof/>
                <w:webHidden/>
              </w:rPr>
              <w:tab/>
            </w:r>
            <w:r w:rsidR="00304851">
              <w:rPr>
                <w:noProof/>
                <w:webHidden/>
              </w:rPr>
              <w:fldChar w:fldCharType="begin"/>
            </w:r>
            <w:r w:rsidR="00304851">
              <w:rPr>
                <w:noProof/>
                <w:webHidden/>
              </w:rPr>
              <w:instrText xml:space="preserve"> PAGEREF _Toc151000695 \h </w:instrText>
            </w:r>
            <w:r w:rsidR="00304851">
              <w:rPr>
                <w:noProof/>
                <w:webHidden/>
              </w:rPr>
            </w:r>
            <w:r w:rsidR="00304851">
              <w:rPr>
                <w:noProof/>
                <w:webHidden/>
              </w:rPr>
              <w:fldChar w:fldCharType="separate"/>
            </w:r>
            <w:r w:rsidR="00304851">
              <w:rPr>
                <w:noProof/>
                <w:webHidden/>
              </w:rPr>
              <w:t>10</w:t>
            </w:r>
            <w:r w:rsidR="00304851">
              <w:rPr>
                <w:noProof/>
                <w:webHidden/>
              </w:rPr>
              <w:fldChar w:fldCharType="end"/>
            </w:r>
          </w:hyperlink>
        </w:p>
        <w:p w14:paraId="764F208E" w14:textId="77777777" w:rsidR="00304851" w:rsidRDefault="00000000">
          <w:pPr>
            <w:pStyle w:val="TOC1"/>
            <w:tabs>
              <w:tab w:val="right" w:leader="dot" w:pos="8296"/>
            </w:tabs>
            <w:rPr>
              <w:rFonts w:asciiTheme="minorHAnsi" w:hAnsiTheme="minorHAnsi"/>
              <w:noProof/>
              <w:sz w:val="22"/>
              <w:szCs w:val="22"/>
              <w:lang w:eastAsia="en-US"/>
            </w:rPr>
          </w:pPr>
          <w:hyperlink w:anchor="_Toc151000696" w:history="1">
            <w:r w:rsidR="00304851" w:rsidRPr="003E2E80">
              <w:rPr>
                <w:rStyle w:val="Hyperlink"/>
                <w:noProof/>
              </w:rPr>
              <w:t>Risk Assessment</w:t>
            </w:r>
            <w:r w:rsidR="00304851">
              <w:rPr>
                <w:noProof/>
                <w:webHidden/>
              </w:rPr>
              <w:tab/>
            </w:r>
            <w:r w:rsidR="00304851">
              <w:rPr>
                <w:noProof/>
                <w:webHidden/>
              </w:rPr>
              <w:fldChar w:fldCharType="begin"/>
            </w:r>
            <w:r w:rsidR="00304851">
              <w:rPr>
                <w:noProof/>
                <w:webHidden/>
              </w:rPr>
              <w:instrText xml:space="preserve"> PAGEREF _Toc151000696 \h </w:instrText>
            </w:r>
            <w:r w:rsidR="00304851">
              <w:rPr>
                <w:noProof/>
                <w:webHidden/>
              </w:rPr>
            </w:r>
            <w:r w:rsidR="00304851">
              <w:rPr>
                <w:noProof/>
                <w:webHidden/>
              </w:rPr>
              <w:fldChar w:fldCharType="separate"/>
            </w:r>
            <w:r w:rsidR="00304851">
              <w:rPr>
                <w:noProof/>
                <w:webHidden/>
              </w:rPr>
              <w:t>11</w:t>
            </w:r>
            <w:r w:rsidR="00304851">
              <w:rPr>
                <w:noProof/>
                <w:webHidden/>
              </w:rPr>
              <w:fldChar w:fldCharType="end"/>
            </w:r>
          </w:hyperlink>
        </w:p>
        <w:p w14:paraId="54A0DCFF" w14:textId="77777777" w:rsidR="00304851" w:rsidRDefault="00000000">
          <w:pPr>
            <w:pStyle w:val="TOC1"/>
            <w:tabs>
              <w:tab w:val="right" w:leader="dot" w:pos="8296"/>
            </w:tabs>
            <w:rPr>
              <w:rFonts w:asciiTheme="minorHAnsi" w:hAnsiTheme="minorHAnsi"/>
              <w:noProof/>
              <w:sz w:val="22"/>
              <w:szCs w:val="22"/>
              <w:lang w:eastAsia="en-US"/>
            </w:rPr>
          </w:pPr>
          <w:hyperlink w:anchor="_Toc151000697" w:history="1">
            <w:r w:rsidR="00304851" w:rsidRPr="003E2E80">
              <w:rPr>
                <w:rStyle w:val="Hyperlink"/>
                <w:noProof/>
              </w:rPr>
              <w:t>Conclusion</w:t>
            </w:r>
            <w:r w:rsidR="00304851">
              <w:rPr>
                <w:noProof/>
                <w:webHidden/>
              </w:rPr>
              <w:tab/>
            </w:r>
            <w:r w:rsidR="00304851">
              <w:rPr>
                <w:noProof/>
                <w:webHidden/>
              </w:rPr>
              <w:fldChar w:fldCharType="begin"/>
            </w:r>
            <w:r w:rsidR="00304851">
              <w:rPr>
                <w:noProof/>
                <w:webHidden/>
              </w:rPr>
              <w:instrText xml:space="preserve"> PAGEREF _Toc151000697 \h </w:instrText>
            </w:r>
            <w:r w:rsidR="00304851">
              <w:rPr>
                <w:noProof/>
                <w:webHidden/>
              </w:rPr>
            </w:r>
            <w:r w:rsidR="00304851">
              <w:rPr>
                <w:noProof/>
                <w:webHidden/>
              </w:rPr>
              <w:fldChar w:fldCharType="separate"/>
            </w:r>
            <w:r w:rsidR="00304851">
              <w:rPr>
                <w:noProof/>
                <w:webHidden/>
              </w:rPr>
              <w:t>12</w:t>
            </w:r>
            <w:r w:rsidR="00304851">
              <w:rPr>
                <w:noProof/>
                <w:webHidden/>
              </w:rPr>
              <w:fldChar w:fldCharType="end"/>
            </w:r>
          </w:hyperlink>
        </w:p>
        <w:p w14:paraId="3A4B14C1" w14:textId="77777777" w:rsidR="00304851" w:rsidRDefault="00000000">
          <w:pPr>
            <w:pStyle w:val="TOC1"/>
            <w:tabs>
              <w:tab w:val="right" w:leader="dot" w:pos="8296"/>
            </w:tabs>
            <w:rPr>
              <w:rFonts w:asciiTheme="minorHAnsi" w:hAnsiTheme="minorHAnsi"/>
              <w:noProof/>
              <w:sz w:val="22"/>
              <w:szCs w:val="22"/>
              <w:lang w:eastAsia="en-US"/>
            </w:rPr>
          </w:pPr>
          <w:hyperlink w:anchor="_Toc151000698" w:history="1">
            <w:r w:rsidR="00304851" w:rsidRPr="003E2E80">
              <w:rPr>
                <w:rStyle w:val="Hyperlink"/>
                <w:noProof/>
              </w:rPr>
              <w:t>Recommendations</w:t>
            </w:r>
            <w:r w:rsidR="00304851">
              <w:rPr>
                <w:noProof/>
                <w:webHidden/>
              </w:rPr>
              <w:tab/>
            </w:r>
            <w:r w:rsidR="00304851">
              <w:rPr>
                <w:noProof/>
                <w:webHidden/>
              </w:rPr>
              <w:fldChar w:fldCharType="begin"/>
            </w:r>
            <w:r w:rsidR="00304851">
              <w:rPr>
                <w:noProof/>
                <w:webHidden/>
              </w:rPr>
              <w:instrText xml:space="preserve"> PAGEREF _Toc151000698 \h </w:instrText>
            </w:r>
            <w:r w:rsidR="00304851">
              <w:rPr>
                <w:noProof/>
                <w:webHidden/>
              </w:rPr>
            </w:r>
            <w:r w:rsidR="00304851">
              <w:rPr>
                <w:noProof/>
                <w:webHidden/>
              </w:rPr>
              <w:fldChar w:fldCharType="separate"/>
            </w:r>
            <w:r w:rsidR="00304851">
              <w:rPr>
                <w:noProof/>
                <w:webHidden/>
              </w:rPr>
              <w:t>13</w:t>
            </w:r>
            <w:r w:rsidR="00304851">
              <w:rPr>
                <w:noProof/>
                <w:webHidden/>
              </w:rPr>
              <w:fldChar w:fldCharType="end"/>
            </w:r>
          </w:hyperlink>
        </w:p>
        <w:p w14:paraId="6D67FC17" w14:textId="77777777" w:rsidR="00304851" w:rsidRDefault="00000000">
          <w:pPr>
            <w:pStyle w:val="TOC1"/>
            <w:tabs>
              <w:tab w:val="right" w:leader="dot" w:pos="8296"/>
            </w:tabs>
            <w:rPr>
              <w:rFonts w:asciiTheme="minorHAnsi" w:hAnsiTheme="minorHAnsi"/>
              <w:noProof/>
              <w:sz w:val="22"/>
              <w:szCs w:val="22"/>
              <w:lang w:eastAsia="en-US"/>
            </w:rPr>
          </w:pPr>
          <w:hyperlink w:anchor="_Toc151000699" w:history="1">
            <w:r w:rsidR="00304851" w:rsidRPr="003E2E80">
              <w:rPr>
                <w:rStyle w:val="Hyperlink"/>
                <w:noProof/>
              </w:rPr>
              <w:t>References</w:t>
            </w:r>
            <w:r w:rsidR="00304851">
              <w:rPr>
                <w:noProof/>
                <w:webHidden/>
              </w:rPr>
              <w:tab/>
            </w:r>
            <w:r w:rsidR="00304851">
              <w:rPr>
                <w:noProof/>
                <w:webHidden/>
              </w:rPr>
              <w:fldChar w:fldCharType="begin"/>
            </w:r>
            <w:r w:rsidR="00304851">
              <w:rPr>
                <w:noProof/>
                <w:webHidden/>
              </w:rPr>
              <w:instrText xml:space="preserve"> PAGEREF _Toc151000699 \h </w:instrText>
            </w:r>
            <w:r w:rsidR="00304851">
              <w:rPr>
                <w:noProof/>
                <w:webHidden/>
              </w:rPr>
            </w:r>
            <w:r w:rsidR="00304851">
              <w:rPr>
                <w:noProof/>
                <w:webHidden/>
              </w:rPr>
              <w:fldChar w:fldCharType="separate"/>
            </w:r>
            <w:r w:rsidR="00304851">
              <w:rPr>
                <w:noProof/>
                <w:webHidden/>
              </w:rPr>
              <w:t>14</w:t>
            </w:r>
            <w:r w:rsidR="00304851">
              <w:rPr>
                <w:noProof/>
                <w:webHidden/>
              </w:rPr>
              <w:fldChar w:fldCharType="end"/>
            </w:r>
          </w:hyperlink>
        </w:p>
        <w:p w14:paraId="493EDF3D" w14:textId="77777777" w:rsidR="00304851" w:rsidRDefault="00304851">
          <w:r>
            <w:rPr>
              <w:b/>
              <w:bCs/>
              <w:noProof/>
            </w:rPr>
            <w:fldChar w:fldCharType="end"/>
          </w:r>
        </w:p>
      </w:sdtContent>
    </w:sdt>
    <w:p w14:paraId="0C06FBC2" w14:textId="77777777" w:rsidR="00B573E9" w:rsidRDefault="00B573E9">
      <w:pPr>
        <w:pStyle w:val="Heading1"/>
        <w:sectPr w:rsidR="00B573E9">
          <w:footerReference w:type="default" r:id="rId10"/>
          <w:pgSz w:w="11906" w:h="16838"/>
          <w:pgMar w:top="1440" w:right="1800" w:bottom="1440" w:left="1800" w:header="720" w:footer="720" w:gutter="0"/>
          <w:pgNumType w:start="1"/>
          <w:cols w:space="720"/>
          <w:docGrid w:linePitch="360"/>
        </w:sectPr>
      </w:pPr>
    </w:p>
    <w:p w14:paraId="02F4F7BB" w14:textId="77777777" w:rsidR="00B573E9" w:rsidRDefault="00065069">
      <w:pPr>
        <w:pStyle w:val="Heading1"/>
      </w:pPr>
      <w:bookmarkStart w:id="0" w:name="_Toc31990"/>
      <w:bookmarkStart w:id="1" w:name="_Toc151000683"/>
      <w:r>
        <w:lastRenderedPageBreak/>
        <w:t>Introduction</w:t>
      </w:r>
      <w:bookmarkEnd w:id="0"/>
      <w:bookmarkEnd w:id="1"/>
      <w:r>
        <w:t xml:space="preserve"> </w:t>
      </w:r>
    </w:p>
    <w:p w14:paraId="0AD06188" w14:textId="77777777" w:rsidR="00B573E9" w:rsidRDefault="00065069">
      <w:pPr>
        <w:jc w:val="both"/>
        <w:rPr>
          <w:rFonts w:cs="Times New Roman"/>
        </w:rPr>
      </w:pPr>
      <w:r>
        <w:rPr>
          <w:rFonts w:cs="Times New Roman"/>
          <w:b/>
          <w:bCs/>
        </w:rPr>
        <w:t>Background</w:t>
      </w:r>
      <w:r w:rsidR="00D623B3">
        <w:rPr>
          <w:rFonts w:cs="Times New Roman"/>
          <w:b/>
          <w:bCs/>
        </w:rPr>
        <w:t xml:space="preserve"> of the</w:t>
      </w:r>
      <w:r>
        <w:rPr>
          <w:rFonts w:cs="Times New Roman"/>
          <w:b/>
          <w:bCs/>
        </w:rPr>
        <w:t xml:space="preserve"> Study: </w:t>
      </w:r>
      <w:r>
        <w:rPr>
          <w:rFonts w:cs="Times New Roman"/>
        </w:rPr>
        <w:t xml:space="preserve">Establishing connections between the outcomes of financial analysis and additional data predominantly included in a company's annual report is crucial for examining financial information and forecasting the company's future financial performance (Tsaioun, Blaauboer and Hartung., 2016). </w:t>
      </w:r>
    </w:p>
    <w:p w14:paraId="773A5268" w14:textId="77777777" w:rsidR="00B573E9" w:rsidRDefault="00065069">
      <w:pPr>
        <w:jc w:val="both"/>
        <w:rPr>
          <w:rFonts w:cs="Times New Roman"/>
        </w:rPr>
      </w:pPr>
      <w:r>
        <w:rPr>
          <w:rFonts w:cs="Times New Roman"/>
          <w:b/>
          <w:bCs/>
        </w:rPr>
        <w:t xml:space="preserve">Company overview: </w:t>
      </w:r>
      <w:r>
        <w:rPr>
          <w:rFonts w:cs="Times New Roman"/>
        </w:rPr>
        <w:t xml:space="preserve">The Seaview Resort included a total of 25 sleeping accommodations, along with a dining establishment, a lounge area, and a dedicated space for hosting various events. Recently, the resort has experienced a decline in revenue, occupancy rates, and client satisfaction in recent years. Mr. James Henderson, the proprietor, has expressed concerns about the business's future and this report has been prepared for him in order to investigate this situation and provide a solution. </w:t>
      </w:r>
    </w:p>
    <w:p w14:paraId="137852DD" w14:textId="77777777" w:rsidR="00B573E9" w:rsidRDefault="00B573E9">
      <w:pPr>
        <w:jc w:val="both"/>
        <w:rPr>
          <w:rFonts w:cs="Times New Roman"/>
        </w:rPr>
      </w:pPr>
    </w:p>
    <w:p w14:paraId="0A0FB2FE" w14:textId="77777777" w:rsidR="00B573E9" w:rsidRDefault="00B573E9">
      <w:pPr>
        <w:jc w:val="both"/>
        <w:rPr>
          <w:rFonts w:cs="Times New Roman"/>
        </w:rPr>
      </w:pPr>
    </w:p>
    <w:p w14:paraId="1752716C" w14:textId="77777777" w:rsidR="00B573E9" w:rsidRDefault="00B573E9">
      <w:pPr>
        <w:jc w:val="both"/>
        <w:rPr>
          <w:rFonts w:cs="Times New Roman"/>
        </w:rPr>
      </w:pPr>
    </w:p>
    <w:p w14:paraId="50D60A16" w14:textId="77777777" w:rsidR="00B573E9" w:rsidRDefault="00065069">
      <w:pPr>
        <w:jc w:val="both"/>
        <w:rPr>
          <w:rFonts w:cs="Times New Roman"/>
        </w:rPr>
      </w:pPr>
      <w:r>
        <w:rPr>
          <w:rFonts w:cs="Times New Roman"/>
        </w:rPr>
        <w:br w:type="page"/>
      </w:r>
    </w:p>
    <w:p w14:paraId="3E4DBD44" w14:textId="77777777" w:rsidR="00B573E9" w:rsidRDefault="00065069">
      <w:pPr>
        <w:pStyle w:val="Heading1"/>
      </w:pPr>
      <w:bookmarkStart w:id="2" w:name="_Toc28306"/>
      <w:bookmarkStart w:id="3" w:name="_Toc151000684"/>
      <w:r>
        <w:lastRenderedPageBreak/>
        <w:t>Scope and Objectives</w:t>
      </w:r>
      <w:bookmarkEnd w:id="2"/>
      <w:bookmarkEnd w:id="3"/>
      <w:r>
        <w:t xml:space="preserve"> </w:t>
      </w:r>
    </w:p>
    <w:p w14:paraId="4762BA49" w14:textId="77777777" w:rsidR="00B573E9" w:rsidRDefault="00065069">
      <w:pPr>
        <w:pStyle w:val="Heading2"/>
      </w:pPr>
      <w:bookmarkStart w:id="4" w:name="_Toc553"/>
      <w:bookmarkStart w:id="5" w:name="_Toc151000685"/>
      <w:r>
        <w:t>Scope</w:t>
      </w:r>
      <w:bookmarkEnd w:id="4"/>
      <w:bookmarkEnd w:id="5"/>
    </w:p>
    <w:p w14:paraId="31916188" w14:textId="77777777" w:rsidR="00B573E9" w:rsidRDefault="00065069">
      <w:pPr>
        <w:jc w:val="both"/>
        <w:rPr>
          <w:rFonts w:cs="Times New Roman"/>
        </w:rPr>
      </w:pPr>
      <w:r>
        <w:rPr>
          <w:rFonts w:cs="Times New Roman"/>
        </w:rPr>
        <w:t xml:space="preserve">Managers of The Seaview Resort may be expected to display more positive aspects of the financial performances and prioritize financial measures as their financial success increases (Tsai et al., 2013).  However, caution should be given when interpreting recent findings, since managers of The Seaview Resort are more aware of the importance of the tone and substance of their statements on stakeholder behavior. Financial analysis includes identifying and computing the necessary financial measures for the defined reporting term.   </w:t>
      </w:r>
    </w:p>
    <w:p w14:paraId="31575E2C" w14:textId="77777777" w:rsidR="00B573E9" w:rsidRDefault="00065069">
      <w:pPr>
        <w:jc w:val="both"/>
        <w:rPr>
          <w:rFonts w:cs="Times New Roman"/>
        </w:rPr>
      </w:pPr>
      <w:r>
        <w:rPr>
          <w:rFonts w:cs="Times New Roman"/>
        </w:rPr>
        <w:t xml:space="preserve">The full financial examination was carried out from the following angles: </w:t>
      </w:r>
    </w:p>
    <w:p w14:paraId="7FC4878F" w14:textId="77777777" w:rsidR="00B573E9" w:rsidRDefault="00065069">
      <w:pPr>
        <w:numPr>
          <w:ilvl w:val="0"/>
          <w:numId w:val="11"/>
        </w:numPr>
        <w:jc w:val="both"/>
        <w:rPr>
          <w:rFonts w:cs="Times New Roman"/>
        </w:rPr>
      </w:pPr>
      <w:r>
        <w:rPr>
          <w:rFonts w:cs="Times New Roman"/>
        </w:rPr>
        <w:t xml:space="preserve">Operational indicators, which include variables such as capital return, capital turnover, and revenue, are used to anticipate and strategy for future financial performance. </w:t>
      </w:r>
    </w:p>
    <w:p w14:paraId="31918764" w14:textId="05D883EC" w:rsidR="00B573E9" w:rsidRDefault="00065069">
      <w:pPr>
        <w:numPr>
          <w:ilvl w:val="0"/>
          <w:numId w:val="11"/>
        </w:numPr>
        <w:jc w:val="both"/>
        <w:rPr>
          <w:rFonts w:cs="Times New Roman"/>
        </w:rPr>
      </w:pPr>
      <w:r>
        <w:rPr>
          <w:rFonts w:cs="Times New Roman"/>
        </w:rPr>
        <w:t xml:space="preserve">Investment indicators </w:t>
      </w:r>
      <w:r w:rsidR="00A32B10">
        <w:rPr>
          <w:rFonts w:cs="Times New Roman"/>
        </w:rPr>
        <w:t>analyze</w:t>
      </w:r>
      <w:r>
        <w:rPr>
          <w:rFonts w:cs="Times New Roman"/>
        </w:rPr>
        <w:t xml:space="preserve"> the firm's appeal to potential investors of the company. </w:t>
      </w:r>
    </w:p>
    <w:p w14:paraId="3703C658" w14:textId="77777777" w:rsidR="00B573E9" w:rsidRDefault="00065069">
      <w:pPr>
        <w:jc w:val="both"/>
        <w:rPr>
          <w:rFonts w:cs="Times New Roman"/>
          <w:b/>
          <w:bCs/>
        </w:rPr>
      </w:pPr>
      <w:r>
        <w:rPr>
          <w:rFonts w:cs="Times New Roman"/>
        </w:rPr>
        <w:t xml:space="preserve">3. The ability of a corporation to meet its short-term (such as liquidity performance) and long-term (such as gearing performance) commitments is referred to as its financial structure and solvency. </w:t>
      </w:r>
    </w:p>
    <w:p w14:paraId="26DCEE98" w14:textId="77777777" w:rsidR="00B573E9" w:rsidRDefault="00065069">
      <w:pPr>
        <w:pStyle w:val="Heading2"/>
      </w:pPr>
      <w:bookmarkStart w:id="6" w:name="_Toc15247"/>
      <w:bookmarkStart w:id="7" w:name="_Toc151000686"/>
      <w:r>
        <w:t>Objectives</w:t>
      </w:r>
      <w:bookmarkEnd w:id="6"/>
      <w:bookmarkEnd w:id="7"/>
    </w:p>
    <w:p w14:paraId="04BA01C8" w14:textId="77777777" w:rsidR="00B573E9" w:rsidRDefault="00065069">
      <w:pPr>
        <w:numPr>
          <w:ilvl w:val="0"/>
          <w:numId w:val="12"/>
        </w:numPr>
        <w:jc w:val="both"/>
        <w:rPr>
          <w:rFonts w:cs="Times New Roman"/>
        </w:rPr>
      </w:pPr>
      <w:r>
        <w:rPr>
          <w:rFonts w:cs="Times New Roman"/>
        </w:rPr>
        <w:t xml:space="preserve">To conduct a comprehensive financial analysis of The Seaview Resort's performance over the previous three years. </w:t>
      </w:r>
    </w:p>
    <w:p w14:paraId="6EE310D9" w14:textId="77777777" w:rsidR="00B573E9" w:rsidRDefault="00065069">
      <w:pPr>
        <w:numPr>
          <w:ilvl w:val="0"/>
          <w:numId w:val="12"/>
        </w:numPr>
        <w:jc w:val="both"/>
        <w:rPr>
          <w:rFonts w:cs="Times New Roman"/>
        </w:rPr>
      </w:pPr>
      <w:r>
        <w:rPr>
          <w:rFonts w:cs="Times New Roman"/>
        </w:rPr>
        <w:t xml:space="preserve">To identify the primary factors contributing to the decline in profitability. </w:t>
      </w:r>
    </w:p>
    <w:p w14:paraId="180A41B5" w14:textId="77777777" w:rsidR="00B573E9" w:rsidRDefault="00FC6903">
      <w:pPr>
        <w:jc w:val="both"/>
        <w:rPr>
          <w:rFonts w:cs="Times New Roman"/>
        </w:rPr>
      </w:pPr>
      <w:r>
        <w:rPr>
          <w:rFonts w:cs="Times New Roman"/>
        </w:rPr>
        <w:t>3.</w:t>
      </w:r>
      <w:r w:rsidR="00065069">
        <w:rPr>
          <w:rFonts w:cs="Times New Roman"/>
        </w:rPr>
        <w:t xml:space="preserve">  To develop a potential strategy to reverse the resort's financial situation and restore its status as a premier vacation destination. </w:t>
      </w:r>
    </w:p>
    <w:p w14:paraId="5C876D62" w14:textId="77777777" w:rsidR="00B573E9" w:rsidRDefault="00B573E9">
      <w:pPr>
        <w:jc w:val="both"/>
        <w:rPr>
          <w:rFonts w:cs="Times New Roman"/>
        </w:rPr>
      </w:pPr>
    </w:p>
    <w:p w14:paraId="527C1E05" w14:textId="77777777" w:rsidR="00B573E9" w:rsidRDefault="00B573E9">
      <w:pPr>
        <w:jc w:val="both"/>
        <w:rPr>
          <w:rFonts w:cs="Times New Roman"/>
        </w:rPr>
      </w:pPr>
    </w:p>
    <w:p w14:paraId="7E988259" w14:textId="77777777" w:rsidR="00B573E9" w:rsidRDefault="00B573E9">
      <w:pPr>
        <w:jc w:val="both"/>
        <w:rPr>
          <w:rFonts w:cs="Times New Roman"/>
        </w:rPr>
      </w:pPr>
    </w:p>
    <w:p w14:paraId="3BCD9D0C" w14:textId="77777777" w:rsidR="00B573E9" w:rsidRDefault="00065069">
      <w:pPr>
        <w:jc w:val="both"/>
        <w:rPr>
          <w:rFonts w:cs="Times New Roman"/>
        </w:rPr>
      </w:pPr>
      <w:r>
        <w:rPr>
          <w:rFonts w:cs="Times New Roman"/>
        </w:rPr>
        <w:br w:type="page"/>
      </w:r>
    </w:p>
    <w:p w14:paraId="5A0EB3FE" w14:textId="77777777" w:rsidR="00B573E9" w:rsidRDefault="00065069">
      <w:pPr>
        <w:pStyle w:val="Heading1"/>
      </w:pPr>
      <w:bookmarkStart w:id="8" w:name="_Toc27279"/>
      <w:bookmarkStart w:id="9" w:name="_Toc151000687"/>
      <w:r>
        <w:lastRenderedPageBreak/>
        <w:t>Financial Ratios</w:t>
      </w:r>
      <w:bookmarkEnd w:id="8"/>
      <w:bookmarkEnd w:id="9"/>
      <w:r>
        <w:t xml:space="preserve"> </w:t>
      </w:r>
    </w:p>
    <w:p w14:paraId="011C00ED" w14:textId="77777777" w:rsidR="00B573E9" w:rsidRDefault="00065069">
      <w:pPr>
        <w:jc w:val="both"/>
        <w:rPr>
          <w:rFonts w:cs="Times New Roman"/>
        </w:rPr>
      </w:pPr>
      <w:r>
        <w:rPr>
          <w:rFonts w:cs="Times New Roman"/>
        </w:rPr>
        <w:t>Financial Ratios according to the given income statement and balance sheet of The Seaview Resort, for the year 2022 has been determined below:</w:t>
      </w:r>
    </w:p>
    <w:p w14:paraId="2A5C3BEC" w14:textId="77777777" w:rsidR="00B573E9" w:rsidRPr="00CB4952" w:rsidRDefault="00065069">
      <w:pPr>
        <w:jc w:val="both"/>
        <w:rPr>
          <w:b/>
        </w:rPr>
      </w:pPr>
      <w:r w:rsidRPr="00CB4952">
        <w:rPr>
          <w:b/>
        </w:rPr>
        <w:t>Current Ratio:</w:t>
      </w:r>
    </w:p>
    <w:p w14:paraId="2F738C93" w14:textId="77777777" w:rsidR="00B573E9" w:rsidRDefault="00065069">
      <w:pPr>
        <w:jc w:val="both"/>
      </w:pPr>
      <w:r>
        <w:t>Formula:</w:t>
      </w:r>
    </w:p>
    <w:p w14:paraId="7EE4BF73" w14:textId="77777777" w:rsidR="00B573E9" w:rsidRDefault="00065069">
      <w:pPr>
        <w:jc w:val="both"/>
      </w:pPr>
      <w:r>
        <w:t>2022 current ratio=250,000/180,000</w:t>
      </w:r>
    </w:p>
    <w:p w14:paraId="28919162" w14:textId="77777777" w:rsidR="00B573E9" w:rsidRDefault="00065069">
      <w:pPr>
        <w:jc w:val="both"/>
      </w:pPr>
      <w:r>
        <w:t>=1.39</w:t>
      </w:r>
    </w:p>
    <w:p w14:paraId="73831C5D" w14:textId="77777777" w:rsidR="00B573E9" w:rsidRPr="00CB4952" w:rsidRDefault="00065069">
      <w:pPr>
        <w:jc w:val="both"/>
        <w:rPr>
          <w:b/>
        </w:rPr>
      </w:pPr>
      <w:r w:rsidRPr="00CB4952">
        <w:rPr>
          <w:b/>
        </w:rPr>
        <w:t>Quick ratio:</w:t>
      </w:r>
    </w:p>
    <w:p w14:paraId="07E40BBB" w14:textId="77777777" w:rsidR="00B573E9" w:rsidRDefault="00065069">
      <w:pPr>
        <w:jc w:val="both"/>
      </w:pPr>
      <w:r>
        <w:t>Formula: (Current Assets - Inventory)/Current Liabilities</w:t>
      </w:r>
    </w:p>
    <w:p w14:paraId="52A2C6CB" w14:textId="77777777" w:rsidR="00B573E9" w:rsidRDefault="00065069">
      <w:pPr>
        <w:jc w:val="both"/>
      </w:pPr>
      <w:r>
        <w:t>2022 quick ratio= (250,000-100,000)/180,000</w:t>
      </w:r>
    </w:p>
    <w:p w14:paraId="49B14CFC" w14:textId="77777777" w:rsidR="00B573E9" w:rsidRDefault="00065069">
      <w:pPr>
        <w:jc w:val="both"/>
      </w:pPr>
      <w:r>
        <w:t>=0.833</w:t>
      </w:r>
    </w:p>
    <w:p w14:paraId="31E34753" w14:textId="77777777" w:rsidR="00B573E9" w:rsidRPr="00CB4952" w:rsidRDefault="00065069">
      <w:pPr>
        <w:jc w:val="both"/>
        <w:rPr>
          <w:b/>
        </w:rPr>
      </w:pPr>
      <w:r w:rsidRPr="00CB4952">
        <w:rPr>
          <w:b/>
        </w:rPr>
        <w:t>Debt to equity ratio</w:t>
      </w:r>
      <w:r w:rsidR="00CB4952" w:rsidRPr="00CB4952">
        <w:rPr>
          <w:b/>
        </w:rPr>
        <w:t>:</w:t>
      </w:r>
    </w:p>
    <w:p w14:paraId="77340494" w14:textId="77777777" w:rsidR="00B573E9" w:rsidRDefault="00065069">
      <w:pPr>
        <w:jc w:val="both"/>
      </w:pPr>
      <w:r>
        <w:t>Formula: Equity/Total Debt​</w:t>
      </w:r>
    </w:p>
    <w:p w14:paraId="21A0A245" w14:textId="77777777" w:rsidR="00B573E9" w:rsidRDefault="00065069">
      <w:pPr>
        <w:jc w:val="both"/>
      </w:pPr>
      <w:r>
        <w:t>2022 debt to equity ratio=</w:t>
      </w:r>
      <w:r w:rsidR="00CB4952">
        <w:t xml:space="preserve"> </w:t>
      </w:r>
      <w:r>
        <w:t>(180,000+400,000)/ 450,000</w:t>
      </w:r>
    </w:p>
    <w:p w14:paraId="2A7DF853" w14:textId="77777777" w:rsidR="00B573E9" w:rsidRDefault="00065069">
      <w:pPr>
        <w:jc w:val="both"/>
      </w:pPr>
      <w:r>
        <w:t>=1.33</w:t>
      </w:r>
    </w:p>
    <w:p w14:paraId="3DAC5807" w14:textId="77777777" w:rsidR="00B573E9" w:rsidRPr="00CB4952" w:rsidRDefault="00065069">
      <w:pPr>
        <w:jc w:val="both"/>
        <w:rPr>
          <w:b/>
        </w:rPr>
      </w:pPr>
      <w:r w:rsidRPr="00CB4952">
        <w:rPr>
          <w:b/>
        </w:rPr>
        <w:t xml:space="preserve">Return on </w:t>
      </w:r>
      <w:r w:rsidR="00CB4952" w:rsidRPr="00CB4952">
        <w:rPr>
          <w:b/>
        </w:rPr>
        <w:t>Assets</w:t>
      </w:r>
      <w:r w:rsidR="00F54994">
        <w:rPr>
          <w:b/>
        </w:rPr>
        <w:t>:</w:t>
      </w:r>
    </w:p>
    <w:p w14:paraId="17B9D026" w14:textId="77777777" w:rsidR="00B573E9" w:rsidRDefault="00065069">
      <w:pPr>
        <w:jc w:val="both"/>
      </w:pPr>
      <w:r>
        <w:t>Formula: Average Total Assets / Net Profit</w:t>
      </w:r>
    </w:p>
    <w:p w14:paraId="4E72FFD8" w14:textId="77777777" w:rsidR="00B573E9" w:rsidRDefault="00065069">
      <w:pPr>
        <w:jc w:val="both"/>
      </w:pPr>
      <w:r>
        <w:t>2022 ROA=</w:t>
      </w:r>
    </w:p>
    <w:p w14:paraId="2CCDEA98" w14:textId="77777777" w:rsidR="00B573E9" w:rsidRDefault="00065069">
      <w:pPr>
        <w:jc w:val="both"/>
      </w:pPr>
      <w:r>
        <w:t>Av</w:t>
      </w:r>
      <w:r w:rsidR="00CB4952">
        <w:t>erage Total Assets=Total Assets (2021) + Total Assets </w:t>
      </w:r>
      <w:r>
        <w:t>(2022)</w:t>
      </w:r>
    </w:p>
    <w:p w14:paraId="72AD9CFC" w14:textId="77777777" w:rsidR="00B573E9" w:rsidRDefault="00065069">
      <w:pPr>
        <w:jc w:val="both"/>
      </w:pPr>
      <w:r>
        <w:t>=21,030,000+1,030,000​</w:t>
      </w:r>
    </w:p>
    <w:p w14:paraId="096C729A" w14:textId="77777777" w:rsidR="00B573E9" w:rsidRDefault="00065069">
      <w:pPr>
        <w:jc w:val="both"/>
      </w:pPr>
      <w:r>
        <w:t>=1,030,000</w:t>
      </w:r>
    </w:p>
    <w:p w14:paraId="20752596" w14:textId="77777777" w:rsidR="00B573E9" w:rsidRDefault="00CB4952">
      <w:pPr>
        <w:jc w:val="both"/>
      </w:pPr>
      <w:r>
        <w:t>ROA= -</w:t>
      </w:r>
      <w:r w:rsidR="00065069">
        <w:t>47,500/1,030,000</w:t>
      </w:r>
    </w:p>
    <w:p w14:paraId="492FA257" w14:textId="77777777" w:rsidR="00B573E9" w:rsidRDefault="00065069">
      <w:pPr>
        <w:jc w:val="both"/>
      </w:pPr>
      <w:r>
        <w:t>=-4.61%</w:t>
      </w:r>
    </w:p>
    <w:p w14:paraId="4373BBF2" w14:textId="77777777" w:rsidR="00B573E9" w:rsidRPr="009F1A87" w:rsidRDefault="00065069">
      <w:pPr>
        <w:jc w:val="both"/>
        <w:rPr>
          <w:b/>
        </w:rPr>
      </w:pPr>
      <w:r w:rsidRPr="009F1A87">
        <w:rPr>
          <w:b/>
        </w:rPr>
        <w:t>ROE</w:t>
      </w:r>
      <w:r w:rsidR="00F54994">
        <w:rPr>
          <w:b/>
        </w:rPr>
        <w:t>:</w:t>
      </w:r>
    </w:p>
    <w:p w14:paraId="49FE12AC" w14:textId="77777777" w:rsidR="00B573E9" w:rsidRDefault="00065069">
      <w:pPr>
        <w:jc w:val="both"/>
      </w:pPr>
      <w:r>
        <w:t>Formula: ROE=Average Equity / Net Profit​</w:t>
      </w:r>
    </w:p>
    <w:p w14:paraId="331F2F92" w14:textId="77777777" w:rsidR="00B573E9" w:rsidRDefault="00065069">
      <w:pPr>
        <w:jc w:val="both"/>
      </w:pPr>
      <w:r>
        <w:t>2022 ROE=</w:t>
      </w:r>
    </w:p>
    <w:p w14:paraId="4E70BAC5" w14:textId="77777777" w:rsidR="00B573E9" w:rsidRDefault="00065069">
      <w:pPr>
        <w:jc w:val="both"/>
      </w:pPr>
      <w:r>
        <w:t xml:space="preserve">Average Equity=Equity of 2021 + Equity of 2022 </w:t>
      </w:r>
    </w:p>
    <w:p w14:paraId="55BA0363" w14:textId="77777777" w:rsidR="00B573E9" w:rsidRDefault="00065069">
      <w:pPr>
        <w:jc w:val="both"/>
      </w:pPr>
      <w:r>
        <w:t>=</w:t>
      </w:r>
      <w:r w:rsidR="00F33D7B">
        <w:t xml:space="preserve"> </w:t>
      </w:r>
      <w:r>
        <w:t>450,000+450,000</w:t>
      </w:r>
    </w:p>
    <w:p w14:paraId="5C20D56A" w14:textId="77777777" w:rsidR="00B573E9" w:rsidRDefault="00065069">
      <w:pPr>
        <w:jc w:val="both"/>
      </w:pPr>
      <w:r>
        <w:t>=</w:t>
      </w:r>
      <w:r w:rsidR="00F33D7B">
        <w:t xml:space="preserve"> 450,000.</w:t>
      </w:r>
    </w:p>
    <w:p w14:paraId="72A82549" w14:textId="77777777" w:rsidR="00B573E9" w:rsidRDefault="00065069">
      <w:pPr>
        <w:jc w:val="both"/>
      </w:pPr>
      <w:r>
        <w:t>ROE=-47,500 / 450,000</w:t>
      </w:r>
    </w:p>
    <w:p w14:paraId="37AB634C" w14:textId="77777777" w:rsidR="00B573E9" w:rsidRDefault="00065069">
      <w:pPr>
        <w:jc w:val="both"/>
      </w:pPr>
      <w:r>
        <w:t xml:space="preserve">=- 10.56% </w:t>
      </w:r>
    </w:p>
    <w:p w14:paraId="450D252A" w14:textId="77777777" w:rsidR="00B573E9" w:rsidRDefault="00065069">
      <w:pPr>
        <w:jc w:val="both"/>
        <w:rPr>
          <w:rFonts w:cs="Times New Roman"/>
        </w:rPr>
      </w:pPr>
      <w:r>
        <w:rPr>
          <w:rFonts w:cs="Times New Roman"/>
        </w:rPr>
        <w:lastRenderedPageBreak/>
        <w:t>Accord</w:t>
      </w:r>
      <w:r w:rsidR="00F33D7B">
        <w:rPr>
          <w:rFonts w:cs="Times New Roman"/>
        </w:rPr>
        <w:t>ing to the financial ratios, any of</w:t>
      </w:r>
      <w:r>
        <w:rPr>
          <w:rFonts w:cs="Times New Roman"/>
        </w:rPr>
        <w:t xml:space="preserve"> the profitability related ratio is underperforming because the Seaview resort has incurred net loss in 2022, other key indicators of performance is up to the benchmark.</w:t>
      </w:r>
    </w:p>
    <w:p w14:paraId="24578BD5" w14:textId="77777777" w:rsidR="00B573E9" w:rsidRDefault="00065069">
      <w:pPr>
        <w:jc w:val="both"/>
        <w:rPr>
          <w:rFonts w:cs="Times New Roman"/>
        </w:rPr>
      </w:pPr>
      <w:r>
        <w:rPr>
          <w:rFonts w:cs="Times New Roman"/>
        </w:rPr>
        <w:br w:type="page"/>
      </w:r>
    </w:p>
    <w:p w14:paraId="4D9C4079" w14:textId="77777777" w:rsidR="00B573E9" w:rsidRDefault="00065069">
      <w:pPr>
        <w:pStyle w:val="Heading1"/>
      </w:pPr>
      <w:bookmarkStart w:id="10" w:name="_Toc25834"/>
      <w:bookmarkStart w:id="11" w:name="_Toc151000688"/>
      <w:r>
        <w:lastRenderedPageBreak/>
        <w:t>SWOT Analysis</w:t>
      </w:r>
      <w:bookmarkEnd w:id="10"/>
      <w:bookmarkEnd w:id="11"/>
      <w:r>
        <w:t xml:space="preserve"> </w:t>
      </w:r>
    </w:p>
    <w:p w14:paraId="7E62307A" w14:textId="77777777" w:rsidR="00F54994" w:rsidRDefault="00F54994" w:rsidP="00F54994">
      <w:pPr>
        <w:jc w:val="both"/>
        <w:rPr>
          <w:b/>
        </w:rPr>
      </w:pPr>
      <w:r>
        <w:rPr>
          <w:b/>
        </w:rPr>
        <w:t>Strengths:</w:t>
      </w:r>
    </w:p>
    <w:p w14:paraId="17EAC650" w14:textId="77777777" w:rsidR="00B573E9" w:rsidRPr="00F54994" w:rsidRDefault="00065069" w:rsidP="00F54994">
      <w:pPr>
        <w:jc w:val="both"/>
        <w:rPr>
          <w:b/>
        </w:rPr>
      </w:pPr>
      <w:r w:rsidRPr="00F54994">
        <w:rPr>
          <w:b/>
        </w:rPr>
        <w:t>Niche Strategy</w:t>
      </w:r>
    </w:p>
    <w:p w14:paraId="24C6A6A2" w14:textId="77777777" w:rsidR="00B573E9" w:rsidRDefault="00065069" w:rsidP="00F54994">
      <w:pPr>
        <w:jc w:val="both"/>
      </w:pPr>
      <w:r>
        <w:t xml:space="preserve">Small businesses typically identify market niches that bigger organisations would find difficult or costly to fill (Taschner and Charifzadeh, 2016).   The Seaview resort stands apart in the tourism industry by offering exquisite rooms as well as chances for active leisure.   It delves into the complexities of the campground sector while keeping hotel industry standards.  Small businesses frequently take a core strategic approach that urges them to avoid conflict with major enterprises (Sunarni, 2013). Their main advantage is their consistent ability to compete by offering a unique product.   Small service providers usually find success by discovering unmet requirements and capitalising on their competitive edge. </w:t>
      </w:r>
    </w:p>
    <w:p w14:paraId="73F357D6" w14:textId="77777777" w:rsidR="00B573E9" w:rsidRPr="00F54994" w:rsidRDefault="00065069" w:rsidP="00F54994">
      <w:pPr>
        <w:jc w:val="both"/>
        <w:rPr>
          <w:b/>
        </w:rPr>
      </w:pPr>
      <w:r w:rsidRPr="00F54994">
        <w:rPr>
          <w:b/>
        </w:rPr>
        <w:t>High Quality</w:t>
      </w:r>
    </w:p>
    <w:p w14:paraId="597D956A" w14:textId="77777777" w:rsidR="00B573E9" w:rsidRDefault="00065069" w:rsidP="00F54994">
      <w:pPr>
        <w:jc w:val="both"/>
      </w:pPr>
      <w:r>
        <w:t xml:space="preserve">The Seaview Resort focuses providing great products and services with no doubt.   The </w:t>
      </w:r>
      <w:r w:rsidR="00F54994">
        <w:t>resort’s</w:t>
      </w:r>
      <w:r>
        <w:t xml:space="preserve"> structure and facilities are subjected to stringent examinations, and regular maintenance ensures that they perform properly. The resort is also surrounded by pure natural settings that have been scarcely impacted by human presence. This guarantees that travelers have a very relaxing trip. Furthermore, working on a smaller scale means less distractions, allowing for a greater emphasis on the quality of the service or product (Skaife, Veenman and Wangerin, 2013).</w:t>
      </w:r>
    </w:p>
    <w:p w14:paraId="41D9FA45" w14:textId="77777777" w:rsidR="00F54994" w:rsidRPr="00F54994" w:rsidRDefault="00F54994" w:rsidP="00F54994">
      <w:pPr>
        <w:jc w:val="both"/>
        <w:rPr>
          <w:b/>
        </w:rPr>
      </w:pPr>
      <w:r w:rsidRPr="00F54994">
        <w:rPr>
          <w:b/>
        </w:rPr>
        <w:t>Weaknesses</w:t>
      </w:r>
      <w:r>
        <w:rPr>
          <w:b/>
        </w:rPr>
        <w:t>:</w:t>
      </w:r>
    </w:p>
    <w:p w14:paraId="6262FF15" w14:textId="77777777" w:rsidR="00B573E9" w:rsidRPr="00F54994" w:rsidRDefault="00065069" w:rsidP="00F54994">
      <w:pPr>
        <w:jc w:val="both"/>
        <w:rPr>
          <w:b/>
        </w:rPr>
      </w:pPr>
      <w:r w:rsidRPr="00F54994">
        <w:rPr>
          <w:b/>
        </w:rPr>
        <w:t>Limitation of Management</w:t>
      </w:r>
    </w:p>
    <w:p w14:paraId="0AE0B68D" w14:textId="48F5463D" w:rsidR="00B573E9" w:rsidRDefault="00065069" w:rsidP="00F54994">
      <w:pPr>
        <w:jc w:val="both"/>
      </w:pPr>
      <w:r>
        <w:t xml:space="preserve">An entrepreneur in a group may manage personnel with the necessary attributes and abilities and have exclusive decision-making authority.   The management authority of The Seaview Resort frequently lack appropriate management skills because they believe they have been successful without </w:t>
      </w:r>
      <w:r w:rsidR="00A32B10">
        <w:t>emphasizing</w:t>
      </w:r>
      <w:r>
        <w:t xml:space="preserve"> them. As a result, people are extra careful while working with their services. Sherwood, M, (2015) used the phrase "entrepreneurial immaturity" or the "seat of the pants approach" to describe a managerial style (Schaltegger and Crutzen, 2016).  </w:t>
      </w:r>
    </w:p>
    <w:p w14:paraId="69C8049B" w14:textId="77777777" w:rsidR="00B573E9" w:rsidRPr="00110231" w:rsidRDefault="00065069" w:rsidP="00F54994">
      <w:pPr>
        <w:jc w:val="both"/>
        <w:rPr>
          <w:b/>
        </w:rPr>
      </w:pPr>
      <w:r w:rsidRPr="00110231">
        <w:rPr>
          <w:b/>
        </w:rPr>
        <w:t>Opportunities in The UK</w:t>
      </w:r>
      <w:r w:rsidR="00110231">
        <w:rPr>
          <w:b/>
        </w:rPr>
        <w:t>:</w:t>
      </w:r>
    </w:p>
    <w:p w14:paraId="39658FCB" w14:textId="77777777" w:rsidR="00B573E9" w:rsidRDefault="00065069" w:rsidP="00F54994">
      <w:pPr>
        <w:jc w:val="both"/>
      </w:pPr>
      <w:r>
        <w:t>Due to the stressful lifestyles of city dwellers in the UK, the most popular holiday activity is exploring natural areas, which provides them with some relaxation. The ba</w:t>
      </w:r>
      <w:r w:rsidR="00110231">
        <w:t xml:space="preserve">sic goal of The Seaview resort </w:t>
      </w:r>
      <w:r>
        <w:t xml:space="preserve">is to attract customers mostly from the same country. </w:t>
      </w:r>
    </w:p>
    <w:p w14:paraId="084A1E4A" w14:textId="77777777" w:rsidR="00110231" w:rsidRPr="00110231" w:rsidRDefault="00110231">
      <w:pPr>
        <w:jc w:val="both"/>
        <w:rPr>
          <w:b/>
        </w:rPr>
      </w:pPr>
      <w:r w:rsidRPr="00110231">
        <w:rPr>
          <w:b/>
        </w:rPr>
        <w:t>Threats:</w:t>
      </w:r>
    </w:p>
    <w:p w14:paraId="1E78B18F" w14:textId="77777777" w:rsidR="00B573E9" w:rsidRPr="00110231" w:rsidRDefault="00065069">
      <w:pPr>
        <w:jc w:val="both"/>
        <w:rPr>
          <w:b/>
        </w:rPr>
      </w:pPr>
      <w:r w:rsidRPr="00110231">
        <w:rPr>
          <w:b/>
        </w:rPr>
        <w:t>New Entrants</w:t>
      </w:r>
    </w:p>
    <w:p w14:paraId="17408907" w14:textId="77777777" w:rsidR="00B573E9" w:rsidRDefault="00065069">
      <w:pPr>
        <w:jc w:val="both"/>
      </w:pPr>
      <w:r>
        <w:lastRenderedPageBreak/>
        <w:t xml:space="preserve">The holiday rental business in the UK is large, with tens of thousands of public and private companies.   Businesses are fiercely fighting to attract guests and make profits, both locally and worldwide, as the popularity of nature-based vacation rentals grows.   Because of its advantageous geography and natural qualities, the tourism industry has seen significant growth in the entertainment and recreation industry. Many local company owners are well-versed in their unique areas, clientele, and ideal pricing techniques that benefit all parties involved (Saha and Ray, 2019). </w:t>
      </w:r>
    </w:p>
    <w:p w14:paraId="21D58F5C" w14:textId="77777777" w:rsidR="00B573E9" w:rsidRDefault="00B573E9">
      <w:pPr>
        <w:jc w:val="both"/>
      </w:pPr>
    </w:p>
    <w:p w14:paraId="18E990A5" w14:textId="77777777" w:rsidR="00B573E9" w:rsidRDefault="00B573E9">
      <w:pPr>
        <w:jc w:val="both"/>
        <w:rPr>
          <w:rFonts w:cs="Times New Roman"/>
        </w:rPr>
      </w:pPr>
    </w:p>
    <w:p w14:paraId="535EC3B6" w14:textId="77777777" w:rsidR="00B573E9" w:rsidRDefault="00B573E9">
      <w:pPr>
        <w:jc w:val="both"/>
        <w:rPr>
          <w:rFonts w:cs="Times New Roman"/>
        </w:rPr>
      </w:pPr>
    </w:p>
    <w:p w14:paraId="7586F8AD" w14:textId="77777777" w:rsidR="00B573E9" w:rsidRDefault="00B573E9">
      <w:pPr>
        <w:jc w:val="both"/>
        <w:rPr>
          <w:rFonts w:cs="Times New Roman"/>
        </w:rPr>
      </w:pPr>
    </w:p>
    <w:p w14:paraId="55FF03B3" w14:textId="77777777" w:rsidR="00B573E9" w:rsidRDefault="00B573E9">
      <w:pPr>
        <w:jc w:val="both"/>
        <w:rPr>
          <w:rFonts w:cs="Times New Roman"/>
        </w:rPr>
      </w:pPr>
    </w:p>
    <w:p w14:paraId="333DD7CC" w14:textId="77777777" w:rsidR="00B573E9" w:rsidRDefault="00B573E9">
      <w:pPr>
        <w:jc w:val="both"/>
        <w:rPr>
          <w:rFonts w:cs="Times New Roman"/>
        </w:rPr>
      </w:pPr>
    </w:p>
    <w:p w14:paraId="668C8AEB" w14:textId="77777777" w:rsidR="00B573E9" w:rsidRDefault="00B573E9">
      <w:pPr>
        <w:jc w:val="both"/>
        <w:rPr>
          <w:rFonts w:cs="Times New Roman"/>
        </w:rPr>
      </w:pPr>
    </w:p>
    <w:p w14:paraId="38BA4318" w14:textId="77777777" w:rsidR="00B573E9" w:rsidRDefault="00065069">
      <w:pPr>
        <w:jc w:val="both"/>
        <w:rPr>
          <w:rFonts w:cs="Times New Roman"/>
        </w:rPr>
      </w:pPr>
      <w:r>
        <w:rPr>
          <w:rFonts w:cs="Times New Roman"/>
        </w:rPr>
        <w:br w:type="page"/>
      </w:r>
    </w:p>
    <w:p w14:paraId="5CACD4DF" w14:textId="77777777" w:rsidR="00B573E9" w:rsidRDefault="00065069">
      <w:pPr>
        <w:pStyle w:val="Heading1"/>
      </w:pPr>
      <w:bookmarkStart w:id="12" w:name="_Toc21750"/>
      <w:bookmarkStart w:id="13" w:name="_Toc151000689"/>
      <w:r>
        <w:lastRenderedPageBreak/>
        <w:t>Market Analysis</w:t>
      </w:r>
      <w:bookmarkEnd w:id="12"/>
      <w:bookmarkEnd w:id="13"/>
    </w:p>
    <w:p w14:paraId="6D6F5117" w14:textId="77777777" w:rsidR="00B573E9" w:rsidRDefault="00065069">
      <w:pPr>
        <w:jc w:val="both"/>
        <w:rPr>
          <w:rFonts w:cs="Times New Roman"/>
        </w:rPr>
      </w:pPr>
      <w:r>
        <w:rPr>
          <w:rFonts w:cs="Times New Roman"/>
        </w:rPr>
        <w:t>The Core market issues of The Seaview Resort Are:</w:t>
      </w:r>
    </w:p>
    <w:p w14:paraId="6286D6A4" w14:textId="77777777" w:rsidR="00B573E9" w:rsidRDefault="00065069" w:rsidP="00110231">
      <w:pPr>
        <w:numPr>
          <w:ilvl w:val="0"/>
          <w:numId w:val="16"/>
        </w:numPr>
        <w:tabs>
          <w:tab w:val="left" w:pos="420"/>
        </w:tabs>
        <w:jc w:val="both"/>
        <w:rPr>
          <w:rFonts w:cs="Times New Roman"/>
        </w:rPr>
      </w:pPr>
      <w:r>
        <w:rPr>
          <w:rFonts w:cs="Times New Roman"/>
        </w:rPr>
        <w:t xml:space="preserve">The seaside resort’s sector is marked by fierce rivalry, since a multitude of modern resorts are located in close proximity.  </w:t>
      </w:r>
    </w:p>
    <w:p w14:paraId="69E53202" w14:textId="77777777" w:rsidR="00B573E9" w:rsidRDefault="00065069" w:rsidP="00110231">
      <w:pPr>
        <w:numPr>
          <w:ilvl w:val="0"/>
          <w:numId w:val="16"/>
        </w:numPr>
        <w:tabs>
          <w:tab w:val="left" w:pos="420"/>
        </w:tabs>
        <w:jc w:val="both"/>
        <w:rPr>
          <w:rFonts w:cs="Times New Roman"/>
        </w:rPr>
      </w:pPr>
      <w:r>
        <w:rPr>
          <w:rFonts w:cs="Times New Roman"/>
        </w:rPr>
        <w:t xml:space="preserve">Lately, there has been a noticeable change in client tastes, with a growing inclination towards experiential and ecologically friendly tourism.   </w:t>
      </w:r>
    </w:p>
    <w:p w14:paraId="18BC6E2A" w14:textId="77777777" w:rsidR="00B573E9" w:rsidRDefault="00065069" w:rsidP="00110231">
      <w:pPr>
        <w:numPr>
          <w:ilvl w:val="0"/>
          <w:numId w:val="16"/>
        </w:numPr>
        <w:tabs>
          <w:tab w:val="left" w:pos="420"/>
        </w:tabs>
        <w:jc w:val="both"/>
        <w:rPr>
          <w:rFonts w:cs="Times New Roman"/>
        </w:rPr>
      </w:pPr>
      <w:r>
        <w:rPr>
          <w:rFonts w:cs="Times New Roman"/>
        </w:rPr>
        <w:t xml:space="preserve">Customer assessments of The Seaview Resort reveal a deterioration in the standard of service and outdated facilities. </w:t>
      </w:r>
    </w:p>
    <w:p w14:paraId="0FDB0944" w14:textId="77777777" w:rsidR="00B573E9" w:rsidRDefault="00B573E9">
      <w:pPr>
        <w:jc w:val="both"/>
        <w:rPr>
          <w:rFonts w:cs="Times New Roman"/>
        </w:rPr>
      </w:pPr>
    </w:p>
    <w:p w14:paraId="60FF3E88" w14:textId="77777777" w:rsidR="00B573E9" w:rsidRDefault="00065069">
      <w:pPr>
        <w:jc w:val="both"/>
        <w:rPr>
          <w:rFonts w:cs="Times New Roman"/>
          <w:b/>
          <w:bCs/>
        </w:rPr>
      </w:pPr>
      <w:r>
        <w:rPr>
          <w:rFonts w:cs="Times New Roman"/>
          <w:b/>
          <w:bCs/>
        </w:rPr>
        <w:t xml:space="preserve">Analysis based on these issues: </w:t>
      </w:r>
    </w:p>
    <w:p w14:paraId="3B0ED687" w14:textId="77777777" w:rsidR="00B573E9" w:rsidRDefault="00065069">
      <w:pPr>
        <w:jc w:val="both"/>
        <w:rPr>
          <w:rFonts w:cs="Times New Roman"/>
        </w:rPr>
      </w:pPr>
      <w:r>
        <w:rPr>
          <w:rFonts w:cs="Times New Roman"/>
        </w:rPr>
        <w:t xml:space="preserve">Upon analysing the marketing mix, competitors, and SWOT analysis, it can be observed that The Seaview Resort shares similarities in terms of strengths and weaknesses with small to medium-sized enterprises (Rizza and Ruggeri, 2018).  Generating a singular concept for company marketing is challenging due to the distinct meanings associated with the terms "marketing" and "entrepreneurship."  According to Quesado et al., (2018), a more recent and relevant description is as follows: </w:t>
      </w:r>
    </w:p>
    <w:p w14:paraId="4348BAD5" w14:textId="77777777" w:rsidR="00B573E9" w:rsidRDefault="00065069">
      <w:pPr>
        <w:jc w:val="both"/>
        <w:rPr>
          <w:rFonts w:cs="Times New Roman"/>
        </w:rPr>
      </w:pPr>
      <w:r>
        <w:rPr>
          <w:rFonts w:cs="Times New Roman"/>
        </w:rPr>
        <w:t xml:space="preserve">1. Proactive recognition </w:t>
      </w:r>
    </w:p>
    <w:p w14:paraId="58344349" w14:textId="77777777" w:rsidR="00B573E9" w:rsidRDefault="00065069">
      <w:pPr>
        <w:jc w:val="both"/>
        <w:rPr>
          <w:rFonts w:cs="Times New Roman"/>
        </w:rPr>
      </w:pPr>
      <w:r>
        <w:rPr>
          <w:rFonts w:cs="Times New Roman"/>
        </w:rPr>
        <w:t xml:space="preserve">2. Utilisation of opportunities to acquire and retain profitable customers through the use of innovative strategies for minimising risks, </w:t>
      </w:r>
    </w:p>
    <w:p w14:paraId="6806336A" w14:textId="77777777" w:rsidR="00B573E9" w:rsidRDefault="00065069">
      <w:pPr>
        <w:numPr>
          <w:ilvl w:val="0"/>
          <w:numId w:val="12"/>
        </w:numPr>
        <w:jc w:val="both"/>
        <w:rPr>
          <w:rFonts w:cs="Times New Roman"/>
        </w:rPr>
      </w:pPr>
      <w:r>
        <w:rPr>
          <w:rFonts w:cs="Times New Roman"/>
        </w:rPr>
        <w:t>Optimising resources, and generating value.</w:t>
      </w:r>
    </w:p>
    <w:p w14:paraId="50EF58ED" w14:textId="77777777" w:rsidR="00B573E9" w:rsidRDefault="00065069">
      <w:pPr>
        <w:jc w:val="both"/>
        <w:rPr>
          <w:rFonts w:cs="Times New Roman"/>
        </w:rPr>
      </w:pPr>
      <w:r>
        <w:rPr>
          <w:rFonts w:cs="Times New Roman"/>
        </w:rPr>
        <w:t xml:space="preserve">The market analysis and suggestions in this study provide insights into the current performance of The Seaview Resort. Despite the marketing methods employed by the Seaview Resort, the success of the company relies heavily on its everyday operations and diverse clientele. </w:t>
      </w:r>
      <w:r>
        <w:rPr>
          <w:rFonts w:cs="Times New Roman"/>
        </w:rPr>
        <w:br w:type="page"/>
      </w:r>
    </w:p>
    <w:p w14:paraId="093359C3" w14:textId="77777777" w:rsidR="00B573E9" w:rsidRDefault="00065069">
      <w:pPr>
        <w:pStyle w:val="Heading1"/>
      </w:pPr>
      <w:bookmarkStart w:id="14" w:name="_Toc18409"/>
      <w:bookmarkStart w:id="15" w:name="_Toc151000690"/>
      <w:r>
        <w:lastRenderedPageBreak/>
        <w:t>Turnaround Strategy</w:t>
      </w:r>
      <w:bookmarkEnd w:id="14"/>
      <w:bookmarkEnd w:id="15"/>
    </w:p>
    <w:p w14:paraId="12074344" w14:textId="4F3EF3CE" w:rsidR="00B573E9" w:rsidRDefault="00065069">
      <w:pPr>
        <w:jc w:val="both"/>
        <w:rPr>
          <w:rFonts w:cs="Times New Roman"/>
        </w:rPr>
      </w:pPr>
      <w:r>
        <w:rPr>
          <w:rFonts w:cs="Times New Roman"/>
        </w:rPr>
        <w:t xml:space="preserve">A corporate turnaround is the strategic course of action undertaken to improve the financial status of an </w:t>
      </w:r>
      <w:r w:rsidR="00A32B10">
        <w:rPr>
          <w:rFonts w:cs="Times New Roman"/>
        </w:rPr>
        <w:t>organization</w:t>
      </w:r>
      <w:r>
        <w:rPr>
          <w:rFonts w:cs="Times New Roman"/>
        </w:rPr>
        <w:t xml:space="preserve"> that was in a perilous position and at risk of insolvency (Nawaz, 2013). Parmenter, (2015) defines a corporate crisis as a circumstance in which an organisation like The Seaview Resort incurs financial losses. In contrast, a turnaround transpires when the company generates adequate funds to avert additional losses. Here are 2 main Turnaround strategies, The Seaview </w:t>
      </w:r>
      <w:r w:rsidR="000D077F">
        <w:rPr>
          <w:rFonts w:cs="Times New Roman"/>
        </w:rPr>
        <w:t>Resort</w:t>
      </w:r>
      <w:r>
        <w:rPr>
          <w:rFonts w:cs="Times New Roman"/>
        </w:rPr>
        <w:t xml:space="preserve"> can follows</w:t>
      </w:r>
    </w:p>
    <w:p w14:paraId="3BAC4EBC" w14:textId="79120026" w:rsidR="00B573E9" w:rsidRDefault="00065069">
      <w:pPr>
        <w:jc w:val="both"/>
        <w:rPr>
          <w:rFonts w:cs="Times New Roman"/>
        </w:rPr>
      </w:pPr>
      <w:r>
        <w:rPr>
          <w:rFonts w:cs="Times New Roman"/>
          <w:b/>
          <w:bCs/>
        </w:rPr>
        <w:t>1. Human Resource Strategy:</w:t>
      </w:r>
      <w:r>
        <w:rPr>
          <w:rFonts w:cs="Times New Roman"/>
        </w:rPr>
        <w:t xml:space="preserve"> In situations where an organisation is confronted with the need to enhance its performance, it is imperative to </w:t>
      </w:r>
      <w:r w:rsidR="00A32B10">
        <w:rPr>
          <w:rFonts w:cs="Times New Roman"/>
        </w:rPr>
        <w:t>recognize</w:t>
      </w:r>
      <w:r>
        <w:rPr>
          <w:rFonts w:cs="Times New Roman"/>
        </w:rPr>
        <w:t xml:space="preserve"> that the introduction of new leadership possesses the capacity to instigate favorable transformations (Muda and Naibaho, 2018). It is widely accepted that a change in senior leadership is necessary for turnarounds to achieve success. </w:t>
      </w:r>
    </w:p>
    <w:p w14:paraId="5C5563A1" w14:textId="77777777" w:rsidR="00B573E9" w:rsidRDefault="00065069">
      <w:pPr>
        <w:jc w:val="both"/>
        <w:rPr>
          <w:rFonts w:cs="Times New Roman"/>
        </w:rPr>
      </w:pPr>
      <w:r>
        <w:rPr>
          <w:rFonts w:cs="Times New Roman"/>
          <w:b/>
          <w:bCs/>
        </w:rPr>
        <w:t xml:space="preserve">2. Financial Strategies: </w:t>
      </w:r>
      <w:r>
        <w:rPr>
          <w:rFonts w:cs="Times New Roman"/>
        </w:rPr>
        <w:t xml:space="preserve">Organisations that have substantial fixed costs are more vulnerable to market volatility as a result of their constrained capacity to adjust and effectively administer these outlays. So in this case, The Seaview Resort should consider the critical nature of expense reduction and financial operations restructuring. (Lordkipanidze, 2019). </w:t>
      </w:r>
      <w:r>
        <w:rPr>
          <w:rFonts w:cs="Times New Roman"/>
        </w:rPr>
        <w:br w:type="page"/>
      </w:r>
    </w:p>
    <w:p w14:paraId="52DBEF74" w14:textId="77777777" w:rsidR="00B573E9" w:rsidRDefault="00065069">
      <w:pPr>
        <w:pStyle w:val="Heading1"/>
      </w:pPr>
      <w:bookmarkStart w:id="16" w:name="_Toc17528"/>
      <w:bookmarkStart w:id="17" w:name="_Toc151000691"/>
      <w:r>
        <w:lastRenderedPageBreak/>
        <w:t>Financial Projections (2023-2026)</w:t>
      </w:r>
      <w:bookmarkEnd w:id="16"/>
      <w:bookmarkEnd w:id="17"/>
    </w:p>
    <w:p w14:paraId="5A7E186B" w14:textId="77777777" w:rsidR="00B573E9" w:rsidRDefault="00065069">
      <w:pPr>
        <w:pStyle w:val="Heading2"/>
      </w:pPr>
      <w:bookmarkStart w:id="18" w:name="_Toc12933"/>
      <w:bookmarkStart w:id="19" w:name="_Toc151000692"/>
      <w:r>
        <w:t>Revenue Growth</w:t>
      </w:r>
      <w:bookmarkEnd w:id="18"/>
      <w:bookmarkEnd w:id="19"/>
    </w:p>
    <w:p w14:paraId="327BB490" w14:textId="77777777" w:rsidR="00B573E9" w:rsidRDefault="00065069">
      <w:pPr>
        <w:jc w:val="both"/>
        <w:rPr>
          <w:rFonts w:cs="Times New Roman"/>
        </w:rPr>
      </w:pPr>
      <w:r>
        <w:rPr>
          <w:rFonts w:cs="Times New Roman"/>
        </w:rPr>
        <w:t>Step 1: Analysing the data of historical revenue (2020-2022) in order to identify trends and patterns</w:t>
      </w:r>
    </w:p>
    <w:p w14:paraId="4ECABD2C" w14:textId="77777777" w:rsidR="00B573E9" w:rsidRDefault="00065069">
      <w:pPr>
        <w:jc w:val="both"/>
        <w:rPr>
          <w:rFonts w:cs="Times New Roman"/>
        </w:rPr>
      </w:pPr>
      <w:r>
        <w:rPr>
          <w:rFonts w:cs="Times New Roman"/>
        </w:rPr>
        <w:t>Step 2: Calculating the compound annual growth rate</w:t>
      </w:r>
    </w:p>
    <w:p w14:paraId="52C8180D" w14:textId="77777777" w:rsidR="00B573E9" w:rsidRDefault="00065069">
      <w:pPr>
        <w:jc w:val="both"/>
        <w:rPr>
          <w:rFonts w:cs="Times New Roman"/>
        </w:rPr>
      </w:pPr>
      <w:r>
        <w:rPr>
          <w:rFonts w:cs="Times New Roman"/>
        </w:rPr>
        <w:t>Formula: (Ending Value/Beginning Value)</w:t>
      </w:r>
      <w:r w:rsidR="000D077F">
        <w:rPr>
          <w:rFonts w:cs="Times New Roman"/>
        </w:rPr>
        <w:t xml:space="preserve"> </w:t>
      </w:r>
      <w:r>
        <w:rPr>
          <w:rFonts w:cs="Times New Roman"/>
        </w:rPr>
        <w:t>^Number of Years − 1</w:t>
      </w:r>
    </w:p>
    <w:p w14:paraId="614F871C" w14:textId="77777777" w:rsidR="00B573E9" w:rsidRDefault="00065069">
      <w:pPr>
        <w:jc w:val="both"/>
        <w:rPr>
          <w:rFonts w:cs="Times New Roman"/>
        </w:rPr>
      </w:pPr>
      <w:r>
        <w:rPr>
          <w:rFonts w:cs="Times New Roman"/>
        </w:rPr>
        <w:t>CAGR=</w:t>
      </w:r>
      <w:r w:rsidR="000D077F">
        <w:rPr>
          <w:rFonts w:cs="Times New Roman"/>
        </w:rPr>
        <w:t xml:space="preserve"> </w:t>
      </w:r>
      <w:r>
        <w:rPr>
          <w:rFonts w:cs="Times New Roman"/>
        </w:rPr>
        <w:t>(Beginning Value/Ending Value)</w:t>
      </w:r>
      <w:r w:rsidR="003E688C">
        <w:rPr>
          <w:rFonts w:cs="Times New Roman"/>
        </w:rPr>
        <w:t xml:space="preserve"> </w:t>
      </w:r>
      <w:r>
        <w:rPr>
          <w:rFonts w:cs="Times New Roman"/>
        </w:rPr>
        <w:t>^Number of Years−1</w:t>
      </w:r>
    </w:p>
    <w:p w14:paraId="42FF1596" w14:textId="77777777" w:rsidR="00B573E9" w:rsidRDefault="00065069">
      <w:pPr>
        <w:jc w:val="both"/>
        <w:rPr>
          <w:rFonts w:cs="Times New Roman"/>
        </w:rPr>
      </w:pPr>
      <w:r>
        <w:rPr>
          <w:rFonts w:cs="Times New Roman"/>
        </w:rPr>
        <w:t>=-0.104</w:t>
      </w:r>
    </w:p>
    <w:p w14:paraId="4EEC0238" w14:textId="77777777" w:rsidR="00B573E9" w:rsidRDefault="00065069">
      <w:pPr>
        <w:jc w:val="both"/>
        <w:rPr>
          <w:rFonts w:cs="Times New Roman"/>
        </w:rPr>
      </w:pPr>
      <w:r>
        <w:rPr>
          <w:rFonts w:cs="Times New Roman"/>
        </w:rPr>
        <w:t>Step 3: Applying CAGR to the 2022 revenue in order to forecast revenue from 2023-2026</w:t>
      </w:r>
    </w:p>
    <w:tbl>
      <w:tblPr>
        <w:tblW w:w="8298" w:type="dxa"/>
        <w:tblInd w:w="93" w:type="dxa"/>
        <w:tblLook w:val="04A0" w:firstRow="1" w:lastRow="0" w:firstColumn="1" w:lastColumn="0" w:noHBand="0" w:noVBand="1"/>
      </w:tblPr>
      <w:tblGrid>
        <w:gridCol w:w="1056"/>
        <w:gridCol w:w="996"/>
        <w:gridCol w:w="1266"/>
        <w:gridCol w:w="996"/>
        <w:gridCol w:w="996"/>
        <w:gridCol w:w="996"/>
        <w:gridCol w:w="996"/>
        <w:gridCol w:w="996"/>
      </w:tblGrid>
      <w:tr w:rsidR="00B573E9" w14:paraId="6013F8F3" w14:textId="77777777">
        <w:trPr>
          <w:trHeight w:val="630"/>
        </w:trPr>
        <w:tc>
          <w:tcPr>
            <w:tcW w:w="1056" w:type="dxa"/>
            <w:tcBorders>
              <w:top w:val="single" w:sz="8" w:space="0" w:color="000000"/>
              <w:left w:val="single" w:sz="8" w:space="0" w:color="000000"/>
              <w:bottom w:val="single" w:sz="8" w:space="0" w:color="000000"/>
              <w:right w:val="single" w:sz="8" w:space="0" w:color="000000"/>
            </w:tcBorders>
            <w:shd w:val="clear" w:color="auto" w:fill="auto"/>
          </w:tcPr>
          <w:p w14:paraId="4F1DF94E" w14:textId="77777777" w:rsidR="00B573E9" w:rsidRDefault="00B573E9">
            <w:pPr>
              <w:jc w:val="both"/>
              <w:textAlignment w:val="top"/>
              <w:rPr>
                <w:rStyle w:val="font11"/>
                <w:rFonts w:eastAsia="SimSun"/>
                <w:color w:val="auto"/>
                <w:lang w:bidi="ar"/>
              </w:rPr>
            </w:pPr>
          </w:p>
        </w:tc>
        <w:tc>
          <w:tcPr>
            <w:tcW w:w="996" w:type="dxa"/>
            <w:tcBorders>
              <w:top w:val="single" w:sz="8" w:space="0" w:color="000000"/>
              <w:left w:val="single" w:sz="8" w:space="0" w:color="000000"/>
              <w:bottom w:val="single" w:sz="8" w:space="0" w:color="000000"/>
              <w:right w:val="single" w:sz="8" w:space="0" w:color="000000"/>
            </w:tcBorders>
            <w:shd w:val="clear" w:color="auto" w:fill="auto"/>
          </w:tcPr>
          <w:p w14:paraId="4BF212CE" w14:textId="77777777" w:rsidR="00B573E9" w:rsidRDefault="00065069">
            <w:pPr>
              <w:jc w:val="both"/>
              <w:textAlignment w:val="top"/>
              <w:rPr>
                <w:rFonts w:eastAsia="SimSun" w:cs="Times New Roman"/>
                <w:szCs w:val="24"/>
                <w:lang w:bidi="ar"/>
              </w:rPr>
            </w:pPr>
            <w:r>
              <w:rPr>
                <w:rFonts w:eastAsia="SimSun" w:cs="Times New Roman"/>
                <w:szCs w:val="24"/>
                <w:lang w:bidi="ar"/>
              </w:rPr>
              <w:t>2020</w:t>
            </w:r>
          </w:p>
        </w:tc>
        <w:tc>
          <w:tcPr>
            <w:tcW w:w="1266" w:type="dxa"/>
            <w:tcBorders>
              <w:top w:val="single" w:sz="8" w:space="0" w:color="000000"/>
              <w:left w:val="single" w:sz="8" w:space="0" w:color="000000"/>
              <w:bottom w:val="single" w:sz="8" w:space="0" w:color="000000"/>
              <w:right w:val="single" w:sz="8" w:space="0" w:color="000000"/>
            </w:tcBorders>
            <w:shd w:val="clear" w:color="auto" w:fill="auto"/>
          </w:tcPr>
          <w:p w14:paraId="20C85123" w14:textId="77777777" w:rsidR="00B573E9" w:rsidRDefault="00065069">
            <w:pPr>
              <w:jc w:val="both"/>
              <w:textAlignment w:val="top"/>
              <w:rPr>
                <w:rFonts w:eastAsia="SimSun" w:cs="Times New Roman"/>
                <w:szCs w:val="24"/>
                <w:lang w:bidi="ar"/>
              </w:rPr>
            </w:pPr>
            <w:r>
              <w:rPr>
                <w:rFonts w:eastAsia="SimSun" w:cs="Times New Roman"/>
                <w:szCs w:val="24"/>
                <w:lang w:bidi="ar"/>
              </w:rPr>
              <w:t>2021</w:t>
            </w:r>
          </w:p>
        </w:tc>
        <w:tc>
          <w:tcPr>
            <w:tcW w:w="996" w:type="dxa"/>
            <w:tcBorders>
              <w:top w:val="single" w:sz="8" w:space="0" w:color="000000"/>
              <w:left w:val="single" w:sz="8" w:space="0" w:color="000000"/>
              <w:bottom w:val="single" w:sz="8" w:space="0" w:color="000000"/>
              <w:right w:val="single" w:sz="8" w:space="0" w:color="000000"/>
            </w:tcBorders>
            <w:shd w:val="clear" w:color="auto" w:fill="auto"/>
          </w:tcPr>
          <w:p w14:paraId="3FDD7F8F" w14:textId="77777777" w:rsidR="00B573E9" w:rsidRDefault="00065069">
            <w:pPr>
              <w:jc w:val="both"/>
              <w:textAlignment w:val="top"/>
              <w:rPr>
                <w:rFonts w:eastAsia="SimSun" w:cs="Times New Roman"/>
                <w:szCs w:val="24"/>
                <w:lang w:bidi="ar"/>
              </w:rPr>
            </w:pPr>
            <w:r>
              <w:rPr>
                <w:rFonts w:eastAsia="SimSun" w:cs="Times New Roman"/>
                <w:szCs w:val="24"/>
                <w:lang w:bidi="ar"/>
              </w:rPr>
              <w:t>2022</w:t>
            </w:r>
          </w:p>
        </w:tc>
        <w:tc>
          <w:tcPr>
            <w:tcW w:w="996" w:type="dxa"/>
            <w:tcBorders>
              <w:top w:val="single" w:sz="8" w:space="0" w:color="000000"/>
              <w:left w:val="single" w:sz="8" w:space="0" w:color="000000"/>
              <w:bottom w:val="single" w:sz="8" w:space="0" w:color="000000"/>
              <w:right w:val="single" w:sz="8" w:space="0" w:color="000000"/>
            </w:tcBorders>
            <w:shd w:val="clear" w:color="auto" w:fill="auto"/>
          </w:tcPr>
          <w:p w14:paraId="2F73749B" w14:textId="77777777" w:rsidR="00B573E9" w:rsidRDefault="00065069">
            <w:pPr>
              <w:jc w:val="both"/>
              <w:textAlignment w:val="top"/>
              <w:rPr>
                <w:rFonts w:eastAsia="SimSun" w:cs="Times New Roman"/>
                <w:szCs w:val="24"/>
                <w:lang w:bidi="ar"/>
              </w:rPr>
            </w:pPr>
            <w:r>
              <w:rPr>
                <w:rFonts w:eastAsia="SimSun" w:cs="Times New Roman"/>
                <w:szCs w:val="24"/>
                <w:lang w:bidi="ar"/>
              </w:rPr>
              <w:t>2023</w:t>
            </w:r>
          </w:p>
        </w:tc>
        <w:tc>
          <w:tcPr>
            <w:tcW w:w="996" w:type="dxa"/>
            <w:tcBorders>
              <w:top w:val="single" w:sz="8" w:space="0" w:color="000000"/>
              <w:left w:val="single" w:sz="8" w:space="0" w:color="000000"/>
              <w:bottom w:val="single" w:sz="8" w:space="0" w:color="000000"/>
              <w:right w:val="single" w:sz="8" w:space="0" w:color="000000"/>
            </w:tcBorders>
            <w:shd w:val="clear" w:color="auto" w:fill="auto"/>
          </w:tcPr>
          <w:p w14:paraId="7B4D281C" w14:textId="77777777" w:rsidR="00B573E9" w:rsidRDefault="00065069">
            <w:pPr>
              <w:jc w:val="both"/>
              <w:textAlignment w:val="top"/>
              <w:rPr>
                <w:rFonts w:eastAsia="SimSun" w:cs="Times New Roman"/>
                <w:szCs w:val="24"/>
                <w:lang w:bidi="ar"/>
              </w:rPr>
            </w:pPr>
            <w:r>
              <w:rPr>
                <w:rFonts w:eastAsia="SimSun" w:cs="Times New Roman"/>
                <w:szCs w:val="24"/>
                <w:lang w:bidi="ar"/>
              </w:rPr>
              <w:t>2024</w:t>
            </w:r>
          </w:p>
        </w:tc>
        <w:tc>
          <w:tcPr>
            <w:tcW w:w="996" w:type="dxa"/>
            <w:tcBorders>
              <w:top w:val="single" w:sz="8" w:space="0" w:color="000000"/>
              <w:left w:val="single" w:sz="8" w:space="0" w:color="000000"/>
              <w:bottom w:val="single" w:sz="8" w:space="0" w:color="000000"/>
              <w:right w:val="single" w:sz="8" w:space="0" w:color="000000"/>
            </w:tcBorders>
            <w:shd w:val="clear" w:color="auto" w:fill="auto"/>
          </w:tcPr>
          <w:p w14:paraId="5A08B727" w14:textId="77777777" w:rsidR="00B573E9" w:rsidRDefault="00065069">
            <w:pPr>
              <w:jc w:val="both"/>
              <w:textAlignment w:val="top"/>
              <w:rPr>
                <w:rFonts w:eastAsia="SimSun" w:cs="Times New Roman"/>
                <w:szCs w:val="24"/>
                <w:lang w:bidi="ar"/>
              </w:rPr>
            </w:pPr>
            <w:r>
              <w:rPr>
                <w:rFonts w:eastAsia="SimSun" w:cs="Times New Roman"/>
                <w:szCs w:val="24"/>
                <w:lang w:bidi="ar"/>
              </w:rPr>
              <w:t>2025</w:t>
            </w:r>
          </w:p>
        </w:tc>
        <w:tc>
          <w:tcPr>
            <w:tcW w:w="996" w:type="dxa"/>
            <w:tcBorders>
              <w:top w:val="single" w:sz="8" w:space="0" w:color="000000"/>
              <w:left w:val="single" w:sz="8" w:space="0" w:color="000000"/>
              <w:bottom w:val="single" w:sz="8" w:space="0" w:color="000000"/>
              <w:right w:val="single" w:sz="8" w:space="0" w:color="000000"/>
            </w:tcBorders>
            <w:shd w:val="clear" w:color="auto" w:fill="auto"/>
          </w:tcPr>
          <w:p w14:paraId="1B672C1C" w14:textId="77777777" w:rsidR="00B573E9" w:rsidRDefault="00065069">
            <w:pPr>
              <w:jc w:val="both"/>
              <w:textAlignment w:val="top"/>
              <w:rPr>
                <w:rFonts w:eastAsia="SimSun" w:cs="Times New Roman"/>
                <w:szCs w:val="24"/>
                <w:lang w:bidi="ar"/>
              </w:rPr>
            </w:pPr>
            <w:r>
              <w:rPr>
                <w:rFonts w:eastAsia="SimSun" w:cs="Times New Roman"/>
                <w:szCs w:val="24"/>
                <w:lang w:bidi="ar"/>
              </w:rPr>
              <w:t>2026</w:t>
            </w:r>
          </w:p>
        </w:tc>
      </w:tr>
      <w:tr w:rsidR="00B573E9" w14:paraId="5A757ABB" w14:textId="77777777">
        <w:trPr>
          <w:trHeight w:val="630"/>
        </w:trPr>
        <w:tc>
          <w:tcPr>
            <w:tcW w:w="1056" w:type="dxa"/>
            <w:tcBorders>
              <w:top w:val="single" w:sz="8" w:space="0" w:color="000000"/>
              <w:left w:val="single" w:sz="8" w:space="0" w:color="000000"/>
              <w:bottom w:val="single" w:sz="8" w:space="0" w:color="000000"/>
              <w:right w:val="single" w:sz="8" w:space="0" w:color="000000"/>
            </w:tcBorders>
            <w:shd w:val="clear" w:color="auto" w:fill="auto"/>
          </w:tcPr>
          <w:p w14:paraId="794266C1" w14:textId="77777777" w:rsidR="00B573E9" w:rsidRDefault="00065069">
            <w:pPr>
              <w:jc w:val="both"/>
              <w:textAlignment w:val="top"/>
              <w:rPr>
                <w:rFonts w:cs="Times New Roman"/>
                <w:szCs w:val="24"/>
              </w:rPr>
            </w:pPr>
            <w:r>
              <w:rPr>
                <w:rStyle w:val="font11"/>
                <w:rFonts w:eastAsia="SimSun"/>
                <w:color w:val="auto"/>
                <w:lang w:bidi="ar"/>
              </w:rPr>
              <w:t>Total Revenue</w:t>
            </w:r>
          </w:p>
        </w:tc>
        <w:tc>
          <w:tcPr>
            <w:tcW w:w="996" w:type="dxa"/>
            <w:tcBorders>
              <w:top w:val="single" w:sz="8" w:space="0" w:color="000000"/>
              <w:left w:val="single" w:sz="8" w:space="0" w:color="000000"/>
              <w:bottom w:val="single" w:sz="8" w:space="0" w:color="000000"/>
              <w:right w:val="single" w:sz="8" w:space="0" w:color="000000"/>
            </w:tcBorders>
            <w:shd w:val="clear" w:color="auto" w:fill="auto"/>
          </w:tcPr>
          <w:p w14:paraId="036CEA36" w14:textId="77777777" w:rsidR="00B573E9" w:rsidRDefault="00065069">
            <w:pPr>
              <w:jc w:val="both"/>
              <w:textAlignment w:val="top"/>
              <w:rPr>
                <w:rFonts w:cs="Times New Roman"/>
                <w:szCs w:val="24"/>
              </w:rPr>
            </w:pPr>
            <w:r>
              <w:rPr>
                <w:rFonts w:eastAsia="SimSun" w:cs="Times New Roman"/>
                <w:szCs w:val="24"/>
                <w:lang w:bidi="ar"/>
              </w:rPr>
              <w:t>520,000</w:t>
            </w:r>
          </w:p>
        </w:tc>
        <w:tc>
          <w:tcPr>
            <w:tcW w:w="1266" w:type="dxa"/>
            <w:tcBorders>
              <w:top w:val="single" w:sz="8" w:space="0" w:color="000000"/>
              <w:left w:val="single" w:sz="8" w:space="0" w:color="000000"/>
              <w:bottom w:val="single" w:sz="8" w:space="0" w:color="000000"/>
              <w:right w:val="single" w:sz="8" w:space="0" w:color="000000"/>
            </w:tcBorders>
            <w:shd w:val="clear" w:color="auto" w:fill="auto"/>
          </w:tcPr>
          <w:p w14:paraId="0461C2E8" w14:textId="77777777" w:rsidR="00B573E9" w:rsidRDefault="00065069">
            <w:pPr>
              <w:jc w:val="both"/>
              <w:textAlignment w:val="top"/>
              <w:rPr>
                <w:rFonts w:cs="Times New Roman"/>
                <w:szCs w:val="24"/>
              </w:rPr>
            </w:pPr>
            <w:r>
              <w:rPr>
                <w:rFonts w:eastAsia="SimSun" w:cs="Times New Roman"/>
                <w:szCs w:val="24"/>
                <w:lang w:bidi="ar"/>
              </w:rPr>
              <w:t>480000</w:t>
            </w:r>
          </w:p>
        </w:tc>
        <w:tc>
          <w:tcPr>
            <w:tcW w:w="996" w:type="dxa"/>
            <w:tcBorders>
              <w:top w:val="single" w:sz="8" w:space="0" w:color="000000"/>
              <w:left w:val="single" w:sz="8" w:space="0" w:color="000000"/>
              <w:bottom w:val="single" w:sz="8" w:space="0" w:color="000000"/>
              <w:right w:val="single" w:sz="8" w:space="0" w:color="000000"/>
            </w:tcBorders>
            <w:shd w:val="clear" w:color="auto" w:fill="auto"/>
          </w:tcPr>
          <w:p w14:paraId="357EF4FB" w14:textId="77777777" w:rsidR="00B573E9" w:rsidRDefault="00065069">
            <w:pPr>
              <w:jc w:val="both"/>
              <w:textAlignment w:val="top"/>
              <w:rPr>
                <w:rFonts w:cs="Times New Roman"/>
                <w:szCs w:val="24"/>
              </w:rPr>
            </w:pPr>
            <w:r>
              <w:rPr>
                <w:rFonts w:eastAsia="SimSun" w:cs="Times New Roman"/>
                <w:szCs w:val="24"/>
                <w:lang w:bidi="ar"/>
              </w:rPr>
              <w:t>430,000</w:t>
            </w:r>
          </w:p>
        </w:tc>
        <w:tc>
          <w:tcPr>
            <w:tcW w:w="996" w:type="dxa"/>
            <w:tcBorders>
              <w:top w:val="single" w:sz="8" w:space="0" w:color="000000"/>
              <w:left w:val="single" w:sz="8" w:space="0" w:color="000000"/>
              <w:bottom w:val="single" w:sz="8" w:space="0" w:color="000000"/>
              <w:right w:val="single" w:sz="8" w:space="0" w:color="000000"/>
            </w:tcBorders>
            <w:shd w:val="clear" w:color="auto" w:fill="auto"/>
          </w:tcPr>
          <w:p w14:paraId="62890B96" w14:textId="77777777" w:rsidR="00B573E9" w:rsidRDefault="00065069">
            <w:pPr>
              <w:jc w:val="both"/>
              <w:textAlignment w:val="top"/>
              <w:rPr>
                <w:rFonts w:cs="Times New Roman"/>
                <w:szCs w:val="24"/>
              </w:rPr>
            </w:pPr>
            <w:r>
              <w:rPr>
                <w:rFonts w:eastAsia="SimSun" w:cs="Times New Roman"/>
                <w:szCs w:val="24"/>
                <w:lang w:bidi="ar"/>
              </w:rPr>
              <w:t>386,667</w:t>
            </w:r>
          </w:p>
        </w:tc>
        <w:tc>
          <w:tcPr>
            <w:tcW w:w="996" w:type="dxa"/>
            <w:tcBorders>
              <w:top w:val="single" w:sz="8" w:space="0" w:color="000000"/>
              <w:left w:val="single" w:sz="8" w:space="0" w:color="000000"/>
              <w:bottom w:val="single" w:sz="8" w:space="0" w:color="000000"/>
              <w:right w:val="single" w:sz="8" w:space="0" w:color="000000"/>
            </w:tcBorders>
            <w:shd w:val="clear" w:color="auto" w:fill="auto"/>
          </w:tcPr>
          <w:p w14:paraId="3E8E617E" w14:textId="77777777" w:rsidR="00B573E9" w:rsidRDefault="00065069">
            <w:pPr>
              <w:jc w:val="both"/>
              <w:textAlignment w:val="top"/>
              <w:rPr>
                <w:rFonts w:eastAsia="SimSun" w:cs="Times New Roman"/>
                <w:szCs w:val="24"/>
                <w:lang w:bidi="ar"/>
              </w:rPr>
            </w:pPr>
            <w:r>
              <w:rPr>
                <w:rFonts w:eastAsia="SimSun" w:cs="Times New Roman"/>
                <w:szCs w:val="24"/>
                <w:lang w:bidi="ar"/>
              </w:rPr>
              <w:t>400,000</w:t>
            </w:r>
          </w:p>
        </w:tc>
        <w:tc>
          <w:tcPr>
            <w:tcW w:w="996" w:type="dxa"/>
            <w:tcBorders>
              <w:top w:val="single" w:sz="8" w:space="0" w:color="000000"/>
              <w:left w:val="single" w:sz="8" w:space="0" w:color="000000"/>
              <w:bottom w:val="single" w:sz="8" w:space="0" w:color="000000"/>
              <w:right w:val="single" w:sz="8" w:space="0" w:color="000000"/>
            </w:tcBorders>
            <w:shd w:val="clear" w:color="auto" w:fill="auto"/>
          </w:tcPr>
          <w:p w14:paraId="773EFD1B" w14:textId="77777777" w:rsidR="00B573E9" w:rsidRDefault="00065069">
            <w:pPr>
              <w:jc w:val="both"/>
              <w:textAlignment w:val="top"/>
              <w:rPr>
                <w:rFonts w:eastAsia="SimSun" w:cs="Times New Roman"/>
                <w:szCs w:val="24"/>
                <w:lang w:bidi="ar"/>
              </w:rPr>
            </w:pPr>
            <w:r>
              <w:rPr>
                <w:rFonts w:eastAsia="SimSun" w:cs="Times New Roman"/>
                <w:szCs w:val="24"/>
                <w:lang w:bidi="ar"/>
              </w:rPr>
              <w:t>410,000</w:t>
            </w:r>
          </w:p>
        </w:tc>
        <w:tc>
          <w:tcPr>
            <w:tcW w:w="996" w:type="dxa"/>
            <w:tcBorders>
              <w:top w:val="single" w:sz="8" w:space="0" w:color="000000"/>
              <w:left w:val="single" w:sz="8" w:space="0" w:color="000000"/>
              <w:bottom w:val="single" w:sz="8" w:space="0" w:color="000000"/>
              <w:right w:val="single" w:sz="8" w:space="0" w:color="000000"/>
            </w:tcBorders>
            <w:shd w:val="clear" w:color="auto" w:fill="auto"/>
          </w:tcPr>
          <w:p w14:paraId="4680E8F3" w14:textId="77777777" w:rsidR="00B573E9" w:rsidRDefault="00065069">
            <w:pPr>
              <w:jc w:val="both"/>
              <w:textAlignment w:val="top"/>
              <w:rPr>
                <w:rFonts w:eastAsia="SimSun" w:cs="Times New Roman"/>
                <w:szCs w:val="24"/>
                <w:lang w:bidi="ar"/>
              </w:rPr>
            </w:pPr>
            <w:r>
              <w:rPr>
                <w:rFonts w:eastAsia="SimSun" w:cs="Times New Roman"/>
                <w:szCs w:val="24"/>
                <w:lang w:bidi="ar"/>
              </w:rPr>
              <w:t>460,000</w:t>
            </w:r>
          </w:p>
        </w:tc>
      </w:tr>
      <w:tr w:rsidR="00B573E9" w14:paraId="6F4E4107" w14:textId="77777777">
        <w:trPr>
          <w:trHeight w:val="300"/>
        </w:trPr>
        <w:tc>
          <w:tcPr>
            <w:tcW w:w="1056" w:type="dxa"/>
            <w:tcBorders>
              <w:top w:val="nil"/>
              <w:left w:val="nil"/>
              <w:bottom w:val="nil"/>
              <w:right w:val="nil"/>
            </w:tcBorders>
            <w:shd w:val="clear" w:color="auto" w:fill="auto"/>
            <w:noWrap/>
            <w:vAlign w:val="center"/>
          </w:tcPr>
          <w:p w14:paraId="67F24A92" w14:textId="77777777" w:rsidR="00B573E9" w:rsidRDefault="00B573E9">
            <w:pPr>
              <w:jc w:val="both"/>
              <w:rPr>
                <w:rFonts w:cs="Times New Roman"/>
                <w:sz w:val="22"/>
                <w:szCs w:val="22"/>
              </w:rPr>
            </w:pPr>
          </w:p>
        </w:tc>
        <w:tc>
          <w:tcPr>
            <w:tcW w:w="996" w:type="dxa"/>
            <w:tcBorders>
              <w:top w:val="nil"/>
              <w:left w:val="nil"/>
              <w:bottom w:val="nil"/>
              <w:right w:val="nil"/>
            </w:tcBorders>
            <w:shd w:val="clear" w:color="auto" w:fill="auto"/>
            <w:noWrap/>
            <w:vAlign w:val="center"/>
          </w:tcPr>
          <w:p w14:paraId="5523BFCB" w14:textId="77777777" w:rsidR="00B573E9" w:rsidRDefault="00B573E9">
            <w:pPr>
              <w:jc w:val="both"/>
              <w:rPr>
                <w:rFonts w:cs="Times New Roman"/>
                <w:sz w:val="22"/>
                <w:szCs w:val="22"/>
              </w:rPr>
            </w:pPr>
          </w:p>
        </w:tc>
        <w:tc>
          <w:tcPr>
            <w:tcW w:w="1266" w:type="dxa"/>
            <w:tcBorders>
              <w:top w:val="nil"/>
              <w:left w:val="nil"/>
              <w:bottom w:val="nil"/>
              <w:right w:val="nil"/>
            </w:tcBorders>
            <w:shd w:val="clear" w:color="auto" w:fill="auto"/>
            <w:noWrap/>
            <w:vAlign w:val="center"/>
          </w:tcPr>
          <w:p w14:paraId="5781B925" w14:textId="77777777" w:rsidR="00B573E9" w:rsidRDefault="00065069">
            <w:pPr>
              <w:jc w:val="both"/>
              <w:textAlignment w:val="center"/>
              <w:rPr>
                <w:rFonts w:cs="Times New Roman"/>
                <w:sz w:val="22"/>
                <w:szCs w:val="22"/>
              </w:rPr>
            </w:pPr>
            <w:r>
              <w:rPr>
                <w:rFonts w:eastAsia="SimSun" w:cs="Times New Roman"/>
                <w:sz w:val="22"/>
                <w:szCs w:val="22"/>
                <w:lang w:bidi="ar"/>
              </w:rPr>
              <w:t>-0.0769</w:t>
            </w:r>
          </w:p>
        </w:tc>
        <w:tc>
          <w:tcPr>
            <w:tcW w:w="996" w:type="dxa"/>
            <w:tcBorders>
              <w:top w:val="nil"/>
              <w:left w:val="nil"/>
              <w:bottom w:val="nil"/>
              <w:right w:val="nil"/>
            </w:tcBorders>
            <w:shd w:val="clear" w:color="auto" w:fill="auto"/>
            <w:noWrap/>
            <w:vAlign w:val="center"/>
          </w:tcPr>
          <w:p w14:paraId="26A89796" w14:textId="77777777" w:rsidR="00B573E9" w:rsidRDefault="00065069">
            <w:pPr>
              <w:jc w:val="both"/>
              <w:textAlignment w:val="center"/>
              <w:rPr>
                <w:rFonts w:cs="Times New Roman"/>
                <w:sz w:val="22"/>
                <w:szCs w:val="22"/>
              </w:rPr>
            </w:pPr>
            <w:r>
              <w:rPr>
                <w:rFonts w:eastAsia="SimSun" w:cs="Times New Roman"/>
                <w:sz w:val="22"/>
                <w:szCs w:val="22"/>
                <w:lang w:bidi="ar"/>
              </w:rPr>
              <w:t>-0.1042</w:t>
            </w:r>
          </w:p>
        </w:tc>
        <w:tc>
          <w:tcPr>
            <w:tcW w:w="996" w:type="dxa"/>
            <w:tcBorders>
              <w:top w:val="nil"/>
              <w:left w:val="nil"/>
              <w:bottom w:val="nil"/>
              <w:right w:val="nil"/>
            </w:tcBorders>
            <w:shd w:val="clear" w:color="auto" w:fill="auto"/>
            <w:noWrap/>
            <w:vAlign w:val="center"/>
          </w:tcPr>
          <w:p w14:paraId="2CCC127C" w14:textId="77777777" w:rsidR="00B573E9" w:rsidRDefault="00065069">
            <w:pPr>
              <w:jc w:val="both"/>
              <w:textAlignment w:val="center"/>
              <w:rPr>
                <w:rFonts w:cs="Times New Roman"/>
                <w:sz w:val="22"/>
                <w:szCs w:val="22"/>
              </w:rPr>
            </w:pPr>
            <w:r>
              <w:rPr>
                <w:rFonts w:eastAsia="SimSun" w:cs="Times New Roman"/>
                <w:sz w:val="22"/>
                <w:szCs w:val="22"/>
                <w:lang w:bidi="ar"/>
              </w:rPr>
              <w:t>-0.1042</w:t>
            </w:r>
          </w:p>
        </w:tc>
        <w:tc>
          <w:tcPr>
            <w:tcW w:w="996" w:type="dxa"/>
            <w:tcBorders>
              <w:top w:val="nil"/>
              <w:left w:val="nil"/>
              <w:bottom w:val="nil"/>
              <w:right w:val="nil"/>
            </w:tcBorders>
            <w:shd w:val="clear" w:color="auto" w:fill="auto"/>
            <w:noWrap/>
            <w:vAlign w:val="center"/>
          </w:tcPr>
          <w:p w14:paraId="2BEDF358" w14:textId="77777777" w:rsidR="00B573E9" w:rsidRDefault="00065069">
            <w:pPr>
              <w:jc w:val="both"/>
              <w:textAlignment w:val="center"/>
              <w:rPr>
                <w:rFonts w:eastAsia="SimSun" w:cs="Times New Roman"/>
                <w:sz w:val="22"/>
                <w:szCs w:val="22"/>
                <w:lang w:bidi="ar"/>
              </w:rPr>
            </w:pPr>
            <w:r>
              <w:rPr>
                <w:rFonts w:eastAsia="SimSun" w:cs="Times New Roman"/>
                <w:sz w:val="22"/>
                <w:szCs w:val="22"/>
                <w:lang w:bidi="ar"/>
              </w:rPr>
              <w:t>-0.1042</w:t>
            </w:r>
          </w:p>
        </w:tc>
        <w:tc>
          <w:tcPr>
            <w:tcW w:w="996" w:type="dxa"/>
            <w:tcBorders>
              <w:top w:val="nil"/>
              <w:left w:val="nil"/>
              <w:bottom w:val="nil"/>
              <w:right w:val="nil"/>
            </w:tcBorders>
            <w:shd w:val="clear" w:color="auto" w:fill="auto"/>
            <w:noWrap/>
            <w:vAlign w:val="center"/>
          </w:tcPr>
          <w:p w14:paraId="629D37B4" w14:textId="77777777" w:rsidR="00B573E9" w:rsidRDefault="00065069">
            <w:pPr>
              <w:jc w:val="both"/>
              <w:textAlignment w:val="center"/>
              <w:rPr>
                <w:rFonts w:eastAsia="SimSun" w:cs="Times New Roman"/>
                <w:sz w:val="22"/>
                <w:szCs w:val="22"/>
                <w:lang w:bidi="ar"/>
              </w:rPr>
            </w:pPr>
            <w:r>
              <w:rPr>
                <w:rFonts w:eastAsia="SimSun" w:cs="Times New Roman"/>
                <w:sz w:val="22"/>
                <w:szCs w:val="22"/>
                <w:lang w:bidi="ar"/>
              </w:rPr>
              <w:t>-0.1042</w:t>
            </w:r>
          </w:p>
        </w:tc>
        <w:tc>
          <w:tcPr>
            <w:tcW w:w="996" w:type="dxa"/>
            <w:tcBorders>
              <w:top w:val="nil"/>
              <w:left w:val="nil"/>
              <w:bottom w:val="nil"/>
              <w:right w:val="nil"/>
            </w:tcBorders>
            <w:shd w:val="clear" w:color="auto" w:fill="auto"/>
            <w:noWrap/>
            <w:vAlign w:val="center"/>
          </w:tcPr>
          <w:p w14:paraId="446EF232" w14:textId="77777777" w:rsidR="00B573E9" w:rsidRDefault="00065069">
            <w:pPr>
              <w:jc w:val="both"/>
              <w:textAlignment w:val="center"/>
              <w:rPr>
                <w:rFonts w:eastAsia="SimSun" w:cs="Times New Roman"/>
                <w:sz w:val="22"/>
                <w:szCs w:val="22"/>
                <w:lang w:bidi="ar"/>
              </w:rPr>
            </w:pPr>
            <w:r>
              <w:rPr>
                <w:rFonts w:eastAsia="SimSun" w:cs="Times New Roman"/>
                <w:sz w:val="22"/>
                <w:szCs w:val="22"/>
                <w:lang w:bidi="ar"/>
              </w:rPr>
              <w:t>-0.1042</w:t>
            </w:r>
          </w:p>
        </w:tc>
      </w:tr>
    </w:tbl>
    <w:p w14:paraId="282193B8" w14:textId="77777777" w:rsidR="00B573E9" w:rsidRDefault="002636C5">
      <w:pPr>
        <w:pStyle w:val="Heading2"/>
      </w:pPr>
      <w:bookmarkStart w:id="20" w:name="_Toc20839"/>
      <w:bookmarkStart w:id="21" w:name="_Toc151000693"/>
      <w:r>
        <w:t>Net Profit Margin T</w:t>
      </w:r>
      <w:r w:rsidR="00065069">
        <w:t>arget</w:t>
      </w:r>
      <w:bookmarkEnd w:id="20"/>
      <w:bookmarkEnd w:id="21"/>
    </w:p>
    <w:p w14:paraId="2B2CBC28" w14:textId="77777777" w:rsidR="00B573E9" w:rsidRDefault="00065069">
      <w:pPr>
        <w:jc w:val="both"/>
        <w:rPr>
          <w:rFonts w:cs="Times New Roman"/>
        </w:rPr>
      </w:pPr>
      <w:r>
        <w:rPr>
          <w:rFonts w:cs="Times New Roman"/>
        </w:rPr>
        <w:t>Step 1: Examining the historical net profit margin in order to understand the trend</w:t>
      </w:r>
    </w:p>
    <w:p w14:paraId="6E3B1ADA" w14:textId="77777777" w:rsidR="00B573E9" w:rsidRDefault="00065069">
      <w:pPr>
        <w:jc w:val="both"/>
        <w:rPr>
          <w:rFonts w:cs="Times New Roman"/>
        </w:rPr>
      </w:pPr>
      <w:r>
        <w:rPr>
          <w:rFonts w:cs="Times New Roman"/>
        </w:rPr>
        <w:t xml:space="preserve">Step 2: Identifying the driving factors of changing and affecting the net profit </w:t>
      </w:r>
      <w:r w:rsidR="002636C5">
        <w:rPr>
          <w:rFonts w:cs="Times New Roman"/>
        </w:rPr>
        <w:t>margin</w:t>
      </w:r>
      <w:r>
        <w:rPr>
          <w:rFonts w:cs="Times New Roman"/>
        </w:rPr>
        <w:t xml:space="preserve"> over years</w:t>
      </w:r>
    </w:p>
    <w:p w14:paraId="6C82129B" w14:textId="77777777" w:rsidR="00B573E9" w:rsidRDefault="00065069">
      <w:pPr>
        <w:jc w:val="both"/>
        <w:rPr>
          <w:rFonts w:cs="Times New Roman"/>
        </w:rPr>
      </w:pPr>
      <w:r>
        <w:rPr>
          <w:rFonts w:cs="Times New Roman"/>
        </w:rPr>
        <w:t>Step 3: Setting a realistic target for the net profit margin according to the benchmarks and company’s ability (Kneale et al., 2016)</w:t>
      </w:r>
    </w:p>
    <w:p w14:paraId="5510B66C" w14:textId="77777777" w:rsidR="00B573E9" w:rsidRDefault="00065069">
      <w:pPr>
        <w:jc w:val="both"/>
        <w:rPr>
          <w:rFonts w:cs="Times New Roman"/>
        </w:rPr>
      </w:pPr>
      <w:r>
        <w:rPr>
          <w:rFonts w:cs="Times New Roman"/>
        </w:rPr>
        <w:t>Step 4: Applying the target net profit margin for forecasting revenue and net profit for each year.</w:t>
      </w:r>
    </w:p>
    <w:tbl>
      <w:tblPr>
        <w:tblW w:w="8425" w:type="dxa"/>
        <w:tblInd w:w="93" w:type="dxa"/>
        <w:tblLook w:val="04A0" w:firstRow="1" w:lastRow="0" w:firstColumn="1" w:lastColumn="0" w:noHBand="0" w:noVBand="1"/>
      </w:tblPr>
      <w:tblGrid>
        <w:gridCol w:w="1717"/>
        <w:gridCol w:w="1325"/>
        <w:gridCol w:w="895"/>
        <w:gridCol w:w="1005"/>
        <w:gridCol w:w="895"/>
        <w:gridCol w:w="895"/>
        <w:gridCol w:w="895"/>
        <w:gridCol w:w="895"/>
      </w:tblGrid>
      <w:tr w:rsidR="00B573E9" w14:paraId="63F9645F" w14:textId="77777777">
        <w:trPr>
          <w:trHeight w:val="300"/>
        </w:trPr>
        <w:tc>
          <w:tcPr>
            <w:tcW w:w="1717" w:type="dxa"/>
            <w:tcBorders>
              <w:top w:val="nil"/>
              <w:left w:val="nil"/>
              <w:bottom w:val="nil"/>
              <w:right w:val="nil"/>
            </w:tcBorders>
            <w:shd w:val="clear" w:color="auto" w:fill="auto"/>
            <w:noWrap/>
            <w:vAlign w:val="center"/>
          </w:tcPr>
          <w:p w14:paraId="7D333FA5" w14:textId="77777777" w:rsidR="00B573E9" w:rsidRDefault="00B573E9">
            <w:pPr>
              <w:jc w:val="both"/>
              <w:textAlignment w:val="center"/>
              <w:rPr>
                <w:rFonts w:eastAsia="SimSun" w:cs="Times New Roman"/>
                <w:sz w:val="22"/>
                <w:szCs w:val="22"/>
                <w:lang w:bidi="ar"/>
              </w:rPr>
            </w:pPr>
          </w:p>
        </w:tc>
        <w:tc>
          <w:tcPr>
            <w:tcW w:w="1325" w:type="dxa"/>
            <w:tcBorders>
              <w:top w:val="nil"/>
              <w:left w:val="nil"/>
              <w:bottom w:val="nil"/>
              <w:right w:val="nil"/>
            </w:tcBorders>
            <w:shd w:val="clear" w:color="auto" w:fill="auto"/>
            <w:noWrap/>
            <w:vAlign w:val="center"/>
          </w:tcPr>
          <w:p w14:paraId="321DAB28" w14:textId="77777777" w:rsidR="00B573E9" w:rsidRDefault="00B573E9">
            <w:pPr>
              <w:jc w:val="both"/>
              <w:textAlignment w:val="center"/>
              <w:rPr>
                <w:rFonts w:eastAsia="SimSun" w:cs="Times New Roman"/>
                <w:sz w:val="22"/>
                <w:szCs w:val="22"/>
                <w:lang w:bidi="ar"/>
              </w:rPr>
            </w:pPr>
          </w:p>
        </w:tc>
        <w:tc>
          <w:tcPr>
            <w:tcW w:w="865" w:type="dxa"/>
            <w:tcBorders>
              <w:top w:val="nil"/>
              <w:left w:val="nil"/>
              <w:bottom w:val="nil"/>
              <w:right w:val="nil"/>
            </w:tcBorders>
            <w:shd w:val="clear" w:color="auto" w:fill="auto"/>
            <w:noWrap/>
            <w:vAlign w:val="center"/>
          </w:tcPr>
          <w:p w14:paraId="373BEE14" w14:textId="77777777" w:rsidR="00B573E9" w:rsidRDefault="00B573E9">
            <w:pPr>
              <w:jc w:val="both"/>
              <w:textAlignment w:val="center"/>
              <w:rPr>
                <w:rFonts w:eastAsia="SimSun" w:cs="Times New Roman"/>
                <w:sz w:val="22"/>
                <w:szCs w:val="22"/>
                <w:lang w:bidi="ar"/>
              </w:rPr>
            </w:pPr>
          </w:p>
        </w:tc>
        <w:tc>
          <w:tcPr>
            <w:tcW w:w="950" w:type="dxa"/>
            <w:tcBorders>
              <w:top w:val="nil"/>
              <w:left w:val="nil"/>
              <w:bottom w:val="nil"/>
              <w:right w:val="nil"/>
            </w:tcBorders>
            <w:shd w:val="clear" w:color="auto" w:fill="auto"/>
            <w:noWrap/>
            <w:vAlign w:val="center"/>
          </w:tcPr>
          <w:p w14:paraId="11295939" w14:textId="77777777" w:rsidR="00B573E9" w:rsidRDefault="00B573E9">
            <w:pPr>
              <w:jc w:val="both"/>
              <w:textAlignment w:val="center"/>
              <w:rPr>
                <w:rFonts w:eastAsia="SimSun" w:cs="Times New Roman"/>
                <w:sz w:val="22"/>
                <w:szCs w:val="22"/>
                <w:lang w:bidi="ar"/>
              </w:rPr>
            </w:pPr>
          </w:p>
        </w:tc>
        <w:tc>
          <w:tcPr>
            <w:tcW w:w="892" w:type="dxa"/>
            <w:tcBorders>
              <w:top w:val="nil"/>
              <w:left w:val="nil"/>
              <w:bottom w:val="nil"/>
              <w:right w:val="nil"/>
            </w:tcBorders>
            <w:shd w:val="clear" w:color="auto" w:fill="auto"/>
            <w:noWrap/>
            <w:vAlign w:val="center"/>
          </w:tcPr>
          <w:p w14:paraId="7A509F05" w14:textId="77777777" w:rsidR="00B573E9" w:rsidRDefault="00065069">
            <w:pPr>
              <w:jc w:val="both"/>
              <w:textAlignment w:val="center"/>
              <w:rPr>
                <w:rFonts w:eastAsia="SimSun" w:cs="Times New Roman"/>
                <w:sz w:val="22"/>
                <w:szCs w:val="22"/>
                <w:lang w:bidi="ar"/>
              </w:rPr>
            </w:pPr>
            <w:r>
              <w:rPr>
                <w:rFonts w:eastAsia="SimSun" w:cs="Times New Roman"/>
                <w:sz w:val="22"/>
                <w:szCs w:val="22"/>
                <w:lang w:bidi="ar"/>
              </w:rPr>
              <w:t>2023</w:t>
            </w:r>
          </w:p>
        </w:tc>
        <w:tc>
          <w:tcPr>
            <w:tcW w:w="892" w:type="dxa"/>
            <w:tcBorders>
              <w:top w:val="nil"/>
              <w:left w:val="nil"/>
              <w:bottom w:val="nil"/>
              <w:right w:val="nil"/>
            </w:tcBorders>
            <w:shd w:val="clear" w:color="auto" w:fill="auto"/>
            <w:noWrap/>
            <w:vAlign w:val="center"/>
          </w:tcPr>
          <w:p w14:paraId="01F16F51" w14:textId="77777777" w:rsidR="00B573E9" w:rsidRDefault="00065069">
            <w:pPr>
              <w:jc w:val="both"/>
              <w:textAlignment w:val="center"/>
              <w:rPr>
                <w:rFonts w:eastAsia="SimSun" w:cs="Times New Roman"/>
                <w:sz w:val="22"/>
                <w:szCs w:val="22"/>
                <w:lang w:bidi="ar"/>
              </w:rPr>
            </w:pPr>
            <w:r>
              <w:rPr>
                <w:rFonts w:eastAsia="SimSun" w:cs="Times New Roman"/>
                <w:sz w:val="22"/>
                <w:szCs w:val="22"/>
                <w:lang w:bidi="ar"/>
              </w:rPr>
              <w:t>2024</w:t>
            </w:r>
          </w:p>
        </w:tc>
        <w:tc>
          <w:tcPr>
            <w:tcW w:w="892" w:type="dxa"/>
            <w:tcBorders>
              <w:top w:val="nil"/>
              <w:left w:val="nil"/>
              <w:bottom w:val="nil"/>
              <w:right w:val="nil"/>
            </w:tcBorders>
            <w:shd w:val="clear" w:color="auto" w:fill="auto"/>
            <w:noWrap/>
            <w:vAlign w:val="center"/>
          </w:tcPr>
          <w:p w14:paraId="26482A81" w14:textId="77777777" w:rsidR="00B573E9" w:rsidRDefault="00065069">
            <w:pPr>
              <w:jc w:val="both"/>
              <w:textAlignment w:val="center"/>
              <w:rPr>
                <w:rFonts w:eastAsia="SimSun" w:cs="Times New Roman"/>
                <w:sz w:val="22"/>
                <w:szCs w:val="22"/>
                <w:lang w:bidi="ar"/>
              </w:rPr>
            </w:pPr>
            <w:r>
              <w:rPr>
                <w:rFonts w:eastAsia="SimSun" w:cs="Times New Roman"/>
                <w:sz w:val="22"/>
                <w:szCs w:val="22"/>
                <w:lang w:bidi="ar"/>
              </w:rPr>
              <w:t>2025</w:t>
            </w:r>
          </w:p>
        </w:tc>
        <w:tc>
          <w:tcPr>
            <w:tcW w:w="892" w:type="dxa"/>
            <w:tcBorders>
              <w:top w:val="nil"/>
              <w:left w:val="nil"/>
              <w:bottom w:val="nil"/>
              <w:right w:val="nil"/>
            </w:tcBorders>
            <w:shd w:val="clear" w:color="auto" w:fill="auto"/>
            <w:noWrap/>
            <w:vAlign w:val="center"/>
          </w:tcPr>
          <w:p w14:paraId="3993538F" w14:textId="77777777" w:rsidR="00B573E9" w:rsidRDefault="00065069">
            <w:pPr>
              <w:jc w:val="both"/>
              <w:textAlignment w:val="center"/>
              <w:rPr>
                <w:rFonts w:eastAsia="SimSun" w:cs="Times New Roman"/>
                <w:sz w:val="22"/>
                <w:szCs w:val="22"/>
                <w:lang w:bidi="ar"/>
              </w:rPr>
            </w:pPr>
            <w:r>
              <w:rPr>
                <w:rFonts w:eastAsia="SimSun" w:cs="Times New Roman"/>
                <w:sz w:val="22"/>
                <w:szCs w:val="22"/>
                <w:lang w:bidi="ar"/>
              </w:rPr>
              <w:t>2026</w:t>
            </w:r>
          </w:p>
        </w:tc>
      </w:tr>
      <w:tr w:rsidR="00B573E9" w14:paraId="6AB0D788" w14:textId="77777777">
        <w:trPr>
          <w:trHeight w:val="300"/>
        </w:trPr>
        <w:tc>
          <w:tcPr>
            <w:tcW w:w="1717" w:type="dxa"/>
            <w:tcBorders>
              <w:top w:val="nil"/>
              <w:left w:val="nil"/>
              <w:bottom w:val="nil"/>
              <w:right w:val="nil"/>
            </w:tcBorders>
            <w:shd w:val="clear" w:color="auto" w:fill="auto"/>
            <w:noWrap/>
            <w:vAlign w:val="center"/>
          </w:tcPr>
          <w:p w14:paraId="718C7F07" w14:textId="77777777" w:rsidR="00B573E9" w:rsidRDefault="00065069">
            <w:pPr>
              <w:jc w:val="both"/>
              <w:textAlignment w:val="center"/>
              <w:rPr>
                <w:rFonts w:cs="Times New Roman"/>
                <w:sz w:val="22"/>
                <w:szCs w:val="22"/>
              </w:rPr>
            </w:pPr>
            <w:r>
              <w:rPr>
                <w:rFonts w:eastAsia="SimSun" w:cs="Times New Roman"/>
                <w:sz w:val="22"/>
                <w:szCs w:val="22"/>
                <w:lang w:bidi="ar"/>
              </w:rPr>
              <w:t xml:space="preserve">Net Profit Margin </w:t>
            </w:r>
          </w:p>
        </w:tc>
        <w:tc>
          <w:tcPr>
            <w:tcW w:w="1325" w:type="dxa"/>
            <w:tcBorders>
              <w:top w:val="nil"/>
              <w:left w:val="nil"/>
              <w:bottom w:val="nil"/>
              <w:right w:val="nil"/>
            </w:tcBorders>
            <w:shd w:val="clear" w:color="auto" w:fill="auto"/>
            <w:noWrap/>
            <w:vAlign w:val="center"/>
          </w:tcPr>
          <w:p w14:paraId="35F22CAD" w14:textId="77777777" w:rsidR="00B573E9" w:rsidRDefault="00065069">
            <w:pPr>
              <w:jc w:val="both"/>
              <w:textAlignment w:val="center"/>
              <w:rPr>
                <w:rFonts w:cs="Times New Roman"/>
                <w:sz w:val="22"/>
                <w:szCs w:val="22"/>
              </w:rPr>
            </w:pPr>
            <w:r>
              <w:rPr>
                <w:rFonts w:eastAsia="SimSun" w:cs="Times New Roman"/>
                <w:sz w:val="22"/>
                <w:szCs w:val="22"/>
                <w:lang w:bidi="ar"/>
              </w:rPr>
              <w:t>15.00%</w:t>
            </w:r>
          </w:p>
        </w:tc>
        <w:tc>
          <w:tcPr>
            <w:tcW w:w="865" w:type="dxa"/>
            <w:tcBorders>
              <w:top w:val="nil"/>
              <w:left w:val="nil"/>
              <w:bottom w:val="nil"/>
              <w:right w:val="nil"/>
            </w:tcBorders>
            <w:shd w:val="clear" w:color="auto" w:fill="auto"/>
            <w:noWrap/>
            <w:vAlign w:val="center"/>
          </w:tcPr>
          <w:p w14:paraId="26A8A983" w14:textId="77777777" w:rsidR="00B573E9" w:rsidRDefault="00065069">
            <w:pPr>
              <w:jc w:val="both"/>
              <w:textAlignment w:val="center"/>
              <w:rPr>
                <w:rFonts w:cs="Times New Roman"/>
                <w:sz w:val="22"/>
                <w:szCs w:val="22"/>
              </w:rPr>
            </w:pPr>
            <w:r>
              <w:rPr>
                <w:rFonts w:eastAsia="SimSun" w:cs="Times New Roman"/>
                <w:sz w:val="22"/>
                <w:szCs w:val="22"/>
                <w:lang w:bidi="ar"/>
              </w:rPr>
              <w:t>8.00%</w:t>
            </w:r>
          </w:p>
        </w:tc>
        <w:tc>
          <w:tcPr>
            <w:tcW w:w="950" w:type="dxa"/>
            <w:tcBorders>
              <w:top w:val="nil"/>
              <w:left w:val="nil"/>
              <w:bottom w:val="nil"/>
              <w:right w:val="nil"/>
            </w:tcBorders>
            <w:shd w:val="clear" w:color="auto" w:fill="auto"/>
            <w:noWrap/>
            <w:vAlign w:val="center"/>
          </w:tcPr>
          <w:p w14:paraId="2F7BD710" w14:textId="77777777" w:rsidR="00B573E9" w:rsidRDefault="00065069">
            <w:pPr>
              <w:jc w:val="both"/>
              <w:textAlignment w:val="center"/>
              <w:rPr>
                <w:rFonts w:cs="Times New Roman"/>
                <w:sz w:val="22"/>
                <w:szCs w:val="22"/>
              </w:rPr>
            </w:pPr>
            <w:r>
              <w:rPr>
                <w:rFonts w:eastAsia="SimSun" w:cs="Times New Roman"/>
                <w:sz w:val="22"/>
                <w:szCs w:val="22"/>
                <w:lang w:bidi="ar"/>
              </w:rPr>
              <w:t>-11.00%</w:t>
            </w:r>
          </w:p>
        </w:tc>
        <w:tc>
          <w:tcPr>
            <w:tcW w:w="892" w:type="dxa"/>
            <w:tcBorders>
              <w:top w:val="nil"/>
              <w:left w:val="nil"/>
              <w:bottom w:val="nil"/>
              <w:right w:val="nil"/>
            </w:tcBorders>
            <w:shd w:val="clear" w:color="auto" w:fill="auto"/>
            <w:noWrap/>
            <w:vAlign w:val="center"/>
          </w:tcPr>
          <w:p w14:paraId="3CF65DCD" w14:textId="77777777" w:rsidR="00B573E9" w:rsidRDefault="00065069">
            <w:pPr>
              <w:jc w:val="both"/>
              <w:textAlignment w:val="center"/>
              <w:rPr>
                <w:rFonts w:cs="Times New Roman"/>
                <w:sz w:val="22"/>
                <w:szCs w:val="22"/>
              </w:rPr>
            </w:pPr>
            <w:r>
              <w:rPr>
                <w:rFonts w:eastAsia="SimSun" w:cs="Times New Roman"/>
                <w:sz w:val="22"/>
                <w:szCs w:val="22"/>
                <w:lang w:bidi="ar"/>
              </w:rPr>
              <w:t>-2.00%</w:t>
            </w:r>
          </w:p>
        </w:tc>
        <w:tc>
          <w:tcPr>
            <w:tcW w:w="892" w:type="dxa"/>
            <w:tcBorders>
              <w:top w:val="nil"/>
              <w:left w:val="nil"/>
              <w:bottom w:val="nil"/>
              <w:right w:val="nil"/>
            </w:tcBorders>
            <w:shd w:val="clear" w:color="auto" w:fill="auto"/>
            <w:noWrap/>
            <w:vAlign w:val="center"/>
          </w:tcPr>
          <w:p w14:paraId="527944E8" w14:textId="77777777" w:rsidR="00B573E9" w:rsidRDefault="00065069">
            <w:pPr>
              <w:jc w:val="both"/>
              <w:textAlignment w:val="center"/>
              <w:rPr>
                <w:rFonts w:eastAsia="SimSun" w:cs="Times New Roman"/>
                <w:sz w:val="22"/>
                <w:szCs w:val="22"/>
                <w:lang w:bidi="ar"/>
              </w:rPr>
            </w:pPr>
            <w:r>
              <w:rPr>
                <w:rFonts w:eastAsia="SimSun" w:cs="Times New Roman"/>
                <w:sz w:val="22"/>
                <w:szCs w:val="22"/>
                <w:lang w:bidi="ar"/>
              </w:rPr>
              <w:t>2%</w:t>
            </w:r>
          </w:p>
        </w:tc>
        <w:tc>
          <w:tcPr>
            <w:tcW w:w="892" w:type="dxa"/>
            <w:tcBorders>
              <w:top w:val="nil"/>
              <w:left w:val="nil"/>
              <w:bottom w:val="nil"/>
              <w:right w:val="nil"/>
            </w:tcBorders>
            <w:shd w:val="clear" w:color="auto" w:fill="auto"/>
            <w:noWrap/>
            <w:vAlign w:val="center"/>
          </w:tcPr>
          <w:p w14:paraId="11556468" w14:textId="77777777" w:rsidR="00B573E9" w:rsidRDefault="00065069">
            <w:pPr>
              <w:jc w:val="both"/>
              <w:textAlignment w:val="center"/>
              <w:rPr>
                <w:rFonts w:eastAsia="SimSun" w:cs="Times New Roman"/>
                <w:sz w:val="22"/>
                <w:szCs w:val="22"/>
                <w:lang w:bidi="ar"/>
              </w:rPr>
            </w:pPr>
            <w:r>
              <w:rPr>
                <w:rFonts w:eastAsia="SimSun" w:cs="Times New Roman"/>
                <w:sz w:val="22"/>
                <w:szCs w:val="22"/>
                <w:lang w:bidi="ar"/>
              </w:rPr>
              <w:t>4%</w:t>
            </w:r>
          </w:p>
        </w:tc>
        <w:tc>
          <w:tcPr>
            <w:tcW w:w="892" w:type="dxa"/>
            <w:tcBorders>
              <w:top w:val="nil"/>
              <w:left w:val="nil"/>
              <w:bottom w:val="nil"/>
              <w:right w:val="nil"/>
            </w:tcBorders>
            <w:shd w:val="clear" w:color="auto" w:fill="auto"/>
            <w:noWrap/>
            <w:vAlign w:val="center"/>
          </w:tcPr>
          <w:p w14:paraId="13F9A162" w14:textId="77777777" w:rsidR="00B573E9" w:rsidRDefault="00065069">
            <w:pPr>
              <w:jc w:val="both"/>
              <w:textAlignment w:val="center"/>
              <w:rPr>
                <w:rFonts w:eastAsia="SimSun" w:cs="Times New Roman"/>
                <w:sz w:val="22"/>
                <w:szCs w:val="22"/>
                <w:lang w:bidi="ar"/>
              </w:rPr>
            </w:pPr>
            <w:r>
              <w:rPr>
                <w:rFonts w:eastAsia="SimSun" w:cs="Times New Roman"/>
                <w:sz w:val="22"/>
                <w:szCs w:val="22"/>
                <w:lang w:bidi="ar"/>
              </w:rPr>
              <w:t>6%</w:t>
            </w:r>
          </w:p>
        </w:tc>
      </w:tr>
      <w:tr w:rsidR="00B573E9" w14:paraId="7782903E" w14:textId="77777777">
        <w:trPr>
          <w:trHeight w:val="300"/>
        </w:trPr>
        <w:tc>
          <w:tcPr>
            <w:tcW w:w="1717" w:type="dxa"/>
            <w:tcBorders>
              <w:top w:val="nil"/>
              <w:left w:val="nil"/>
              <w:bottom w:val="nil"/>
              <w:right w:val="nil"/>
            </w:tcBorders>
            <w:shd w:val="clear" w:color="auto" w:fill="auto"/>
            <w:noWrap/>
            <w:vAlign w:val="center"/>
          </w:tcPr>
          <w:p w14:paraId="1D497FAF" w14:textId="77777777" w:rsidR="00B573E9" w:rsidRDefault="00B573E9">
            <w:pPr>
              <w:jc w:val="both"/>
              <w:rPr>
                <w:rFonts w:cs="Times New Roman"/>
                <w:sz w:val="22"/>
                <w:szCs w:val="22"/>
              </w:rPr>
            </w:pPr>
          </w:p>
        </w:tc>
        <w:tc>
          <w:tcPr>
            <w:tcW w:w="1325" w:type="dxa"/>
            <w:tcBorders>
              <w:top w:val="nil"/>
              <w:left w:val="nil"/>
              <w:bottom w:val="nil"/>
              <w:right w:val="nil"/>
            </w:tcBorders>
            <w:shd w:val="clear" w:color="auto" w:fill="auto"/>
            <w:noWrap/>
            <w:vAlign w:val="center"/>
          </w:tcPr>
          <w:p w14:paraId="27B4190B" w14:textId="77777777" w:rsidR="00B573E9" w:rsidRDefault="00B573E9">
            <w:pPr>
              <w:jc w:val="both"/>
              <w:rPr>
                <w:rFonts w:cs="Times New Roman"/>
                <w:sz w:val="22"/>
                <w:szCs w:val="22"/>
              </w:rPr>
            </w:pPr>
          </w:p>
        </w:tc>
        <w:tc>
          <w:tcPr>
            <w:tcW w:w="865" w:type="dxa"/>
            <w:tcBorders>
              <w:top w:val="nil"/>
              <w:left w:val="nil"/>
              <w:bottom w:val="nil"/>
              <w:right w:val="nil"/>
            </w:tcBorders>
            <w:shd w:val="clear" w:color="auto" w:fill="auto"/>
            <w:noWrap/>
            <w:vAlign w:val="center"/>
          </w:tcPr>
          <w:p w14:paraId="433184E0" w14:textId="77777777" w:rsidR="00B573E9" w:rsidRDefault="00065069">
            <w:pPr>
              <w:jc w:val="both"/>
              <w:textAlignment w:val="center"/>
              <w:rPr>
                <w:rFonts w:cs="Times New Roman"/>
                <w:sz w:val="22"/>
                <w:szCs w:val="22"/>
              </w:rPr>
            </w:pPr>
            <w:r>
              <w:rPr>
                <w:rFonts w:eastAsia="SimSun" w:cs="Times New Roman"/>
                <w:sz w:val="22"/>
                <w:szCs w:val="22"/>
                <w:lang w:bidi="ar"/>
              </w:rPr>
              <w:t>-46.67%</w:t>
            </w:r>
          </w:p>
        </w:tc>
        <w:tc>
          <w:tcPr>
            <w:tcW w:w="950" w:type="dxa"/>
            <w:tcBorders>
              <w:top w:val="nil"/>
              <w:left w:val="nil"/>
              <w:bottom w:val="nil"/>
              <w:right w:val="nil"/>
            </w:tcBorders>
            <w:shd w:val="clear" w:color="auto" w:fill="auto"/>
            <w:noWrap/>
            <w:vAlign w:val="center"/>
          </w:tcPr>
          <w:p w14:paraId="5DC362F5" w14:textId="77777777" w:rsidR="00B573E9" w:rsidRDefault="00065069">
            <w:pPr>
              <w:jc w:val="both"/>
              <w:textAlignment w:val="center"/>
              <w:rPr>
                <w:rFonts w:cs="Times New Roman"/>
                <w:sz w:val="22"/>
                <w:szCs w:val="22"/>
              </w:rPr>
            </w:pPr>
            <w:r>
              <w:rPr>
                <w:rFonts w:eastAsia="SimSun" w:cs="Times New Roman"/>
                <w:sz w:val="22"/>
                <w:szCs w:val="22"/>
                <w:lang w:bidi="ar"/>
              </w:rPr>
              <w:t>-237.50%</w:t>
            </w:r>
          </w:p>
        </w:tc>
        <w:tc>
          <w:tcPr>
            <w:tcW w:w="892" w:type="dxa"/>
            <w:tcBorders>
              <w:top w:val="nil"/>
              <w:left w:val="nil"/>
              <w:bottom w:val="nil"/>
              <w:right w:val="nil"/>
            </w:tcBorders>
            <w:shd w:val="clear" w:color="auto" w:fill="auto"/>
            <w:noWrap/>
            <w:vAlign w:val="center"/>
          </w:tcPr>
          <w:p w14:paraId="2BB84C30" w14:textId="77777777" w:rsidR="00B573E9" w:rsidRDefault="00065069">
            <w:pPr>
              <w:jc w:val="both"/>
              <w:textAlignment w:val="center"/>
              <w:rPr>
                <w:rFonts w:cs="Times New Roman"/>
                <w:sz w:val="22"/>
                <w:szCs w:val="22"/>
              </w:rPr>
            </w:pPr>
            <w:r>
              <w:rPr>
                <w:rFonts w:eastAsia="SimSun" w:cs="Times New Roman"/>
                <w:sz w:val="22"/>
                <w:szCs w:val="22"/>
                <w:lang w:bidi="ar"/>
              </w:rPr>
              <w:t>-81.82%</w:t>
            </w:r>
          </w:p>
        </w:tc>
        <w:tc>
          <w:tcPr>
            <w:tcW w:w="892" w:type="dxa"/>
            <w:tcBorders>
              <w:top w:val="nil"/>
              <w:left w:val="nil"/>
              <w:bottom w:val="nil"/>
              <w:right w:val="nil"/>
            </w:tcBorders>
            <w:shd w:val="clear" w:color="auto" w:fill="auto"/>
            <w:noWrap/>
            <w:vAlign w:val="center"/>
          </w:tcPr>
          <w:p w14:paraId="584F9897" w14:textId="77777777" w:rsidR="00B573E9" w:rsidRDefault="00065069">
            <w:pPr>
              <w:jc w:val="both"/>
              <w:textAlignment w:val="center"/>
              <w:rPr>
                <w:rFonts w:eastAsia="SimSun" w:cs="Times New Roman"/>
                <w:sz w:val="22"/>
                <w:szCs w:val="22"/>
                <w:lang w:bidi="ar"/>
              </w:rPr>
            </w:pPr>
            <w:r>
              <w:rPr>
                <w:rFonts w:eastAsia="SimSun" w:cs="Times New Roman"/>
                <w:sz w:val="22"/>
                <w:szCs w:val="22"/>
                <w:lang w:bidi="ar"/>
              </w:rPr>
              <w:t>46.67%</w:t>
            </w:r>
          </w:p>
        </w:tc>
        <w:tc>
          <w:tcPr>
            <w:tcW w:w="892" w:type="dxa"/>
            <w:tcBorders>
              <w:top w:val="nil"/>
              <w:left w:val="nil"/>
              <w:bottom w:val="nil"/>
              <w:right w:val="nil"/>
            </w:tcBorders>
            <w:shd w:val="clear" w:color="auto" w:fill="auto"/>
            <w:noWrap/>
            <w:vAlign w:val="center"/>
          </w:tcPr>
          <w:p w14:paraId="009DB9D1" w14:textId="77777777" w:rsidR="00B573E9" w:rsidRDefault="00065069">
            <w:pPr>
              <w:jc w:val="both"/>
              <w:textAlignment w:val="center"/>
              <w:rPr>
                <w:rFonts w:eastAsia="SimSun" w:cs="Times New Roman"/>
                <w:sz w:val="22"/>
                <w:szCs w:val="22"/>
                <w:lang w:bidi="ar"/>
              </w:rPr>
            </w:pPr>
            <w:r>
              <w:rPr>
                <w:rFonts w:eastAsia="SimSun" w:cs="Times New Roman"/>
                <w:sz w:val="22"/>
                <w:szCs w:val="22"/>
                <w:lang w:bidi="ar"/>
              </w:rPr>
              <w:t>46.67%</w:t>
            </w:r>
          </w:p>
        </w:tc>
        <w:tc>
          <w:tcPr>
            <w:tcW w:w="892" w:type="dxa"/>
            <w:tcBorders>
              <w:top w:val="nil"/>
              <w:left w:val="nil"/>
              <w:bottom w:val="nil"/>
              <w:right w:val="nil"/>
            </w:tcBorders>
            <w:shd w:val="clear" w:color="auto" w:fill="auto"/>
            <w:noWrap/>
            <w:vAlign w:val="center"/>
          </w:tcPr>
          <w:p w14:paraId="3DEE3C0D" w14:textId="77777777" w:rsidR="00B573E9" w:rsidRDefault="00065069">
            <w:pPr>
              <w:jc w:val="both"/>
              <w:textAlignment w:val="center"/>
              <w:rPr>
                <w:rFonts w:eastAsia="SimSun" w:cs="Times New Roman"/>
                <w:sz w:val="22"/>
                <w:szCs w:val="22"/>
                <w:lang w:bidi="ar"/>
              </w:rPr>
            </w:pPr>
            <w:r>
              <w:rPr>
                <w:rFonts w:eastAsia="SimSun" w:cs="Times New Roman"/>
                <w:sz w:val="22"/>
                <w:szCs w:val="22"/>
                <w:lang w:bidi="ar"/>
              </w:rPr>
              <w:t>46.67%</w:t>
            </w:r>
          </w:p>
        </w:tc>
      </w:tr>
    </w:tbl>
    <w:p w14:paraId="66E497CD" w14:textId="77777777" w:rsidR="00B573E9" w:rsidRDefault="00B573E9">
      <w:pPr>
        <w:jc w:val="both"/>
        <w:rPr>
          <w:rFonts w:cs="Times New Roman"/>
        </w:rPr>
      </w:pPr>
    </w:p>
    <w:p w14:paraId="6AA08849" w14:textId="77777777" w:rsidR="00B573E9" w:rsidRDefault="00065069">
      <w:pPr>
        <w:pStyle w:val="Heading2"/>
      </w:pPr>
      <w:bookmarkStart w:id="22" w:name="_Toc15633"/>
      <w:bookmarkStart w:id="23" w:name="_Toc151000694"/>
      <w:r>
        <w:t>Cashflow break even</w:t>
      </w:r>
      <w:bookmarkEnd w:id="22"/>
      <w:bookmarkEnd w:id="23"/>
    </w:p>
    <w:p w14:paraId="2B99392E" w14:textId="77777777" w:rsidR="00B573E9" w:rsidRDefault="00065069">
      <w:pPr>
        <w:jc w:val="both"/>
        <w:rPr>
          <w:rFonts w:cs="Times New Roman"/>
        </w:rPr>
      </w:pPr>
      <w:r>
        <w:rPr>
          <w:rFonts w:cs="Times New Roman"/>
        </w:rPr>
        <w:t>Step 1: Evaluating historical cash flow data from 2020-2022</w:t>
      </w:r>
    </w:p>
    <w:p w14:paraId="30335954" w14:textId="77777777" w:rsidR="00B573E9" w:rsidRDefault="00065069">
      <w:pPr>
        <w:jc w:val="both"/>
        <w:rPr>
          <w:rFonts w:cs="Times New Roman"/>
        </w:rPr>
      </w:pPr>
      <w:r>
        <w:rPr>
          <w:rFonts w:cs="Times New Roman"/>
        </w:rPr>
        <w:t xml:space="preserve">Step 2: Estimating the future investing activities operating activities and financing activities. </w:t>
      </w:r>
    </w:p>
    <w:p w14:paraId="3CF6A729" w14:textId="77777777" w:rsidR="00B573E9" w:rsidRDefault="00065069">
      <w:pPr>
        <w:jc w:val="both"/>
        <w:rPr>
          <w:rFonts w:cs="Times New Roman"/>
        </w:rPr>
      </w:pPr>
      <w:r>
        <w:rPr>
          <w:rFonts w:cs="Times New Roman"/>
        </w:rPr>
        <w:lastRenderedPageBreak/>
        <w:t xml:space="preserve">Step 3: Determining the cash flow </w:t>
      </w:r>
      <w:r w:rsidR="002636C5">
        <w:rPr>
          <w:rFonts w:cs="Times New Roman"/>
        </w:rPr>
        <w:t>break-even</w:t>
      </w:r>
      <w:r>
        <w:rPr>
          <w:rFonts w:cs="Times New Roman"/>
        </w:rPr>
        <w:t xml:space="preserve"> point through determining the year the net cash flow will be positive</w:t>
      </w:r>
    </w:p>
    <w:tbl>
      <w:tblPr>
        <w:tblW w:w="7980" w:type="dxa"/>
        <w:jc w:val="center"/>
        <w:tblLook w:val="04A0" w:firstRow="1" w:lastRow="0" w:firstColumn="1" w:lastColumn="0" w:noHBand="0" w:noVBand="1"/>
      </w:tblPr>
      <w:tblGrid>
        <w:gridCol w:w="5100"/>
        <w:gridCol w:w="1076"/>
        <w:gridCol w:w="960"/>
        <w:gridCol w:w="960"/>
      </w:tblGrid>
      <w:tr w:rsidR="00B573E9" w:rsidRPr="002636C5" w14:paraId="4C9E2AF4" w14:textId="77777777" w:rsidTr="002636C5">
        <w:trPr>
          <w:trHeight w:val="645"/>
          <w:jc w:val="center"/>
        </w:trPr>
        <w:tc>
          <w:tcPr>
            <w:tcW w:w="5100" w:type="dxa"/>
            <w:tcBorders>
              <w:top w:val="nil"/>
              <w:left w:val="nil"/>
              <w:bottom w:val="nil"/>
              <w:right w:val="nil"/>
            </w:tcBorders>
            <w:shd w:val="clear" w:color="auto" w:fill="auto"/>
            <w:noWrap/>
            <w:vAlign w:val="center"/>
          </w:tcPr>
          <w:p w14:paraId="5D7799D9" w14:textId="77777777" w:rsidR="00B573E9" w:rsidRPr="002636C5" w:rsidRDefault="00B573E9">
            <w:pPr>
              <w:jc w:val="both"/>
              <w:rPr>
                <w:rFonts w:cs="Times New Roman"/>
                <w:szCs w:val="22"/>
              </w:rPr>
            </w:pPr>
          </w:p>
        </w:tc>
        <w:tc>
          <w:tcPr>
            <w:tcW w:w="960" w:type="dxa"/>
            <w:tcBorders>
              <w:top w:val="nil"/>
              <w:left w:val="nil"/>
              <w:bottom w:val="nil"/>
              <w:right w:val="nil"/>
            </w:tcBorders>
            <w:shd w:val="clear" w:color="auto" w:fill="auto"/>
            <w:noWrap/>
            <w:vAlign w:val="center"/>
          </w:tcPr>
          <w:p w14:paraId="5055FE63" w14:textId="77777777" w:rsidR="00B573E9" w:rsidRPr="002636C5" w:rsidRDefault="00065069">
            <w:pPr>
              <w:jc w:val="both"/>
              <w:textAlignment w:val="center"/>
              <w:rPr>
                <w:rFonts w:cs="Times New Roman"/>
                <w:szCs w:val="22"/>
              </w:rPr>
            </w:pPr>
            <w:r w:rsidRPr="002636C5">
              <w:rPr>
                <w:rFonts w:eastAsia="SimSun" w:cs="Times New Roman"/>
                <w:szCs w:val="22"/>
                <w:lang w:bidi="ar"/>
              </w:rPr>
              <w:t>2022</w:t>
            </w:r>
          </w:p>
        </w:tc>
        <w:tc>
          <w:tcPr>
            <w:tcW w:w="960" w:type="dxa"/>
            <w:tcBorders>
              <w:top w:val="nil"/>
              <w:left w:val="nil"/>
              <w:bottom w:val="nil"/>
              <w:right w:val="nil"/>
            </w:tcBorders>
            <w:shd w:val="clear" w:color="auto" w:fill="auto"/>
            <w:noWrap/>
            <w:vAlign w:val="center"/>
          </w:tcPr>
          <w:p w14:paraId="0E0CECAA" w14:textId="77777777" w:rsidR="00B573E9" w:rsidRPr="002636C5" w:rsidRDefault="00065069">
            <w:pPr>
              <w:jc w:val="both"/>
              <w:textAlignment w:val="center"/>
              <w:rPr>
                <w:rFonts w:cs="Times New Roman"/>
                <w:szCs w:val="22"/>
              </w:rPr>
            </w:pPr>
            <w:r w:rsidRPr="002636C5">
              <w:rPr>
                <w:rFonts w:eastAsia="SimSun" w:cs="Times New Roman"/>
                <w:szCs w:val="22"/>
                <w:lang w:bidi="ar"/>
              </w:rPr>
              <w:t>2023</w:t>
            </w:r>
          </w:p>
        </w:tc>
        <w:tc>
          <w:tcPr>
            <w:tcW w:w="960" w:type="dxa"/>
            <w:tcBorders>
              <w:top w:val="nil"/>
              <w:left w:val="nil"/>
              <w:bottom w:val="nil"/>
              <w:right w:val="nil"/>
            </w:tcBorders>
            <w:shd w:val="clear" w:color="auto" w:fill="auto"/>
            <w:noWrap/>
            <w:vAlign w:val="center"/>
          </w:tcPr>
          <w:p w14:paraId="20E0014A" w14:textId="77777777" w:rsidR="00B573E9" w:rsidRPr="002636C5" w:rsidRDefault="00065069">
            <w:pPr>
              <w:jc w:val="both"/>
              <w:textAlignment w:val="center"/>
              <w:rPr>
                <w:rFonts w:cs="Times New Roman"/>
                <w:szCs w:val="22"/>
              </w:rPr>
            </w:pPr>
            <w:r w:rsidRPr="002636C5">
              <w:rPr>
                <w:rFonts w:eastAsia="SimSun" w:cs="Times New Roman"/>
                <w:szCs w:val="22"/>
                <w:lang w:bidi="ar"/>
              </w:rPr>
              <w:t>2024</w:t>
            </w:r>
          </w:p>
        </w:tc>
      </w:tr>
      <w:tr w:rsidR="00B573E9" w:rsidRPr="002636C5" w14:paraId="0EA8EA94" w14:textId="77777777" w:rsidTr="002636C5">
        <w:trPr>
          <w:trHeight w:val="300"/>
          <w:jc w:val="center"/>
        </w:trPr>
        <w:tc>
          <w:tcPr>
            <w:tcW w:w="0" w:type="auto"/>
            <w:tcBorders>
              <w:top w:val="nil"/>
              <w:left w:val="nil"/>
              <w:bottom w:val="nil"/>
              <w:right w:val="nil"/>
            </w:tcBorders>
            <w:shd w:val="clear" w:color="auto" w:fill="auto"/>
            <w:noWrap/>
            <w:vAlign w:val="center"/>
          </w:tcPr>
          <w:p w14:paraId="6AE2BFE2" w14:textId="77777777" w:rsidR="00B573E9" w:rsidRPr="002636C5" w:rsidRDefault="00065069">
            <w:pPr>
              <w:jc w:val="both"/>
              <w:textAlignment w:val="center"/>
              <w:rPr>
                <w:rFonts w:cs="Times New Roman"/>
                <w:szCs w:val="22"/>
              </w:rPr>
            </w:pPr>
            <w:r w:rsidRPr="002636C5">
              <w:rPr>
                <w:rFonts w:eastAsia="SimSun" w:cs="Times New Roman"/>
                <w:szCs w:val="22"/>
                <w:lang w:bidi="ar"/>
              </w:rPr>
              <w:t>Item Amount</w:t>
            </w:r>
          </w:p>
        </w:tc>
        <w:tc>
          <w:tcPr>
            <w:tcW w:w="0" w:type="auto"/>
            <w:tcBorders>
              <w:top w:val="nil"/>
              <w:left w:val="nil"/>
              <w:bottom w:val="nil"/>
              <w:right w:val="nil"/>
            </w:tcBorders>
            <w:shd w:val="clear" w:color="auto" w:fill="auto"/>
            <w:noWrap/>
            <w:vAlign w:val="center"/>
          </w:tcPr>
          <w:p w14:paraId="17E83ADD" w14:textId="77777777" w:rsidR="00B573E9" w:rsidRPr="002636C5" w:rsidRDefault="00B573E9">
            <w:pPr>
              <w:jc w:val="both"/>
              <w:rPr>
                <w:rFonts w:cs="Times New Roman"/>
                <w:szCs w:val="22"/>
              </w:rPr>
            </w:pPr>
          </w:p>
        </w:tc>
        <w:tc>
          <w:tcPr>
            <w:tcW w:w="0" w:type="auto"/>
            <w:tcBorders>
              <w:top w:val="nil"/>
              <w:left w:val="nil"/>
              <w:bottom w:val="nil"/>
              <w:right w:val="nil"/>
            </w:tcBorders>
            <w:shd w:val="clear" w:color="auto" w:fill="auto"/>
            <w:noWrap/>
            <w:vAlign w:val="center"/>
          </w:tcPr>
          <w:p w14:paraId="4326EA34" w14:textId="77777777" w:rsidR="00B573E9" w:rsidRPr="002636C5" w:rsidRDefault="00B573E9">
            <w:pPr>
              <w:jc w:val="both"/>
              <w:rPr>
                <w:rFonts w:cs="Times New Roman"/>
                <w:szCs w:val="22"/>
              </w:rPr>
            </w:pPr>
          </w:p>
        </w:tc>
        <w:tc>
          <w:tcPr>
            <w:tcW w:w="0" w:type="auto"/>
            <w:tcBorders>
              <w:top w:val="nil"/>
              <w:left w:val="nil"/>
              <w:bottom w:val="nil"/>
              <w:right w:val="nil"/>
            </w:tcBorders>
            <w:shd w:val="clear" w:color="auto" w:fill="auto"/>
            <w:noWrap/>
            <w:vAlign w:val="center"/>
          </w:tcPr>
          <w:p w14:paraId="46F3B664" w14:textId="77777777" w:rsidR="00B573E9" w:rsidRPr="002636C5" w:rsidRDefault="00B573E9">
            <w:pPr>
              <w:jc w:val="both"/>
              <w:rPr>
                <w:rFonts w:cs="Times New Roman"/>
                <w:szCs w:val="22"/>
              </w:rPr>
            </w:pPr>
          </w:p>
        </w:tc>
      </w:tr>
      <w:tr w:rsidR="00B573E9" w:rsidRPr="002636C5" w14:paraId="31E8CCE0" w14:textId="77777777" w:rsidTr="002636C5">
        <w:trPr>
          <w:trHeight w:val="300"/>
          <w:jc w:val="center"/>
        </w:trPr>
        <w:tc>
          <w:tcPr>
            <w:tcW w:w="0" w:type="auto"/>
            <w:tcBorders>
              <w:top w:val="nil"/>
              <w:left w:val="nil"/>
              <w:bottom w:val="nil"/>
              <w:right w:val="nil"/>
            </w:tcBorders>
            <w:shd w:val="clear" w:color="auto" w:fill="auto"/>
            <w:noWrap/>
            <w:vAlign w:val="center"/>
          </w:tcPr>
          <w:p w14:paraId="013BF7DA" w14:textId="77777777" w:rsidR="00B573E9" w:rsidRPr="002636C5" w:rsidRDefault="00065069">
            <w:pPr>
              <w:jc w:val="both"/>
              <w:textAlignment w:val="center"/>
              <w:rPr>
                <w:rFonts w:cs="Times New Roman"/>
                <w:szCs w:val="22"/>
              </w:rPr>
            </w:pPr>
            <w:r w:rsidRPr="002636C5">
              <w:rPr>
                <w:rFonts w:eastAsia="SimSun" w:cs="Times New Roman"/>
                <w:szCs w:val="22"/>
                <w:lang w:bidi="ar"/>
              </w:rPr>
              <w:t xml:space="preserve">Net Cash Flow from Operations </w:t>
            </w:r>
          </w:p>
        </w:tc>
        <w:tc>
          <w:tcPr>
            <w:tcW w:w="0" w:type="auto"/>
            <w:tcBorders>
              <w:top w:val="nil"/>
              <w:left w:val="nil"/>
              <w:bottom w:val="nil"/>
              <w:right w:val="nil"/>
            </w:tcBorders>
            <w:shd w:val="clear" w:color="auto" w:fill="auto"/>
            <w:noWrap/>
            <w:vAlign w:val="center"/>
          </w:tcPr>
          <w:p w14:paraId="74A00FA1" w14:textId="77777777" w:rsidR="00B573E9" w:rsidRPr="002636C5" w:rsidRDefault="00065069">
            <w:pPr>
              <w:jc w:val="both"/>
              <w:textAlignment w:val="center"/>
              <w:rPr>
                <w:rFonts w:cs="Times New Roman"/>
                <w:szCs w:val="22"/>
              </w:rPr>
            </w:pPr>
            <w:r w:rsidRPr="002636C5">
              <w:rPr>
                <w:rFonts w:eastAsia="SimSun" w:cs="Times New Roman"/>
                <w:szCs w:val="22"/>
                <w:lang w:bidi="ar"/>
              </w:rPr>
              <w:t>-80,000</w:t>
            </w:r>
          </w:p>
        </w:tc>
        <w:tc>
          <w:tcPr>
            <w:tcW w:w="0" w:type="auto"/>
            <w:tcBorders>
              <w:top w:val="nil"/>
              <w:left w:val="nil"/>
              <w:bottom w:val="nil"/>
              <w:right w:val="nil"/>
            </w:tcBorders>
            <w:shd w:val="clear" w:color="auto" w:fill="auto"/>
            <w:noWrap/>
            <w:vAlign w:val="center"/>
          </w:tcPr>
          <w:p w14:paraId="3B847E7D" w14:textId="77777777" w:rsidR="00B573E9" w:rsidRPr="002636C5" w:rsidRDefault="00B573E9">
            <w:pPr>
              <w:jc w:val="both"/>
              <w:rPr>
                <w:rFonts w:cs="Times New Roman"/>
                <w:szCs w:val="22"/>
              </w:rPr>
            </w:pPr>
          </w:p>
        </w:tc>
        <w:tc>
          <w:tcPr>
            <w:tcW w:w="0" w:type="auto"/>
            <w:tcBorders>
              <w:top w:val="nil"/>
              <w:left w:val="nil"/>
              <w:bottom w:val="nil"/>
              <w:right w:val="nil"/>
            </w:tcBorders>
            <w:shd w:val="clear" w:color="auto" w:fill="auto"/>
            <w:noWrap/>
            <w:vAlign w:val="center"/>
          </w:tcPr>
          <w:p w14:paraId="64F54F1C" w14:textId="77777777" w:rsidR="00B573E9" w:rsidRPr="002636C5" w:rsidRDefault="00B573E9">
            <w:pPr>
              <w:jc w:val="both"/>
              <w:rPr>
                <w:rFonts w:cs="Times New Roman"/>
                <w:szCs w:val="22"/>
              </w:rPr>
            </w:pPr>
          </w:p>
        </w:tc>
      </w:tr>
      <w:tr w:rsidR="00B573E9" w:rsidRPr="002636C5" w14:paraId="670B5879" w14:textId="77777777" w:rsidTr="002636C5">
        <w:trPr>
          <w:trHeight w:val="300"/>
          <w:jc w:val="center"/>
        </w:trPr>
        <w:tc>
          <w:tcPr>
            <w:tcW w:w="0" w:type="auto"/>
            <w:tcBorders>
              <w:top w:val="nil"/>
              <w:left w:val="nil"/>
              <w:bottom w:val="nil"/>
              <w:right w:val="nil"/>
            </w:tcBorders>
            <w:shd w:val="clear" w:color="auto" w:fill="auto"/>
            <w:noWrap/>
            <w:vAlign w:val="center"/>
          </w:tcPr>
          <w:p w14:paraId="4B086FD6" w14:textId="77777777" w:rsidR="00B573E9" w:rsidRPr="002636C5" w:rsidRDefault="00065069">
            <w:pPr>
              <w:jc w:val="both"/>
              <w:textAlignment w:val="center"/>
              <w:rPr>
                <w:rFonts w:cs="Times New Roman"/>
                <w:szCs w:val="22"/>
              </w:rPr>
            </w:pPr>
            <w:r w:rsidRPr="002636C5">
              <w:rPr>
                <w:rFonts w:eastAsia="SimSun" w:cs="Times New Roman"/>
                <w:szCs w:val="22"/>
                <w:lang w:bidi="ar"/>
              </w:rPr>
              <w:t xml:space="preserve">Capital Expenditures </w:t>
            </w:r>
          </w:p>
        </w:tc>
        <w:tc>
          <w:tcPr>
            <w:tcW w:w="0" w:type="auto"/>
            <w:tcBorders>
              <w:top w:val="nil"/>
              <w:left w:val="nil"/>
              <w:bottom w:val="nil"/>
              <w:right w:val="nil"/>
            </w:tcBorders>
            <w:shd w:val="clear" w:color="auto" w:fill="auto"/>
            <w:noWrap/>
            <w:vAlign w:val="center"/>
          </w:tcPr>
          <w:p w14:paraId="1DB74301" w14:textId="77777777" w:rsidR="00B573E9" w:rsidRPr="002636C5" w:rsidRDefault="00065069">
            <w:pPr>
              <w:jc w:val="both"/>
              <w:textAlignment w:val="center"/>
              <w:rPr>
                <w:rFonts w:cs="Times New Roman"/>
                <w:szCs w:val="22"/>
              </w:rPr>
            </w:pPr>
            <w:r w:rsidRPr="002636C5">
              <w:rPr>
                <w:rFonts w:eastAsia="SimSun" w:cs="Times New Roman"/>
                <w:szCs w:val="22"/>
                <w:lang w:bidi="ar"/>
              </w:rPr>
              <w:t>30,000</w:t>
            </w:r>
          </w:p>
        </w:tc>
        <w:tc>
          <w:tcPr>
            <w:tcW w:w="0" w:type="auto"/>
            <w:tcBorders>
              <w:top w:val="nil"/>
              <w:left w:val="nil"/>
              <w:bottom w:val="nil"/>
              <w:right w:val="nil"/>
            </w:tcBorders>
            <w:shd w:val="clear" w:color="auto" w:fill="auto"/>
            <w:noWrap/>
            <w:vAlign w:val="center"/>
          </w:tcPr>
          <w:p w14:paraId="1A92442C" w14:textId="77777777" w:rsidR="00B573E9" w:rsidRPr="002636C5" w:rsidRDefault="00B573E9">
            <w:pPr>
              <w:jc w:val="both"/>
              <w:rPr>
                <w:rFonts w:cs="Times New Roman"/>
                <w:szCs w:val="22"/>
              </w:rPr>
            </w:pPr>
          </w:p>
        </w:tc>
        <w:tc>
          <w:tcPr>
            <w:tcW w:w="0" w:type="auto"/>
            <w:tcBorders>
              <w:top w:val="nil"/>
              <w:left w:val="nil"/>
              <w:bottom w:val="nil"/>
              <w:right w:val="nil"/>
            </w:tcBorders>
            <w:shd w:val="clear" w:color="auto" w:fill="auto"/>
            <w:noWrap/>
            <w:vAlign w:val="center"/>
          </w:tcPr>
          <w:p w14:paraId="784E1868" w14:textId="77777777" w:rsidR="00B573E9" w:rsidRPr="002636C5" w:rsidRDefault="00B573E9">
            <w:pPr>
              <w:jc w:val="both"/>
              <w:rPr>
                <w:rFonts w:cs="Times New Roman"/>
                <w:szCs w:val="22"/>
              </w:rPr>
            </w:pPr>
          </w:p>
        </w:tc>
      </w:tr>
      <w:tr w:rsidR="00B573E9" w:rsidRPr="002636C5" w14:paraId="2BF08572" w14:textId="77777777" w:rsidTr="002636C5">
        <w:trPr>
          <w:trHeight w:val="300"/>
          <w:jc w:val="center"/>
        </w:trPr>
        <w:tc>
          <w:tcPr>
            <w:tcW w:w="0" w:type="auto"/>
            <w:tcBorders>
              <w:top w:val="nil"/>
              <w:left w:val="nil"/>
              <w:bottom w:val="nil"/>
              <w:right w:val="nil"/>
            </w:tcBorders>
            <w:shd w:val="clear" w:color="auto" w:fill="auto"/>
            <w:noWrap/>
            <w:vAlign w:val="center"/>
          </w:tcPr>
          <w:p w14:paraId="394DFC30" w14:textId="77777777" w:rsidR="00B573E9" w:rsidRPr="002636C5" w:rsidRDefault="00065069">
            <w:pPr>
              <w:jc w:val="both"/>
              <w:textAlignment w:val="center"/>
              <w:rPr>
                <w:rFonts w:cs="Times New Roman"/>
                <w:szCs w:val="22"/>
              </w:rPr>
            </w:pPr>
            <w:r w:rsidRPr="002636C5">
              <w:rPr>
                <w:rFonts w:eastAsia="SimSun" w:cs="Times New Roman"/>
                <w:szCs w:val="22"/>
                <w:lang w:bidi="ar"/>
              </w:rPr>
              <w:t xml:space="preserve">Net Cash Flow (Change in Cash Balance) </w:t>
            </w:r>
          </w:p>
        </w:tc>
        <w:tc>
          <w:tcPr>
            <w:tcW w:w="0" w:type="auto"/>
            <w:tcBorders>
              <w:top w:val="nil"/>
              <w:left w:val="nil"/>
              <w:bottom w:val="nil"/>
              <w:right w:val="nil"/>
            </w:tcBorders>
            <w:shd w:val="clear" w:color="auto" w:fill="auto"/>
            <w:noWrap/>
            <w:vAlign w:val="center"/>
          </w:tcPr>
          <w:p w14:paraId="7FD09C4B" w14:textId="77777777" w:rsidR="00B573E9" w:rsidRPr="002636C5" w:rsidRDefault="00065069">
            <w:pPr>
              <w:jc w:val="both"/>
              <w:textAlignment w:val="center"/>
              <w:rPr>
                <w:rFonts w:cs="Times New Roman"/>
                <w:szCs w:val="22"/>
              </w:rPr>
            </w:pPr>
            <w:r w:rsidRPr="002636C5">
              <w:rPr>
                <w:rFonts w:eastAsia="SimSun" w:cs="Times New Roman"/>
                <w:szCs w:val="22"/>
                <w:lang w:bidi="ar"/>
              </w:rPr>
              <w:t>-110,000</w:t>
            </w:r>
          </w:p>
        </w:tc>
        <w:tc>
          <w:tcPr>
            <w:tcW w:w="0" w:type="auto"/>
            <w:tcBorders>
              <w:top w:val="nil"/>
              <w:left w:val="nil"/>
              <w:bottom w:val="nil"/>
              <w:right w:val="nil"/>
            </w:tcBorders>
            <w:shd w:val="clear" w:color="auto" w:fill="auto"/>
            <w:noWrap/>
            <w:vAlign w:val="center"/>
          </w:tcPr>
          <w:p w14:paraId="0108E7CE" w14:textId="77777777" w:rsidR="00B573E9" w:rsidRPr="002636C5" w:rsidRDefault="00065069">
            <w:pPr>
              <w:jc w:val="both"/>
              <w:textAlignment w:val="center"/>
              <w:rPr>
                <w:rFonts w:cs="Times New Roman"/>
                <w:szCs w:val="22"/>
              </w:rPr>
            </w:pPr>
            <w:r w:rsidRPr="002636C5">
              <w:rPr>
                <w:rFonts w:eastAsia="SimSun" w:cs="Times New Roman"/>
                <w:szCs w:val="22"/>
                <w:lang w:bidi="ar"/>
              </w:rPr>
              <w:t>-10,000</w:t>
            </w:r>
          </w:p>
        </w:tc>
        <w:tc>
          <w:tcPr>
            <w:tcW w:w="0" w:type="auto"/>
            <w:tcBorders>
              <w:top w:val="nil"/>
              <w:left w:val="nil"/>
              <w:bottom w:val="nil"/>
              <w:right w:val="nil"/>
            </w:tcBorders>
            <w:shd w:val="clear" w:color="auto" w:fill="auto"/>
            <w:noWrap/>
            <w:vAlign w:val="center"/>
          </w:tcPr>
          <w:p w14:paraId="4DB1755E" w14:textId="77777777" w:rsidR="00B573E9" w:rsidRPr="002636C5" w:rsidRDefault="00065069">
            <w:pPr>
              <w:jc w:val="both"/>
              <w:textAlignment w:val="center"/>
              <w:rPr>
                <w:rFonts w:cs="Times New Roman"/>
                <w:szCs w:val="22"/>
              </w:rPr>
            </w:pPr>
            <w:r w:rsidRPr="002636C5">
              <w:rPr>
                <w:rFonts w:eastAsia="SimSun" w:cs="Times New Roman"/>
                <w:szCs w:val="22"/>
                <w:lang w:bidi="ar"/>
              </w:rPr>
              <w:t>12000</w:t>
            </w:r>
          </w:p>
        </w:tc>
      </w:tr>
    </w:tbl>
    <w:p w14:paraId="453C33BD" w14:textId="77777777" w:rsidR="00B573E9" w:rsidRDefault="00B573E9">
      <w:pPr>
        <w:jc w:val="both"/>
        <w:rPr>
          <w:rFonts w:cs="Times New Roman"/>
        </w:rPr>
      </w:pPr>
    </w:p>
    <w:p w14:paraId="3199C4E2" w14:textId="77777777" w:rsidR="00B573E9" w:rsidRDefault="00065069">
      <w:pPr>
        <w:jc w:val="both"/>
        <w:rPr>
          <w:rFonts w:cs="Times New Roman"/>
        </w:rPr>
      </w:pPr>
      <w:r>
        <w:rPr>
          <w:rFonts w:cs="Times New Roman"/>
        </w:rPr>
        <w:t>Step 4: Making adjustment for significant changes</w:t>
      </w:r>
    </w:p>
    <w:p w14:paraId="7322E92A" w14:textId="77777777" w:rsidR="00B573E9" w:rsidRDefault="00B573E9">
      <w:pPr>
        <w:jc w:val="both"/>
        <w:rPr>
          <w:rFonts w:cs="Times New Roman"/>
        </w:rPr>
      </w:pPr>
    </w:p>
    <w:p w14:paraId="1D57F303" w14:textId="77777777" w:rsidR="00B573E9" w:rsidRDefault="00065069">
      <w:pPr>
        <w:pStyle w:val="Heading2"/>
      </w:pPr>
      <w:bookmarkStart w:id="24" w:name="_Toc22223"/>
      <w:bookmarkStart w:id="25" w:name="_Toc151000695"/>
      <w:r>
        <w:t>Other Consideration</w:t>
      </w:r>
      <w:bookmarkEnd w:id="24"/>
      <w:r w:rsidR="002636C5">
        <w:t>s</w:t>
      </w:r>
      <w:bookmarkEnd w:id="25"/>
    </w:p>
    <w:p w14:paraId="52126C37" w14:textId="77777777" w:rsidR="00B573E9" w:rsidRDefault="00065069">
      <w:pPr>
        <w:numPr>
          <w:ilvl w:val="0"/>
          <w:numId w:val="14"/>
        </w:numPr>
        <w:jc w:val="both"/>
        <w:rPr>
          <w:rFonts w:cs="Times New Roman"/>
        </w:rPr>
      </w:pPr>
      <w:r>
        <w:rPr>
          <w:rFonts w:cs="Times New Roman"/>
        </w:rPr>
        <w:t>Reevaluating the economic conditions, the industry trends, political threats etc</w:t>
      </w:r>
    </w:p>
    <w:p w14:paraId="27CE67AD" w14:textId="77777777" w:rsidR="00B573E9" w:rsidRDefault="00065069">
      <w:pPr>
        <w:numPr>
          <w:ilvl w:val="0"/>
          <w:numId w:val="14"/>
        </w:numPr>
        <w:jc w:val="both"/>
        <w:rPr>
          <w:rFonts w:cs="Times New Roman"/>
        </w:rPr>
      </w:pPr>
      <w:r>
        <w:rPr>
          <w:rFonts w:cs="Times New Roman"/>
        </w:rPr>
        <w:t xml:space="preserve"> Evaluating the strategic initiatives, launch of few services and marketing strategies which may influence revenue growth (Ivanov et al., 2013.).</w:t>
      </w:r>
    </w:p>
    <w:p w14:paraId="346C2EB1" w14:textId="77777777" w:rsidR="00B573E9" w:rsidRDefault="00065069">
      <w:pPr>
        <w:numPr>
          <w:ilvl w:val="0"/>
          <w:numId w:val="14"/>
        </w:numPr>
        <w:jc w:val="both"/>
        <w:rPr>
          <w:rFonts w:cs="Times New Roman"/>
        </w:rPr>
      </w:pPr>
      <w:r>
        <w:rPr>
          <w:rFonts w:cs="Times New Roman"/>
        </w:rPr>
        <w:t xml:space="preserve">Evaluating the strategies of cost management in order to assess the likelihood of achieving net profit margin targeted in each year. </w:t>
      </w:r>
    </w:p>
    <w:p w14:paraId="354803C9" w14:textId="77777777" w:rsidR="00B573E9" w:rsidRDefault="00065069">
      <w:pPr>
        <w:jc w:val="both"/>
        <w:rPr>
          <w:rFonts w:cs="Times New Roman"/>
        </w:rPr>
      </w:pPr>
      <w:r>
        <w:rPr>
          <w:rFonts w:cs="Times New Roman"/>
        </w:rPr>
        <w:br w:type="page"/>
      </w:r>
    </w:p>
    <w:p w14:paraId="26C5F470" w14:textId="77777777" w:rsidR="00B573E9" w:rsidRDefault="00065069">
      <w:pPr>
        <w:pStyle w:val="Heading1"/>
      </w:pPr>
      <w:bookmarkStart w:id="26" w:name="_Toc4692"/>
      <w:bookmarkStart w:id="27" w:name="_Toc151000696"/>
      <w:r>
        <w:lastRenderedPageBreak/>
        <w:t>Risk Assessment</w:t>
      </w:r>
      <w:bookmarkEnd w:id="26"/>
      <w:bookmarkEnd w:id="27"/>
    </w:p>
    <w:p w14:paraId="133F2BEE" w14:textId="77777777" w:rsidR="00B573E9" w:rsidRDefault="00065069">
      <w:pPr>
        <w:jc w:val="both"/>
        <w:rPr>
          <w:rFonts w:cs="Times New Roman"/>
        </w:rPr>
      </w:pPr>
      <w:r>
        <w:rPr>
          <w:rFonts w:cs="Times New Roman"/>
        </w:rPr>
        <w:t xml:space="preserve">Two main risks have been </w:t>
      </w:r>
      <w:r w:rsidR="002636C5">
        <w:rPr>
          <w:rFonts w:cs="Times New Roman"/>
        </w:rPr>
        <w:t>assessed according to</w:t>
      </w:r>
      <w:r>
        <w:rPr>
          <w:rFonts w:cs="Times New Roman"/>
        </w:rPr>
        <w:t xml:space="preserve"> the analysis of market and SWOT. These are lack of Expertise and finance issues.</w:t>
      </w:r>
    </w:p>
    <w:p w14:paraId="7985089F" w14:textId="77777777" w:rsidR="00B573E9" w:rsidRDefault="00065069">
      <w:pPr>
        <w:numPr>
          <w:ilvl w:val="0"/>
          <w:numId w:val="15"/>
        </w:numPr>
        <w:jc w:val="both"/>
        <w:rPr>
          <w:rFonts w:cs="Times New Roman"/>
        </w:rPr>
      </w:pPr>
      <w:r>
        <w:rPr>
          <w:rFonts w:cs="Times New Roman"/>
          <w:b/>
          <w:bCs/>
        </w:rPr>
        <w:t xml:space="preserve">Lack of Expertise: </w:t>
      </w:r>
      <w:r>
        <w:rPr>
          <w:rFonts w:cs="Times New Roman"/>
        </w:rPr>
        <w:t xml:space="preserve">When lacking experience, it is advisable for market researchers to conduct a thorough analysis of the anticipated sales revenues. However, the estimate was developed by the manager, who relied on their own expertise and proactive research (Heong et al., 2013). Particularly, it requires increased focus during the development and promotion of websites, as well as when positioning and altering bungalows and other objects. </w:t>
      </w:r>
    </w:p>
    <w:p w14:paraId="7FA8C0AE" w14:textId="77777777" w:rsidR="00B573E9" w:rsidRDefault="00B573E9">
      <w:pPr>
        <w:jc w:val="both"/>
        <w:rPr>
          <w:rFonts w:cs="Times New Roman"/>
        </w:rPr>
      </w:pPr>
    </w:p>
    <w:p w14:paraId="07F4DC69" w14:textId="77777777" w:rsidR="00B573E9" w:rsidRDefault="00065069">
      <w:pPr>
        <w:numPr>
          <w:ilvl w:val="0"/>
          <w:numId w:val="15"/>
        </w:numPr>
        <w:jc w:val="both"/>
        <w:rPr>
          <w:rFonts w:cs="Times New Roman"/>
        </w:rPr>
      </w:pPr>
      <w:r>
        <w:rPr>
          <w:rFonts w:cs="Times New Roman"/>
          <w:b/>
          <w:bCs/>
        </w:rPr>
        <w:t>Finance Issues:</w:t>
      </w:r>
      <w:r>
        <w:rPr>
          <w:rFonts w:cs="Times New Roman"/>
        </w:rPr>
        <w:t xml:space="preserve"> The financial matters are duly noted by the proprietor/manager of The Seaview resort, who takes measures to guarantee that all outlays adhere to the designated budget (Hayer et al., 2015). The cultivation of financial prudence is in response to the dual demands of loan repayment to financial institutions and the rigorous examination of an enterprise's financial statements by said institutions. In the event that the resort company experiences financial challenges leading to a loss, it is obliged to suspend its operations.  As a result, the limited availability of financial resources and the strain on them would hinder the effective distribution of capital, thereby impeding the organisation from attaining its desired degree of performance.</w:t>
      </w:r>
    </w:p>
    <w:p w14:paraId="57B84BBC" w14:textId="77777777" w:rsidR="00B573E9" w:rsidRDefault="00B573E9">
      <w:pPr>
        <w:jc w:val="both"/>
        <w:rPr>
          <w:rFonts w:cs="Times New Roman"/>
        </w:rPr>
      </w:pPr>
    </w:p>
    <w:p w14:paraId="543E4FDA" w14:textId="77777777" w:rsidR="00B573E9" w:rsidRDefault="00065069">
      <w:pPr>
        <w:jc w:val="both"/>
        <w:rPr>
          <w:rFonts w:cs="Times New Roman"/>
        </w:rPr>
      </w:pPr>
      <w:r>
        <w:rPr>
          <w:rFonts w:cs="Times New Roman"/>
        </w:rPr>
        <w:br w:type="page"/>
      </w:r>
    </w:p>
    <w:p w14:paraId="758A2EE4" w14:textId="77777777" w:rsidR="00B573E9" w:rsidRDefault="00065069">
      <w:pPr>
        <w:pStyle w:val="Heading1"/>
      </w:pPr>
      <w:bookmarkStart w:id="28" w:name="_Toc10425"/>
      <w:bookmarkStart w:id="29" w:name="_Toc151000697"/>
      <w:r>
        <w:lastRenderedPageBreak/>
        <w:t>Conclusion</w:t>
      </w:r>
      <w:bookmarkEnd w:id="28"/>
      <w:bookmarkEnd w:id="29"/>
    </w:p>
    <w:p w14:paraId="5135D2B8" w14:textId="77777777" w:rsidR="00B573E9" w:rsidRDefault="0074535B">
      <w:pPr>
        <w:jc w:val="both"/>
        <w:rPr>
          <w:rFonts w:cs="Times New Roman"/>
        </w:rPr>
      </w:pPr>
      <w:r>
        <w:rPr>
          <w:rFonts w:cs="Times New Roman"/>
        </w:rPr>
        <w:t xml:space="preserve">Essentially, this report </w:t>
      </w:r>
      <w:r w:rsidR="00065069">
        <w:rPr>
          <w:rFonts w:cs="Times New Roman"/>
        </w:rPr>
        <w:t xml:space="preserve">is an evaluation of the elements that contributed to or hindered favorable or unfavorable financial outcomes. Merely selecting a selection of indicators to assess financial performance is insufficient if the Seaview resort consider that firm management employs financial analysis to monitor all facets of the company's finances (Atrill and McLaney, 2018). It is important for the management of the Seaview Resort to constantly examine these indicators to determine if they are supported by comments and explanations in the yearly reports.  Overall, the SWOT Analysis, market analysis and the available turnaround strategies is suggesting that the future of the </w:t>
      </w:r>
      <w:r>
        <w:rPr>
          <w:rFonts w:cs="Times New Roman"/>
        </w:rPr>
        <w:t>Seaview</w:t>
      </w:r>
      <w:r w:rsidR="00065069">
        <w:rPr>
          <w:rFonts w:cs="Times New Roman"/>
        </w:rPr>
        <w:t xml:space="preserve"> resort is profitable in the long run, even though it is experiencing net loss. </w:t>
      </w:r>
    </w:p>
    <w:p w14:paraId="18E1BA48" w14:textId="77777777" w:rsidR="00B573E9" w:rsidRDefault="00065069">
      <w:pPr>
        <w:jc w:val="both"/>
        <w:rPr>
          <w:rFonts w:cs="Times New Roman"/>
        </w:rPr>
      </w:pPr>
      <w:r>
        <w:rPr>
          <w:rFonts w:cs="Times New Roman"/>
        </w:rPr>
        <w:br w:type="page"/>
      </w:r>
    </w:p>
    <w:p w14:paraId="26B4230A" w14:textId="77777777" w:rsidR="00B573E9" w:rsidRDefault="00065069">
      <w:pPr>
        <w:pStyle w:val="Heading1"/>
      </w:pPr>
      <w:bookmarkStart w:id="30" w:name="_Toc8481"/>
      <w:bookmarkStart w:id="31" w:name="_Toc151000698"/>
      <w:r>
        <w:lastRenderedPageBreak/>
        <w:t>Recommendations</w:t>
      </w:r>
      <w:bookmarkEnd w:id="30"/>
      <w:bookmarkEnd w:id="31"/>
    </w:p>
    <w:p w14:paraId="67B10A07" w14:textId="77777777" w:rsidR="00B573E9" w:rsidRDefault="00065069">
      <w:pPr>
        <w:jc w:val="both"/>
        <w:rPr>
          <w:rFonts w:cs="Times New Roman"/>
        </w:rPr>
      </w:pPr>
      <w:r>
        <w:rPr>
          <w:rFonts w:cs="Times New Roman"/>
        </w:rPr>
        <w:t xml:space="preserve">Despite its small size, the Seaview Resort has the potential to build relationships with bigger or returning customers. The UK is home to a number of multinational firms and international global enterprise units. Unlike the traditional practice of British enterprises, numerous multinational companies, offer compensated holiday leave to top workers as a gesture of reward. The Seaview Resort seizes the potential presented by its collaborations with these business-to-business (B2B) firms (Arnold and Artz, 2015). It refers to developing long-term relationships with groups of devoted customers through continuous and dependable methods of contact.  This information may also be useful in finding the equilibrium of occupancy. In contrast, The Seaview Resort's B2B markets do not include facilities for meetings, corporate gatherings, or other business-related reasons. </w:t>
      </w:r>
    </w:p>
    <w:p w14:paraId="0DDA8EC1" w14:textId="77777777" w:rsidR="00B573E9" w:rsidRDefault="00065069">
      <w:pPr>
        <w:jc w:val="both"/>
        <w:rPr>
          <w:rFonts w:cs="Times New Roman"/>
        </w:rPr>
      </w:pPr>
      <w:r>
        <w:rPr>
          <w:rFonts w:cs="Times New Roman"/>
        </w:rPr>
        <w:br w:type="page"/>
      </w:r>
    </w:p>
    <w:p w14:paraId="14A33E49" w14:textId="77777777" w:rsidR="00B573E9" w:rsidRDefault="00065069">
      <w:pPr>
        <w:pStyle w:val="Heading1"/>
      </w:pPr>
      <w:bookmarkStart w:id="32" w:name="_Toc468"/>
      <w:bookmarkStart w:id="33" w:name="_Toc151000699"/>
      <w:r>
        <w:lastRenderedPageBreak/>
        <w:t>References</w:t>
      </w:r>
      <w:bookmarkEnd w:id="32"/>
      <w:bookmarkEnd w:id="33"/>
    </w:p>
    <w:p w14:paraId="55992486" w14:textId="77777777" w:rsidR="00B573E9" w:rsidRDefault="00065069">
      <w:pPr>
        <w:jc w:val="both"/>
        <w:rPr>
          <w:rFonts w:cs="Times New Roman"/>
        </w:rPr>
      </w:pPr>
      <w:r>
        <w:rPr>
          <w:rFonts w:cs="Times New Roman"/>
        </w:rPr>
        <w:t>Arnold, M.C. and Artz, M., 2015. Target difficulty, target flexibility, and firm performance: Evidence from business units’ targets. Accounting, organizations and society, 40, pp.61-77.</w:t>
      </w:r>
    </w:p>
    <w:p w14:paraId="6F1B16BF" w14:textId="77777777" w:rsidR="00B573E9" w:rsidRDefault="00065069">
      <w:pPr>
        <w:pStyle w:val="Notes-NoBold"/>
        <w:jc w:val="both"/>
        <w:rPr>
          <w:rFonts w:cs="Times New Roman"/>
          <w:sz w:val="24"/>
        </w:rPr>
      </w:pPr>
      <w:r>
        <w:rPr>
          <w:rFonts w:cs="Times New Roman"/>
          <w:sz w:val="24"/>
        </w:rPr>
        <w:t>Atrill, P. and McLaney, E. (2018) Accounting and Finance for Non-Specialists. 11th Ed. Harlow:Pearson</w:t>
      </w:r>
    </w:p>
    <w:p w14:paraId="7D449711" w14:textId="77777777" w:rsidR="00B573E9" w:rsidRDefault="00065069">
      <w:pPr>
        <w:jc w:val="both"/>
        <w:rPr>
          <w:rFonts w:cs="Times New Roman"/>
        </w:rPr>
      </w:pPr>
      <w:r>
        <w:rPr>
          <w:rFonts w:cs="Times New Roman"/>
        </w:rPr>
        <w:t>Bogsnes, B., 2016. Implementing beyond budgeting: Unlocking the performance potential. John Wiley &amp; Sons.</w:t>
      </w:r>
    </w:p>
    <w:p w14:paraId="4B6466C7" w14:textId="77777777" w:rsidR="00B573E9" w:rsidRDefault="00065069">
      <w:pPr>
        <w:jc w:val="both"/>
        <w:rPr>
          <w:rFonts w:cs="Times New Roman"/>
        </w:rPr>
      </w:pPr>
      <w:r>
        <w:rPr>
          <w:rFonts w:cs="Times New Roman"/>
        </w:rPr>
        <w:t>Hayer, K.E., Pizarro, A., Lahens, N.F., Hogenesch, J.B. and Grant, G.R., 2015. Benchmark analysis of algorithms for determining and quantifying full-length mRNA splice forms from RNA-seq data. Bioinformatics, 31(24), pp.3938-3945.</w:t>
      </w:r>
    </w:p>
    <w:p w14:paraId="65C7C705" w14:textId="77777777" w:rsidR="00B573E9" w:rsidRDefault="00065069">
      <w:pPr>
        <w:jc w:val="both"/>
        <w:rPr>
          <w:rFonts w:cs="Times New Roman"/>
        </w:rPr>
      </w:pPr>
      <w:r>
        <w:rPr>
          <w:rFonts w:cs="Times New Roman"/>
        </w:rPr>
        <w:t>Heong, A.Y.K., Heang, L.T., Said, J. and Teng, Y.S., 2013. Adoption, Benefits, and Challenges of Strategic Management Accounting Practices: Evidence from Market. Asia-Pacific Management Accounting Journal, 8(2), pp.27-45.</w:t>
      </w:r>
    </w:p>
    <w:p w14:paraId="3C2AE5C8" w14:textId="77777777" w:rsidR="00B573E9" w:rsidRDefault="00065069">
      <w:pPr>
        <w:jc w:val="both"/>
        <w:rPr>
          <w:rFonts w:cs="Times New Roman"/>
        </w:rPr>
      </w:pPr>
      <w:r>
        <w:rPr>
          <w:rFonts w:cs="Times New Roman"/>
        </w:rPr>
        <w:t>Ivanov, K., Avramova, M., Kamerow, S., Kodeli, I.A., Sartori, E., Ivanov, E. and Cabellos, O., 2013. The benchmark for uncertainty analysis in modeling (UAM) for design, operation and safety analysis of LWRs (Vol. 1). OECD Nuclear Energy Agency.</w:t>
      </w:r>
    </w:p>
    <w:p w14:paraId="54BDF0C3" w14:textId="77777777" w:rsidR="00B573E9" w:rsidRDefault="00065069">
      <w:pPr>
        <w:jc w:val="both"/>
        <w:rPr>
          <w:rFonts w:cs="Times New Roman"/>
        </w:rPr>
      </w:pPr>
      <w:r>
        <w:rPr>
          <w:rFonts w:cs="Times New Roman"/>
        </w:rPr>
        <w:t>Kneale, M., Bartholomew, J.S., Davies, E. and Denning, D.W., 2016. Global access to anti fungal therapy and its variable cost. Journal of Antimicrobial Chemotherapy, 71(12), pp.3599-3606.</w:t>
      </w:r>
    </w:p>
    <w:p w14:paraId="15CA5125" w14:textId="77777777" w:rsidR="00B573E9" w:rsidRDefault="00065069">
      <w:pPr>
        <w:jc w:val="both"/>
        <w:rPr>
          <w:rFonts w:cs="Times New Roman"/>
        </w:rPr>
      </w:pPr>
      <w:r>
        <w:rPr>
          <w:rFonts w:cs="Times New Roman"/>
        </w:rPr>
        <w:t>Lordkipanidze, R., 2019. My" Discovery" of the Relationship Between Fixed Costs (FC) and Efficiency. Tbilisi, Charity Partnership for Free Epochal Reserchgate. net, As E-Experiment Findings, 28.</w:t>
      </w:r>
    </w:p>
    <w:p w14:paraId="0D97A5ED" w14:textId="77777777" w:rsidR="00B573E9" w:rsidRDefault="00065069">
      <w:pPr>
        <w:jc w:val="both"/>
        <w:rPr>
          <w:rFonts w:cs="Times New Roman"/>
        </w:rPr>
      </w:pPr>
      <w:r>
        <w:rPr>
          <w:rFonts w:cs="Times New Roman"/>
        </w:rPr>
        <w:t>Muda, I. and Naibaho, R., 2018, March. Variables influencing the allocation of capital expenditure in Indonesia. In IOP Conference Series: Earth and Environmental Science (Vol. 126, No. 1, p. 012066). IOP Publishing.</w:t>
      </w:r>
    </w:p>
    <w:p w14:paraId="0DC53264" w14:textId="77777777" w:rsidR="00B573E9" w:rsidRDefault="00065069">
      <w:pPr>
        <w:jc w:val="both"/>
        <w:rPr>
          <w:rFonts w:cs="Times New Roman"/>
        </w:rPr>
      </w:pPr>
      <w:r>
        <w:rPr>
          <w:rFonts w:cs="Times New Roman"/>
        </w:rPr>
        <w:t>Nawaz, M., 2013. An Insight Into the Two Costing Techniques: Absorption Costing and Marginal Costing. BRAND. Broad Research in Accounting, Negotiation, and Distribution, 4(1), pp.48-61.</w:t>
      </w:r>
    </w:p>
    <w:p w14:paraId="612AF021" w14:textId="77777777" w:rsidR="00B573E9" w:rsidRDefault="00065069">
      <w:pPr>
        <w:jc w:val="both"/>
        <w:rPr>
          <w:rFonts w:cs="Times New Roman"/>
        </w:rPr>
      </w:pPr>
      <w:r>
        <w:rPr>
          <w:rFonts w:cs="Times New Roman"/>
        </w:rPr>
        <w:t>Parameter, D., 2015. Key performance indicators: developing, implementing, and using winning KPIs. John Wiley &amp; Sons.</w:t>
      </w:r>
    </w:p>
    <w:p w14:paraId="474B1EF8" w14:textId="77777777" w:rsidR="00B573E9" w:rsidRDefault="00065069">
      <w:pPr>
        <w:jc w:val="both"/>
        <w:rPr>
          <w:rFonts w:cs="Times New Roman"/>
        </w:rPr>
      </w:pPr>
      <w:r>
        <w:rPr>
          <w:rFonts w:cs="Times New Roman"/>
        </w:rPr>
        <w:t>Quesado, P.R., Aibar Guzmán, B. and Lima Rodrigues, L., 2018. Advantages and contributions in the balanced scorecard implementation. Intangible capital, 14(1), pp.186-201.</w:t>
      </w:r>
    </w:p>
    <w:p w14:paraId="27EFE909" w14:textId="77777777" w:rsidR="00B573E9" w:rsidRDefault="00065069">
      <w:pPr>
        <w:jc w:val="both"/>
        <w:rPr>
          <w:rFonts w:cs="Times New Roman"/>
        </w:rPr>
      </w:pPr>
      <w:r>
        <w:rPr>
          <w:rFonts w:cs="Times New Roman"/>
        </w:rPr>
        <w:t>Rizza, C. and Ruggeri, D., 2018. The institutionalization of management accounting tools in family firms: the relevance of multiple logics. Journal of Management Control, 28(4), pp.503-528.</w:t>
      </w:r>
    </w:p>
    <w:p w14:paraId="39CBC90C" w14:textId="77777777" w:rsidR="00B573E9" w:rsidRDefault="00065069">
      <w:pPr>
        <w:jc w:val="both"/>
        <w:rPr>
          <w:rFonts w:cs="Times New Roman"/>
        </w:rPr>
      </w:pPr>
      <w:r>
        <w:rPr>
          <w:rFonts w:cs="Times New Roman"/>
        </w:rPr>
        <w:lastRenderedPageBreak/>
        <w:t>Saha, E. and Ray, P.K., 2019. Modeling and analysis of inventory management systems in healthcare: A review and reflections. Computers &amp; Industrial Engineering, 137, p.106051.</w:t>
      </w:r>
    </w:p>
    <w:p w14:paraId="59ECB5D6" w14:textId="77777777" w:rsidR="00B573E9" w:rsidRDefault="00065069">
      <w:pPr>
        <w:jc w:val="both"/>
        <w:rPr>
          <w:rFonts w:cs="Times New Roman"/>
        </w:rPr>
      </w:pPr>
      <w:r>
        <w:rPr>
          <w:rFonts w:cs="Times New Roman"/>
        </w:rPr>
        <w:t>Schaltegger, S. and Crutzen, N., 2016. Integrating corporate sustainability assessment, management accounting, control, and reporting. Journal of Cleaner Production, 136, pp.237-248.</w:t>
      </w:r>
    </w:p>
    <w:p w14:paraId="6908C2D5" w14:textId="77777777" w:rsidR="00B573E9" w:rsidRDefault="00065069">
      <w:pPr>
        <w:jc w:val="both"/>
        <w:rPr>
          <w:rFonts w:cs="Times New Roman"/>
        </w:rPr>
      </w:pPr>
      <w:r>
        <w:rPr>
          <w:rFonts w:cs="Times New Roman"/>
        </w:rPr>
        <w:t>Sherwood, M., 2015. Medium-term budgetary frameworks in the EU member states (No. 021). Directorate General Economic and Financial Affairs (DG ECFIN), European Commission.</w:t>
      </w:r>
    </w:p>
    <w:p w14:paraId="10275B65" w14:textId="77777777" w:rsidR="00B573E9" w:rsidRDefault="00065069">
      <w:pPr>
        <w:jc w:val="both"/>
        <w:rPr>
          <w:rFonts w:cs="Times New Roman"/>
        </w:rPr>
      </w:pPr>
      <w:r>
        <w:rPr>
          <w:rFonts w:cs="Times New Roman"/>
        </w:rPr>
        <w:t>Skaife, H.A., Veenman, D. and Wangerin, D., 2013. Internal control over financial reporting and managerial rent extraction: Evidence from the profitability of insider trading. Journal of Accounting and Economics, 55(1), pp.91-110.</w:t>
      </w:r>
    </w:p>
    <w:p w14:paraId="50E9E863" w14:textId="77777777" w:rsidR="00B573E9" w:rsidRDefault="00065069">
      <w:pPr>
        <w:jc w:val="both"/>
        <w:rPr>
          <w:rFonts w:cs="Times New Roman"/>
        </w:rPr>
      </w:pPr>
      <w:r>
        <w:rPr>
          <w:rFonts w:cs="Times New Roman"/>
        </w:rPr>
        <w:t>Sunarni, C.W., 2013. Management accounting practices and the role of management accountant: Evidence from manufacturing companies throughout Yogyakarta, Indonesia. Review of Integrative Business and Economics Research, 2(2), pp.616-626</w:t>
      </w:r>
    </w:p>
    <w:p w14:paraId="38850EBC" w14:textId="77777777" w:rsidR="00B573E9" w:rsidRDefault="00065069">
      <w:pPr>
        <w:jc w:val="both"/>
        <w:rPr>
          <w:rFonts w:cs="Times New Roman"/>
        </w:rPr>
      </w:pPr>
      <w:r>
        <w:rPr>
          <w:rFonts w:cs="Times New Roman"/>
        </w:rPr>
        <w:t>Taschner, A. and Charifzadeh, M., (2016). Management and cost accounting: tools and concepts in a Central European context. John Wiley &amp; Sons.</w:t>
      </w:r>
    </w:p>
    <w:p w14:paraId="639303EF" w14:textId="77777777" w:rsidR="00B573E9" w:rsidRDefault="00065069">
      <w:pPr>
        <w:jc w:val="both"/>
        <w:rPr>
          <w:rFonts w:cs="Times New Roman"/>
        </w:rPr>
      </w:pPr>
      <w:r>
        <w:rPr>
          <w:rFonts w:cs="Times New Roman"/>
        </w:rPr>
        <w:t>Tsai, W.H., Chen, H.C., Leu, J.D., Chang, Y.C. and Lin, T.W., 2013. A product-mix decision model using green manufacturing technologies under activity-based costing. Journal of cleaner production, 57, pp.178-187.</w:t>
      </w:r>
    </w:p>
    <w:p w14:paraId="1A0AC629" w14:textId="77777777" w:rsidR="00B573E9" w:rsidRDefault="00065069">
      <w:pPr>
        <w:jc w:val="both"/>
        <w:rPr>
          <w:rFonts w:cs="Times New Roman"/>
        </w:rPr>
      </w:pPr>
      <w:r>
        <w:rPr>
          <w:rFonts w:cs="Times New Roman"/>
        </w:rPr>
        <w:t>Tsaioun, K., Blaauboer, B.J. and Hartung, T., 2016. Evidence-based absorption, distribution, metabolism, excretion (ADME) and its interplay with alternative toxicity methods. Alternatives to Animal Experimentation: ALTEX, 33(4), pp.343-358.</w:t>
      </w:r>
    </w:p>
    <w:p w14:paraId="2A60E0AC" w14:textId="77777777" w:rsidR="00B573E9" w:rsidRDefault="00B573E9">
      <w:pPr>
        <w:jc w:val="both"/>
        <w:rPr>
          <w:rFonts w:cs="Times New Roman"/>
        </w:rPr>
      </w:pPr>
    </w:p>
    <w:p w14:paraId="6197EECA" w14:textId="77777777" w:rsidR="00B573E9" w:rsidRDefault="00B573E9">
      <w:pPr>
        <w:jc w:val="both"/>
        <w:rPr>
          <w:rFonts w:cs="Times New Roman"/>
        </w:rPr>
      </w:pPr>
    </w:p>
    <w:p w14:paraId="1CB0A017" w14:textId="77777777" w:rsidR="00B573E9" w:rsidRDefault="00B573E9">
      <w:pPr>
        <w:jc w:val="both"/>
        <w:rPr>
          <w:rFonts w:cs="Times New Roman"/>
        </w:rPr>
      </w:pPr>
    </w:p>
    <w:p w14:paraId="3EFA4AA1" w14:textId="77777777" w:rsidR="00B573E9" w:rsidRDefault="00B573E9">
      <w:pPr>
        <w:jc w:val="both"/>
        <w:rPr>
          <w:rFonts w:cs="Times New Roman"/>
        </w:rPr>
      </w:pPr>
    </w:p>
    <w:p w14:paraId="230DC5C7" w14:textId="77777777" w:rsidR="00B573E9" w:rsidRDefault="00B573E9">
      <w:pPr>
        <w:jc w:val="both"/>
        <w:rPr>
          <w:rFonts w:cs="Times New Roman"/>
        </w:rPr>
      </w:pPr>
    </w:p>
    <w:p w14:paraId="62691B1D" w14:textId="77777777" w:rsidR="00B573E9" w:rsidRDefault="00B573E9">
      <w:pPr>
        <w:jc w:val="both"/>
        <w:rPr>
          <w:rFonts w:cs="Times New Roman"/>
        </w:rPr>
      </w:pPr>
    </w:p>
    <w:p w14:paraId="75420DBC" w14:textId="77777777" w:rsidR="00B573E9" w:rsidRDefault="00B573E9">
      <w:pPr>
        <w:jc w:val="both"/>
        <w:rPr>
          <w:rFonts w:cs="Times New Roman"/>
        </w:rPr>
      </w:pPr>
    </w:p>
    <w:p w14:paraId="0215DC36" w14:textId="77777777" w:rsidR="00B573E9" w:rsidRDefault="00B573E9">
      <w:pPr>
        <w:jc w:val="both"/>
        <w:rPr>
          <w:rFonts w:cs="Times New Roman"/>
        </w:rPr>
      </w:pPr>
    </w:p>
    <w:p w14:paraId="1BADC149" w14:textId="77777777" w:rsidR="00B573E9" w:rsidRDefault="00B573E9">
      <w:pPr>
        <w:jc w:val="both"/>
        <w:rPr>
          <w:rFonts w:cs="Times New Roman"/>
        </w:rPr>
      </w:pPr>
    </w:p>
    <w:p w14:paraId="73DCD3CD" w14:textId="77777777" w:rsidR="00B573E9" w:rsidRDefault="00B573E9">
      <w:pPr>
        <w:jc w:val="both"/>
        <w:rPr>
          <w:rFonts w:cs="Times New Roman"/>
        </w:rPr>
      </w:pPr>
    </w:p>
    <w:p w14:paraId="79B65ED9" w14:textId="77777777" w:rsidR="00B573E9" w:rsidRDefault="00B573E9">
      <w:pPr>
        <w:jc w:val="both"/>
        <w:rPr>
          <w:rFonts w:cs="Times New Roman"/>
        </w:rPr>
      </w:pPr>
    </w:p>
    <w:p w14:paraId="6461A2F1" w14:textId="77777777" w:rsidR="00B573E9" w:rsidRDefault="00B573E9">
      <w:pPr>
        <w:jc w:val="both"/>
        <w:rPr>
          <w:rFonts w:cs="Times New Roman"/>
        </w:rPr>
      </w:pPr>
    </w:p>
    <w:p w14:paraId="10B4D7FD" w14:textId="77777777" w:rsidR="00B573E9" w:rsidRDefault="00B573E9">
      <w:pPr>
        <w:jc w:val="both"/>
        <w:rPr>
          <w:rFonts w:cs="Times New Roman"/>
        </w:rPr>
      </w:pPr>
    </w:p>
    <w:sectPr w:rsidR="00B573E9">
      <w:footerReference w:type="default" r:id="rId11"/>
      <w:pgSz w:w="11906" w:h="16838"/>
      <w:pgMar w:top="1440" w:right="1080" w:bottom="1440" w:left="108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88C75" w14:textId="77777777" w:rsidR="008A43D0" w:rsidRDefault="008A43D0">
      <w:pPr>
        <w:spacing w:line="240" w:lineRule="auto"/>
      </w:pPr>
      <w:r>
        <w:separator/>
      </w:r>
    </w:p>
  </w:endnote>
  <w:endnote w:type="continuationSeparator" w:id="0">
    <w:p w14:paraId="7A77E91E" w14:textId="77777777" w:rsidR="008A43D0" w:rsidRDefault="008A43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auto"/>
    <w:pitch w:val="default"/>
    <w:sig w:usb0="00000001" w:usb1="080E0000" w:usb2="00000010" w:usb3="00000000" w:csb0="0004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963C57" w14:textId="77777777" w:rsidR="00304851" w:rsidRDefault="003048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C336B9" w14:textId="77777777" w:rsidR="00B573E9" w:rsidRDefault="00B573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E0DE19" w14:textId="77777777" w:rsidR="00B573E9" w:rsidRDefault="00065069">
    <w:pPr>
      <w:pStyle w:val="Footer"/>
    </w:pPr>
    <w:r>
      <w:rPr>
        <w:noProof/>
        <w:lang w:eastAsia="en-US"/>
      </w:rPr>
      <mc:AlternateContent>
        <mc:Choice Requires="wps">
          <w:drawing>
            <wp:anchor distT="0" distB="0" distL="114300" distR="114300" simplePos="0" relativeHeight="251660288" behindDoc="0" locked="0" layoutInCell="1" allowOverlap="1" wp14:anchorId="29534E65" wp14:editId="7BF34FC1">
              <wp:simplePos x="0" y="0"/>
              <wp:positionH relativeFrom="margin">
                <wp:align>center</wp:align>
              </wp:positionH>
              <wp:positionV relativeFrom="paragraph">
                <wp:posOffset>0</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4047A1DD" w14:textId="77777777" w:rsidR="00B573E9" w:rsidRDefault="00065069">
                          <w:pPr>
                            <w:pStyle w:val="Footer"/>
                          </w:pPr>
                          <w:r>
                            <w:fldChar w:fldCharType="begin"/>
                          </w:r>
                          <w:r>
                            <w:instrText xml:space="preserve"> PAGE  \* MERGEFORMAT </w:instrText>
                          </w:r>
                          <w:r>
                            <w:fldChar w:fldCharType="separate"/>
                          </w:r>
                          <w:r w:rsidR="00B45383">
                            <w:rPr>
                              <w:noProof/>
                            </w:rP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9534E65" id="_x0000_t202" coordsize="21600,21600" o:spt="202" path="m,l,21600r21600,l21600,xe">
              <v:stroke joinstyle="miter"/>
              <v:path gradientshapeok="t" o:connecttype="rect"/>
            </v:shapetype>
            <v:shape id="Text Box 5" o:spid="_x0000_s1026" type="#_x0000_t202" style="position:absolute;margin-left:0;margin-top:0;width:2in;height:2in;z-index:25166028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" filled="f" stroked="f" strokeweight=".5pt">
              <v:textbox style="mso-fit-shape-to-text:t" inset="0,0,0,0">
                <w:txbxContent>
                  <w:p w14:paraId="4047A1DD" w14:textId="77777777" w:rsidR="00B573E9" w:rsidRDefault="00065069">
                    <w:pPr>
                      <w:pStyle w:val="Footer"/>
                    </w:pPr>
                    <w:r>
                      <w:fldChar w:fldCharType="begin"/>
                    </w:r>
                    <w:r>
                      <w:instrText xml:space="preserve"> PAGE  \* MERGEFORMAT </w:instrText>
                    </w:r>
                    <w:r>
                      <w:fldChar w:fldCharType="separate"/>
                    </w:r>
                    <w:r w:rsidR="00B45383">
                      <w:rPr>
                        <w:noProof/>
                      </w:rP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4ECBC" w14:textId="77777777" w:rsidR="008A43D0" w:rsidRDefault="008A43D0">
      <w:r>
        <w:separator/>
      </w:r>
    </w:p>
  </w:footnote>
  <w:footnote w:type="continuationSeparator" w:id="0">
    <w:p w14:paraId="3B0CAB8D" w14:textId="77777777" w:rsidR="008A43D0" w:rsidRDefault="008A43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D678895"/>
    <w:multiLevelType w:val="singleLevel"/>
    <w:tmpl w:val="E17A9A04"/>
    <w:lvl w:ilvl="0">
      <w:start w:val="1"/>
      <w:numFmt w:val="decimal"/>
      <w:suff w:val="space"/>
      <w:lvlText w:val="%1."/>
      <w:lvlJc w:val="left"/>
      <w:rPr>
        <w:b/>
      </w:rPr>
    </w:lvl>
  </w:abstractNum>
  <w:abstractNum w:abstractNumId="1" w15:restartNumberingAfterBreak="0">
    <w:nsid w:val="BF73BDF2"/>
    <w:multiLevelType w:val="singleLevel"/>
    <w:tmpl w:val="BF73BDF2"/>
    <w:lvl w:ilvl="0">
      <w:start w:val="1"/>
      <w:numFmt w:val="decimal"/>
      <w:suff w:val="space"/>
      <w:lvlText w:val="%1."/>
      <w:lvlJc w:val="left"/>
    </w:lvl>
  </w:abstractNum>
  <w:abstractNum w:abstractNumId="2" w15:restartNumberingAfterBreak="0">
    <w:nsid w:val="C4318996"/>
    <w:multiLevelType w:val="singleLevel"/>
    <w:tmpl w:val="C4318996"/>
    <w:lvl w:ilvl="0">
      <w:start w:val="1"/>
      <w:numFmt w:val="bullet"/>
      <w:lvlText w:val=""/>
      <w:lvlJc w:val="left"/>
      <w:pPr>
        <w:tabs>
          <w:tab w:val="left" w:pos="420"/>
        </w:tabs>
        <w:ind w:left="420" w:hanging="420"/>
      </w:pPr>
      <w:rPr>
        <w:rFonts w:ascii="Wingdings" w:hAnsi="Wingdings" w:hint="default"/>
      </w:rPr>
    </w:lvl>
  </w:abstractNum>
  <w:abstractNum w:abstractNumId="3"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4"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5"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6"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7"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8"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9"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10"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11"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12"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abstractNum w:abstractNumId="13" w15:restartNumberingAfterBreak="0">
    <w:nsid w:val="045AD0B5"/>
    <w:multiLevelType w:val="singleLevel"/>
    <w:tmpl w:val="045AD0B5"/>
    <w:lvl w:ilvl="0">
      <w:start w:val="1"/>
      <w:numFmt w:val="decimal"/>
      <w:suff w:val="space"/>
      <w:lvlText w:val="%1."/>
      <w:lvlJc w:val="left"/>
    </w:lvl>
  </w:abstractNum>
  <w:abstractNum w:abstractNumId="14" w15:restartNumberingAfterBreak="0">
    <w:nsid w:val="4AE56F66"/>
    <w:multiLevelType w:val="hybridMultilevel"/>
    <w:tmpl w:val="CD0A7ABA"/>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15" w15:restartNumberingAfterBreak="0">
    <w:nsid w:val="738B3D73"/>
    <w:multiLevelType w:val="singleLevel"/>
    <w:tmpl w:val="738B3D73"/>
    <w:lvl w:ilvl="0">
      <w:start w:val="1"/>
      <w:numFmt w:val="decimal"/>
      <w:suff w:val="space"/>
      <w:lvlText w:val="%1."/>
      <w:lvlJc w:val="left"/>
    </w:lvl>
  </w:abstractNum>
  <w:num w:numId="1" w16cid:durableId="2017727918">
    <w:abstractNumId w:val="12"/>
  </w:num>
  <w:num w:numId="2" w16cid:durableId="1871604518">
    <w:abstractNumId w:val="10"/>
  </w:num>
  <w:num w:numId="3" w16cid:durableId="1984505427">
    <w:abstractNumId w:val="9"/>
  </w:num>
  <w:num w:numId="4" w16cid:durableId="1008364459">
    <w:abstractNumId w:val="8"/>
  </w:num>
  <w:num w:numId="5" w16cid:durableId="1521813878">
    <w:abstractNumId w:val="7"/>
  </w:num>
  <w:num w:numId="6" w16cid:durableId="1502310847">
    <w:abstractNumId w:val="11"/>
  </w:num>
  <w:num w:numId="7" w16cid:durableId="333382346">
    <w:abstractNumId w:val="6"/>
  </w:num>
  <w:num w:numId="8" w16cid:durableId="587888693">
    <w:abstractNumId w:val="5"/>
  </w:num>
  <w:num w:numId="9" w16cid:durableId="1679769682">
    <w:abstractNumId w:val="4"/>
  </w:num>
  <w:num w:numId="10" w16cid:durableId="2131825376">
    <w:abstractNumId w:val="3"/>
  </w:num>
  <w:num w:numId="11" w16cid:durableId="1979533002">
    <w:abstractNumId w:val="13"/>
  </w:num>
  <w:num w:numId="12" w16cid:durableId="2054765752">
    <w:abstractNumId w:val="1"/>
  </w:num>
  <w:num w:numId="13" w16cid:durableId="615789791">
    <w:abstractNumId w:val="2"/>
  </w:num>
  <w:num w:numId="14" w16cid:durableId="204561583">
    <w:abstractNumId w:val="15"/>
  </w:num>
  <w:num w:numId="15" w16cid:durableId="272636603">
    <w:abstractNumId w:val="0"/>
  </w:num>
  <w:num w:numId="16" w16cid:durableId="63799486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5494594B"/>
    <w:rsid w:val="000443CF"/>
    <w:rsid w:val="00050A31"/>
    <w:rsid w:val="00065069"/>
    <w:rsid w:val="000716D2"/>
    <w:rsid w:val="00071AAB"/>
    <w:rsid w:val="000B76C4"/>
    <w:rsid w:val="000C5610"/>
    <w:rsid w:val="000D077F"/>
    <w:rsid w:val="000E250C"/>
    <w:rsid w:val="000E6552"/>
    <w:rsid w:val="000F3A4F"/>
    <w:rsid w:val="000F59AC"/>
    <w:rsid w:val="00110231"/>
    <w:rsid w:val="001364FE"/>
    <w:rsid w:val="001368DD"/>
    <w:rsid w:val="00147DB3"/>
    <w:rsid w:val="001518A5"/>
    <w:rsid w:val="00170095"/>
    <w:rsid w:val="00170E4F"/>
    <w:rsid w:val="001743F4"/>
    <w:rsid w:val="00187C33"/>
    <w:rsid w:val="001936B7"/>
    <w:rsid w:val="00196AB1"/>
    <w:rsid w:val="00201333"/>
    <w:rsid w:val="00210FA7"/>
    <w:rsid w:val="00216417"/>
    <w:rsid w:val="0023253A"/>
    <w:rsid w:val="002636C5"/>
    <w:rsid w:val="0026631D"/>
    <w:rsid w:val="002C2F53"/>
    <w:rsid w:val="00304851"/>
    <w:rsid w:val="0033518C"/>
    <w:rsid w:val="003437C2"/>
    <w:rsid w:val="00377186"/>
    <w:rsid w:val="00384C3C"/>
    <w:rsid w:val="003A1C03"/>
    <w:rsid w:val="003E688C"/>
    <w:rsid w:val="00414627"/>
    <w:rsid w:val="00425D63"/>
    <w:rsid w:val="004643D8"/>
    <w:rsid w:val="00497C24"/>
    <w:rsid w:val="004A65DF"/>
    <w:rsid w:val="004C7BA5"/>
    <w:rsid w:val="004E7628"/>
    <w:rsid w:val="004F1DB8"/>
    <w:rsid w:val="004F48F2"/>
    <w:rsid w:val="005149B1"/>
    <w:rsid w:val="005647F2"/>
    <w:rsid w:val="005662D1"/>
    <w:rsid w:val="00573A09"/>
    <w:rsid w:val="005A4526"/>
    <w:rsid w:val="005C1B16"/>
    <w:rsid w:val="005E53D0"/>
    <w:rsid w:val="006002EB"/>
    <w:rsid w:val="006128EF"/>
    <w:rsid w:val="006264B4"/>
    <w:rsid w:val="00641C43"/>
    <w:rsid w:val="00643033"/>
    <w:rsid w:val="00644CC3"/>
    <w:rsid w:val="00661468"/>
    <w:rsid w:val="006649F0"/>
    <w:rsid w:val="0067245D"/>
    <w:rsid w:val="0068470E"/>
    <w:rsid w:val="00695DCD"/>
    <w:rsid w:val="006A05CC"/>
    <w:rsid w:val="006A35A7"/>
    <w:rsid w:val="006F0F27"/>
    <w:rsid w:val="007152D7"/>
    <w:rsid w:val="0074535B"/>
    <w:rsid w:val="00746C14"/>
    <w:rsid w:val="007818D6"/>
    <w:rsid w:val="007C2C59"/>
    <w:rsid w:val="007D478A"/>
    <w:rsid w:val="007E3DF9"/>
    <w:rsid w:val="00801F23"/>
    <w:rsid w:val="00837632"/>
    <w:rsid w:val="0085640F"/>
    <w:rsid w:val="008567AA"/>
    <w:rsid w:val="00873C62"/>
    <w:rsid w:val="00892712"/>
    <w:rsid w:val="008A43D0"/>
    <w:rsid w:val="008A680A"/>
    <w:rsid w:val="008B0BB0"/>
    <w:rsid w:val="008B2639"/>
    <w:rsid w:val="008E6C4B"/>
    <w:rsid w:val="008F18C0"/>
    <w:rsid w:val="00907648"/>
    <w:rsid w:val="00930FDE"/>
    <w:rsid w:val="00984C93"/>
    <w:rsid w:val="00987CE1"/>
    <w:rsid w:val="0099405C"/>
    <w:rsid w:val="009C600F"/>
    <w:rsid w:val="009D3723"/>
    <w:rsid w:val="009E04F2"/>
    <w:rsid w:val="009F1A87"/>
    <w:rsid w:val="00A03B7B"/>
    <w:rsid w:val="00A200C9"/>
    <w:rsid w:val="00A250D5"/>
    <w:rsid w:val="00A32B10"/>
    <w:rsid w:val="00A32F56"/>
    <w:rsid w:val="00A36028"/>
    <w:rsid w:val="00A91424"/>
    <w:rsid w:val="00AA2C77"/>
    <w:rsid w:val="00AC3762"/>
    <w:rsid w:val="00AC3FB9"/>
    <w:rsid w:val="00AC702A"/>
    <w:rsid w:val="00AD226F"/>
    <w:rsid w:val="00B01705"/>
    <w:rsid w:val="00B13A52"/>
    <w:rsid w:val="00B24CF4"/>
    <w:rsid w:val="00B26993"/>
    <w:rsid w:val="00B45383"/>
    <w:rsid w:val="00B4570C"/>
    <w:rsid w:val="00B5208C"/>
    <w:rsid w:val="00B573E9"/>
    <w:rsid w:val="00B60F79"/>
    <w:rsid w:val="00B74876"/>
    <w:rsid w:val="00B97FBD"/>
    <w:rsid w:val="00BB7C2B"/>
    <w:rsid w:val="00BC1664"/>
    <w:rsid w:val="00BC2546"/>
    <w:rsid w:val="00C05085"/>
    <w:rsid w:val="00C1593D"/>
    <w:rsid w:val="00C56C7E"/>
    <w:rsid w:val="00C776A4"/>
    <w:rsid w:val="00CA2C6C"/>
    <w:rsid w:val="00CB4952"/>
    <w:rsid w:val="00CC0600"/>
    <w:rsid w:val="00CC78AC"/>
    <w:rsid w:val="00CD3507"/>
    <w:rsid w:val="00CF7953"/>
    <w:rsid w:val="00D07232"/>
    <w:rsid w:val="00D10245"/>
    <w:rsid w:val="00D21BDD"/>
    <w:rsid w:val="00D623B3"/>
    <w:rsid w:val="00D65F07"/>
    <w:rsid w:val="00D92BB7"/>
    <w:rsid w:val="00DA2EE8"/>
    <w:rsid w:val="00DC5230"/>
    <w:rsid w:val="00DC76D2"/>
    <w:rsid w:val="00DD30ED"/>
    <w:rsid w:val="00E64C21"/>
    <w:rsid w:val="00EC24C6"/>
    <w:rsid w:val="00ED6D43"/>
    <w:rsid w:val="00EF2933"/>
    <w:rsid w:val="00F05146"/>
    <w:rsid w:val="00F1115D"/>
    <w:rsid w:val="00F33D7B"/>
    <w:rsid w:val="00F3513C"/>
    <w:rsid w:val="00F465C5"/>
    <w:rsid w:val="00F5180D"/>
    <w:rsid w:val="00F51B21"/>
    <w:rsid w:val="00F51D87"/>
    <w:rsid w:val="00F54994"/>
    <w:rsid w:val="00F84292"/>
    <w:rsid w:val="00F8455C"/>
    <w:rsid w:val="00FC6903"/>
    <w:rsid w:val="00FE6BB7"/>
    <w:rsid w:val="151D61B3"/>
    <w:rsid w:val="455A6952"/>
    <w:rsid w:val="5494594B"/>
    <w:rsid w:val="58F73F88"/>
    <w:rsid w:val="626403BB"/>
    <w:rsid w:val="69C2514C"/>
    <w:rsid w:val="7C3328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2FE192"/>
  <w15:docId w15:val="{4C4975A0-E496-42DE-AC5C-737897C32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annotation text" w:qFormat="1"/>
    <w:lsdException w:name="footer" w:uiPriority="99"/>
    <w:lsdException w:name="caption" w:semiHidden="1" w:unhideWhenUsed="1" w:qFormat="1"/>
    <w:lsdException w:name="envelope address" w:qFormat="1"/>
    <w:lsdException w:name="endnote reference" w:qFormat="1"/>
    <w:lsdException w:name="endnote text" w:qFormat="1"/>
    <w:lsdException w:name="List Number" w:qFormat="1"/>
    <w:lsdException w:name="List Bullet 5" w:qFormat="1"/>
    <w:lsdException w:name="List Number 2" w:qFormat="1"/>
    <w:lsdException w:name="Title" w:qFormat="1"/>
    <w:lsdException w:name="Default Paragraph Font" w:semiHidden="1" w:qFormat="1"/>
    <w:lsdException w:name="Body Text" w:qFormat="1"/>
    <w:lsdException w:name="List Continue" w:qFormat="1"/>
    <w:lsdException w:name="List Continue 5" w:qFormat="1"/>
    <w:lsdException w:name="Subtitle" w:qFormat="1"/>
    <w:lsdException w:name="Date" w:qFormat="1"/>
    <w:lsdException w:name="Body Text First Indent 2" w:qFormat="1"/>
    <w:lsdException w:name="Body Text 2" w:qFormat="1"/>
    <w:lsdException w:name="Body Text Indent 2" w:qFormat="1"/>
    <w:lsdException w:name="Body Text Indent 3" w:qFormat="1"/>
    <w:lsdException w:name="Hyperlink" w:uiPriority="99"/>
    <w:lsdException w:name="Strong" w:qFormat="1"/>
    <w:lsdException w:name="Emphasis" w:qFormat="1"/>
    <w:lsdException w:name="Document Map" w:qFormat="1"/>
    <w:lsdException w:name="E-mail Signature" w:qFormat="1"/>
    <w:lsdException w:name="HTML Top of Form" w:semiHidden="1" w:uiPriority="99" w:unhideWhenUsed="1"/>
    <w:lsdException w:name="HTML Bottom of Form" w:semiHidden="1" w:uiPriority="99" w:unhideWhenUsed="1"/>
    <w:lsdException w:name="Normal Table" w:semiHidden="1" w:unhideWhenUsed="1" w:qFormat="1"/>
    <w:lsdException w:name="annotation subject"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line="360" w:lineRule="auto"/>
    </w:pPr>
    <w:rPr>
      <w:rFonts w:eastAsiaTheme="minorEastAsia" w:cstheme="minorBidi"/>
      <w:sz w:val="24"/>
      <w:lang w:eastAsia="zh-CN"/>
    </w:rPr>
  </w:style>
  <w:style w:type="paragraph" w:styleId="Heading1">
    <w:name w:val="heading 1"/>
    <w:next w:val="Normal"/>
    <w:qFormat/>
    <w:pPr>
      <w:spacing w:beforeAutospacing="1" w:afterAutospacing="1" w:line="360" w:lineRule="auto"/>
      <w:jc w:val="both"/>
      <w:outlineLvl w:val="0"/>
    </w:pPr>
    <w:rPr>
      <w:b/>
      <w:bCs/>
      <w:kern w:val="44"/>
      <w:sz w:val="32"/>
      <w:szCs w:val="48"/>
      <w:lang w:eastAsia="zh-CN"/>
    </w:rPr>
  </w:style>
  <w:style w:type="paragraph" w:styleId="Heading2">
    <w:name w:val="heading 2"/>
    <w:next w:val="Normal"/>
    <w:unhideWhenUsed/>
    <w:qFormat/>
    <w:pPr>
      <w:spacing w:beforeAutospacing="1" w:afterAutospacing="1" w:line="360" w:lineRule="auto"/>
      <w:jc w:val="both"/>
      <w:outlineLvl w:val="1"/>
    </w:pPr>
    <w:rPr>
      <w:b/>
      <w:bCs/>
      <w:sz w:val="28"/>
      <w:szCs w:val="36"/>
      <w:lang w:eastAsia="zh-CN"/>
    </w:rPr>
  </w:style>
  <w:style w:type="paragraph" w:styleId="Heading3">
    <w:name w:val="heading 3"/>
    <w:basedOn w:val="Normal"/>
    <w:next w:val="Normal"/>
    <w:semiHidden/>
    <w:unhideWhenUsed/>
    <w:qFormat/>
    <w:pPr>
      <w:keepNext/>
      <w:keepLines/>
      <w:spacing w:before="260" w:after="260" w:line="416" w:lineRule="auto"/>
      <w:outlineLvl w:val="2"/>
    </w:pPr>
    <w:rPr>
      <w:b/>
      <w:bCs/>
      <w:sz w:val="32"/>
      <w:szCs w:val="32"/>
    </w:rPr>
  </w:style>
  <w:style w:type="paragraph" w:styleId="Heading4">
    <w:name w:val="heading 4"/>
    <w:basedOn w:val="Normal"/>
    <w:next w:val="Normal"/>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szCs w:val="24"/>
    </w:rPr>
  </w:style>
  <w:style w:type="paragraph" w:styleId="Heading7">
    <w:name w:val="heading 7"/>
    <w:basedOn w:val="Normal"/>
    <w:next w:val="Normal"/>
    <w:semiHidden/>
    <w:unhideWhenUsed/>
    <w:qFormat/>
    <w:pPr>
      <w:keepNext/>
      <w:keepLines/>
      <w:spacing w:before="240" w:after="64" w:line="320" w:lineRule="auto"/>
      <w:outlineLvl w:val="6"/>
    </w:pPr>
    <w:rPr>
      <w:b/>
      <w:bCs/>
      <w:szCs w:val="24"/>
    </w:rPr>
  </w:style>
  <w:style w:type="paragraph" w:styleId="Heading8">
    <w:name w:val="heading 8"/>
    <w:basedOn w:val="Normal"/>
    <w:next w:val="Normal"/>
    <w:semiHidden/>
    <w:unhideWhenUsed/>
    <w:qFormat/>
    <w:pPr>
      <w:keepNext/>
      <w:keepLines/>
      <w:spacing w:before="240" w:after="64" w:line="320" w:lineRule="auto"/>
      <w:outlineLvl w:val="7"/>
    </w:pPr>
    <w:rPr>
      <w:szCs w:val="24"/>
    </w:r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qFormat/>
    <w:rPr>
      <w:sz w:val="16"/>
      <w:szCs w:val="16"/>
    </w:rPr>
  </w:style>
  <w:style w:type="paragraph" w:styleId="BlockText">
    <w:name w:val="Block Text"/>
    <w:basedOn w:val="Normal"/>
    <w:pPr>
      <w:spacing w:after="120"/>
      <w:ind w:leftChars="700" w:left="1440" w:rightChars="700" w:right="1440"/>
    </w:pPr>
  </w:style>
  <w:style w:type="paragraph" w:styleId="BodyText">
    <w:name w:val="Body Text"/>
    <w:basedOn w:val="Normal"/>
    <w:qFormat/>
    <w:pPr>
      <w:spacing w:after="120"/>
    </w:pPr>
  </w:style>
  <w:style w:type="paragraph" w:styleId="BodyText2">
    <w:name w:val="Body Text 2"/>
    <w:basedOn w:val="Normal"/>
    <w:qFormat/>
    <w:pPr>
      <w:spacing w:after="120" w:line="480" w:lineRule="auto"/>
    </w:pPr>
  </w:style>
  <w:style w:type="paragraph" w:styleId="BodyText3">
    <w:name w:val="Body Text 3"/>
    <w:basedOn w:val="Normal"/>
    <w:pPr>
      <w:spacing w:after="120"/>
    </w:pPr>
    <w:rPr>
      <w:sz w:val="16"/>
      <w:szCs w:val="16"/>
    </w:rPr>
  </w:style>
  <w:style w:type="paragraph" w:styleId="BodyTextFirstIndent">
    <w:name w:val="Body Text First Indent"/>
    <w:basedOn w:val="BodyText"/>
    <w:pPr>
      <w:ind w:firstLineChars="100" w:firstLine="420"/>
    </w:pPr>
  </w:style>
  <w:style w:type="paragraph" w:styleId="BodyTextIndent">
    <w:name w:val="Body Text Indent"/>
    <w:basedOn w:val="Normal"/>
    <w:pPr>
      <w:spacing w:after="120"/>
      <w:ind w:leftChars="200" w:left="420"/>
    </w:pPr>
  </w:style>
  <w:style w:type="paragraph" w:styleId="BodyTextFirstIndent2">
    <w:name w:val="Body Text First Indent 2"/>
    <w:basedOn w:val="BodyTextIndent"/>
    <w:qFormat/>
    <w:pPr>
      <w:ind w:firstLineChars="200" w:firstLine="420"/>
    </w:pPr>
  </w:style>
  <w:style w:type="paragraph" w:styleId="BodyTextIndent2">
    <w:name w:val="Body Text Indent 2"/>
    <w:basedOn w:val="Normal"/>
    <w:qFormat/>
    <w:pPr>
      <w:spacing w:after="120" w:line="480" w:lineRule="auto"/>
      <w:ind w:leftChars="200" w:left="420"/>
    </w:pPr>
  </w:style>
  <w:style w:type="paragraph" w:styleId="BodyTextIndent3">
    <w:name w:val="Body Text Indent 3"/>
    <w:basedOn w:val="Normal"/>
    <w:qFormat/>
    <w:pPr>
      <w:spacing w:after="120"/>
      <w:ind w:leftChars="200" w:left="420"/>
    </w:pPr>
    <w:rPr>
      <w:sz w:val="16"/>
      <w:szCs w:val="16"/>
    </w:rPr>
  </w:style>
  <w:style w:type="paragraph" w:styleId="Caption">
    <w:name w:val="caption"/>
    <w:basedOn w:val="Normal"/>
    <w:next w:val="Normal"/>
    <w:semiHidden/>
    <w:unhideWhenUsed/>
    <w:qFormat/>
    <w:rPr>
      <w:rFonts w:ascii="Arial" w:eastAsia="SimHei" w:hAnsi="Arial" w:cs="Arial"/>
      <w:sz w:val="20"/>
    </w:rPr>
  </w:style>
  <w:style w:type="paragraph" w:styleId="Closing">
    <w:name w:val="Closing"/>
    <w:basedOn w:val="Normal"/>
    <w:pPr>
      <w:ind w:leftChars="2100" w:left="100"/>
    </w:pPr>
  </w:style>
  <w:style w:type="character" w:styleId="CommentReference">
    <w:name w:val="annotation reference"/>
    <w:basedOn w:val="DefaultParagraphFont"/>
    <w:rPr>
      <w:sz w:val="21"/>
      <w:szCs w:val="21"/>
    </w:rPr>
  </w:style>
  <w:style w:type="paragraph" w:styleId="CommentText">
    <w:name w:val="annotation text"/>
    <w:basedOn w:val="Normal"/>
    <w:qFormat/>
  </w:style>
  <w:style w:type="paragraph" w:styleId="CommentSubject">
    <w:name w:val="annotation subject"/>
    <w:basedOn w:val="CommentText"/>
    <w:next w:val="CommentText"/>
    <w:qFormat/>
    <w:rPr>
      <w:b/>
      <w:bCs/>
    </w:rPr>
  </w:style>
  <w:style w:type="paragraph" w:styleId="Date">
    <w:name w:val="Date"/>
    <w:basedOn w:val="Normal"/>
    <w:next w:val="Normal"/>
    <w:qFormat/>
    <w:pPr>
      <w:ind w:leftChars="2500" w:left="100"/>
    </w:pPr>
  </w:style>
  <w:style w:type="paragraph" w:styleId="DocumentMap">
    <w:name w:val="Document Map"/>
    <w:basedOn w:val="Normal"/>
    <w:qFormat/>
    <w:pPr>
      <w:shd w:val="clear" w:color="auto" w:fill="000080"/>
    </w:pPr>
  </w:style>
  <w:style w:type="paragraph" w:styleId="E-mailSignature">
    <w:name w:val="E-mail Signature"/>
    <w:basedOn w:val="Normal"/>
    <w:qFormat/>
  </w:style>
  <w:style w:type="character" w:styleId="Emphasis">
    <w:name w:val="Emphasis"/>
    <w:basedOn w:val="DefaultParagraphFont"/>
    <w:qFormat/>
    <w:rPr>
      <w:i/>
      <w:iCs/>
    </w:rPr>
  </w:style>
  <w:style w:type="character" w:styleId="EndnoteReference">
    <w:name w:val="endnote reference"/>
    <w:basedOn w:val="DefaultParagraphFont"/>
    <w:qFormat/>
    <w:rPr>
      <w:vertAlign w:val="superscript"/>
    </w:rPr>
  </w:style>
  <w:style w:type="paragraph" w:styleId="EndnoteText">
    <w:name w:val="endnote text"/>
    <w:basedOn w:val="Normal"/>
    <w:qFormat/>
    <w:pPr>
      <w:snapToGrid w:val="0"/>
    </w:pPr>
  </w:style>
  <w:style w:type="paragraph" w:styleId="EnvelopeAddress">
    <w:name w:val="envelope address"/>
    <w:basedOn w:val="Normal"/>
    <w:qFormat/>
    <w:pPr>
      <w:framePr w:w="7920" w:h="1980" w:hRule="exact" w:hSpace="180" w:wrap="auto" w:hAnchor="page" w:xAlign="center" w:yAlign="bottom"/>
      <w:snapToGrid w:val="0"/>
      <w:ind w:leftChars="1400" w:left="100"/>
    </w:pPr>
    <w:rPr>
      <w:rFonts w:ascii="Arial" w:hAnsi="Arial" w:cs="Arial"/>
      <w:szCs w:val="24"/>
    </w:rPr>
  </w:style>
  <w:style w:type="paragraph" w:styleId="EnvelopeReturn">
    <w:name w:val="envelope return"/>
    <w:basedOn w:val="Normal"/>
    <w:pPr>
      <w:snapToGrid w:val="0"/>
    </w:pPr>
    <w:rPr>
      <w:rFonts w:ascii="Arial" w:hAnsi="Arial" w:cs="Arial"/>
    </w:rPr>
  </w:style>
  <w:style w:type="character" w:styleId="FollowedHyperlink">
    <w:name w:val="FollowedHyperlink"/>
    <w:basedOn w:val="DefaultParagraphFont"/>
    <w:rPr>
      <w:color w:val="800080"/>
      <w:u w:val="single"/>
    </w:rPr>
  </w:style>
  <w:style w:type="paragraph" w:styleId="Footer">
    <w:name w:val="footer"/>
    <w:basedOn w:val="Normal"/>
    <w:link w:val="FooterChar"/>
    <w:uiPriority w:val="99"/>
    <w:pPr>
      <w:tabs>
        <w:tab w:val="center" w:pos="4153"/>
        <w:tab w:val="right" w:pos="8306"/>
      </w:tabs>
      <w:snapToGrid w:val="0"/>
    </w:pPr>
    <w:rPr>
      <w:sz w:val="18"/>
      <w:szCs w:val="18"/>
    </w:rPr>
  </w:style>
  <w:style w:type="character" w:styleId="FootnoteReference">
    <w:name w:val="footnote reference"/>
    <w:basedOn w:val="DefaultParagraphFont"/>
    <w:rPr>
      <w:vertAlign w:val="superscript"/>
    </w:rPr>
  </w:style>
  <w:style w:type="paragraph" w:styleId="FootnoteText">
    <w:name w:val="footnote text"/>
    <w:basedOn w:val="Normal"/>
    <w:pPr>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TMLAcronym">
    <w:name w:val="HTML Acronym"/>
    <w:basedOn w:val="DefaultParagraphFont"/>
  </w:style>
  <w:style w:type="paragraph" w:styleId="HTMLAddress">
    <w:name w:val="HTML Address"/>
    <w:basedOn w:val="Normal"/>
    <w:rPr>
      <w:i/>
      <w:iCs/>
    </w:rPr>
  </w:style>
  <w:style w:type="character" w:styleId="HTMLCite">
    <w:name w:val="HTML Cite"/>
    <w:basedOn w:val="DefaultParagraphFont"/>
    <w:rPr>
      <w:i/>
      <w:iCs/>
    </w:rPr>
  </w:style>
  <w:style w:type="character" w:styleId="HTMLCode">
    <w:name w:val="HTML Code"/>
    <w:basedOn w:val="DefaultParagraphFont"/>
    <w:rPr>
      <w:rFonts w:ascii="Courier New" w:hAnsi="Courier New" w:cs="Courier New"/>
      <w:sz w:val="20"/>
      <w:szCs w:val="20"/>
    </w:rPr>
  </w:style>
  <w:style w:type="character" w:styleId="HTMLDefinition">
    <w:name w:val="HTML Definition"/>
    <w:basedOn w:val="DefaultParagraphFont"/>
    <w:rPr>
      <w:i/>
      <w:iCs/>
    </w:rPr>
  </w:style>
  <w:style w:type="character" w:styleId="HTMLKeyboard">
    <w:name w:val="HTML Keyboard"/>
    <w:basedOn w:val="DefaultParagraphFont"/>
    <w:rPr>
      <w:rFonts w:ascii="Courier New" w:hAnsi="Courier New" w:cs="Courier New"/>
      <w:sz w:val="20"/>
      <w:szCs w:val="20"/>
    </w:rPr>
  </w:style>
  <w:style w:type="paragraph" w:styleId="HTMLPreformatted">
    <w:name w:val="HTML Preformatted"/>
    <w:basedOn w:val="Normal"/>
    <w:rPr>
      <w:rFonts w:ascii="Courier New" w:hAnsi="Courier New" w:cs="Courier New"/>
      <w:sz w:val="20"/>
    </w:rPr>
  </w:style>
  <w:style w:type="character" w:styleId="HTMLSample">
    <w:name w:val="HTML Sample"/>
    <w:basedOn w:val="DefaultParagraphFont"/>
    <w:rPr>
      <w:rFonts w:ascii="Courier New" w:hAnsi="Courier New" w:cs="Courier New"/>
    </w:rPr>
  </w:style>
  <w:style w:type="character" w:styleId="HTMLTypewriter">
    <w:name w:val="HTML Typewriter"/>
    <w:basedOn w:val="DefaultParagraphFont"/>
    <w:rPr>
      <w:rFonts w:ascii="Courier New" w:hAnsi="Courier New" w:cs="Courier New"/>
      <w:sz w:val="20"/>
      <w:szCs w:val="20"/>
    </w:rPr>
  </w:style>
  <w:style w:type="character" w:styleId="HTMLVariable">
    <w:name w:val="HTML Variable"/>
    <w:basedOn w:val="DefaultParagraphFont"/>
    <w:rPr>
      <w:i/>
      <w:iCs/>
    </w:rPr>
  </w:style>
  <w:style w:type="character" w:styleId="Hyperlink">
    <w:name w:val="Hyperlink"/>
    <w:basedOn w:val="DefaultParagraphFont"/>
    <w:uiPriority w:val="99"/>
    <w:rPr>
      <w:color w:val="0000FF"/>
      <w:u w:val="single"/>
    </w:rPr>
  </w:style>
  <w:style w:type="paragraph" w:styleId="Index1">
    <w:name w:val="index 1"/>
    <w:basedOn w:val="Normal"/>
    <w:next w:val="Normal"/>
  </w:style>
  <w:style w:type="paragraph" w:styleId="Index2">
    <w:name w:val="index 2"/>
    <w:basedOn w:val="Normal"/>
    <w:next w:val="Normal"/>
    <w:pPr>
      <w:ind w:leftChars="200" w:left="200"/>
    </w:pPr>
  </w:style>
  <w:style w:type="paragraph" w:styleId="Index3">
    <w:name w:val="index 3"/>
    <w:basedOn w:val="Normal"/>
    <w:next w:val="Normal"/>
    <w:pPr>
      <w:ind w:leftChars="400" w:left="400"/>
    </w:pPr>
  </w:style>
  <w:style w:type="paragraph" w:styleId="Index4">
    <w:name w:val="index 4"/>
    <w:basedOn w:val="Normal"/>
    <w:next w:val="Normal"/>
    <w:pPr>
      <w:ind w:leftChars="600" w:left="600"/>
    </w:pPr>
  </w:style>
  <w:style w:type="paragraph" w:styleId="Index5">
    <w:name w:val="index 5"/>
    <w:basedOn w:val="Normal"/>
    <w:next w:val="Normal"/>
    <w:pPr>
      <w:ind w:leftChars="800" w:left="800"/>
    </w:pPr>
  </w:style>
  <w:style w:type="paragraph" w:styleId="Index6">
    <w:name w:val="index 6"/>
    <w:basedOn w:val="Normal"/>
    <w:next w:val="Normal"/>
    <w:pPr>
      <w:ind w:leftChars="1000" w:left="1000"/>
    </w:pPr>
  </w:style>
  <w:style w:type="paragraph" w:styleId="Index7">
    <w:name w:val="index 7"/>
    <w:basedOn w:val="Normal"/>
    <w:next w:val="Normal"/>
    <w:pPr>
      <w:ind w:leftChars="1200" w:left="1200"/>
    </w:pPr>
  </w:style>
  <w:style w:type="paragraph" w:styleId="Index8">
    <w:name w:val="index 8"/>
    <w:basedOn w:val="Normal"/>
    <w:next w:val="Normal"/>
    <w:pPr>
      <w:ind w:leftChars="1400" w:left="1400"/>
    </w:pPr>
  </w:style>
  <w:style w:type="paragraph" w:styleId="Index9">
    <w:name w:val="index 9"/>
    <w:basedOn w:val="Normal"/>
    <w:next w:val="Normal"/>
    <w:pPr>
      <w:ind w:leftChars="1600" w:left="1600"/>
    </w:pPr>
  </w:style>
  <w:style w:type="paragraph" w:styleId="IndexHeading">
    <w:name w:val="index heading"/>
    <w:basedOn w:val="Normal"/>
    <w:next w:val="Index1"/>
    <w:rPr>
      <w:rFonts w:ascii="Arial" w:hAnsi="Arial" w:cs="Arial"/>
      <w:b/>
      <w:bCs/>
    </w:rPr>
  </w:style>
  <w:style w:type="character" w:styleId="LineNumber">
    <w:name w:val="line number"/>
    <w:basedOn w:val="DefaultParagraphFont"/>
  </w:style>
  <w:style w:type="paragraph" w:styleId="List">
    <w:name w:val="List"/>
    <w:basedOn w:val="Normal"/>
    <w:pPr>
      <w:ind w:left="200" w:hangingChars="200" w:hanging="200"/>
    </w:pPr>
  </w:style>
  <w:style w:type="paragraph" w:styleId="List2">
    <w:name w:val="List 2"/>
    <w:basedOn w:val="Normal"/>
    <w:pPr>
      <w:ind w:leftChars="200" w:left="100" w:hangingChars="200" w:hanging="200"/>
    </w:pPr>
  </w:style>
  <w:style w:type="paragraph" w:styleId="List3">
    <w:name w:val="List 3"/>
    <w:basedOn w:val="Normal"/>
    <w:pPr>
      <w:ind w:leftChars="400" w:left="100" w:hangingChars="200" w:hanging="200"/>
    </w:pPr>
  </w:style>
  <w:style w:type="paragraph" w:styleId="List4">
    <w:name w:val="List 4"/>
    <w:basedOn w:val="Normal"/>
    <w:pPr>
      <w:ind w:leftChars="600" w:left="100" w:hangingChars="200" w:hanging="200"/>
    </w:pPr>
  </w:style>
  <w:style w:type="paragraph" w:styleId="List5">
    <w:name w:val="List 5"/>
    <w:basedOn w:val="Normal"/>
    <w:pPr>
      <w:ind w:leftChars="800" w:left="100" w:hangingChars="200" w:hanging="200"/>
    </w:pPr>
  </w:style>
  <w:style w:type="paragraph" w:styleId="ListBullet">
    <w:name w:val="List Bullet"/>
    <w:basedOn w:val="Normal"/>
    <w:pPr>
      <w:numPr>
        <w:numId w:val="1"/>
      </w:numPr>
    </w:pPr>
  </w:style>
  <w:style w:type="paragraph" w:styleId="ListBullet2">
    <w:name w:val="List Bullet 2"/>
    <w:basedOn w:val="Normal"/>
    <w:pPr>
      <w:numPr>
        <w:numId w:val="2"/>
      </w:numPr>
    </w:pPr>
  </w:style>
  <w:style w:type="paragraph" w:styleId="ListBullet3">
    <w:name w:val="List Bullet 3"/>
    <w:basedOn w:val="Normal"/>
    <w:pPr>
      <w:numPr>
        <w:numId w:val="3"/>
      </w:numPr>
    </w:pPr>
  </w:style>
  <w:style w:type="paragraph" w:styleId="ListBullet4">
    <w:name w:val="List Bullet 4"/>
    <w:basedOn w:val="Normal"/>
    <w:pPr>
      <w:numPr>
        <w:numId w:val="4"/>
      </w:numPr>
    </w:pPr>
  </w:style>
  <w:style w:type="paragraph" w:styleId="ListBullet5">
    <w:name w:val="List Bullet 5"/>
    <w:basedOn w:val="Normal"/>
    <w:qFormat/>
    <w:pPr>
      <w:numPr>
        <w:numId w:val="5"/>
      </w:numPr>
    </w:pPr>
  </w:style>
  <w:style w:type="paragraph" w:styleId="ListContinue">
    <w:name w:val="List Continue"/>
    <w:basedOn w:val="Normal"/>
    <w:qFormat/>
    <w:pPr>
      <w:spacing w:after="120"/>
      <w:ind w:leftChars="200" w:left="420"/>
    </w:pPr>
  </w:style>
  <w:style w:type="paragraph" w:styleId="ListContinue2">
    <w:name w:val="List Continue 2"/>
    <w:basedOn w:val="Normal"/>
    <w:pPr>
      <w:spacing w:after="120"/>
      <w:ind w:leftChars="400" w:left="840"/>
    </w:pPr>
  </w:style>
  <w:style w:type="paragraph" w:styleId="ListContinue3">
    <w:name w:val="List Continue 3"/>
    <w:basedOn w:val="Normal"/>
    <w:pPr>
      <w:spacing w:after="120"/>
      <w:ind w:leftChars="600" w:left="1260"/>
    </w:pPr>
  </w:style>
  <w:style w:type="paragraph" w:styleId="ListContinue4">
    <w:name w:val="List Continue 4"/>
    <w:basedOn w:val="Normal"/>
    <w:pPr>
      <w:spacing w:after="120"/>
      <w:ind w:leftChars="800" w:left="1680"/>
    </w:pPr>
  </w:style>
  <w:style w:type="paragraph" w:styleId="ListContinue5">
    <w:name w:val="List Continue 5"/>
    <w:basedOn w:val="Normal"/>
    <w:qFormat/>
    <w:pPr>
      <w:spacing w:after="120"/>
      <w:ind w:leftChars="1000" w:left="2100"/>
    </w:pPr>
  </w:style>
  <w:style w:type="paragraph" w:styleId="ListNumber">
    <w:name w:val="List Number"/>
    <w:basedOn w:val="Normal"/>
    <w:qFormat/>
    <w:pPr>
      <w:numPr>
        <w:numId w:val="6"/>
      </w:numPr>
    </w:pPr>
  </w:style>
  <w:style w:type="paragraph" w:styleId="ListNumber2">
    <w:name w:val="List Number 2"/>
    <w:basedOn w:val="Normal"/>
    <w:qFormat/>
    <w:pPr>
      <w:numPr>
        <w:numId w:val="7"/>
      </w:numPr>
    </w:pPr>
  </w:style>
  <w:style w:type="paragraph" w:styleId="ListNumber3">
    <w:name w:val="List Number 3"/>
    <w:basedOn w:val="Normal"/>
    <w:pPr>
      <w:numPr>
        <w:numId w:val="8"/>
      </w:numPr>
    </w:pPr>
  </w:style>
  <w:style w:type="paragraph" w:styleId="ListNumber4">
    <w:name w:val="List Number 4"/>
    <w:basedOn w:val="Normal"/>
    <w:pPr>
      <w:numPr>
        <w:numId w:val="9"/>
      </w:numPr>
    </w:pPr>
  </w:style>
  <w:style w:type="paragraph" w:styleId="ListNumber5">
    <w:name w:val="List Number 5"/>
    <w:basedOn w:val="Normal"/>
    <w:pPr>
      <w:numPr>
        <w:numId w:val="10"/>
      </w:numPr>
    </w:pPr>
  </w:style>
  <w:style w:type="paragraph" w:styleId="MacroText">
    <w:name w:val="macro"/>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eastAsiaTheme="minorEastAsia" w:hAnsi="Courier New" w:cs="Courier New"/>
      <w:kern w:val="2"/>
      <w:sz w:val="24"/>
      <w:szCs w:val="24"/>
      <w:lang w:eastAsia="zh-CN"/>
    </w:rPr>
  </w:style>
  <w:style w:type="paragraph" w:styleId="MessageHeader">
    <w:name w:val="Message Header"/>
    <w:basedOn w:val="Normal"/>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cs="Arial"/>
      <w:szCs w:val="24"/>
    </w:rPr>
  </w:style>
  <w:style w:type="paragraph" w:styleId="NormalWeb">
    <w:name w:val="Normal (Web)"/>
    <w:pPr>
      <w:spacing w:beforeAutospacing="1" w:afterAutospacing="1"/>
    </w:pPr>
    <w:rPr>
      <w:sz w:val="24"/>
      <w:szCs w:val="24"/>
      <w:lang w:eastAsia="zh-CN"/>
    </w:rPr>
  </w:style>
  <w:style w:type="paragraph" w:styleId="NormalIndent">
    <w:name w:val="Normal Indent"/>
    <w:basedOn w:val="Normal"/>
    <w:pPr>
      <w:ind w:firstLineChars="200" w:firstLine="420"/>
    </w:pPr>
  </w:style>
  <w:style w:type="paragraph" w:styleId="NoteHeading">
    <w:name w:val="Note Heading"/>
    <w:basedOn w:val="Normal"/>
    <w:next w:val="Normal"/>
    <w:pPr>
      <w:jc w:val="center"/>
    </w:pPr>
  </w:style>
  <w:style w:type="character" w:styleId="PageNumber">
    <w:name w:val="page number"/>
    <w:basedOn w:val="DefaultParagraphFont"/>
  </w:style>
  <w:style w:type="paragraph" w:styleId="PlainText">
    <w:name w:val="Plain Text"/>
    <w:basedOn w:val="Normal"/>
    <w:rPr>
      <w:rFonts w:ascii="SimSun" w:hAnsi="Courier New" w:cs="Courier New"/>
      <w:szCs w:val="21"/>
    </w:rPr>
  </w:style>
  <w:style w:type="paragraph" w:styleId="Salutation">
    <w:name w:val="Salutation"/>
    <w:basedOn w:val="Normal"/>
    <w:next w:val="Normal"/>
  </w:style>
  <w:style w:type="paragraph" w:styleId="Signature">
    <w:name w:val="Signature"/>
    <w:basedOn w:val="Normal"/>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rful1">
    <w:name w:val="Table Colorful 1"/>
    <w:basedOn w:val="TableNormal"/>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rful2">
    <w:name w:val="Table Colorful 2"/>
    <w:basedOn w:val="TableNormal"/>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rful3">
    <w:name w:val="Table Colorful 3"/>
    <w:basedOn w:val="TableNormal"/>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pPr>
      <w:ind w:leftChars="200" w:left="420"/>
    </w:pPr>
  </w:style>
  <w:style w:type="paragraph" w:styleId="TableofFigures">
    <w:name w:val="table of figures"/>
    <w:basedOn w:val="Normal"/>
    <w:next w:val="Normal"/>
    <w:pPr>
      <w:ind w:leftChars="200" w:left="200" w:hangingChars="200" w:hanging="200"/>
    </w:pPr>
  </w:style>
  <w:style w:type="table" w:styleId="TableProfessional">
    <w:name w:val="Table Professional"/>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pPr>
      <w:widowControl w:val="0"/>
      <w:jc w:val="both"/>
    </w:pPr>
    <w:tblPr>
      <w:tblStyleRowBandSize w:val="1"/>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pPr>
      <w:spacing w:before="120"/>
    </w:pPr>
    <w:rPr>
      <w:rFonts w:ascii="Arial" w:hAnsi="Arial" w:cs="Arial"/>
      <w:szCs w:val="24"/>
    </w:rPr>
  </w:style>
  <w:style w:type="paragraph" w:styleId="TOC1">
    <w:name w:val="toc 1"/>
    <w:basedOn w:val="Normal"/>
    <w:next w:val="Normal"/>
    <w:uiPriority w:val="39"/>
  </w:style>
  <w:style w:type="paragraph" w:styleId="TOC2">
    <w:name w:val="toc 2"/>
    <w:basedOn w:val="Normal"/>
    <w:next w:val="Normal"/>
    <w:uiPriority w:val="39"/>
    <w:pPr>
      <w:ind w:leftChars="200" w:left="420"/>
    </w:pPr>
  </w:style>
  <w:style w:type="paragraph" w:styleId="TOC3">
    <w:name w:val="toc 3"/>
    <w:basedOn w:val="Normal"/>
    <w:next w:val="Normal"/>
    <w:pPr>
      <w:ind w:leftChars="400" w:left="840"/>
    </w:pPr>
  </w:style>
  <w:style w:type="paragraph" w:styleId="TOC4">
    <w:name w:val="toc 4"/>
    <w:basedOn w:val="Normal"/>
    <w:next w:val="Normal"/>
    <w:pPr>
      <w:ind w:leftChars="600" w:left="1260"/>
    </w:pPr>
  </w:style>
  <w:style w:type="paragraph" w:styleId="TOC5">
    <w:name w:val="toc 5"/>
    <w:basedOn w:val="Normal"/>
    <w:next w:val="Normal"/>
    <w:pPr>
      <w:ind w:leftChars="800" w:left="1680"/>
    </w:pPr>
  </w:style>
  <w:style w:type="paragraph" w:styleId="TOC6">
    <w:name w:val="toc 6"/>
    <w:basedOn w:val="Normal"/>
    <w:next w:val="Normal"/>
    <w:pPr>
      <w:ind w:leftChars="1000" w:left="2100"/>
    </w:pPr>
  </w:style>
  <w:style w:type="paragraph" w:styleId="TOC7">
    <w:name w:val="toc 7"/>
    <w:basedOn w:val="Normal"/>
    <w:next w:val="Normal"/>
    <w:pPr>
      <w:ind w:leftChars="1200" w:left="2520"/>
    </w:pPr>
  </w:style>
  <w:style w:type="paragraph" w:styleId="TOC8">
    <w:name w:val="toc 8"/>
    <w:basedOn w:val="Normal"/>
    <w:next w:val="Normal"/>
    <w:pPr>
      <w:ind w:leftChars="1400" w:left="2940"/>
    </w:pPr>
  </w:style>
  <w:style w:type="paragraph" w:styleId="TOC9">
    <w:name w:val="toc 9"/>
    <w:basedOn w:val="Normal"/>
    <w:next w:val="Normal"/>
    <w:pPr>
      <w:ind w:leftChars="1600" w:left="3360"/>
    </w:pPr>
  </w:style>
  <w:style w:type="table" w:styleId="LightShading">
    <w:name w:val="Light Shading"/>
    <w:basedOn w:val="TableNormal"/>
    <w:uiPriority w:val="60"/>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rPr>
      <w:color w:val="FFFFFF"/>
    </w:rPr>
    <w:tblPr>
      <w:tblStyleRowBandSize w:val="1"/>
      <w:tblStyleColBandSize w:val="1"/>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rPr>
      <w:color w:val="FFFFFF"/>
    </w:rPr>
    <w:tblPr>
      <w:tblStyleRowBandSize w:val="1"/>
      <w:tblStyleColBandSize w:val="1"/>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rPr>
      <w:color w:val="FFFFFF"/>
    </w:rPr>
    <w:tblPr>
      <w:tblStyleRowBandSize w:val="1"/>
      <w:tblStyleColBandSize w:val="1"/>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rPr>
      <w:color w:val="FFFFFF"/>
    </w:rPr>
    <w:tblPr>
      <w:tblStyleRowBandSize w:val="1"/>
      <w:tblStyleColBandSize w:val="1"/>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rPr>
      <w:color w:val="FFFFFF"/>
    </w:rPr>
    <w:tblPr>
      <w:tblStyleRowBandSize w:val="1"/>
      <w:tblStyleColBandSize w:val="1"/>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rPr>
      <w:color w:val="FFFFFF"/>
    </w:rPr>
    <w:tblPr>
      <w:tblStyleRowBandSize w:val="1"/>
      <w:tblStyleColBandSize w:val="1"/>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rPr>
      <w:color w:val="FFFFFF"/>
    </w:rPr>
    <w:tblPr>
      <w:tblStyleRowBandSize w:val="1"/>
      <w:tblStyleColBandSize w:val="1"/>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rfulShading">
    <w:name w:val="Colorful Shading"/>
    <w:basedOn w:val="TableNormal"/>
    <w:uiPriority w:val="71"/>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rfulShading-Accent1">
    <w:name w:val="Colorful Shading Accent 1"/>
    <w:basedOn w:val="TableNormal"/>
    <w:uiPriority w:val="71"/>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rfulShading-Accent2">
    <w:name w:val="Colorful Shading Accent 2"/>
    <w:basedOn w:val="TableNormal"/>
    <w:uiPriority w:val="71"/>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rfulShading-Accent3">
    <w:name w:val="Colorful Shading Accent 3"/>
    <w:basedOn w:val="TableNormal"/>
    <w:uiPriority w:val="71"/>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rfulShading-Accent4">
    <w:name w:val="Colorful Shading Accent 4"/>
    <w:basedOn w:val="TableNormal"/>
    <w:uiPriority w:val="71"/>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rfulShading-Accent5">
    <w:name w:val="Colorful Shading Accent 5"/>
    <w:basedOn w:val="TableNormal"/>
    <w:uiPriority w:val="71"/>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rfulShading-Accent6">
    <w:name w:val="Colorful Shading Accent 6"/>
    <w:basedOn w:val="TableNormal"/>
    <w:uiPriority w:val="71"/>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rfulList">
    <w:name w:val="Colorful List"/>
    <w:basedOn w:val="TableNormal"/>
    <w:uiPriority w:val="72"/>
    <w:rPr>
      <w:color w:val="000000"/>
    </w:rPr>
    <w:tblPr>
      <w:tblStyleRowBandSize w:val="1"/>
      <w:tblStyleColBandSize w:val="1"/>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rfulList-Accent1">
    <w:name w:val="Colorful List Accent 1"/>
    <w:basedOn w:val="TableNormal"/>
    <w:uiPriority w:val="72"/>
    <w:rPr>
      <w:color w:val="000000"/>
    </w:rPr>
    <w:tblPr>
      <w:tblStyleRowBandSize w:val="1"/>
      <w:tblStyleColBandSize w:val="1"/>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rfulList-Accent2">
    <w:name w:val="Colorful List Accent 2"/>
    <w:basedOn w:val="TableNormal"/>
    <w:uiPriority w:val="72"/>
    <w:rPr>
      <w:color w:val="000000"/>
    </w:rPr>
    <w:tblPr>
      <w:tblStyleRowBandSize w:val="1"/>
      <w:tblStyleColBandSize w:val="1"/>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rfulList-Accent3">
    <w:name w:val="Colorful List Accent 3"/>
    <w:basedOn w:val="TableNormal"/>
    <w:uiPriority w:val="72"/>
    <w:rPr>
      <w:color w:val="000000"/>
    </w:rPr>
    <w:tblPr>
      <w:tblStyleRowBandSize w:val="1"/>
      <w:tblStyleColBandSize w:val="1"/>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rfulList-Accent4">
    <w:name w:val="Colorful List Accent 4"/>
    <w:basedOn w:val="TableNormal"/>
    <w:uiPriority w:val="72"/>
    <w:rPr>
      <w:color w:val="000000"/>
    </w:rPr>
    <w:tblPr>
      <w:tblStyleRowBandSize w:val="1"/>
      <w:tblStyleColBandSize w:val="1"/>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rfulList-Accent5">
    <w:name w:val="Colorful List Accent 5"/>
    <w:basedOn w:val="TableNormal"/>
    <w:uiPriority w:val="72"/>
    <w:rPr>
      <w:color w:val="000000"/>
    </w:rPr>
    <w:tblPr>
      <w:tblStyleRowBandSize w:val="1"/>
      <w:tblStyleColBandSize w:val="1"/>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rfulList-Accent6">
    <w:name w:val="Colorful List Accent 6"/>
    <w:basedOn w:val="TableNormal"/>
    <w:uiPriority w:val="72"/>
    <w:rPr>
      <w:color w:val="000000"/>
    </w:rPr>
    <w:tblPr>
      <w:tblStyleRowBandSize w:val="1"/>
      <w:tblStyleColBandSize w:val="1"/>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rfulGrid">
    <w:name w:val="Colorful Grid"/>
    <w:basedOn w:val="TableNormal"/>
    <w:uiPriority w:val="73"/>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rfulGrid-Accent1">
    <w:name w:val="Colorful Grid Accent 1"/>
    <w:basedOn w:val="TableNormal"/>
    <w:uiPriority w:val="73"/>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rfulGrid-Accent2">
    <w:name w:val="Colorful Grid Accent 2"/>
    <w:basedOn w:val="TableNormal"/>
    <w:uiPriority w:val="73"/>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rfulGrid-Accent3">
    <w:name w:val="Colorful Grid Accent 3"/>
    <w:basedOn w:val="TableNormal"/>
    <w:uiPriority w:val="73"/>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rfulGrid-Accent4">
    <w:name w:val="Colorful Grid Accent 4"/>
    <w:basedOn w:val="TableNormal"/>
    <w:uiPriority w:val="73"/>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rfulGrid-Accent5">
    <w:name w:val="Colorful Grid Accent 5"/>
    <w:basedOn w:val="TableNormal"/>
    <w:uiPriority w:val="73"/>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rfulGrid-Accent6">
    <w:name w:val="Colorful Grid Accent 6"/>
    <w:basedOn w:val="TableNormal"/>
    <w:uiPriority w:val="73"/>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paragraph" w:customStyle="1" w:styleId="a">
    <w:basedOn w:val="Normal"/>
    <w:next w:val="Normal"/>
    <w:pPr>
      <w:pBdr>
        <w:bottom w:val="single" w:sz="6" w:space="1" w:color="auto"/>
      </w:pBdr>
      <w:jc w:val="center"/>
    </w:pPr>
    <w:rPr>
      <w:rFonts w:ascii="Arial" w:eastAsia="SimSun"/>
      <w:vanish/>
      <w:sz w:val="16"/>
    </w:rPr>
  </w:style>
  <w:style w:type="paragraph" w:customStyle="1" w:styleId="a0">
    <w:basedOn w:val="Normal"/>
    <w:next w:val="Normal"/>
    <w:pPr>
      <w:pBdr>
        <w:top w:val="single" w:sz="6" w:space="1" w:color="auto"/>
      </w:pBdr>
      <w:jc w:val="center"/>
    </w:pPr>
    <w:rPr>
      <w:rFonts w:ascii="Arial" w:eastAsia="SimSun"/>
      <w:vanish/>
      <w:sz w:val="16"/>
    </w:rPr>
  </w:style>
  <w:style w:type="character" w:customStyle="1" w:styleId="font11">
    <w:name w:val="font11"/>
    <w:rPr>
      <w:rFonts w:ascii="Times New Roman" w:hAnsi="Times New Roman" w:cs="Times New Roman" w:hint="default"/>
      <w:color w:val="000000"/>
      <w:sz w:val="24"/>
      <w:szCs w:val="24"/>
      <w:u w:val="none"/>
    </w:rPr>
  </w:style>
  <w:style w:type="paragraph" w:customStyle="1" w:styleId="Notes-NoBold">
    <w:name w:val="Notes - No Bold"/>
    <w:basedOn w:val="Notes"/>
    <w:qFormat/>
    <w:pPr>
      <w:contextualSpacing/>
    </w:pPr>
    <w:rPr>
      <w:b w:val="0"/>
    </w:rPr>
  </w:style>
  <w:style w:type="paragraph" w:customStyle="1" w:styleId="Notes">
    <w:name w:val="Notes"/>
    <w:basedOn w:val="Normal"/>
    <w:qFormat/>
    <w:rPr>
      <w:b/>
      <w:sz w:val="18"/>
    </w:rPr>
  </w:style>
  <w:style w:type="paragraph" w:customStyle="1" w:styleId="WPSOffice1">
    <w:name w:val="WPSOffice手动目录 1"/>
  </w:style>
  <w:style w:type="paragraph" w:customStyle="1" w:styleId="WPSOffice2">
    <w:name w:val="WPSOffice手动目录 2"/>
    <w:pPr>
      <w:ind w:leftChars="200" w:left="200"/>
    </w:pPr>
  </w:style>
  <w:style w:type="paragraph" w:styleId="TOCHeading">
    <w:name w:val="TOC Heading"/>
    <w:basedOn w:val="Heading1"/>
    <w:next w:val="Normal"/>
    <w:uiPriority w:val="39"/>
    <w:unhideWhenUsed/>
    <w:qFormat/>
    <w:rsid w:val="0074535B"/>
    <w:pPr>
      <w:keepNext/>
      <w:keepLines/>
      <w:spacing w:before="240" w:beforeAutospacing="0" w:afterAutospacing="0" w:line="259" w:lineRule="auto"/>
      <w:jc w:val="left"/>
      <w:outlineLvl w:val="9"/>
    </w:pPr>
    <w:rPr>
      <w:rFonts w:asciiTheme="majorHAnsi" w:eastAsiaTheme="majorEastAsia" w:hAnsiTheme="majorHAnsi" w:cstheme="majorBidi"/>
      <w:b w:val="0"/>
      <w:bCs w:val="0"/>
      <w:color w:val="2E74B5" w:themeColor="accent1" w:themeShade="BF"/>
      <w:kern w:val="0"/>
      <w:szCs w:val="32"/>
      <w:lang w:eastAsia="en-US"/>
    </w:rPr>
  </w:style>
  <w:style w:type="character" w:customStyle="1" w:styleId="FooterChar">
    <w:name w:val="Footer Char"/>
    <w:basedOn w:val="DefaultParagraphFont"/>
    <w:link w:val="Footer"/>
    <w:uiPriority w:val="99"/>
    <w:rsid w:val="00304851"/>
    <w:rPr>
      <w:rFonts w:eastAsiaTheme="minorEastAsia" w:cstheme="minorBidi"/>
      <w:sz w:val="18"/>
      <w:szCs w:val="18"/>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3.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9C3737CD-221A-4B57-BFB6-3E5D9C08C5A2}">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2819</Words>
  <Characters>16749</Characters>
  <Application>Microsoft Office Word</Application>
  <DocSecurity>0</DocSecurity>
  <Lines>452</Lines>
  <Paragraphs>250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User-PC</dc:creator>
  <cp:lastModifiedBy>Gabriela Agapia Anghel (2131340)</cp:lastModifiedBy>
  <cp:revision>46</cp:revision>
  <dcterms:created xsi:type="dcterms:W3CDTF">2023-11-16T04:06:00Z</dcterms:created>
  <dcterms:modified xsi:type="dcterms:W3CDTF">2023-11-16T16:55:00Z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1033-12.2.0.13306</vt:lpwstr>
  </property>
  <property fmtid="{D5CDD505-2E9C-101B-9397-08002B2CF9AE}" pid="3" name="ICV">
    <vt:lpwstr>DB363E72D8FB4EC6A4E3C9764D8C7A42_11</vt:lpwstr>
  </property>
  <property fmtid="{D5CDD505-2E9C-101B-9397-08002B2CF9AE}" pid="4" name="GrammarlyDocumentId">
    <vt:lpwstr>04e6b06d45d30c052db659b477853250a3b59ae5c1a8bdc0e4ef7980321741ad</vt:lpwstr>
  </property>
</Properties>
</file>