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89BA492" w14:textId="77777777" w:rsidR="001D4503" w:rsidRDefault="001D4503" w:rsidP="001D4503">
      <w:pPr>
        <w:rPr>
          <w:rFonts w:ascii="Arial" w:hAnsi="Arial" w:cs="Arial"/>
          <w:b/>
          <w:bCs/>
          <w:sz w:val="48"/>
          <w:szCs w:val="48"/>
        </w:rPr>
      </w:pPr>
      <w:r>
        <w:rPr>
          <w:rFonts w:ascii="Arial" w:hAnsi="Arial" w:cs="Arial"/>
          <w:b/>
          <w:bCs/>
          <w:sz w:val="48"/>
          <w:szCs w:val="48"/>
        </w:rPr>
        <w:t xml:space="preserve">                                         </w:t>
      </w:r>
    </w:p>
    <w:p w14:paraId="33F18C9C" w14:textId="77777777" w:rsidR="001D4503" w:rsidRDefault="001D4503" w:rsidP="001D4503">
      <w:pPr>
        <w:rPr>
          <w:rFonts w:ascii="Times New Roman" w:eastAsia="Proxima Nova" w:hAnsi="Times New Roman" w:cs="Times New Roman"/>
          <w:b/>
          <w:color w:val="243845"/>
          <w:sz w:val="48"/>
          <w:szCs w:val="48"/>
        </w:rPr>
      </w:pPr>
      <w:r>
        <w:rPr>
          <w:rFonts w:ascii="Arial" w:hAnsi="Arial" w:cs="Arial"/>
          <w:b/>
          <w:bCs/>
          <w:sz w:val="48"/>
          <w:szCs w:val="48"/>
        </w:rPr>
        <w:t xml:space="preserve">                                          </w:t>
      </w:r>
      <w:r w:rsidRPr="001D4503">
        <w:rPr>
          <w:rFonts w:ascii="Arial" w:hAnsi="Arial" w:cs="Arial"/>
          <w:b/>
          <w:bCs/>
          <w:sz w:val="48"/>
          <w:szCs w:val="48"/>
        </w:rPr>
        <w:t xml:space="preserve">Business Plan Canvas and Reflection  </w:t>
      </w:r>
      <w:r>
        <w:rPr>
          <w:rFonts w:ascii="Times New Roman" w:eastAsia="Proxima Nova" w:hAnsi="Times New Roman" w:cs="Times New Roman"/>
          <w:b/>
          <w:color w:val="243845"/>
          <w:sz w:val="48"/>
          <w:szCs w:val="48"/>
        </w:rPr>
        <w:t xml:space="preserve"> </w:t>
      </w:r>
    </w:p>
    <w:p w14:paraId="69726B0D" w14:textId="77777777" w:rsidR="001D4503" w:rsidRDefault="001D4503" w:rsidP="001D4503">
      <w:pPr>
        <w:rPr>
          <w:rFonts w:ascii="Times New Roman" w:eastAsia="Proxima Nova" w:hAnsi="Times New Roman" w:cs="Times New Roman"/>
          <w:b/>
          <w:color w:val="243845"/>
          <w:sz w:val="48"/>
          <w:szCs w:val="48"/>
        </w:rPr>
      </w:pPr>
    </w:p>
    <w:p w14:paraId="3F680DE4" w14:textId="77777777" w:rsidR="001D4503" w:rsidRDefault="001D4503" w:rsidP="001D4503">
      <w:pPr>
        <w:rPr>
          <w:rFonts w:ascii="Times New Roman" w:eastAsia="Proxima Nova" w:hAnsi="Times New Roman" w:cs="Times New Roman"/>
          <w:b/>
          <w:color w:val="243845"/>
          <w:sz w:val="48"/>
          <w:szCs w:val="48"/>
        </w:rPr>
      </w:pPr>
    </w:p>
    <w:p w14:paraId="0726607B" w14:textId="4DD891E4" w:rsidR="001D4503" w:rsidRPr="001D4503" w:rsidRDefault="001D4503" w:rsidP="001D4503">
      <w:pPr>
        <w:rPr>
          <w:rFonts w:ascii="Arial" w:eastAsia="Proxima Nova" w:hAnsi="Arial" w:cs="Arial"/>
          <w:b/>
          <w:color w:val="243845"/>
          <w:sz w:val="48"/>
          <w:szCs w:val="48"/>
        </w:rPr>
      </w:pPr>
      <w:r>
        <w:rPr>
          <w:rFonts w:ascii="Times New Roman" w:eastAsia="Proxima Nova" w:hAnsi="Times New Roman" w:cs="Times New Roman"/>
          <w:b/>
          <w:color w:val="243845"/>
          <w:sz w:val="48"/>
          <w:szCs w:val="48"/>
        </w:rPr>
        <w:t xml:space="preserve">                                                                            </w:t>
      </w:r>
      <w:r w:rsidRPr="001D4503">
        <w:rPr>
          <w:rFonts w:ascii="Arial" w:eastAsia="Proxima Nova" w:hAnsi="Arial" w:cs="Arial"/>
          <w:sz w:val="24"/>
          <w:szCs w:val="24"/>
        </w:rPr>
        <w:t>BMIH5001</w:t>
      </w:r>
    </w:p>
    <w:p w14:paraId="09CCA5ED" w14:textId="3BEB141B" w:rsidR="001D4503" w:rsidRPr="001D4503" w:rsidRDefault="001D4503" w:rsidP="001D4503">
      <w:pPr>
        <w:jc w:val="center"/>
        <w:rPr>
          <w:rFonts w:ascii="Arial" w:eastAsia="Proxima Nova" w:hAnsi="Arial" w:cs="Arial"/>
          <w:b/>
          <w:sz w:val="28"/>
          <w:szCs w:val="28"/>
        </w:rPr>
      </w:pPr>
      <w:r w:rsidRPr="001D4503">
        <w:rPr>
          <w:rFonts w:ascii="Arial" w:eastAsia="Proxima Nova" w:hAnsi="Arial" w:cs="Arial"/>
          <w:b/>
          <w:sz w:val="28"/>
          <w:szCs w:val="28"/>
        </w:rPr>
        <w:t>Entrepreneurship</w:t>
      </w:r>
      <w:r>
        <w:rPr>
          <w:rFonts w:ascii="Arial" w:eastAsia="Proxima Nova" w:hAnsi="Arial" w:cs="Arial"/>
          <w:b/>
          <w:sz w:val="28"/>
          <w:szCs w:val="28"/>
        </w:rPr>
        <w:t xml:space="preserve"> </w:t>
      </w:r>
    </w:p>
    <w:p w14:paraId="0638621D" w14:textId="5F52AFF3" w:rsidR="001D4503" w:rsidRPr="001D4503" w:rsidRDefault="001D4503" w:rsidP="001D4503">
      <w:pPr>
        <w:rPr>
          <w:rFonts w:ascii="Arial" w:eastAsia="Proxima Nova" w:hAnsi="Arial" w:cs="Arial"/>
          <w:sz w:val="28"/>
          <w:szCs w:val="28"/>
          <w:lang w:val="en-GB"/>
        </w:rPr>
      </w:pPr>
      <w:r w:rsidRPr="001D4503">
        <w:rPr>
          <w:rFonts w:ascii="Times New Roman" w:eastAsia="Proxima Nova" w:hAnsi="Times New Roman" w:cs="Times New Roman"/>
          <w:b/>
          <w:sz w:val="28"/>
          <w:szCs w:val="28"/>
          <w:lang w:val="en-GB"/>
        </w:rPr>
        <w:t xml:space="preserve">                                                                                                                                </w:t>
      </w:r>
      <w:r w:rsidRPr="001D4503">
        <w:rPr>
          <w:rFonts w:ascii="Arial" w:eastAsia="Proxima Nova" w:hAnsi="Arial" w:cs="Arial"/>
          <w:b/>
          <w:sz w:val="28"/>
          <w:szCs w:val="28"/>
          <w:lang w:val="en-GB"/>
        </w:rPr>
        <w:t>Ben Chong</w:t>
      </w:r>
      <w:r w:rsidRPr="001D4503">
        <w:rPr>
          <w:rFonts w:ascii="Arial" w:eastAsia="Proxima Nova" w:hAnsi="Arial" w:cs="Arial"/>
          <w:b/>
          <w:sz w:val="28"/>
          <w:szCs w:val="28"/>
          <w:lang w:val="en-GB"/>
        </w:rPr>
        <w:cr/>
      </w:r>
    </w:p>
    <w:p w14:paraId="3C18A02B" w14:textId="77777777" w:rsidR="001D4503" w:rsidRPr="001D4503" w:rsidRDefault="001D4503" w:rsidP="001D4503">
      <w:pPr>
        <w:jc w:val="center"/>
        <w:rPr>
          <w:rFonts w:ascii="Times New Roman" w:eastAsia="Proxima Nova" w:hAnsi="Times New Roman" w:cs="Times New Roman"/>
          <w:sz w:val="24"/>
          <w:szCs w:val="24"/>
          <w:lang w:val="en-GB"/>
        </w:rPr>
      </w:pPr>
    </w:p>
    <w:p w14:paraId="17C55CDA" w14:textId="77777777" w:rsidR="001D4503" w:rsidRPr="001D4503" w:rsidRDefault="001D4503" w:rsidP="001D4503">
      <w:pPr>
        <w:jc w:val="center"/>
        <w:rPr>
          <w:rFonts w:ascii="Times New Roman" w:eastAsia="Proxima Nova" w:hAnsi="Times New Roman" w:cs="Times New Roman"/>
          <w:sz w:val="24"/>
          <w:szCs w:val="24"/>
          <w:lang w:val="en-GB"/>
        </w:rPr>
      </w:pPr>
    </w:p>
    <w:p w14:paraId="0987D8C3" w14:textId="77777777" w:rsidR="001D4503" w:rsidRPr="001D4503" w:rsidRDefault="001D4503" w:rsidP="001D4503">
      <w:pPr>
        <w:jc w:val="center"/>
        <w:rPr>
          <w:rFonts w:ascii="Times New Roman" w:eastAsia="Proxima Nova" w:hAnsi="Times New Roman" w:cs="Times New Roman"/>
          <w:sz w:val="24"/>
          <w:szCs w:val="24"/>
          <w:lang w:val="en-GB"/>
        </w:rPr>
      </w:pPr>
    </w:p>
    <w:p w14:paraId="3B9361D8" w14:textId="77777777" w:rsidR="001D4503" w:rsidRPr="001D4503" w:rsidRDefault="001D4503" w:rsidP="001D4503">
      <w:pPr>
        <w:jc w:val="center"/>
        <w:rPr>
          <w:rFonts w:ascii="Times New Roman" w:eastAsia="Proxima Nova" w:hAnsi="Times New Roman" w:cs="Times New Roman"/>
          <w:sz w:val="24"/>
          <w:szCs w:val="24"/>
          <w:lang w:val="en-GB"/>
        </w:rPr>
      </w:pPr>
    </w:p>
    <w:p w14:paraId="201D6D5E" w14:textId="77777777" w:rsidR="001D4503" w:rsidRPr="001D4503" w:rsidRDefault="001D4503" w:rsidP="001D4503">
      <w:pPr>
        <w:jc w:val="center"/>
        <w:rPr>
          <w:rFonts w:ascii="Times New Roman" w:eastAsia="Proxima Nova" w:hAnsi="Times New Roman" w:cs="Times New Roman"/>
          <w:sz w:val="24"/>
          <w:szCs w:val="24"/>
          <w:lang w:val="en-GB"/>
        </w:rPr>
      </w:pPr>
    </w:p>
    <w:p w14:paraId="2D5AB015" w14:textId="23FF0CC8" w:rsidR="001D4503" w:rsidRPr="001D4503" w:rsidRDefault="001D4503" w:rsidP="001D4503">
      <w:pPr>
        <w:rPr>
          <w:rFonts w:ascii="Times New Roman" w:eastAsia="Proxima Nova" w:hAnsi="Times New Roman" w:cs="Times New Roman"/>
          <w:sz w:val="24"/>
          <w:szCs w:val="24"/>
          <w:lang w:val="en-GB"/>
        </w:rPr>
      </w:pPr>
      <w:r w:rsidRPr="001D4503">
        <w:rPr>
          <w:rFonts w:ascii="Times New Roman" w:eastAsia="Proxima Nova" w:hAnsi="Times New Roman" w:cs="Times New Roman"/>
          <w:sz w:val="24"/>
          <w:szCs w:val="24"/>
          <w:lang w:val="en-GB"/>
        </w:rPr>
        <w:t xml:space="preserve">                                          </w:t>
      </w:r>
      <w:r>
        <w:rPr>
          <w:rFonts w:ascii="Times New Roman" w:eastAsia="Proxima Nova" w:hAnsi="Times New Roman" w:cs="Times New Roman"/>
          <w:sz w:val="24"/>
          <w:szCs w:val="24"/>
          <w:lang w:val="en-GB"/>
        </w:rPr>
        <w:t xml:space="preserve">                                                                                       </w:t>
      </w:r>
      <w:r w:rsidRPr="001D4503">
        <w:rPr>
          <w:rFonts w:ascii="Arial" w:eastAsia="Proxima Nova" w:hAnsi="Arial" w:cs="Arial"/>
          <w:b/>
          <w:sz w:val="28"/>
          <w:szCs w:val="28"/>
          <w:lang w:val="en-GB"/>
        </w:rPr>
        <w:t>Amanioaei  Eliza Andreea</w:t>
      </w:r>
      <w:r w:rsidRPr="001D4503">
        <w:rPr>
          <w:rFonts w:ascii="Times New Roman" w:eastAsia="Proxima Nova" w:hAnsi="Times New Roman" w:cs="Times New Roman"/>
          <w:lang w:val="en-GB"/>
        </w:rPr>
        <w:br/>
      </w:r>
      <w:r w:rsidRPr="001D4503">
        <w:rPr>
          <w:rFonts w:ascii="Times New Roman" w:eastAsia="Proxima Nova" w:hAnsi="Times New Roman" w:cs="Times New Roman"/>
          <w:sz w:val="24"/>
          <w:szCs w:val="24"/>
          <w:lang w:val="en-GB"/>
        </w:rPr>
        <w:t xml:space="preserve"> </w:t>
      </w:r>
      <w:r>
        <w:rPr>
          <w:rFonts w:ascii="Times New Roman" w:eastAsia="Proxima Nova" w:hAnsi="Times New Roman" w:cs="Times New Roman"/>
          <w:sz w:val="24"/>
          <w:szCs w:val="24"/>
          <w:lang w:val="en-GB"/>
        </w:rPr>
        <w:t xml:space="preserve">                                                                                                                                                    </w:t>
      </w:r>
      <w:r w:rsidRPr="001D4503">
        <w:rPr>
          <w:rFonts w:ascii="Arial" w:eastAsia="Proxima Nova" w:hAnsi="Arial" w:cs="Arial"/>
          <w:sz w:val="24"/>
          <w:szCs w:val="24"/>
          <w:lang w:val="en-GB"/>
        </w:rPr>
        <w:t>2216057</w:t>
      </w:r>
    </w:p>
    <w:p w14:paraId="0B21DF10" w14:textId="257AE8BB" w:rsidR="001D4503" w:rsidRDefault="001D4503" w:rsidP="001D4503">
      <w:pPr>
        <w:jc w:val="center"/>
        <w:rPr>
          <w:rFonts w:ascii="Times New Roman" w:eastAsia="Proxima Nova" w:hAnsi="Times New Roman" w:cs="Times New Roman"/>
          <w:sz w:val="24"/>
          <w:szCs w:val="24"/>
        </w:rPr>
      </w:pPr>
      <w:r>
        <w:rPr>
          <w:rFonts w:ascii="Times New Roman" w:eastAsia="Proxima Nova" w:hAnsi="Times New Roman" w:cs="Times New Roman"/>
          <w:sz w:val="24"/>
          <w:szCs w:val="24"/>
        </w:rPr>
        <w:t>Word count:</w:t>
      </w:r>
      <w:r>
        <w:rPr>
          <w:rFonts w:ascii="Times New Roman" w:eastAsia="Proxima Nova" w:hAnsi="Times New Roman" w:cs="Times New Roman"/>
          <w:sz w:val="24"/>
          <w:szCs w:val="24"/>
        </w:rPr>
        <w:t xml:space="preserve"> part 1 :</w:t>
      </w:r>
      <w:r>
        <w:rPr>
          <w:rFonts w:ascii="Times New Roman" w:eastAsia="Proxima Nova" w:hAnsi="Times New Roman" w:cs="Times New Roman"/>
          <w:sz w:val="24"/>
          <w:szCs w:val="24"/>
        </w:rPr>
        <w:t xml:space="preserve"> </w:t>
      </w:r>
      <w:r w:rsidR="00B81CA7">
        <w:rPr>
          <w:rFonts w:ascii="Times New Roman" w:eastAsia="Proxima Nova" w:hAnsi="Times New Roman" w:cs="Times New Roman"/>
          <w:sz w:val="24"/>
          <w:szCs w:val="24"/>
        </w:rPr>
        <w:t>1721</w:t>
      </w:r>
    </w:p>
    <w:p w14:paraId="4A92A35F" w14:textId="544FA750" w:rsidR="00B81CA7" w:rsidRPr="00FC5A00" w:rsidRDefault="00B81CA7" w:rsidP="001D4503">
      <w:pPr>
        <w:jc w:val="center"/>
        <w:rPr>
          <w:rFonts w:ascii="Times New Roman" w:eastAsia="Proxima Nova" w:hAnsi="Times New Roman" w:cs="Times New Roman"/>
          <w:color w:val="374151"/>
          <w:sz w:val="24"/>
          <w:szCs w:val="24"/>
        </w:rPr>
      </w:pPr>
      <w:r>
        <w:rPr>
          <w:rFonts w:ascii="Times New Roman" w:eastAsia="Proxima Nova" w:hAnsi="Times New Roman" w:cs="Times New Roman"/>
          <w:sz w:val="24"/>
          <w:szCs w:val="24"/>
        </w:rPr>
        <w:t xml:space="preserve">                  part 2 : 481</w:t>
      </w:r>
    </w:p>
    <w:p w14:paraId="2D772817" w14:textId="77777777" w:rsidR="001D4503" w:rsidRPr="00FC5A00" w:rsidRDefault="001D4503" w:rsidP="001D4503">
      <w:pPr>
        <w:jc w:val="both"/>
        <w:rPr>
          <w:rFonts w:ascii="Times New Roman" w:eastAsia="Proxima Nova" w:hAnsi="Times New Roman" w:cs="Times New Roman"/>
          <w:b/>
          <w:sz w:val="28"/>
          <w:szCs w:val="28"/>
        </w:rPr>
      </w:pPr>
    </w:p>
    <w:p w14:paraId="4A3E260E" w14:textId="4F49D02F" w:rsidR="001D4503" w:rsidRDefault="001D4503" w:rsidP="00650DF7">
      <w:pPr>
        <w:spacing w:line="360" w:lineRule="auto"/>
        <w:jc w:val="both"/>
        <w:rPr>
          <w:rFonts w:ascii="Arial" w:hAnsi="Arial" w:cs="Arial"/>
          <w:b/>
          <w:bCs/>
          <w:sz w:val="24"/>
          <w:szCs w:val="24"/>
        </w:rPr>
      </w:pPr>
    </w:p>
    <w:p w14:paraId="2EE84FD2" w14:textId="77777777" w:rsidR="001D4503" w:rsidRDefault="001D4503">
      <w:pPr>
        <w:rPr>
          <w:rFonts w:ascii="Arial" w:hAnsi="Arial" w:cs="Arial"/>
          <w:b/>
          <w:bCs/>
          <w:sz w:val="24"/>
          <w:szCs w:val="24"/>
        </w:rPr>
      </w:pPr>
      <w:r>
        <w:rPr>
          <w:rFonts w:ascii="Arial" w:hAnsi="Arial" w:cs="Arial"/>
          <w:b/>
          <w:bCs/>
          <w:sz w:val="24"/>
          <w:szCs w:val="24"/>
        </w:rPr>
        <w:br w:type="page"/>
      </w:r>
    </w:p>
    <w:p w14:paraId="0E351A6F" w14:textId="4D46C45F" w:rsidR="000F19DD" w:rsidRPr="006713ED" w:rsidRDefault="001D4503" w:rsidP="00650DF7">
      <w:pPr>
        <w:spacing w:line="360" w:lineRule="auto"/>
        <w:jc w:val="both"/>
        <w:rPr>
          <w:rFonts w:ascii="Arial" w:hAnsi="Arial" w:cs="Arial"/>
          <w:b/>
          <w:bCs/>
          <w:sz w:val="24"/>
          <w:szCs w:val="24"/>
        </w:rPr>
      </w:pPr>
      <w:r>
        <w:rPr>
          <w:rFonts w:ascii="Arial" w:hAnsi="Arial" w:cs="Arial"/>
          <w:b/>
          <w:bCs/>
          <w:sz w:val="24"/>
          <w:szCs w:val="24"/>
        </w:rPr>
        <w:t xml:space="preserve"> </w:t>
      </w:r>
      <w:r w:rsidR="000F19DD" w:rsidRPr="006713ED">
        <w:rPr>
          <w:rFonts w:ascii="Arial" w:hAnsi="Arial" w:cs="Arial"/>
          <w:b/>
          <w:bCs/>
          <w:sz w:val="24"/>
          <w:szCs w:val="24"/>
        </w:rPr>
        <w:t xml:space="preserve">Assessment 1, part 1 </w:t>
      </w:r>
    </w:p>
    <w:p w14:paraId="0C757C2C" w14:textId="13D5B7D6" w:rsidR="00DF14AE" w:rsidRPr="006713ED" w:rsidRDefault="00DF14AE" w:rsidP="00650DF7">
      <w:pPr>
        <w:spacing w:line="360" w:lineRule="auto"/>
        <w:jc w:val="both"/>
        <w:rPr>
          <w:rFonts w:ascii="Arial" w:hAnsi="Arial" w:cs="Arial"/>
          <w:sz w:val="24"/>
          <w:szCs w:val="24"/>
        </w:rPr>
      </w:pPr>
      <w:r w:rsidRPr="006713ED">
        <w:rPr>
          <w:rFonts w:ascii="Arial" w:hAnsi="Arial" w:cs="Arial"/>
          <w:sz w:val="24"/>
          <w:szCs w:val="24"/>
        </w:rPr>
        <w:t xml:space="preserve">Situated in the peaceful expanse of the Danube Delta, the </w:t>
      </w:r>
      <w:r w:rsidR="00990AE5">
        <w:rPr>
          <w:rFonts w:ascii="Arial" w:hAnsi="Arial" w:cs="Arial"/>
          <w:sz w:val="24"/>
          <w:szCs w:val="24"/>
        </w:rPr>
        <w:t xml:space="preserve">Danube </w:t>
      </w:r>
      <w:r w:rsidRPr="006713ED">
        <w:rPr>
          <w:rFonts w:ascii="Arial" w:hAnsi="Arial" w:cs="Arial"/>
          <w:sz w:val="24"/>
          <w:szCs w:val="24"/>
        </w:rPr>
        <w:t>Adventure Wellness Resort emerges as a haven for those seeking a perfect balance of excitement and relaxation. This innovative concept reimagines hospitality by combining adrenaline-fueled adventure activities with peaceful wellness retreats. The resort, designed to meet the growing demand for eco-conscious travel, exemplifies sustainable luxury. It promises to provide a transformative experience by inviting guests to immerse themselves in the delta's natural beauty while receiving personalised services that prioritise environmental stewardship and personal well-being. This essay will look at the resort's origins, its alignment with current travel trends, and the strategic business model that supports its operations.</w:t>
      </w:r>
    </w:p>
    <w:p w14:paraId="01A765C6" w14:textId="77777777" w:rsidR="00DE116D" w:rsidRPr="006713ED" w:rsidRDefault="00DE116D" w:rsidP="00650DF7">
      <w:pPr>
        <w:spacing w:line="360" w:lineRule="auto"/>
        <w:jc w:val="both"/>
        <w:rPr>
          <w:rFonts w:ascii="Arial" w:hAnsi="Arial" w:cs="Arial"/>
          <w:b/>
          <w:bCs/>
          <w:sz w:val="24"/>
          <w:szCs w:val="24"/>
        </w:rPr>
      </w:pPr>
    </w:p>
    <w:p w14:paraId="1F831527" w14:textId="0D5E9C86" w:rsidR="00EA22E8" w:rsidRPr="006713ED" w:rsidRDefault="00EA22E8" w:rsidP="00650DF7">
      <w:pPr>
        <w:spacing w:line="360" w:lineRule="auto"/>
        <w:jc w:val="both"/>
        <w:rPr>
          <w:rFonts w:ascii="Arial" w:hAnsi="Arial" w:cs="Arial"/>
          <w:sz w:val="24"/>
          <w:szCs w:val="24"/>
        </w:rPr>
      </w:pPr>
      <w:r w:rsidRPr="006713ED">
        <w:rPr>
          <w:rFonts w:ascii="Arial" w:hAnsi="Arial" w:cs="Arial"/>
          <w:sz w:val="24"/>
          <w:szCs w:val="24"/>
        </w:rPr>
        <w:t>The Adventure Wellness Resort, situated on the thriving banks of the Danube Delta, is more than just a retreat; it is a story of harmony between the human spirit and nature. The resort's unique value proposition is based on its seamless fusion of robust adventure and refined wellness, all while adhering to Amoako et al.'s (2024) model of ecological stewardship.</w:t>
      </w:r>
    </w:p>
    <w:p w14:paraId="02CF3F15" w14:textId="76D85D93" w:rsidR="00EA22E8" w:rsidRPr="006713ED" w:rsidRDefault="00EA22E8" w:rsidP="00650DF7">
      <w:pPr>
        <w:spacing w:line="360" w:lineRule="auto"/>
        <w:jc w:val="both"/>
        <w:rPr>
          <w:rFonts w:ascii="Arial" w:hAnsi="Arial" w:cs="Arial"/>
          <w:sz w:val="24"/>
          <w:szCs w:val="24"/>
        </w:rPr>
      </w:pPr>
      <w:r w:rsidRPr="006713ED">
        <w:rPr>
          <w:rFonts w:ascii="Arial" w:hAnsi="Arial" w:cs="Arial"/>
          <w:sz w:val="24"/>
          <w:szCs w:val="24"/>
        </w:rPr>
        <w:t xml:space="preserve">Guests are drawn to the resort's vibrant variety of adventure activities, which have been meticulously planned to satisfy the adrenaline cravings of any thrill-seeker. The resort provides a variety of activities to invigorate the body and energise the spirit, such as kayaking through the Danube's meandering tributaries (Pote et al., 2021) and </w:t>
      </w:r>
      <w:r w:rsidR="00DE116D" w:rsidRPr="006713ED">
        <w:rPr>
          <w:rFonts w:ascii="Arial" w:hAnsi="Arial" w:cs="Arial"/>
          <w:sz w:val="24"/>
          <w:szCs w:val="24"/>
        </w:rPr>
        <w:t>birdwatching</w:t>
      </w:r>
      <w:r w:rsidRPr="006713ED">
        <w:rPr>
          <w:rFonts w:ascii="Arial" w:hAnsi="Arial" w:cs="Arial"/>
          <w:sz w:val="24"/>
          <w:szCs w:val="24"/>
        </w:rPr>
        <w:t xml:space="preserve"> and fishing expeditions to witness the delta's rich biodiversity (Stemmet et al., 2022). According to the Gupta (2024) book, the wellness sanctuary serves as a symbol of restoration, offering programmes ranging from rejuvenating spa treatments using organic local ingredients to yoga sessions overlooking the tranquil waters, ensuring that wellness is not a last-minute decision but a parallel journey to adventure.</w:t>
      </w:r>
    </w:p>
    <w:p w14:paraId="63B3A7CC" w14:textId="18B104A6" w:rsidR="00EA22E8" w:rsidRPr="006713ED" w:rsidRDefault="00EA22E8" w:rsidP="00650DF7">
      <w:pPr>
        <w:spacing w:line="360" w:lineRule="auto"/>
        <w:jc w:val="both"/>
        <w:rPr>
          <w:rFonts w:ascii="Arial" w:hAnsi="Arial" w:cs="Arial"/>
          <w:sz w:val="24"/>
          <w:szCs w:val="24"/>
        </w:rPr>
      </w:pPr>
      <w:r w:rsidRPr="006713ED">
        <w:rPr>
          <w:rFonts w:ascii="Arial" w:hAnsi="Arial" w:cs="Arial"/>
          <w:sz w:val="24"/>
          <w:szCs w:val="24"/>
        </w:rPr>
        <w:t xml:space="preserve">Eco-friendly </w:t>
      </w:r>
      <w:r w:rsidR="00DE116D" w:rsidRPr="006713ED">
        <w:rPr>
          <w:rFonts w:ascii="Arial" w:hAnsi="Arial" w:cs="Arial"/>
          <w:sz w:val="24"/>
          <w:szCs w:val="24"/>
        </w:rPr>
        <w:t>accommodation is</w:t>
      </w:r>
      <w:r w:rsidRPr="006713ED">
        <w:rPr>
          <w:rFonts w:ascii="Arial" w:hAnsi="Arial" w:cs="Arial"/>
          <w:sz w:val="24"/>
          <w:szCs w:val="24"/>
        </w:rPr>
        <w:t xml:space="preserve"> central to the resort's concept. Martind and Stainer's (2014) concept involves building structures with sustainable materials that tell the stories of the land on which they stand, minimising environmental impact while maximising architectural beauty. The accommodations are designed to be more than just a place to sleep, but also a space that captures the essence of the Danube Delta, allowing guests to wake up to a symphony of nature's untouched beauty.</w:t>
      </w:r>
    </w:p>
    <w:p w14:paraId="7E392C87" w14:textId="77777777" w:rsidR="00EA22E8" w:rsidRPr="006713ED" w:rsidRDefault="00EA22E8" w:rsidP="00650DF7">
      <w:pPr>
        <w:spacing w:line="360" w:lineRule="auto"/>
        <w:jc w:val="both"/>
        <w:rPr>
          <w:rFonts w:ascii="Arial" w:hAnsi="Arial" w:cs="Arial"/>
          <w:sz w:val="24"/>
          <w:szCs w:val="24"/>
        </w:rPr>
      </w:pPr>
      <w:r w:rsidRPr="006713ED">
        <w:rPr>
          <w:rFonts w:ascii="Arial" w:hAnsi="Arial" w:cs="Arial"/>
          <w:sz w:val="24"/>
          <w:szCs w:val="24"/>
        </w:rPr>
        <w:t>Each aspect of the guest experience is designed to promote personal health and environmental sustainability. The resort's holistic approach is not limited to its services but also includes educational programmes that empower guests to apply sustainability principles beyond their stay, transforming the resort into more than just a destination for eco-conscious travellers (Majeed et al. 2018).</w:t>
      </w:r>
    </w:p>
    <w:p w14:paraId="39DEB290" w14:textId="6B2A680A" w:rsidR="00EA22E8" w:rsidRPr="00FD1DAB" w:rsidRDefault="00EA22E8" w:rsidP="00650DF7">
      <w:pPr>
        <w:spacing w:line="360" w:lineRule="auto"/>
        <w:jc w:val="both"/>
        <w:rPr>
          <w:rFonts w:ascii="Arial" w:hAnsi="Arial" w:cs="Arial"/>
          <w:color w:val="000000" w:themeColor="text1"/>
          <w:sz w:val="24"/>
          <w:szCs w:val="24"/>
        </w:rPr>
      </w:pPr>
      <w:r w:rsidRPr="006713ED">
        <w:rPr>
          <w:rFonts w:ascii="Arial" w:hAnsi="Arial" w:cs="Arial"/>
          <w:sz w:val="24"/>
          <w:szCs w:val="24"/>
        </w:rPr>
        <w:t xml:space="preserve">The </w:t>
      </w:r>
      <w:r w:rsidR="00990AE5">
        <w:rPr>
          <w:rFonts w:ascii="Arial" w:hAnsi="Arial" w:cs="Arial"/>
          <w:sz w:val="24"/>
          <w:szCs w:val="24"/>
        </w:rPr>
        <w:t xml:space="preserve">Danube </w:t>
      </w:r>
      <w:r w:rsidRPr="006713ED">
        <w:rPr>
          <w:rFonts w:ascii="Arial" w:hAnsi="Arial" w:cs="Arial"/>
          <w:sz w:val="24"/>
          <w:szCs w:val="24"/>
        </w:rPr>
        <w:t xml:space="preserve">Adventure Wellness Resort has distilled the essence of the Danube Delta into an experience, combining the quests for adventure, well-being, and ecological </w:t>
      </w:r>
      <w:r w:rsidRPr="00FD1DAB">
        <w:rPr>
          <w:rFonts w:ascii="Arial" w:hAnsi="Arial" w:cs="Arial"/>
          <w:color w:val="000000" w:themeColor="text1"/>
          <w:sz w:val="24"/>
          <w:szCs w:val="24"/>
        </w:rPr>
        <w:t>harmony in a tapestry that appeals to the modern traveller's desire for meaning and impact in their journeys (Farkic et al., 2021).</w:t>
      </w:r>
    </w:p>
    <w:p w14:paraId="0C4968AF" w14:textId="04DBE723" w:rsidR="00407E6E" w:rsidRPr="00FD1DAB" w:rsidRDefault="00407E6E" w:rsidP="00650DF7">
      <w:pPr>
        <w:spacing w:line="360" w:lineRule="auto"/>
        <w:jc w:val="both"/>
        <w:rPr>
          <w:rFonts w:ascii="Arial" w:hAnsi="Arial" w:cs="Arial"/>
          <w:color w:val="000000" w:themeColor="text1"/>
          <w:sz w:val="24"/>
          <w:szCs w:val="24"/>
        </w:rPr>
      </w:pPr>
      <w:r w:rsidRPr="00FD1DAB">
        <w:rPr>
          <w:rFonts w:ascii="Arial" w:hAnsi="Arial" w:cs="Arial"/>
          <w:color w:val="000000" w:themeColor="text1"/>
          <w:sz w:val="24"/>
          <w:szCs w:val="24"/>
        </w:rPr>
        <w:t xml:space="preserve">The Customer Segments </w:t>
      </w:r>
      <w:r w:rsidR="0024300E" w:rsidRPr="00FD1DAB">
        <w:rPr>
          <w:rFonts w:ascii="Arial" w:hAnsi="Arial" w:cs="Arial"/>
          <w:color w:val="000000" w:themeColor="text1"/>
          <w:sz w:val="24"/>
          <w:szCs w:val="24"/>
        </w:rPr>
        <w:t>section</w:t>
      </w:r>
      <w:r w:rsidR="00FF6704" w:rsidRPr="00FD1DAB">
        <w:rPr>
          <w:rFonts w:ascii="Arial" w:hAnsi="Arial" w:cs="Arial"/>
          <w:color w:val="000000" w:themeColor="text1"/>
          <w:sz w:val="24"/>
          <w:szCs w:val="24"/>
        </w:rPr>
        <w:t xml:space="preserve"> </w:t>
      </w:r>
      <w:r w:rsidR="00952343" w:rsidRPr="00FD1DAB">
        <w:rPr>
          <w:rFonts w:ascii="Arial" w:hAnsi="Arial" w:cs="Arial"/>
          <w:color w:val="000000" w:themeColor="text1"/>
          <w:sz w:val="24"/>
          <w:szCs w:val="24"/>
        </w:rPr>
        <w:t>highlights</w:t>
      </w:r>
      <w:r w:rsidR="00FF6704" w:rsidRPr="00FD1DAB">
        <w:rPr>
          <w:rFonts w:ascii="Arial" w:hAnsi="Arial" w:cs="Arial"/>
          <w:color w:val="000000" w:themeColor="text1"/>
          <w:sz w:val="24"/>
          <w:szCs w:val="24"/>
        </w:rPr>
        <w:t xml:space="preserve"> </w:t>
      </w:r>
      <w:r w:rsidR="00952343" w:rsidRPr="00FD1DAB">
        <w:rPr>
          <w:rFonts w:ascii="Arial" w:hAnsi="Arial" w:cs="Arial"/>
          <w:color w:val="000000" w:themeColor="text1"/>
          <w:sz w:val="24"/>
          <w:szCs w:val="24"/>
        </w:rPr>
        <w:t>that the</w:t>
      </w:r>
      <w:r w:rsidRPr="00FD1DAB">
        <w:rPr>
          <w:rFonts w:ascii="Arial" w:hAnsi="Arial" w:cs="Arial"/>
          <w:color w:val="000000" w:themeColor="text1"/>
          <w:sz w:val="24"/>
          <w:szCs w:val="24"/>
        </w:rPr>
        <w:t xml:space="preserve"> Danube Adventure Wellness Resort </w:t>
      </w:r>
      <w:r w:rsidR="00FF6704" w:rsidRPr="00FD1DAB">
        <w:rPr>
          <w:rFonts w:ascii="Arial" w:hAnsi="Arial" w:cs="Arial"/>
          <w:color w:val="000000" w:themeColor="text1"/>
          <w:sz w:val="24"/>
          <w:szCs w:val="24"/>
        </w:rPr>
        <w:t>offers</w:t>
      </w:r>
      <w:r w:rsidRPr="00FD1DAB">
        <w:rPr>
          <w:rFonts w:ascii="Arial" w:hAnsi="Arial" w:cs="Arial"/>
          <w:color w:val="000000" w:themeColor="text1"/>
          <w:sz w:val="24"/>
          <w:szCs w:val="24"/>
        </w:rPr>
        <w:t xml:space="preserve"> a diverse customer base that reflects the demographics reported by SimilarWeb for comparable businesses like the Danube Delta Resort. Adventure seekers within the 20-40 age range, especially the </w:t>
      </w:r>
      <w:r w:rsidR="0024300E" w:rsidRPr="00FD1DAB">
        <w:rPr>
          <w:rFonts w:ascii="Arial" w:hAnsi="Arial" w:cs="Arial"/>
          <w:color w:val="000000" w:themeColor="text1"/>
          <w:sz w:val="24"/>
          <w:szCs w:val="24"/>
        </w:rPr>
        <w:t>25–34-year-olds</w:t>
      </w:r>
      <w:r w:rsidRPr="00FD1DAB">
        <w:rPr>
          <w:rFonts w:ascii="Arial" w:hAnsi="Arial" w:cs="Arial"/>
          <w:color w:val="000000" w:themeColor="text1"/>
          <w:sz w:val="24"/>
          <w:szCs w:val="24"/>
        </w:rPr>
        <w:t xml:space="preserve"> who make up the largest group according to SimilarWeb (25.6%), are attracted to the thrilling experiences offered by the resort. This group is tech-savvy and prioritizes memorable experiences, indicative of the Danube Adventure Wellness Resort's clientele (IJspeert and Hernandez-Maskivker, 2020).</w:t>
      </w:r>
    </w:p>
    <w:p w14:paraId="31918574" w14:textId="5A426FE2" w:rsidR="00407E6E" w:rsidRPr="00FD1DAB" w:rsidRDefault="00407E6E" w:rsidP="00650DF7">
      <w:pPr>
        <w:spacing w:line="360" w:lineRule="auto"/>
        <w:jc w:val="both"/>
        <w:rPr>
          <w:rFonts w:ascii="Arial" w:hAnsi="Arial" w:cs="Arial"/>
          <w:color w:val="000000" w:themeColor="text1"/>
          <w:sz w:val="24"/>
          <w:szCs w:val="24"/>
        </w:rPr>
      </w:pPr>
      <w:r w:rsidRPr="00FD1DAB">
        <w:rPr>
          <w:rFonts w:ascii="Arial" w:hAnsi="Arial" w:cs="Arial"/>
          <w:color w:val="000000" w:themeColor="text1"/>
          <w:sz w:val="24"/>
          <w:szCs w:val="24"/>
        </w:rPr>
        <w:t>Wellness enthusiasts, primarily women aged 30-55, form a significant demographic for the resort, paralleling SimilarWeb's findings of 45.98% female visitors. This segment is drawn to relaxation and self-care activities, which is likely a common interest with visitors to the Danube Delta Resort.</w:t>
      </w:r>
    </w:p>
    <w:p w14:paraId="6CC51C28" w14:textId="77777777" w:rsidR="00D478EA" w:rsidRDefault="00407E6E" w:rsidP="00650DF7">
      <w:pPr>
        <w:spacing w:line="360" w:lineRule="auto"/>
        <w:jc w:val="both"/>
        <w:rPr>
          <w:rFonts w:ascii="Arial" w:hAnsi="Arial" w:cs="Arial"/>
          <w:color w:val="000000" w:themeColor="text1"/>
          <w:sz w:val="24"/>
          <w:szCs w:val="24"/>
        </w:rPr>
      </w:pPr>
      <w:r w:rsidRPr="00FD1DAB">
        <w:rPr>
          <w:rFonts w:ascii="Arial" w:hAnsi="Arial" w:cs="Arial"/>
          <w:color w:val="000000" w:themeColor="text1"/>
          <w:sz w:val="24"/>
          <w:szCs w:val="24"/>
        </w:rPr>
        <w:t>Corporate clients for team-building retreats typically span ages 25 to 50 and are inclined towards integrating leisure with professional development (Page et al., 2017). While the age range might slightly differ from SimilarWeb's primary audience, the underlying interest in wellness and team-based activities is a common thread.</w:t>
      </w:r>
      <w:r w:rsidR="00D478EA">
        <w:rPr>
          <w:rFonts w:ascii="Arial" w:hAnsi="Arial" w:cs="Arial"/>
          <w:color w:val="000000" w:themeColor="text1"/>
          <w:sz w:val="24"/>
          <w:szCs w:val="24"/>
        </w:rPr>
        <w:t xml:space="preserve"> </w:t>
      </w:r>
    </w:p>
    <w:p w14:paraId="3FF2FC22" w14:textId="5D890657" w:rsidR="00407E6E" w:rsidRPr="00FD1DAB" w:rsidRDefault="00407E6E" w:rsidP="00650DF7">
      <w:pPr>
        <w:spacing w:line="360" w:lineRule="auto"/>
        <w:jc w:val="both"/>
        <w:rPr>
          <w:rFonts w:ascii="Arial" w:hAnsi="Arial" w:cs="Arial"/>
          <w:color w:val="000000" w:themeColor="text1"/>
          <w:sz w:val="24"/>
          <w:szCs w:val="24"/>
        </w:rPr>
      </w:pPr>
      <w:r w:rsidRPr="00FD1DAB">
        <w:rPr>
          <w:rFonts w:ascii="Arial" w:hAnsi="Arial" w:cs="Arial"/>
          <w:color w:val="000000" w:themeColor="text1"/>
          <w:sz w:val="24"/>
          <w:szCs w:val="24"/>
        </w:rPr>
        <w:t>Eco-tourists and environmentalists, ranging from 18 to 60, prioritize sustainability, aligning with the 35-54 age group reported by SimilarWeb (38.03% combined), signifying a shared commitment to eco-friendly travel practices (Paul and Roy, 2023).</w:t>
      </w:r>
    </w:p>
    <w:p w14:paraId="1B7B1617" w14:textId="45981F9B" w:rsidR="00044DB2" w:rsidRPr="00650DF7" w:rsidRDefault="00407E6E" w:rsidP="00650DF7">
      <w:pPr>
        <w:spacing w:line="360" w:lineRule="auto"/>
        <w:jc w:val="both"/>
        <w:rPr>
          <w:rFonts w:ascii="Arial" w:hAnsi="Arial" w:cs="Arial"/>
          <w:color w:val="000000" w:themeColor="text1"/>
          <w:sz w:val="24"/>
          <w:szCs w:val="24"/>
        </w:rPr>
      </w:pPr>
      <w:r w:rsidRPr="00FD1DAB">
        <w:rPr>
          <w:rFonts w:ascii="Arial" w:hAnsi="Arial" w:cs="Arial"/>
          <w:color w:val="000000" w:themeColor="text1"/>
          <w:sz w:val="24"/>
          <w:szCs w:val="24"/>
        </w:rPr>
        <w:t>Both resorts offer services that resonate with customers who prioritize personal and environmental well-being, suggesting a complementary customer base with opportunities for collaboration and shared marketing strategies, as evidenced by the SimilarWeb data.</w:t>
      </w:r>
    </w:p>
    <w:p w14:paraId="37C840FC" w14:textId="3140BC0D" w:rsidR="00BF5FEA" w:rsidRPr="006713ED" w:rsidRDefault="00BF5FEA" w:rsidP="00650DF7">
      <w:pPr>
        <w:spacing w:line="360" w:lineRule="auto"/>
        <w:jc w:val="both"/>
        <w:rPr>
          <w:rFonts w:ascii="Arial" w:hAnsi="Arial" w:cs="Arial"/>
          <w:sz w:val="24"/>
          <w:szCs w:val="24"/>
        </w:rPr>
      </w:pPr>
      <w:r w:rsidRPr="006713ED">
        <w:rPr>
          <w:rFonts w:ascii="Arial" w:hAnsi="Arial" w:cs="Arial"/>
          <w:sz w:val="24"/>
          <w:szCs w:val="24"/>
        </w:rPr>
        <w:t>The Adventure Wellness Resort's key activities and services are meticulously designed to provide a balanced array of invigorating and restorative experiences. The resort's foundation is its adventure and wellness itineraries, which are tailored to individual preferences, adding a personal touch to the thrill of exploration and the tranquillity of rejuvenation (Majeed et al., 2018).</w:t>
      </w:r>
    </w:p>
    <w:p w14:paraId="1871CDBB" w14:textId="77777777" w:rsidR="00BF5FEA" w:rsidRPr="006713ED" w:rsidRDefault="00BF5FEA" w:rsidP="00650DF7">
      <w:pPr>
        <w:spacing w:line="360" w:lineRule="auto"/>
        <w:jc w:val="both"/>
        <w:rPr>
          <w:rFonts w:ascii="Arial" w:hAnsi="Arial" w:cs="Arial"/>
          <w:sz w:val="24"/>
          <w:szCs w:val="24"/>
        </w:rPr>
      </w:pPr>
      <w:r w:rsidRPr="006713ED">
        <w:rPr>
          <w:rFonts w:ascii="Arial" w:hAnsi="Arial" w:cs="Arial"/>
          <w:sz w:val="24"/>
          <w:szCs w:val="24"/>
        </w:rPr>
        <w:t>Based on Sierra-Huelsz and Kainer's (2018) ideas, adventure itineraries include guided eco-tours through the Danube Delta, where guests can kayak among the lush biodiversity, or bird-watching tours to spot rare species. For the more daring, there are rock climbing and hiking expeditions led by expert guides who ensure safety while maintaining a sense of adventure.</w:t>
      </w:r>
    </w:p>
    <w:p w14:paraId="60EE2BAA" w14:textId="77777777" w:rsidR="00BF5FEA" w:rsidRPr="006713ED" w:rsidRDefault="00BF5FEA" w:rsidP="00650DF7">
      <w:pPr>
        <w:spacing w:line="360" w:lineRule="auto"/>
        <w:jc w:val="both"/>
        <w:rPr>
          <w:rFonts w:ascii="Arial" w:hAnsi="Arial" w:cs="Arial"/>
          <w:sz w:val="24"/>
          <w:szCs w:val="24"/>
        </w:rPr>
      </w:pPr>
      <w:r w:rsidRPr="006713ED">
        <w:rPr>
          <w:rFonts w:ascii="Arial" w:hAnsi="Arial" w:cs="Arial"/>
          <w:sz w:val="24"/>
          <w:szCs w:val="24"/>
        </w:rPr>
        <w:t>The wellness dimension takes place in the resort's spa sanctuaries, inspired by Hilton's (2022) practices. Holistic treatments use locally sourced, natural ingredients, and offer a range of services from massages to detoxifying wraps that are consistent with the resort's eco-conscious ethos. Yoga and meditation sessions take place in quiet settings, allowing for a deep connection with nature and inner peace.</w:t>
      </w:r>
    </w:p>
    <w:p w14:paraId="2C0E0375" w14:textId="03F0A937" w:rsidR="00BF5FEA" w:rsidRPr="006713ED" w:rsidRDefault="00BF5FEA" w:rsidP="00650DF7">
      <w:pPr>
        <w:spacing w:line="360" w:lineRule="auto"/>
        <w:jc w:val="both"/>
        <w:rPr>
          <w:rFonts w:ascii="Arial" w:hAnsi="Arial" w:cs="Arial"/>
          <w:sz w:val="24"/>
          <w:szCs w:val="24"/>
        </w:rPr>
      </w:pPr>
      <w:r w:rsidRPr="006713ED">
        <w:rPr>
          <w:rFonts w:ascii="Arial" w:hAnsi="Arial" w:cs="Arial"/>
          <w:sz w:val="24"/>
          <w:szCs w:val="24"/>
        </w:rPr>
        <w:t xml:space="preserve">The resort's commitment to cultural integration based on the Agyeiwaah et al. (2019) model improves the guest experience even further. Guests </w:t>
      </w:r>
      <w:r w:rsidR="00044DB2" w:rsidRPr="006713ED">
        <w:rPr>
          <w:rFonts w:ascii="Arial" w:hAnsi="Arial" w:cs="Arial"/>
          <w:sz w:val="24"/>
          <w:szCs w:val="24"/>
        </w:rPr>
        <w:t>can</w:t>
      </w:r>
      <w:r w:rsidRPr="006713ED">
        <w:rPr>
          <w:rFonts w:ascii="Arial" w:hAnsi="Arial" w:cs="Arial"/>
          <w:sz w:val="24"/>
          <w:szCs w:val="24"/>
        </w:rPr>
        <w:t xml:space="preserve"> lose themselves in the region's heritage through interactive cultural experiences such as traditional crafting workshops or cooking classes featuring local cuisine. Multilingual specialists ensure that these experiences are accessible to everyone, increasing the resort's inclusivity.</w:t>
      </w:r>
    </w:p>
    <w:p w14:paraId="30A76C28" w14:textId="15F98916" w:rsidR="00BF5FEA" w:rsidRPr="006713ED" w:rsidRDefault="00BF5FEA" w:rsidP="00650DF7">
      <w:pPr>
        <w:spacing w:line="360" w:lineRule="auto"/>
        <w:jc w:val="both"/>
        <w:rPr>
          <w:rFonts w:ascii="Arial" w:hAnsi="Arial" w:cs="Arial"/>
          <w:sz w:val="24"/>
          <w:szCs w:val="24"/>
        </w:rPr>
      </w:pPr>
      <w:r w:rsidRPr="006713ED">
        <w:rPr>
          <w:rFonts w:ascii="Arial" w:hAnsi="Arial" w:cs="Arial"/>
          <w:sz w:val="24"/>
          <w:szCs w:val="24"/>
        </w:rPr>
        <w:t xml:space="preserve">As </w:t>
      </w:r>
      <w:r w:rsidR="00044DB2" w:rsidRPr="006713ED">
        <w:rPr>
          <w:rFonts w:ascii="Arial" w:hAnsi="Arial" w:cs="Arial"/>
          <w:sz w:val="24"/>
          <w:szCs w:val="24"/>
        </w:rPr>
        <w:t>Wilson's</w:t>
      </w:r>
      <w:r w:rsidRPr="006713ED">
        <w:rPr>
          <w:rFonts w:ascii="Arial" w:hAnsi="Arial" w:cs="Arial"/>
          <w:sz w:val="24"/>
          <w:szCs w:val="24"/>
        </w:rPr>
        <w:t xml:space="preserve"> (2023)</w:t>
      </w:r>
      <w:r w:rsidR="00044DB2" w:rsidRPr="006713ED">
        <w:rPr>
          <w:rFonts w:ascii="Arial" w:hAnsi="Arial" w:cs="Arial"/>
          <w:sz w:val="24"/>
          <w:szCs w:val="24"/>
        </w:rPr>
        <w:t xml:space="preserve"> </w:t>
      </w:r>
      <w:r w:rsidRPr="006713ED">
        <w:rPr>
          <w:rFonts w:ascii="Arial" w:hAnsi="Arial" w:cs="Arial"/>
          <w:sz w:val="24"/>
          <w:szCs w:val="24"/>
        </w:rPr>
        <w:t>study inspired, the resort prioritises digital well-being, offering digital detox retreats that encourage guests to disconnect from technology and reconnect with nature. These retreats are supplemented with mindfulness sessions led by clinical psychologists, cementing the resort's reputation as a haven for holistic well-being.</w:t>
      </w:r>
    </w:p>
    <w:p w14:paraId="0D56D12C" w14:textId="77777777" w:rsidR="00044DB2" w:rsidRPr="006713ED" w:rsidRDefault="00BF5FEA" w:rsidP="00650DF7">
      <w:pPr>
        <w:spacing w:line="360" w:lineRule="auto"/>
        <w:jc w:val="both"/>
        <w:rPr>
          <w:rFonts w:ascii="Arial" w:hAnsi="Arial" w:cs="Arial"/>
          <w:sz w:val="24"/>
          <w:szCs w:val="24"/>
        </w:rPr>
      </w:pPr>
      <w:r w:rsidRPr="006713ED">
        <w:rPr>
          <w:rFonts w:ascii="Arial" w:hAnsi="Arial" w:cs="Arial"/>
          <w:sz w:val="24"/>
          <w:szCs w:val="24"/>
        </w:rPr>
        <w:t>These activities and services work together to create a cohesive offering that not only entertains and relaxes, but also educates and enriches, giving guests a comprehensive experience that goes beyond the typical vacation (Ponte et al., 2021).</w:t>
      </w:r>
    </w:p>
    <w:p w14:paraId="42749ECC" w14:textId="091FDFDE" w:rsidR="00FD1DAB" w:rsidRPr="00FD1DAB" w:rsidRDefault="00FD1DAB" w:rsidP="00650DF7">
      <w:pPr>
        <w:spacing w:line="360" w:lineRule="auto"/>
        <w:jc w:val="both"/>
        <w:rPr>
          <w:rFonts w:ascii="Arial" w:hAnsi="Arial" w:cs="Arial"/>
          <w:sz w:val="24"/>
          <w:szCs w:val="24"/>
        </w:rPr>
      </w:pPr>
      <w:r w:rsidRPr="00FD1DAB">
        <w:rPr>
          <w:rFonts w:ascii="Arial" w:hAnsi="Arial" w:cs="Arial"/>
          <w:sz w:val="24"/>
          <w:szCs w:val="24"/>
        </w:rPr>
        <w:t>The Danube Adventure Wellness Resort's strategic partnerships are critical to its service offerings in the Danube Delta, as evidenced by numerous studies and travel guides. Local adventure outfitters, such as Delta Kayak Adventures and Danube Birdwatching, provide guests with the necessary equipment and guidance for outdoor activities, ensuring safe and authentic experiences, as emphasised in Salum's (2021) travel guide.</w:t>
      </w:r>
    </w:p>
    <w:p w14:paraId="149922BF" w14:textId="39E673C4" w:rsidR="00FD1DAB" w:rsidRPr="00FD1DAB" w:rsidRDefault="00FD1DAB" w:rsidP="00650DF7">
      <w:pPr>
        <w:spacing w:line="360" w:lineRule="auto"/>
        <w:jc w:val="both"/>
        <w:rPr>
          <w:rFonts w:ascii="Arial" w:hAnsi="Arial" w:cs="Arial"/>
          <w:sz w:val="24"/>
          <w:szCs w:val="24"/>
        </w:rPr>
      </w:pPr>
      <w:r w:rsidRPr="00FD1DAB">
        <w:rPr>
          <w:rFonts w:ascii="Arial" w:hAnsi="Arial" w:cs="Arial"/>
          <w:sz w:val="24"/>
          <w:szCs w:val="24"/>
        </w:rPr>
        <w:t>Holistic health practitioners from wellness centres like Danube Spa Retreats contribute their knowledge of nutrition and spa treatments, enhancing the resort's comprehensive well-being programmes. These collaborations, as Bibu and Bîtea (2017) point out, are critical for creating transformative wellness experiences.</w:t>
      </w:r>
    </w:p>
    <w:p w14:paraId="32BB3715" w14:textId="38631D49" w:rsidR="00FD1DAB" w:rsidRPr="00FD1DAB" w:rsidRDefault="00FD1DAB" w:rsidP="00650DF7">
      <w:pPr>
        <w:spacing w:line="360" w:lineRule="auto"/>
        <w:jc w:val="both"/>
        <w:rPr>
          <w:rFonts w:ascii="Arial" w:hAnsi="Arial" w:cs="Arial"/>
          <w:sz w:val="24"/>
          <w:szCs w:val="24"/>
        </w:rPr>
      </w:pPr>
      <w:r w:rsidRPr="00FD1DAB">
        <w:rPr>
          <w:rFonts w:ascii="Arial" w:hAnsi="Arial" w:cs="Arial"/>
          <w:sz w:val="24"/>
          <w:szCs w:val="24"/>
        </w:rPr>
        <w:t>Partnerships with local agricultural businesses such as Delta Organic Farms help to support the farm-to-table dining experience by ensuring a steady supply of fresh organic ingredients. This collaboration is critical not only for providing an exceptional culinary experience, as described by Gifford et al. (2023), but also for supporting the local economy and demonstrating the resort's commitment to sustainability.</w:t>
      </w:r>
    </w:p>
    <w:p w14:paraId="60EF527A" w14:textId="7DDC6AF6" w:rsidR="00FD1DAB" w:rsidRPr="00FD1DAB" w:rsidRDefault="00FD1DAB" w:rsidP="00650DF7">
      <w:pPr>
        <w:spacing w:line="360" w:lineRule="auto"/>
        <w:jc w:val="both"/>
        <w:rPr>
          <w:rFonts w:ascii="Arial" w:hAnsi="Arial" w:cs="Arial"/>
          <w:sz w:val="24"/>
          <w:szCs w:val="24"/>
        </w:rPr>
      </w:pPr>
      <w:r w:rsidRPr="00FD1DAB">
        <w:rPr>
          <w:rFonts w:ascii="Arial" w:hAnsi="Arial" w:cs="Arial"/>
          <w:sz w:val="24"/>
          <w:szCs w:val="24"/>
        </w:rPr>
        <w:t>Collaborations with conservation groups, such as the Delta Conservation Network, are essential, echoing Shandas et al.'s (2008) emphasis on environmental stewardship. These collaborations support educational and volunteer programmes that teach visitors about the local ecosystem and sustainable practices.</w:t>
      </w:r>
    </w:p>
    <w:p w14:paraId="10E7CFA7" w14:textId="37C7A078" w:rsidR="00FD1DAB" w:rsidRPr="00FD1DAB" w:rsidRDefault="00FD1DAB" w:rsidP="00650DF7">
      <w:pPr>
        <w:spacing w:line="360" w:lineRule="auto"/>
        <w:jc w:val="both"/>
        <w:rPr>
          <w:rFonts w:ascii="Arial" w:hAnsi="Arial" w:cs="Arial"/>
          <w:sz w:val="24"/>
          <w:szCs w:val="24"/>
        </w:rPr>
      </w:pPr>
      <w:r w:rsidRPr="00FD1DAB">
        <w:rPr>
          <w:rFonts w:ascii="Arial" w:hAnsi="Arial" w:cs="Arial"/>
          <w:sz w:val="24"/>
          <w:szCs w:val="24"/>
        </w:rPr>
        <w:t>Cultural experiences at the resort are enhanced by partnerships with cultural organisations and multilingual specialists, ensuring that all visitors, regardless of language barriers, can immerse themselves in the Danube Delta's rich heritage, as emphasised by Suhaimi and Abdullah (2017).</w:t>
      </w:r>
    </w:p>
    <w:p w14:paraId="0D83AFCD" w14:textId="2815EC8C" w:rsidR="0021773D" w:rsidRPr="006713ED" w:rsidRDefault="00FD1DAB" w:rsidP="00650DF7">
      <w:pPr>
        <w:spacing w:line="360" w:lineRule="auto"/>
        <w:jc w:val="both"/>
        <w:rPr>
          <w:rFonts w:ascii="Arial" w:hAnsi="Arial" w:cs="Arial"/>
          <w:sz w:val="24"/>
          <w:szCs w:val="24"/>
        </w:rPr>
      </w:pPr>
      <w:r w:rsidRPr="00FD1DAB">
        <w:rPr>
          <w:rFonts w:ascii="Arial" w:hAnsi="Arial" w:cs="Arial"/>
          <w:sz w:val="24"/>
          <w:szCs w:val="24"/>
        </w:rPr>
        <w:t>According to Chen (2022), these key partnerships are more than just operational facets; they are deeply embedded in the resort's identity. They support the resort's mission of providing a holistic, sustainable, and culturally immersive guest experience.</w:t>
      </w:r>
    </w:p>
    <w:p w14:paraId="4FE8157F" w14:textId="52E7829C" w:rsidR="00DF2C12" w:rsidRPr="00DF2C12" w:rsidRDefault="00DF2C12" w:rsidP="00650DF7">
      <w:pPr>
        <w:spacing w:line="360" w:lineRule="auto"/>
        <w:jc w:val="both"/>
        <w:rPr>
          <w:rFonts w:ascii="Arial" w:hAnsi="Arial" w:cs="Arial"/>
          <w:sz w:val="24"/>
          <w:szCs w:val="24"/>
        </w:rPr>
      </w:pPr>
      <w:r w:rsidRPr="00DF2C12">
        <w:rPr>
          <w:rFonts w:ascii="Arial" w:hAnsi="Arial" w:cs="Arial"/>
          <w:sz w:val="24"/>
          <w:szCs w:val="24"/>
        </w:rPr>
        <w:t>The Danube Adventure Wellness Resort, with its serene setting in the Danube Delta, and the Danube Delta Resort from Romania have similar target audiences and channels, according to SimilarWeb insights. Both resorts use a strong online presence as their primary channel of engagement, with the Danube Adventure Wellness Resort using an online booking platform and a custom resort app to improve the guest experience, a strategy supported by Huang et al. (2017). This digital concierge service caters to internet-savvy clients who frequent travel and social media networks, reflecting the target audience's interests in travel and outdoor activities, as indicated by SimilarWeb's report on utah.com.</w:t>
      </w:r>
    </w:p>
    <w:p w14:paraId="71F4B655" w14:textId="2BB145BA" w:rsidR="00DF2C12" w:rsidRPr="00DF2C12" w:rsidRDefault="00DF2C12" w:rsidP="00650DF7">
      <w:pPr>
        <w:spacing w:line="360" w:lineRule="auto"/>
        <w:jc w:val="both"/>
        <w:rPr>
          <w:rFonts w:ascii="Arial" w:hAnsi="Arial" w:cs="Arial"/>
          <w:sz w:val="24"/>
          <w:szCs w:val="24"/>
        </w:rPr>
      </w:pPr>
      <w:r w:rsidRPr="00DF2C12">
        <w:rPr>
          <w:rFonts w:ascii="Arial" w:hAnsi="Arial" w:cs="Arial"/>
          <w:sz w:val="24"/>
          <w:szCs w:val="24"/>
        </w:rPr>
        <w:t>The channel strategy focuses on engaging with adventure seekers and wellness enthusiasts on social media platforms like Facebook, YouTube, and TikTok, who value immersive and authentic experiences (Kiráľová and Pavlíčeka, 2015). These platforms reflect the Danube Delta Resort's audience's browsing interests, with a focus on travel, camping, and community, indicating a common demographic that actively engages with nature and cultural exploration.</w:t>
      </w:r>
    </w:p>
    <w:p w14:paraId="32578D9E" w14:textId="43934C45" w:rsidR="00DF2C12" w:rsidRPr="00DF2C12" w:rsidRDefault="00DF2C12" w:rsidP="00650DF7">
      <w:pPr>
        <w:spacing w:line="360" w:lineRule="auto"/>
        <w:jc w:val="both"/>
        <w:rPr>
          <w:rFonts w:ascii="Arial" w:hAnsi="Arial" w:cs="Arial"/>
          <w:sz w:val="24"/>
          <w:szCs w:val="24"/>
        </w:rPr>
      </w:pPr>
      <w:r w:rsidRPr="00DF2C12">
        <w:rPr>
          <w:rFonts w:ascii="Arial" w:hAnsi="Arial" w:cs="Arial"/>
          <w:sz w:val="24"/>
          <w:szCs w:val="24"/>
        </w:rPr>
        <w:t>Physical agencies complement the digital approach by providing personalised services to less digitally inclined guests, resulting in a comprehensive omnichannel experience (Wu et al., 2022). Tailored retreat packages and loyalty programmes cater to eco-conscious guests, encouraging long-term relationships and community-building initiatives, which are consistent with Hudson's (2017) findings on fostering a sense of belonging among guests.</w:t>
      </w:r>
    </w:p>
    <w:p w14:paraId="2A670DEE" w14:textId="77777777" w:rsidR="00DF2C12" w:rsidRDefault="00DF2C12" w:rsidP="00650DF7">
      <w:pPr>
        <w:spacing w:line="360" w:lineRule="auto"/>
        <w:jc w:val="both"/>
        <w:rPr>
          <w:rFonts w:ascii="Arial" w:hAnsi="Arial" w:cs="Arial"/>
          <w:sz w:val="24"/>
          <w:szCs w:val="24"/>
        </w:rPr>
      </w:pPr>
      <w:r w:rsidRPr="00DF2C12">
        <w:rPr>
          <w:rFonts w:ascii="Arial" w:hAnsi="Arial" w:cs="Arial"/>
          <w:sz w:val="24"/>
          <w:szCs w:val="24"/>
        </w:rPr>
        <w:t>By combining digital and physical channels, the Danube Adventure Wellness Resort not only attracts a diverse clientele but also fosters a community similar to the Danube Delta Resort. SimilarWeb's demographic insights can help both entities tailor their offerings and marketing strategies based on shared interests in travel, outdoor activities, and community engagement.</w:t>
      </w:r>
    </w:p>
    <w:p w14:paraId="5D83D9D8" w14:textId="77777777" w:rsidR="001660E9" w:rsidRPr="006713ED" w:rsidRDefault="001660E9" w:rsidP="00650DF7">
      <w:pPr>
        <w:spacing w:line="360" w:lineRule="auto"/>
        <w:jc w:val="both"/>
        <w:rPr>
          <w:rFonts w:ascii="Arial" w:hAnsi="Arial" w:cs="Arial"/>
          <w:sz w:val="24"/>
          <w:szCs w:val="24"/>
        </w:rPr>
      </w:pPr>
      <w:r w:rsidRPr="006713ED">
        <w:rPr>
          <w:rFonts w:ascii="Arial" w:hAnsi="Arial" w:cs="Arial"/>
          <w:sz w:val="24"/>
          <w:szCs w:val="24"/>
        </w:rPr>
        <w:t>Similar to Kapiki's (2012) case study of the Sani resort, the Adventure Wellness Resort's revenue streams are based on room bookings and supplemented with tailored adventure and wellness options. Spa services, wellness workshops, and farm-to-table culinary experiences all generate additional revenue. Corporate retreats and events also provide a significant revenue stream.</w:t>
      </w:r>
    </w:p>
    <w:p w14:paraId="68ACAD08" w14:textId="77777777" w:rsidR="001660E9" w:rsidRPr="006713ED" w:rsidRDefault="001660E9" w:rsidP="00650DF7">
      <w:pPr>
        <w:spacing w:line="360" w:lineRule="auto"/>
        <w:jc w:val="both"/>
        <w:rPr>
          <w:rFonts w:ascii="Arial" w:hAnsi="Arial" w:cs="Arial"/>
          <w:sz w:val="24"/>
          <w:szCs w:val="24"/>
        </w:rPr>
      </w:pPr>
      <w:r w:rsidRPr="006713ED">
        <w:rPr>
          <w:rFonts w:ascii="Arial" w:hAnsi="Arial" w:cs="Arial"/>
          <w:sz w:val="24"/>
          <w:szCs w:val="24"/>
        </w:rPr>
        <w:t>Costs are primarily allocated to environmentally friendly infrastructure, programme operations, marketing efforts, and partnership development. Expenditures also include community and environmental initiatives that are essential to the resort's sustainable culture and guest engagement (Warren et al. 2018).</w:t>
      </w:r>
    </w:p>
    <w:p w14:paraId="2F838F4A" w14:textId="77777777" w:rsidR="00241FFD" w:rsidRPr="006713ED" w:rsidRDefault="00241FFD" w:rsidP="00650DF7">
      <w:pPr>
        <w:spacing w:line="360" w:lineRule="auto"/>
        <w:jc w:val="both"/>
        <w:rPr>
          <w:rFonts w:ascii="Arial" w:hAnsi="Arial" w:cs="Arial"/>
          <w:b/>
          <w:bCs/>
          <w:sz w:val="24"/>
          <w:szCs w:val="24"/>
        </w:rPr>
      </w:pPr>
    </w:p>
    <w:p w14:paraId="6E0177CE" w14:textId="1CE3A8E7" w:rsidR="00CD20C3" w:rsidRPr="006713ED" w:rsidRDefault="00436BF9" w:rsidP="00650DF7">
      <w:pPr>
        <w:spacing w:line="360" w:lineRule="auto"/>
        <w:jc w:val="both"/>
        <w:rPr>
          <w:rFonts w:ascii="Arial" w:hAnsi="Arial" w:cs="Arial"/>
          <w:sz w:val="24"/>
          <w:szCs w:val="24"/>
        </w:rPr>
      </w:pPr>
      <w:r w:rsidRPr="00436BF9">
        <w:rPr>
          <w:rFonts w:ascii="Arial" w:hAnsi="Arial" w:cs="Arial"/>
          <w:sz w:val="24"/>
          <w:szCs w:val="24"/>
        </w:rPr>
        <w:t>The Adventure Wellness Resort's cost structure, as Kapiki (2012) discovered with the Sani resort, prioritises environmentally sustainable practices. Significant investments are made in green infrastructure, as well as wellness and adventure programmes. Ongoing expenses include marketing and the formation of partnerships required for operations and customer outreach. Furthermore, community and environmental programmes, which are critical to fostering the resort's sustainable ethos, reflect expenditures seen in Warren et al.'s (2018) study on guest engagement. These initiatives benefit not only the local environment but also the guest experience.</w:t>
      </w:r>
    </w:p>
    <w:p w14:paraId="0D66A074" w14:textId="77777777" w:rsidR="00650DF7" w:rsidRDefault="00650DF7" w:rsidP="00650DF7">
      <w:pPr>
        <w:spacing w:line="360" w:lineRule="auto"/>
        <w:jc w:val="both"/>
        <w:rPr>
          <w:rFonts w:ascii="Arial" w:hAnsi="Arial" w:cs="Arial"/>
          <w:b/>
          <w:bCs/>
          <w:sz w:val="24"/>
          <w:szCs w:val="24"/>
        </w:rPr>
      </w:pPr>
    </w:p>
    <w:p w14:paraId="3CC77FAB" w14:textId="006220D5" w:rsidR="00A5669B" w:rsidRPr="00650DF7" w:rsidRDefault="000F19DD" w:rsidP="00650DF7">
      <w:pPr>
        <w:spacing w:line="360" w:lineRule="auto"/>
        <w:jc w:val="both"/>
        <w:rPr>
          <w:rFonts w:ascii="Arial" w:hAnsi="Arial" w:cs="Arial"/>
          <w:b/>
          <w:bCs/>
          <w:sz w:val="24"/>
          <w:szCs w:val="24"/>
        </w:rPr>
      </w:pPr>
      <w:r w:rsidRPr="006713ED">
        <w:rPr>
          <w:rFonts w:ascii="Arial" w:hAnsi="Arial" w:cs="Arial"/>
          <w:b/>
          <w:bCs/>
          <w:sz w:val="24"/>
          <w:szCs w:val="24"/>
        </w:rPr>
        <w:t>Assessment 1, part 2</w:t>
      </w:r>
      <w:r w:rsidR="00FE6D16" w:rsidRPr="006713ED">
        <w:rPr>
          <w:rFonts w:ascii="Arial" w:hAnsi="Arial" w:cs="Arial"/>
          <w:b/>
          <w:bCs/>
          <w:sz w:val="24"/>
          <w:szCs w:val="24"/>
        </w:rPr>
        <w:t xml:space="preserve"> </w:t>
      </w:r>
    </w:p>
    <w:p w14:paraId="2FD76CA9" w14:textId="03F10CAE" w:rsidR="003D3EC6" w:rsidRPr="006713ED" w:rsidRDefault="003D3EC6" w:rsidP="00650DF7">
      <w:pPr>
        <w:spacing w:line="360" w:lineRule="auto"/>
        <w:jc w:val="both"/>
        <w:rPr>
          <w:rFonts w:ascii="Arial" w:hAnsi="Arial" w:cs="Arial"/>
          <w:sz w:val="24"/>
          <w:szCs w:val="24"/>
        </w:rPr>
      </w:pPr>
      <w:r w:rsidRPr="006713ED">
        <w:rPr>
          <w:rFonts w:ascii="Arial" w:hAnsi="Arial" w:cs="Arial"/>
          <w:sz w:val="24"/>
          <w:szCs w:val="24"/>
        </w:rPr>
        <w:t>My GET2 test results are a sharp reminder of a path filled with difficult professional experiences and safe starts. Reflecting on the low 'Need for Autonomy' and 'Calculated Risk-taking' scores, I am transported back to my first job, where my dreams were both fuelled and buried within the walls of a tourism agency.</w:t>
      </w:r>
    </w:p>
    <w:p w14:paraId="4E76F784" w14:textId="7434E7C1" w:rsidR="003D3EC6" w:rsidRPr="006713ED" w:rsidRDefault="003D3EC6" w:rsidP="00650DF7">
      <w:pPr>
        <w:spacing w:line="360" w:lineRule="auto"/>
        <w:jc w:val="both"/>
        <w:rPr>
          <w:rFonts w:ascii="Arial" w:hAnsi="Arial" w:cs="Arial"/>
          <w:sz w:val="24"/>
          <w:szCs w:val="24"/>
        </w:rPr>
      </w:pPr>
      <w:r w:rsidRPr="006713ED">
        <w:rPr>
          <w:rFonts w:ascii="Arial" w:hAnsi="Arial" w:cs="Arial"/>
          <w:sz w:val="24"/>
          <w:szCs w:val="24"/>
        </w:rPr>
        <w:t>This role, while initially appealing, quickly became a source of self-doubt due to a disparaging supervisor. His words, sharp and unforgiving, were not just criticisms, but barbs that struck deep, leaving an indelible mark on my self-esteem. Delta Escape—my wellness business in the calm Danube Delta—was conceived here, among dreams of travel and exploration, but my confidence started to decline at the same time.</w:t>
      </w:r>
    </w:p>
    <w:p w14:paraId="074422B2" w14:textId="0503D74A" w:rsidR="003D3EC6" w:rsidRPr="006713ED" w:rsidRDefault="003D3EC6" w:rsidP="00650DF7">
      <w:pPr>
        <w:spacing w:line="360" w:lineRule="auto"/>
        <w:jc w:val="both"/>
        <w:rPr>
          <w:rFonts w:ascii="Arial" w:hAnsi="Arial" w:cs="Arial"/>
          <w:sz w:val="24"/>
          <w:szCs w:val="24"/>
        </w:rPr>
      </w:pPr>
      <w:r w:rsidRPr="006713ED">
        <w:rPr>
          <w:rFonts w:ascii="Arial" w:hAnsi="Arial" w:cs="Arial"/>
          <w:sz w:val="24"/>
          <w:szCs w:val="24"/>
        </w:rPr>
        <w:t>The Gibbs Reflective Cycle compels me to confront these emotions: the pain of harsh criticism and following fear to trust my instincts. This introspection, however uncomfortable, is necessary. It helps me recognise that the harsh environment I experienced was not a reflection of my abilities, but rather a distorted mirror projected by another's insecurities.</w:t>
      </w:r>
    </w:p>
    <w:p w14:paraId="3288EE1C" w14:textId="7C211B94" w:rsidR="003D3EC6" w:rsidRPr="006713ED" w:rsidRDefault="003D3EC6" w:rsidP="00650DF7">
      <w:pPr>
        <w:spacing w:line="360" w:lineRule="auto"/>
        <w:jc w:val="both"/>
        <w:rPr>
          <w:rFonts w:ascii="Arial" w:hAnsi="Arial" w:cs="Arial"/>
          <w:sz w:val="24"/>
          <w:szCs w:val="24"/>
        </w:rPr>
      </w:pPr>
      <w:r w:rsidRPr="006713ED">
        <w:rPr>
          <w:rFonts w:ascii="Arial" w:hAnsi="Arial" w:cs="Arial"/>
          <w:sz w:val="24"/>
          <w:szCs w:val="24"/>
        </w:rPr>
        <w:t>To address these low scores, the cycle suggests an action plan based on academic models. According to Bandura's concept of self-efficacy, our belief in our ability to succeed is fundamental (Schunk and Mullen, 2012). My task now is to rebuild this belief, to restore my trust in my judgement, which had been damaged by that tourism agency. To satisfy my 'Need for Autonomy', I must seek out roles that require decision-making and embrace the opportunity the university is giving by helping us write our dreams like Delta Escape's freedom to innovate, even in the imaginary realm. For 'Calculated Risk-taking', I plan to take small but significant steps, I introduced new wellness programmes that challenge traditional offerings while remaining true to my vision of tranquillity and healing because this is what I need to help myself heal and be productive at the same time.</w:t>
      </w:r>
    </w:p>
    <w:p w14:paraId="4E708813" w14:textId="34FEFB3F" w:rsidR="003D3EC6" w:rsidRPr="006713ED" w:rsidRDefault="003D3EC6" w:rsidP="00650DF7">
      <w:pPr>
        <w:spacing w:line="360" w:lineRule="auto"/>
        <w:jc w:val="both"/>
        <w:rPr>
          <w:rFonts w:ascii="Arial" w:hAnsi="Arial" w:cs="Arial"/>
          <w:sz w:val="24"/>
          <w:szCs w:val="24"/>
        </w:rPr>
      </w:pPr>
      <w:r w:rsidRPr="006713ED">
        <w:rPr>
          <w:rFonts w:ascii="Arial" w:hAnsi="Arial" w:cs="Arial"/>
          <w:sz w:val="24"/>
          <w:szCs w:val="24"/>
        </w:rPr>
        <w:t>Reflecting on the Schumpeterian model of entrepreneurial innovation (Block et al., 2017), I realise that true entrepreneurship involves cutting through the old to create something new. This model inspires me to reimagine Delta Escape as a sanctuary not only for implied guests but also for my entrepreneurial spirit.</w:t>
      </w:r>
    </w:p>
    <w:p w14:paraId="036CDC69" w14:textId="4E21101A" w:rsidR="0046588E" w:rsidRPr="006713ED" w:rsidRDefault="003D3EC6" w:rsidP="00650DF7">
      <w:pPr>
        <w:spacing w:line="360" w:lineRule="auto"/>
        <w:jc w:val="both"/>
        <w:rPr>
          <w:rFonts w:ascii="Arial" w:hAnsi="Arial" w:cs="Arial"/>
          <w:sz w:val="24"/>
          <w:szCs w:val="24"/>
        </w:rPr>
      </w:pPr>
      <w:r w:rsidRPr="006713ED">
        <w:rPr>
          <w:rFonts w:ascii="Arial" w:hAnsi="Arial" w:cs="Arial"/>
          <w:sz w:val="24"/>
          <w:szCs w:val="24"/>
        </w:rPr>
        <w:t>Finally, my entrepreneurial and management motivations, which were previously dampened by a harsh professional past, now face the prospect of renewal. The low scores in autonomy and risk-taking reflect a period of my life in which growth was restricted but they do not determine my future in entrepreneurship. Instead, they provide a development blueprint—a road map for building resilience and reclaiming the entrepreneurial spirit that thrives on independence and the courage to face the unknown. As I rebuild my self-efficacy and reframe my experiences through the lens of learning and opportunity, I am confident that both my personal and professional trajectories will improve, embodying the transformative journey that Delta Escape promises to be in the future.</w:t>
      </w:r>
    </w:p>
    <w:p w14:paraId="64CF1BC2" w14:textId="77777777" w:rsidR="00EC7BB3" w:rsidRDefault="00EC7BB3" w:rsidP="00650DF7">
      <w:pPr>
        <w:spacing w:line="360" w:lineRule="auto"/>
        <w:jc w:val="both"/>
        <w:rPr>
          <w:rFonts w:ascii="Arial" w:hAnsi="Arial" w:cs="Arial"/>
          <w:b/>
          <w:bCs/>
          <w:sz w:val="24"/>
          <w:szCs w:val="24"/>
        </w:rPr>
      </w:pPr>
    </w:p>
    <w:p w14:paraId="2A40342A" w14:textId="77777777" w:rsidR="003E6456" w:rsidRDefault="003E6456" w:rsidP="00650DF7">
      <w:pPr>
        <w:spacing w:line="360" w:lineRule="auto"/>
        <w:jc w:val="both"/>
        <w:rPr>
          <w:rFonts w:ascii="Arial" w:hAnsi="Arial" w:cs="Arial"/>
          <w:b/>
          <w:bCs/>
          <w:sz w:val="24"/>
          <w:szCs w:val="24"/>
        </w:rPr>
      </w:pPr>
    </w:p>
    <w:p w14:paraId="23D4BDD9" w14:textId="77777777" w:rsidR="003E6456" w:rsidRDefault="003E6456" w:rsidP="00650DF7">
      <w:pPr>
        <w:spacing w:line="360" w:lineRule="auto"/>
        <w:jc w:val="both"/>
        <w:rPr>
          <w:rFonts w:ascii="Arial" w:hAnsi="Arial" w:cs="Arial"/>
          <w:b/>
          <w:bCs/>
          <w:sz w:val="24"/>
          <w:szCs w:val="24"/>
        </w:rPr>
      </w:pPr>
    </w:p>
    <w:p w14:paraId="6710D23B" w14:textId="77777777" w:rsidR="003E6456" w:rsidRDefault="003E6456" w:rsidP="00650DF7">
      <w:pPr>
        <w:spacing w:line="360" w:lineRule="auto"/>
        <w:jc w:val="both"/>
        <w:rPr>
          <w:rFonts w:ascii="Arial" w:hAnsi="Arial" w:cs="Arial"/>
          <w:b/>
          <w:bCs/>
          <w:sz w:val="24"/>
          <w:szCs w:val="24"/>
        </w:rPr>
      </w:pPr>
    </w:p>
    <w:p w14:paraId="3001B827" w14:textId="77777777" w:rsidR="003E6456" w:rsidRDefault="003E6456" w:rsidP="00650DF7">
      <w:pPr>
        <w:spacing w:line="360" w:lineRule="auto"/>
        <w:jc w:val="both"/>
        <w:rPr>
          <w:rFonts w:ascii="Arial" w:hAnsi="Arial" w:cs="Arial"/>
          <w:b/>
          <w:bCs/>
          <w:sz w:val="24"/>
          <w:szCs w:val="24"/>
        </w:rPr>
      </w:pPr>
    </w:p>
    <w:p w14:paraId="75BA3D4B" w14:textId="77777777" w:rsidR="003E6456" w:rsidRDefault="003E6456" w:rsidP="00650DF7">
      <w:pPr>
        <w:spacing w:line="360" w:lineRule="auto"/>
        <w:jc w:val="both"/>
        <w:rPr>
          <w:rFonts w:ascii="Arial" w:hAnsi="Arial" w:cs="Arial"/>
          <w:b/>
          <w:bCs/>
          <w:sz w:val="24"/>
          <w:szCs w:val="24"/>
        </w:rPr>
      </w:pPr>
    </w:p>
    <w:p w14:paraId="79D90294" w14:textId="77777777" w:rsidR="003E6456" w:rsidRDefault="003E6456" w:rsidP="00650DF7">
      <w:pPr>
        <w:spacing w:line="360" w:lineRule="auto"/>
        <w:jc w:val="both"/>
        <w:rPr>
          <w:rFonts w:ascii="Arial" w:hAnsi="Arial" w:cs="Arial"/>
          <w:b/>
          <w:bCs/>
          <w:sz w:val="24"/>
          <w:szCs w:val="24"/>
        </w:rPr>
      </w:pPr>
    </w:p>
    <w:p w14:paraId="0D47E081" w14:textId="77777777" w:rsidR="003E6456" w:rsidRDefault="003E6456" w:rsidP="00650DF7">
      <w:pPr>
        <w:spacing w:line="360" w:lineRule="auto"/>
        <w:jc w:val="both"/>
        <w:rPr>
          <w:rFonts w:ascii="Arial" w:hAnsi="Arial" w:cs="Arial"/>
          <w:b/>
          <w:bCs/>
          <w:sz w:val="24"/>
          <w:szCs w:val="24"/>
        </w:rPr>
      </w:pPr>
    </w:p>
    <w:p w14:paraId="56D52B18" w14:textId="77777777" w:rsidR="003E6456" w:rsidRDefault="003E6456" w:rsidP="00650DF7">
      <w:pPr>
        <w:spacing w:line="360" w:lineRule="auto"/>
        <w:jc w:val="both"/>
        <w:rPr>
          <w:rFonts w:ascii="Arial" w:hAnsi="Arial" w:cs="Arial"/>
          <w:b/>
          <w:bCs/>
          <w:sz w:val="24"/>
          <w:szCs w:val="24"/>
        </w:rPr>
      </w:pPr>
    </w:p>
    <w:p w14:paraId="0392D338" w14:textId="77777777" w:rsidR="003E6456" w:rsidRDefault="003E6456" w:rsidP="00650DF7">
      <w:pPr>
        <w:spacing w:line="360" w:lineRule="auto"/>
        <w:jc w:val="both"/>
        <w:rPr>
          <w:rFonts w:ascii="Arial" w:hAnsi="Arial" w:cs="Arial"/>
          <w:b/>
          <w:bCs/>
          <w:sz w:val="24"/>
          <w:szCs w:val="24"/>
        </w:rPr>
      </w:pPr>
    </w:p>
    <w:p w14:paraId="36FD510E" w14:textId="77777777" w:rsidR="003E6456" w:rsidRDefault="003E6456" w:rsidP="00650DF7">
      <w:pPr>
        <w:spacing w:line="360" w:lineRule="auto"/>
        <w:jc w:val="both"/>
        <w:rPr>
          <w:rFonts w:ascii="Arial" w:hAnsi="Arial" w:cs="Arial"/>
          <w:b/>
          <w:bCs/>
          <w:sz w:val="24"/>
          <w:szCs w:val="24"/>
        </w:rPr>
      </w:pPr>
    </w:p>
    <w:p w14:paraId="444AE62A" w14:textId="77777777" w:rsidR="003E6456" w:rsidRDefault="003E6456" w:rsidP="00650DF7">
      <w:pPr>
        <w:spacing w:line="360" w:lineRule="auto"/>
        <w:jc w:val="both"/>
        <w:rPr>
          <w:rFonts w:ascii="Arial" w:hAnsi="Arial" w:cs="Arial"/>
          <w:b/>
          <w:bCs/>
          <w:sz w:val="24"/>
          <w:szCs w:val="24"/>
        </w:rPr>
      </w:pPr>
    </w:p>
    <w:p w14:paraId="11D38FD3" w14:textId="77777777" w:rsidR="00D478EA" w:rsidRDefault="00D478EA" w:rsidP="00650DF7">
      <w:pPr>
        <w:spacing w:line="360" w:lineRule="auto"/>
        <w:jc w:val="both"/>
        <w:rPr>
          <w:rFonts w:ascii="Arial" w:hAnsi="Arial" w:cs="Arial"/>
          <w:b/>
          <w:bCs/>
          <w:sz w:val="24"/>
          <w:szCs w:val="24"/>
        </w:rPr>
      </w:pPr>
    </w:p>
    <w:p w14:paraId="709B226C" w14:textId="77777777" w:rsidR="00D478EA" w:rsidRDefault="00D478EA" w:rsidP="00650DF7">
      <w:pPr>
        <w:spacing w:line="360" w:lineRule="auto"/>
        <w:jc w:val="both"/>
        <w:rPr>
          <w:rFonts w:ascii="Arial" w:hAnsi="Arial" w:cs="Arial"/>
          <w:b/>
          <w:bCs/>
          <w:sz w:val="24"/>
          <w:szCs w:val="24"/>
        </w:rPr>
      </w:pPr>
    </w:p>
    <w:p w14:paraId="18B369C8" w14:textId="77777777" w:rsidR="00D478EA" w:rsidRDefault="00D478EA" w:rsidP="00650DF7">
      <w:pPr>
        <w:spacing w:line="360" w:lineRule="auto"/>
        <w:jc w:val="both"/>
        <w:rPr>
          <w:rFonts w:ascii="Arial" w:hAnsi="Arial" w:cs="Arial"/>
          <w:b/>
          <w:bCs/>
          <w:sz w:val="24"/>
          <w:szCs w:val="24"/>
        </w:rPr>
      </w:pPr>
    </w:p>
    <w:p w14:paraId="03E0C476" w14:textId="77777777" w:rsidR="00D478EA" w:rsidRDefault="00D478EA" w:rsidP="00650DF7">
      <w:pPr>
        <w:spacing w:line="360" w:lineRule="auto"/>
        <w:jc w:val="both"/>
        <w:rPr>
          <w:rFonts w:ascii="Arial" w:hAnsi="Arial" w:cs="Arial"/>
          <w:b/>
          <w:bCs/>
          <w:sz w:val="24"/>
          <w:szCs w:val="24"/>
        </w:rPr>
      </w:pPr>
    </w:p>
    <w:p w14:paraId="2FC9608C" w14:textId="77777777" w:rsidR="00D478EA" w:rsidRDefault="00D478EA" w:rsidP="00650DF7">
      <w:pPr>
        <w:spacing w:line="360" w:lineRule="auto"/>
        <w:jc w:val="both"/>
        <w:rPr>
          <w:rFonts w:ascii="Arial" w:hAnsi="Arial" w:cs="Arial"/>
          <w:b/>
          <w:bCs/>
          <w:sz w:val="24"/>
          <w:szCs w:val="24"/>
        </w:rPr>
      </w:pPr>
    </w:p>
    <w:p w14:paraId="4B67B9E6" w14:textId="77777777" w:rsidR="00D478EA" w:rsidRDefault="00D478EA" w:rsidP="00650DF7">
      <w:pPr>
        <w:spacing w:line="360" w:lineRule="auto"/>
        <w:jc w:val="both"/>
        <w:rPr>
          <w:rFonts w:ascii="Arial" w:hAnsi="Arial" w:cs="Arial"/>
          <w:b/>
          <w:bCs/>
          <w:sz w:val="24"/>
          <w:szCs w:val="24"/>
        </w:rPr>
      </w:pPr>
    </w:p>
    <w:p w14:paraId="51ECF021" w14:textId="77777777" w:rsidR="00D478EA" w:rsidRDefault="00D478EA" w:rsidP="00650DF7">
      <w:pPr>
        <w:spacing w:line="360" w:lineRule="auto"/>
        <w:jc w:val="both"/>
        <w:rPr>
          <w:rFonts w:ascii="Arial" w:hAnsi="Arial" w:cs="Arial"/>
          <w:b/>
          <w:bCs/>
          <w:sz w:val="24"/>
          <w:szCs w:val="24"/>
        </w:rPr>
      </w:pPr>
    </w:p>
    <w:p w14:paraId="6414F029" w14:textId="77777777" w:rsidR="00D478EA" w:rsidRDefault="00D478EA" w:rsidP="00650DF7">
      <w:pPr>
        <w:spacing w:line="360" w:lineRule="auto"/>
        <w:jc w:val="both"/>
        <w:rPr>
          <w:rFonts w:ascii="Arial" w:hAnsi="Arial" w:cs="Arial"/>
          <w:b/>
          <w:bCs/>
          <w:sz w:val="24"/>
          <w:szCs w:val="24"/>
        </w:rPr>
      </w:pPr>
    </w:p>
    <w:p w14:paraId="605A6651" w14:textId="77777777" w:rsidR="00D478EA" w:rsidRDefault="00D478EA" w:rsidP="00650DF7">
      <w:pPr>
        <w:spacing w:line="360" w:lineRule="auto"/>
        <w:jc w:val="both"/>
        <w:rPr>
          <w:rFonts w:ascii="Arial" w:hAnsi="Arial" w:cs="Arial"/>
          <w:b/>
          <w:bCs/>
          <w:sz w:val="24"/>
          <w:szCs w:val="24"/>
        </w:rPr>
      </w:pPr>
    </w:p>
    <w:p w14:paraId="5EFD3E43" w14:textId="124E4930" w:rsidR="0046588E" w:rsidRPr="008466B8" w:rsidRDefault="008466B8" w:rsidP="00650DF7">
      <w:pPr>
        <w:spacing w:line="360" w:lineRule="auto"/>
        <w:jc w:val="both"/>
        <w:rPr>
          <w:rFonts w:ascii="Arial" w:hAnsi="Arial" w:cs="Arial"/>
          <w:b/>
          <w:bCs/>
          <w:sz w:val="24"/>
          <w:szCs w:val="24"/>
        </w:rPr>
      </w:pPr>
      <w:r w:rsidRPr="008466B8">
        <w:rPr>
          <w:rFonts w:ascii="Arial" w:hAnsi="Arial" w:cs="Arial"/>
          <w:b/>
          <w:bCs/>
          <w:sz w:val="24"/>
          <w:szCs w:val="24"/>
        </w:rPr>
        <w:t xml:space="preserve">Appendix </w:t>
      </w:r>
    </w:p>
    <w:p w14:paraId="62B6DB1E" w14:textId="1F364484" w:rsidR="006713ED" w:rsidRDefault="005F0115" w:rsidP="00650DF7">
      <w:pPr>
        <w:spacing w:line="360" w:lineRule="auto"/>
        <w:jc w:val="both"/>
        <w:rPr>
          <w:rFonts w:ascii="Arial" w:hAnsi="Arial" w:cs="Arial"/>
          <w:sz w:val="24"/>
          <w:szCs w:val="24"/>
        </w:rPr>
      </w:pPr>
      <w:r>
        <w:rPr>
          <w:rFonts w:ascii="Arial" w:hAnsi="Arial" w:cs="Arial"/>
          <w:sz w:val="24"/>
          <w:szCs w:val="24"/>
        </w:rPr>
        <w:t>Business Canvas:</w:t>
      </w:r>
    </w:p>
    <w:p w14:paraId="48863BBA" w14:textId="57671A19" w:rsidR="00EC7BB3" w:rsidRPr="006713ED" w:rsidRDefault="00EC7BB3" w:rsidP="00650DF7">
      <w:pPr>
        <w:spacing w:line="360" w:lineRule="auto"/>
        <w:jc w:val="both"/>
        <w:rPr>
          <w:rFonts w:ascii="Arial" w:hAnsi="Arial" w:cs="Arial"/>
          <w:sz w:val="24"/>
          <w:szCs w:val="24"/>
        </w:rPr>
      </w:pPr>
      <w:r>
        <w:rPr>
          <w:noProof/>
        </w:rPr>
        <w:drawing>
          <wp:inline distT="0" distB="0" distL="0" distR="0" wp14:anchorId="29611E67" wp14:editId="47B08CA4">
            <wp:extent cx="5943600" cy="3221355"/>
            <wp:effectExtent l="0" t="0" r="0" b="0"/>
            <wp:docPr id="59857308" name="Picture 1"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857308" name="Picture 1" descr="A screenshot of a computer screen&#10;&#10;Description automatically generated"/>
                    <pic:cNvPicPr/>
                  </pic:nvPicPr>
                  <pic:blipFill>
                    <a:blip r:embed="rId7"/>
                    <a:stretch>
                      <a:fillRect/>
                    </a:stretch>
                  </pic:blipFill>
                  <pic:spPr>
                    <a:xfrm>
                      <a:off x="0" y="0"/>
                      <a:ext cx="5943600" cy="3221355"/>
                    </a:xfrm>
                    <a:prstGeom prst="rect">
                      <a:avLst/>
                    </a:prstGeom>
                  </pic:spPr>
                </pic:pic>
              </a:graphicData>
            </a:graphic>
          </wp:inline>
        </w:drawing>
      </w:r>
    </w:p>
    <w:p w14:paraId="18B57860" w14:textId="77777777" w:rsidR="00EC7BB3" w:rsidRDefault="00EC7BB3" w:rsidP="00650DF7">
      <w:pPr>
        <w:spacing w:line="360" w:lineRule="auto"/>
        <w:jc w:val="both"/>
        <w:rPr>
          <w:rFonts w:ascii="Arial" w:hAnsi="Arial" w:cs="Arial"/>
          <w:sz w:val="24"/>
          <w:szCs w:val="24"/>
        </w:rPr>
      </w:pPr>
    </w:p>
    <w:p w14:paraId="6E16DDAB" w14:textId="5B103B08" w:rsidR="006713ED" w:rsidRPr="006713ED" w:rsidRDefault="008466B8" w:rsidP="00650DF7">
      <w:pPr>
        <w:spacing w:line="360" w:lineRule="auto"/>
        <w:jc w:val="both"/>
        <w:rPr>
          <w:rFonts w:ascii="Arial" w:hAnsi="Arial" w:cs="Arial"/>
          <w:sz w:val="24"/>
          <w:szCs w:val="24"/>
        </w:rPr>
      </w:pPr>
      <w:r w:rsidRPr="006713ED">
        <w:rPr>
          <w:rFonts w:ascii="Arial" w:hAnsi="Arial" w:cs="Arial"/>
          <w:sz w:val="24"/>
          <w:szCs w:val="24"/>
        </w:rPr>
        <w:t>GET2 test results</w:t>
      </w:r>
      <w:r>
        <w:rPr>
          <w:rFonts w:ascii="Arial" w:hAnsi="Arial" w:cs="Arial"/>
          <w:sz w:val="24"/>
          <w:szCs w:val="24"/>
        </w:rPr>
        <w:t xml:space="preserve">: </w:t>
      </w:r>
    </w:p>
    <w:p w14:paraId="667CB83A" w14:textId="4BB7A060" w:rsidR="006713ED" w:rsidRPr="006713ED" w:rsidRDefault="008466B8" w:rsidP="00650DF7">
      <w:pPr>
        <w:spacing w:line="360" w:lineRule="auto"/>
        <w:jc w:val="both"/>
        <w:rPr>
          <w:rFonts w:ascii="Arial" w:hAnsi="Arial" w:cs="Arial"/>
          <w:sz w:val="24"/>
          <w:szCs w:val="24"/>
        </w:rPr>
      </w:pPr>
      <w:r>
        <w:rPr>
          <w:noProof/>
        </w:rPr>
        <w:drawing>
          <wp:inline distT="0" distB="0" distL="0" distR="0" wp14:anchorId="5E9070CB" wp14:editId="7213FD3F">
            <wp:extent cx="5943600" cy="1849755"/>
            <wp:effectExtent l="0" t="0" r="0" b="0"/>
            <wp:docPr id="115837440" name="Picture 1" descr="A close up of a wal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8561513" name="Picture 1" descr="A close up of a wall&#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943600" cy="1849755"/>
                    </a:xfrm>
                    <a:prstGeom prst="rect">
                      <a:avLst/>
                    </a:prstGeom>
                    <a:noFill/>
                    <a:ln>
                      <a:noFill/>
                    </a:ln>
                  </pic:spPr>
                </pic:pic>
              </a:graphicData>
            </a:graphic>
          </wp:inline>
        </w:drawing>
      </w:r>
    </w:p>
    <w:p w14:paraId="7B84F0CF" w14:textId="77777777" w:rsidR="006713ED" w:rsidRPr="006713ED" w:rsidRDefault="006713ED" w:rsidP="00650DF7">
      <w:pPr>
        <w:spacing w:line="360" w:lineRule="auto"/>
        <w:jc w:val="both"/>
        <w:rPr>
          <w:rFonts w:ascii="Arial" w:hAnsi="Arial" w:cs="Arial"/>
          <w:sz w:val="24"/>
          <w:szCs w:val="24"/>
        </w:rPr>
      </w:pPr>
    </w:p>
    <w:p w14:paraId="32770D07" w14:textId="77777777" w:rsidR="006713ED" w:rsidRPr="006713ED" w:rsidRDefault="006713ED" w:rsidP="00650DF7">
      <w:pPr>
        <w:spacing w:line="360" w:lineRule="auto"/>
        <w:jc w:val="both"/>
        <w:rPr>
          <w:rFonts w:ascii="Arial" w:hAnsi="Arial" w:cs="Arial"/>
          <w:sz w:val="24"/>
          <w:szCs w:val="24"/>
        </w:rPr>
      </w:pPr>
    </w:p>
    <w:p w14:paraId="377AD779" w14:textId="77777777" w:rsidR="006713ED" w:rsidRPr="006713ED" w:rsidRDefault="006713ED" w:rsidP="00650DF7">
      <w:pPr>
        <w:spacing w:line="360" w:lineRule="auto"/>
        <w:jc w:val="both"/>
        <w:rPr>
          <w:rFonts w:ascii="Arial" w:hAnsi="Arial" w:cs="Arial"/>
          <w:sz w:val="24"/>
          <w:szCs w:val="24"/>
        </w:rPr>
      </w:pPr>
    </w:p>
    <w:p w14:paraId="3424EC97" w14:textId="77777777" w:rsidR="006713ED" w:rsidRPr="006713ED" w:rsidRDefault="006713ED" w:rsidP="00650DF7">
      <w:pPr>
        <w:spacing w:line="360" w:lineRule="auto"/>
        <w:jc w:val="both"/>
        <w:rPr>
          <w:rFonts w:ascii="Arial" w:hAnsi="Arial" w:cs="Arial"/>
          <w:sz w:val="24"/>
          <w:szCs w:val="24"/>
        </w:rPr>
      </w:pPr>
    </w:p>
    <w:p w14:paraId="6A30AABF" w14:textId="029362DE" w:rsidR="0046588E" w:rsidRPr="006713ED" w:rsidRDefault="00225C1D" w:rsidP="00650DF7">
      <w:pPr>
        <w:spacing w:line="360" w:lineRule="auto"/>
        <w:jc w:val="both"/>
        <w:rPr>
          <w:rFonts w:ascii="Arial" w:hAnsi="Arial" w:cs="Arial"/>
          <w:b/>
          <w:bCs/>
          <w:sz w:val="24"/>
          <w:szCs w:val="24"/>
        </w:rPr>
      </w:pPr>
      <w:r w:rsidRPr="006713ED">
        <w:rPr>
          <w:rFonts w:ascii="Arial" w:hAnsi="Arial" w:cs="Arial"/>
          <w:b/>
          <w:bCs/>
          <w:sz w:val="24"/>
          <w:szCs w:val="24"/>
        </w:rPr>
        <w:t>References</w:t>
      </w:r>
    </w:p>
    <w:p w14:paraId="2508D2DB" w14:textId="16C2CC24" w:rsidR="00E04520" w:rsidRPr="006713ED" w:rsidRDefault="00E04520" w:rsidP="00650DF7">
      <w:pPr>
        <w:spacing w:line="360" w:lineRule="auto"/>
        <w:jc w:val="both"/>
        <w:rPr>
          <w:rFonts w:ascii="Arial" w:hAnsi="Arial" w:cs="Arial"/>
          <w:sz w:val="24"/>
          <w:szCs w:val="24"/>
        </w:rPr>
      </w:pPr>
      <w:r w:rsidRPr="006713ED">
        <w:rPr>
          <w:rFonts w:ascii="Arial" w:hAnsi="Arial" w:cs="Arial"/>
          <w:sz w:val="24"/>
          <w:szCs w:val="24"/>
        </w:rPr>
        <w:t>1.</w:t>
      </w:r>
      <w:r w:rsidRPr="006713ED">
        <w:rPr>
          <w:rFonts w:ascii="Arial" w:hAnsi="Arial" w:cs="Arial"/>
          <w:sz w:val="24"/>
          <w:szCs w:val="24"/>
        </w:rPr>
        <w:tab/>
        <w:t xml:space="preserve">Agyeiwaah, E., Otoo, F.E., Suntikul, W. and Huang, W.J., 2019. Understanding culinary tourist motivation, experience, satisfaction, and loyalty using a structural approach. Journal of Travel &amp; Tourism Marketing, 36(3), pp.295-313. </w:t>
      </w:r>
      <w:hyperlink r:id="rId9" w:history="1">
        <w:r w:rsidRPr="006713ED">
          <w:rPr>
            <w:rStyle w:val="Hyperlink"/>
            <w:rFonts w:ascii="Arial" w:hAnsi="Arial" w:cs="Arial"/>
            <w:sz w:val="24"/>
            <w:szCs w:val="24"/>
          </w:rPr>
          <w:t>https://doi.org/10.1080/10548408.2018.1541775</w:t>
        </w:r>
      </w:hyperlink>
      <w:r w:rsidRPr="006713ED">
        <w:rPr>
          <w:rFonts w:ascii="Arial" w:hAnsi="Arial" w:cs="Arial"/>
          <w:sz w:val="24"/>
          <w:szCs w:val="24"/>
        </w:rPr>
        <w:t xml:space="preserve">  </w:t>
      </w:r>
    </w:p>
    <w:p w14:paraId="5E8DE3DD" w14:textId="5183E74E" w:rsidR="00E04520" w:rsidRPr="006713ED" w:rsidRDefault="00E04520" w:rsidP="00650DF7">
      <w:pPr>
        <w:spacing w:line="360" w:lineRule="auto"/>
        <w:jc w:val="both"/>
        <w:rPr>
          <w:rFonts w:ascii="Arial" w:hAnsi="Arial" w:cs="Arial"/>
          <w:sz w:val="24"/>
          <w:szCs w:val="24"/>
        </w:rPr>
      </w:pPr>
      <w:r w:rsidRPr="006713ED">
        <w:rPr>
          <w:rFonts w:ascii="Arial" w:hAnsi="Arial" w:cs="Arial"/>
          <w:sz w:val="24"/>
          <w:szCs w:val="24"/>
        </w:rPr>
        <w:t>2.</w:t>
      </w:r>
      <w:r w:rsidRPr="006713ED">
        <w:rPr>
          <w:rFonts w:ascii="Arial" w:hAnsi="Arial" w:cs="Arial"/>
          <w:sz w:val="24"/>
          <w:szCs w:val="24"/>
        </w:rPr>
        <w:tab/>
        <w:t xml:space="preserve">Amoako, G.K., Sedalo, G., Asiedu, E.A. and Oppong Appiagyei Ampong, G., 2024. Conceptual Framework–Sustainability Actions, Global Crises and Justice in the Future of Tourism and Hospitality. Journal of Tropical Futures, p.27538931231221718. </w:t>
      </w:r>
      <w:hyperlink r:id="rId10" w:history="1">
        <w:r w:rsidRPr="006713ED">
          <w:rPr>
            <w:rStyle w:val="Hyperlink"/>
            <w:rFonts w:ascii="Arial" w:hAnsi="Arial" w:cs="Arial"/>
            <w:sz w:val="24"/>
            <w:szCs w:val="24"/>
          </w:rPr>
          <w:t>https://doi.org/10.1177/27538931231221718</w:t>
        </w:r>
      </w:hyperlink>
      <w:r w:rsidRPr="006713ED">
        <w:rPr>
          <w:rFonts w:ascii="Arial" w:hAnsi="Arial" w:cs="Arial"/>
          <w:sz w:val="24"/>
          <w:szCs w:val="24"/>
        </w:rPr>
        <w:t xml:space="preserve">  </w:t>
      </w:r>
    </w:p>
    <w:p w14:paraId="046B79FE" w14:textId="08B09FF9" w:rsidR="00E04520" w:rsidRPr="006713ED" w:rsidRDefault="00E04520" w:rsidP="00650DF7">
      <w:pPr>
        <w:spacing w:line="360" w:lineRule="auto"/>
        <w:jc w:val="both"/>
        <w:rPr>
          <w:rFonts w:ascii="Arial" w:hAnsi="Arial" w:cs="Arial"/>
          <w:sz w:val="24"/>
          <w:szCs w:val="24"/>
        </w:rPr>
      </w:pPr>
      <w:r w:rsidRPr="006713ED">
        <w:rPr>
          <w:rFonts w:ascii="Arial" w:hAnsi="Arial" w:cs="Arial"/>
          <w:sz w:val="24"/>
          <w:szCs w:val="24"/>
        </w:rPr>
        <w:t>3.</w:t>
      </w:r>
      <w:r w:rsidRPr="006713ED">
        <w:rPr>
          <w:rFonts w:ascii="Arial" w:hAnsi="Arial" w:cs="Arial"/>
          <w:sz w:val="24"/>
          <w:szCs w:val="24"/>
        </w:rPr>
        <w:tab/>
        <w:t xml:space="preserve">Bibu, N.A. and Bîtea, C., 2017. The Management Of Wellness Services. Case Study Ice Dyp Resort And Spa 4. THE ANNALS OF THE UNIVERSITY OF ORADEA, p.749. </w:t>
      </w:r>
      <w:hyperlink r:id="rId11" w:anchor="page=749" w:history="1">
        <w:r w:rsidRPr="006713ED">
          <w:rPr>
            <w:rStyle w:val="Hyperlink"/>
            <w:rFonts w:ascii="Arial" w:hAnsi="Arial" w:cs="Arial"/>
            <w:sz w:val="24"/>
            <w:szCs w:val="24"/>
          </w:rPr>
          <w:t>https://www.researchgate.net/profile/Chetan-Dudhe-2/publication/351069704_AUOES-1-2017/links/6082e7a6881fa114b423a386/AUOES-1-2017.pdf#page=749</w:t>
        </w:r>
      </w:hyperlink>
      <w:r w:rsidRPr="006713ED">
        <w:rPr>
          <w:rFonts w:ascii="Arial" w:hAnsi="Arial" w:cs="Arial"/>
          <w:sz w:val="24"/>
          <w:szCs w:val="24"/>
        </w:rPr>
        <w:t xml:space="preserve">  </w:t>
      </w:r>
    </w:p>
    <w:p w14:paraId="2A33BD8C" w14:textId="7E00FF93" w:rsidR="00E04520" w:rsidRPr="006713ED" w:rsidRDefault="00E04520" w:rsidP="00650DF7">
      <w:pPr>
        <w:spacing w:line="360" w:lineRule="auto"/>
        <w:jc w:val="both"/>
        <w:rPr>
          <w:rFonts w:ascii="Arial" w:hAnsi="Arial" w:cs="Arial"/>
          <w:sz w:val="24"/>
          <w:szCs w:val="24"/>
        </w:rPr>
      </w:pPr>
      <w:r w:rsidRPr="001D4503">
        <w:rPr>
          <w:rFonts w:ascii="Arial" w:hAnsi="Arial" w:cs="Arial"/>
          <w:sz w:val="24"/>
          <w:szCs w:val="24"/>
          <w:lang w:val="nl-NL"/>
        </w:rPr>
        <w:t>4.</w:t>
      </w:r>
      <w:r w:rsidRPr="001D4503">
        <w:rPr>
          <w:rFonts w:ascii="Arial" w:hAnsi="Arial" w:cs="Arial"/>
          <w:sz w:val="24"/>
          <w:szCs w:val="24"/>
          <w:lang w:val="nl-NL"/>
        </w:rPr>
        <w:tab/>
        <w:t xml:space="preserve">Block, J.H., </w:t>
      </w:r>
      <w:proofErr w:type="spellStart"/>
      <w:r w:rsidRPr="001D4503">
        <w:rPr>
          <w:rFonts w:ascii="Arial" w:hAnsi="Arial" w:cs="Arial"/>
          <w:sz w:val="24"/>
          <w:szCs w:val="24"/>
          <w:lang w:val="nl-NL"/>
        </w:rPr>
        <w:t>Fisch</w:t>
      </w:r>
      <w:proofErr w:type="spellEnd"/>
      <w:r w:rsidRPr="001D4503">
        <w:rPr>
          <w:rFonts w:ascii="Arial" w:hAnsi="Arial" w:cs="Arial"/>
          <w:sz w:val="24"/>
          <w:szCs w:val="24"/>
          <w:lang w:val="nl-NL"/>
        </w:rPr>
        <w:t xml:space="preserve">, C.O. </w:t>
      </w:r>
      <w:proofErr w:type="spellStart"/>
      <w:r w:rsidRPr="001D4503">
        <w:rPr>
          <w:rFonts w:ascii="Arial" w:hAnsi="Arial" w:cs="Arial"/>
          <w:sz w:val="24"/>
          <w:szCs w:val="24"/>
          <w:lang w:val="nl-NL"/>
        </w:rPr>
        <w:t>and</w:t>
      </w:r>
      <w:proofErr w:type="spellEnd"/>
      <w:r w:rsidRPr="001D4503">
        <w:rPr>
          <w:rFonts w:ascii="Arial" w:hAnsi="Arial" w:cs="Arial"/>
          <w:sz w:val="24"/>
          <w:szCs w:val="24"/>
          <w:lang w:val="nl-NL"/>
        </w:rPr>
        <w:t xml:space="preserve"> Van Praag, M., 2017. </w:t>
      </w:r>
      <w:r w:rsidRPr="006713ED">
        <w:rPr>
          <w:rFonts w:ascii="Arial" w:hAnsi="Arial" w:cs="Arial"/>
          <w:sz w:val="24"/>
          <w:szCs w:val="24"/>
        </w:rPr>
        <w:t xml:space="preserve">The Schumpeterian entrepreneur: a review of the empirical evidence on the antecedents, behaviour and consequences of innovative entrepreneurship. Industry and innovation, 24(1), pp.61-95. </w:t>
      </w:r>
      <w:hyperlink r:id="rId12" w:history="1">
        <w:r w:rsidRPr="006713ED">
          <w:rPr>
            <w:rStyle w:val="Hyperlink"/>
            <w:rFonts w:ascii="Arial" w:hAnsi="Arial" w:cs="Arial"/>
            <w:sz w:val="24"/>
            <w:szCs w:val="24"/>
          </w:rPr>
          <w:t>https://doi.org/10.1080/13662716.2016.1216397</w:t>
        </w:r>
      </w:hyperlink>
      <w:r w:rsidRPr="006713ED">
        <w:rPr>
          <w:rFonts w:ascii="Arial" w:hAnsi="Arial" w:cs="Arial"/>
          <w:sz w:val="24"/>
          <w:szCs w:val="24"/>
        </w:rPr>
        <w:t xml:space="preserve">  </w:t>
      </w:r>
    </w:p>
    <w:p w14:paraId="1DFB6726" w14:textId="4594AB19" w:rsidR="00E04520" w:rsidRPr="006713ED" w:rsidRDefault="00E04520" w:rsidP="00650DF7">
      <w:pPr>
        <w:spacing w:line="360" w:lineRule="auto"/>
        <w:jc w:val="both"/>
        <w:rPr>
          <w:rFonts w:ascii="Arial" w:hAnsi="Arial" w:cs="Arial"/>
          <w:sz w:val="24"/>
          <w:szCs w:val="24"/>
        </w:rPr>
      </w:pPr>
      <w:r w:rsidRPr="006713ED">
        <w:rPr>
          <w:rFonts w:ascii="Arial" w:hAnsi="Arial" w:cs="Arial"/>
          <w:sz w:val="24"/>
          <w:szCs w:val="24"/>
        </w:rPr>
        <w:t>5.</w:t>
      </w:r>
      <w:r w:rsidRPr="006713ED">
        <w:rPr>
          <w:rFonts w:ascii="Arial" w:hAnsi="Arial" w:cs="Arial"/>
          <w:sz w:val="24"/>
          <w:szCs w:val="24"/>
        </w:rPr>
        <w:tab/>
        <w:t xml:space="preserve">Chen, C.L., 2022. Strategic sustainable service design for creative-cultural hotels: A multi-level and multi-domain view. Local Environment, 27(1), pp.46-79. </w:t>
      </w:r>
      <w:hyperlink r:id="rId13" w:history="1">
        <w:r w:rsidRPr="006713ED">
          <w:rPr>
            <w:rStyle w:val="Hyperlink"/>
            <w:rFonts w:ascii="Arial" w:hAnsi="Arial" w:cs="Arial"/>
            <w:sz w:val="24"/>
            <w:szCs w:val="24"/>
          </w:rPr>
          <w:t>https://doi.org/10.1080/13549839.2021.2001796</w:t>
        </w:r>
      </w:hyperlink>
      <w:r w:rsidRPr="006713ED">
        <w:rPr>
          <w:rFonts w:ascii="Arial" w:hAnsi="Arial" w:cs="Arial"/>
          <w:sz w:val="24"/>
          <w:szCs w:val="24"/>
        </w:rPr>
        <w:t xml:space="preserve">  </w:t>
      </w:r>
    </w:p>
    <w:p w14:paraId="50B0D4A0" w14:textId="34C1F179" w:rsidR="00E04520" w:rsidRPr="006713ED" w:rsidRDefault="00E04520" w:rsidP="00650DF7">
      <w:pPr>
        <w:spacing w:line="360" w:lineRule="auto"/>
        <w:jc w:val="both"/>
        <w:rPr>
          <w:rFonts w:ascii="Arial" w:hAnsi="Arial" w:cs="Arial"/>
          <w:sz w:val="24"/>
          <w:szCs w:val="24"/>
        </w:rPr>
      </w:pPr>
      <w:r w:rsidRPr="006713ED">
        <w:rPr>
          <w:rFonts w:ascii="Arial" w:hAnsi="Arial" w:cs="Arial"/>
          <w:sz w:val="24"/>
          <w:szCs w:val="24"/>
        </w:rPr>
        <w:t>6.</w:t>
      </w:r>
      <w:r w:rsidRPr="006713ED">
        <w:rPr>
          <w:rFonts w:ascii="Arial" w:hAnsi="Arial" w:cs="Arial"/>
          <w:sz w:val="24"/>
          <w:szCs w:val="24"/>
        </w:rPr>
        <w:tab/>
        <w:t xml:space="preserve">Farkic, J., Isailovic, G. and Taylor, S., 2021. Forest bathing as a mindful tourism practice. Annals of Tourism Research Empirical Insights, 2(2), p.100028. </w:t>
      </w:r>
      <w:hyperlink r:id="rId14" w:history="1">
        <w:r w:rsidRPr="006713ED">
          <w:rPr>
            <w:rStyle w:val="Hyperlink"/>
            <w:rFonts w:ascii="Arial" w:hAnsi="Arial" w:cs="Arial"/>
            <w:sz w:val="24"/>
            <w:szCs w:val="24"/>
          </w:rPr>
          <w:t>https://doi.org/10.1016/j.annale.2021.100028</w:t>
        </w:r>
      </w:hyperlink>
      <w:r w:rsidRPr="006713ED">
        <w:rPr>
          <w:rFonts w:ascii="Arial" w:hAnsi="Arial" w:cs="Arial"/>
          <w:sz w:val="24"/>
          <w:szCs w:val="24"/>
        </w:rPr>
        <w:t xml:space="preserve">  </w:t>
      </w:r>
    </w:p>
    <w:p w14:paraId="2AD9E454" w14:textId="77777777" w:rsidR="00E04520" w:rsidRPr="006713ED" w:rsidRDefault="00E04520" w:rsidP="00650DF7">
      <w:pPr>
        <w:spacing w:line="360" w:lineRule="auto"/>
        <w:jc w:val="both"/>
        <w:rPr>
          <w:rFonts w:ascii="Arial" w:hAnsi="Arial" w:cs="Arial"/>
          <w:sz w:val="24"/>
          <w:szCs w:val="24"/>
        </w:rPr>
      </w:pPr>
      <w:r w:rsidRPr="006713ED">
        <w:rPr>
          <w:rFonts w:ascii="Arial" w:hAnsi="Arial" w:cs="Arial"/>
          <w:sz w:val="24"/>
          <w:szCs w:val="24"/>
        </w:rPr>
        <w:t>7.</w:t>
      </w:r>
      <w:r w:rsidRPr="006713ED">
        <w:rPr>
          <w:rFonts w:ascii="Arial" w:hAnsi="Arial" w:cs="Arial"/>
          <w:sz w:val="24"/>
          <w:szCs w:val="24"/>
        </w:rPr>
        <w:tab/>
        <w:t>George, R., 2021. Market Segmentation, Targeting, and Positioning. In Marketing Tourism and Hospitality: Concepts and Cases (pp. 221-246).</w:t>
      </w:r>
    </w:p>
    <w:p w14:paraId="04193B11" w14:textId="34F83E95" w:rsidR="00E04520" w:rsidRPr="006713ED" w:rsidRDefault="00E04520" w:rsidP="00650DF7">
      <w:pPr>
        <w:spacing w:line="360" w:lineRule="auto"/>
        <w:jc w:val="both"/>
        <w:rPr>
          <w:rFonts w:ascii="Arial" w:hAnsi="Arial" w:cs="Arial"/>
          <w:sz w:val="24"/>
          <w:szCs w:val="24"/>
        </w:rPr>
      </w:pPr>
      <w:r w:rsidRPr="006713ED">
        <w:rPr>
          <w:rFonts w:ascii="Arial" w:hAnsi="Arial" w:cs="Arial"/>
          <w:sz w:val="24"/>
          <w:szCs w:val="24"/>
        </w:rPr>
        <w:t>8.</w:t>
      </w:r>
      <w:r w:rsidRPr="006713ED">
        <w:rPr>
          <w:rFonts w:ascii="Arial" w:hAnsi="Arial" w:cs="Arial"/>
          <w:sz w:val="24"/>
          <w:szCs w:val="24"/>
        </w:rPr>
        <w:tab/>
        <w:t xml:space="preserve">Gifford, J., Martone-Richards, A., Mik, M., Pena, J., Perkins, A. and Strong, S., 2023. Hawai'i Agritourism: Examining how Agritourism can be Responsibly Implemented to Support Small Farmers and Ecological and Cultural Preservation in the Hawaiian Island. </w:t>
      </w:r>
      <w:hyperlink r:id="rId15" w:history="1">
        <w:r w:rsidRPr="006713ED">
          <w:rPr>
            <w:rStyle w:val="Hyperlink"/>
            <w:rFonts w:ascii="Arial" w:hAnsi="Arial" w:cs="Arial"/>
            <w:sz w:val="24"/>
            <w:szCs w:val="24"/>
          </w:rPr>
          <w:t>https://keep.lib.asu.edu/system/files/2023-08/agritourism_final_4.26.23.pdf</w:t>
        </w:r>
      </w:hyperlink>
      <w:r w:rsidRPr="006713ED">
        <w:rPr>
          <w:rFonts w:ascii="Arial" w:hAnsi="Arial" w:cs="Arial"/>
          <w:sz w:val="24"/>
          <w:szCs w:val="24"/>
        </w:rPr>
        <w:t xml:space="preserve">  </w:t>
      </w:r>
    </w:p>
    <w:p w14:paraId="56FBB8C4" w14:textId="77777777" w:rsidR="00E04520" w:rsidRPr="006713ED" w:rsidRDefault="00E04520" w:rsidP="00650DF7">
      <w:pPr>
        <w:spacing w:line="360" w:lineRule="auto"/>
        <w:jc w:val="both"/>
        <w:rPr>
          <w:rFonts w:ascii="Arial" w:hAnsi="Arial" w:cs="Arial"/>
          <w:sz w:val="24"/>
          <w:szCs w:val="24"/>
        </w:rPr>
      </w:pPr>
      <w:r w:rsidRPr="006713ED">
        <w:rPr>
          <w:rFonts w:ascii="Arial" w:hAnsi="Arial" w:cs="Arial"/>
          <w:sz w:val="24"/>
          <w:szCs w:val="24"/>
        </w:rPr>
        <w:t>9.</w:t>
      </w:r>
      <w:r w:rsidRPr="006713ED">
        <w:rPr>
          <w:rFonts w:ascii="Arial" w:hAnsi="Arial" w:cs="Arial"/>
          <w:sz w:val="24"/>
          <w:szCs w:val="24"/>
        </w:rPr>
        <w:tab/>
        <w:t>GUPTA, R., 2024. Managing hotels: nuts &amp; bolts of hotel management. Notion Press.</w:t>
      </w:r>
    </w:p>
    <w:p w14:paraId="11EC1CE2" w14:textId="3F11E039" w:rsidR="00E04520" w:rsidRPr="006713ED" w:rsidRDefault="00E04520" w:rsidP="00650DF7">
      <w:pPr>
        <w:spacing w:line="360" w:lineRule="auto"/>
        <w:jc w:val="both"/>
        <w:rPr>
          <w:rFonts w:ascii="Arial" w:hAnsi="Arial" w:cs="Arial"/>
          <w:sz w:val="24"/>
          <w:szCs w:val="24"/>
        </w:rPr>
      </w:pPr>
      <w:r w:rsidRPr="006713ED">
        <w:rPr>
          <w:rFonts w:ascii="Arial" w:hAnsi="Arial" w:cs="Arial"/>
          <w:sz w:val="24"/>
          <w:szCs w:val="24"/>
        </w:rPr>
        <w:t>10.</w:t>
      </w:r>
      <w:r w:rsidRPr="006713ED">
        <w:rPr>
          <w:rFonts w:ascii="Arial" w:hAnsi="Arial" w:cs="Arial"/>
          <w:sz w:val="24"/>
          <w:szCs w:val="24"/>
        </w:rPr>
        <w:tab/>
        <w:t xml:space="preserve">Ha, S. and Stoel, L., 2014. Designing loyalty programs that matter to customers. The Service industries journal, 34(6), pp.495-514. </w:t>
      </w:r>
      <w:hyperlink r:id="rId16" w:history="1">
        <w:r w:rsidRPr="006713ED">
          <w:rPr>
            <w:rStyle w:val="Hyperlink"/>
            <w:rFonts w:ascii="Arial" w:hAnsi="Arial" w:cs="Arial"/>
            <w:sz w:val="24"/>
            <w:szCs w:val="24"/>
          </w:rPr>
          <w:t>https://doi.org/10.1080/02642069.2014.871531</w:t>
        </w:r>
      </w:hyperlink>
      <w:r w:rsidRPr="006713ED">
        <w:rPr>
          <w:rFonts w:ascii="Arial" w:hAnsi="Arial" w:cs="Arial"/>
          <w:sz w:val="24"/>
          <w:szCs w:val="24"/>
        </w:rPr>
        <w:t xml:space="preserve">  </w:t>
      </w:r>
    </w:p>
    <w:p w14:paraId="2A1CD03C" w14:textId="08F2229C" w:rsidR="00E04520" w:rsidRPr="006713ED" w:rsidRDefault="00E04520" w:rsidP="00650DF7">
      <w:pPr>
        <w:spacing w:line="360" w:lineRule="auto"/>
        <w:jc w:val="both"/>
        <w:rPr>
          <w:rFonts w:ascii="Arial" w:hAnsi="Arial" w:cs="Arial"/>
          <w:sz w:val="24"/>
          <w:szCs w:val="24"/>
        </w:rPr>
      </w:pPr>
      <w:r w:rsidRPr="006713ED">
        <w:rPr>
          <w:rFonts w:ascii="Arial" w:hAnsi="Arial" w:cs="Arial"/>
          <w:sz w:val="24"/>
          <w:szCs w:val="24"/>
        </w:rPr>
        <w:t>11.</w:t>
      </w:r>
      <w:r w:rsidRPr="006713ED">
        <w:rPr>
          <w:rFonts w:ascii="Arial" w:hAnsi="Arial" w:cs="Arial"/>
          <w:sz w:val="24"/>
          <w:szCs w:val="24"/>
        </w:rPr>
        <w:tab/>
        <w:t xml:space="preserve">Hilton, 2022. Travel With Purpose. </w:t>
      </w:r>
      <w:hyperlink r:id="rId17" w:history="1">
        <w:r w:rsidRPr="006713ED">
          <w:rPr>
            <w:rStyle w:val="Hyperlink"/>
            <w:rFonts w:ascii="Arial" w:hAnsi="Arial" w:cs="Arial"/>
            <w:sz w:val="24"/>
            <w:szCs w:val="24"/>
          </w:rPr>
          <w:t>https://esg.hilton.com/wp-content/uploads/sites/4/2023/04/Hilton-2022-Environmental-Social-and-Governance-Report.pdf</w:t>
        </w:r>
      </w:hyperlink>
      <w:r w:rsidRPr="006713ED">
        <w:rPr>
          <w:rFonts w:ascii="Arial" w:hAnsi="Arial" w:cs="Arial"/>
          <w:sz w:val="24"/>
          <w:szCs w:val="24"/>
        </w:rPr>
        <w:t xml:space="preserve">  </w:t>
      </w:r>
    </w:p>
    <w:p w14:paraId="2E6D683D" w14:textId="42B20FD7" w:rsidR="00E04520" w:rsidRPr="001D4503" w:rsidRDefault="00E04520" w:rsidP="00650DF7">
      <w:pPr>
        <w:spacing w:line="360" w:lineRule="auto"/>
        <w:jc w:val="both"/>
        <w:rPr>
          <w:rFonts w:ascii="Arial" w:hAnsi="Arial" w:cs="Arial"/>
          <w:sz w:val="24"/>
          <w:szCs w:val="24"/>
          <w:lang w:val="fr-FR"/>
        </w:rPr>
      </w:pPr>
      <w:r w:rsidRPr="006713ED">
        <w:rPr>
          <w:rFonts w:ascii="Arial" w:hAnsi="Arial" w:cs="Arial"/>
          <w:sz w:val="24"/>
          <w:szCs w:val="24"/>
        </w:rPr>
        <w:t>12.</w:t>
      </w:r>
      <w:r w:rsidRPr="006713ED">
        <w:rPr>
          <w:rFonts w:ascii="Arial" w:hAnsi="Arial" w:cs="Arial"/>
          <w:sz w:val="24"/>
          <w:szCs w:val="24"/>
        </w:rPr>
        <w:tab/>
        <w:t xml:space="preserve">Huang, C.D., Goo, J., Nam, K. and Yoo, C.W., 2017. Smart tourism technologies in travel planning: The role of exploration and exploitation. </w:t>
      </w:r>
      <w:r w:rsidRPr="001D4503">
        <w:rPr>
          <w:rFonts w:ascii="Arial" w:hAnsi="Arial" w:cs="Arial"/>
          <w:sz w:val="24"/>
          <w:szCs w:val="24"/>
          <w:lang w:val="fr-FR"/>
        </w:rPr>
        <w:t xml:space="preserve">Information &amp; Management, 54(6), pp.757-770. </w:t>
      </w:r>
      <w:hyperlink r:id="rId18" w:history="1">
        <w:r w:rsidRPr="001D4503">
          <w:rPr>
            <w:rStyle w:val="Hyperlink"/>
            <w:rFonts w:ascii="Arial" w:hAnsi="Arial" w:cs="Arial"/>
            <w:sz w:val="24"/>
            <w:szCs w:val="24"/>
            <w:lang w:val="fr-FR"/>
          </w:rPr>
          <w:t>https://doi.org/10.1016/j.im.2016.11.010</w:t>
        </w:r>
      </w:hyperlink>
      <w:r w:rsidRPr="001D4503">
        <w:rPr>
          <w:rFonts w:ascii="Arial" w:hAnsi="Arial" w:cs="Arial"/>
          <w:sz w:val="24"/>
          <w:szCs w:val="24"/>
          <w:lang w:val="fr-FR"/>
        </w:rPr>
        <w:t xml:space="preserve">  </w:t>
      </w:r>
    </w:p>
    <w:p w14:paraId="3644A8DA" w14:textId="77777777" w:rsidR="00E04520" w:rsidRPr="006713ED" w:rsidRDefault="00E04520" w:rsidP="00650DF7">
      <w:pPr>
        <w:spacing w:line="360" w:lineRule="auto"/>
        <w:jc w:val="both"/>
        <w:rPr>
          <w:rFonts w:ascii="Arial" w:hAnsi="Arial" w:cs="Arial"/>
          <w:sz w:val="24"/>
          <w:szCs w:val="24"/>
        </w:rPr>
      </w:pPr>
      <w:r w:rsidRPr="001D4503">
        <w:rPr>
          <w:rFonts w:ascii="Arial" w:hAnsi="Arial" w:cs="Arial"/>
          <w:sz w:val="24"/>
          <w:szCs w:val="24"/>
          <w:lang w:val="fr-FR"/>
        </w:rPr>
        <w:t>13.</w:t>
      </w:r>
      <w:r w:rsidRPr="001D4503">
        <w:rPr>
          <w:rFonts w:ascii="Arial" w:hAnsi="Arial" w:cs="Arial"/>
          <w:sz w:val="24"/>
          <w:szCs w:val="24"/>
          <w:lang w:val="fr-FR"/>
        </w:rPr>
        <w:tab/>
        <w:t xml:space="preserve">Hudson, S., 2017. </w:t>
      </w:r>
      <w:r w:rsidRPr="006713ED">
        <w:rPr>
          <w:rFonts w:ascii="Arial" w:hAnsi="Arial" w:cs="Arial"/>
          <w:sz w:val="24"/>
          <w:szCs w:val="24"/>
        </w:rPr>
        <w:t>Marketing for tourism, hospitality &amp; events: a global &amp; digital approach.</w:t>
      </w:r>
    </w:p>
    <w:p w14:paraId="030E91FC" w14:textId="3C72C2B9" w:rsidR="00E04520" w:rsidRPr="006713ED" w:rsidRDefault="00E04520" w:rsidP="00650DF7">
      <w:pPr>
        <w:spacing w:line="360" w:lineRule="auto"/>
        <w:jc w:val="both"/>
        <w:rPr>
          <w:rFonts w:ascii="Arial" w:hAnsi="Arial" w:cs="Arial"/>
          <w:sz w:val="24"/>
          <w:szCs w:val="24"/>
        </w:rPr>
      </w:pPr>
      <w:r w:rsidRPr="006713ED">
        <w:rPr>
          <w:rFonts w:ascii="Arial" w:hAnsi="Arial" w:cs="Arial"/>
          <w:sz w:val="24"/>
          <w:szCs w:val="24"/>
        </w:rPr>
        <w:t>14.</w:t>
      </w:r>
      <w:r w:rsidRPr="006713ED">
        <w:rPr>
          <w:rFonts w:ascii="Arial" w:hAnsi="Arial" w:cs="Arial"/>
          <w:sz w:val="24"/>
          <w:szCs w:val="24"/>
        </w:rPr>
        <w:tab/>
        <w:t xml:space="preserve">IJspeert, R. and Hernandez-Maskivker, G., 2020. Active sport tourists: Millennials vs baby boomers. Journal of Tourism, Heritage &amp; Services Marketing (JTHSM), 6(2), pp.12-20. </w:t>
      </w:r>
      <w:hyperlink r:id="rId19" w:history="1">
        <w:r w:rsidRPr="006713ED">
          <w:rPr>
            <w:rStyle w:val="Hyperlink"/>
            <w:rFonts w:ascii="Arial" w:hAnsi="Arial" w:cs="Arial"/>
            <w:sz w:val="24"/>
            <w:szCs w:val="24"/>
          </w:rPr>
          <w:t>https://www.econstor.eu/bitstream/10419/218719/1/6-2-2.pdf</w:t>
        </w:r>
      </w:hyperlink>
      <w:r w:rsidRPr="006713ED">
        <w:rPr>
          <w:rFonts w:ascii="Arial" w:hAnsi="Arial" w:cs="Arial"/>
          <w:sz w:val="24"/>
          <w:szCs w:val="24"/>
        </w:rPr>
        <w:t xml:space="preserve">  </w:t>
      </w:r>
    </w:p>
    <w:p w14:paraId="61031B67" w14:textId="42CC1586" w:rsidR="00E04520" w:rsidRPr="006713ED" w:rsidRDefault="00E04520" w:rsidP="00650DF7">
      <w:pPr>
        <w:spacing w:line="360" w:lineRule="auto"/>
        <w:jc w:val="both"/>
        <w:rPr>
          <w:rFonts w:ascii="Arial" w:hAnsi="Arial" w:cs="Arial"/>
          <w:sz w:val="24"/>
          <w:szCs w:val="24"/>
        </w:rPr>
      </w:pPr>
      <w:r w:rsidRPr="006713ED">
        <w:rPr>
          <w:rFonts w:ascii="Arial" w:hAnsi="Arial" w:cs="Arial"/>
          <w:sz w:val="24"/>
          <w:szCs w:val="24"/>
        </w:rPr>
        <w:t>15.</w:t>
      </w:r>
      <w:r w:rsidRPr="006713ED">
        <w:rPr>
          <w:rFonts w:ascii="Arial" w:hAnsi="Arial" w:cs="Arial"/>
          <w:sz w:val="24"/>
          <w:szCs w:val="24"/>
        </w:rPr>
        <w:tab/>
        <w:t xml:space="preserve">Islam, N., 2012. New age orientalism: Ayurvedic ‘wellness and spa culture’. Health Sociology Review, 21(2), pp.220-231. </w:t>
      </w:r>
      <w:hyperlink r:id="rId20" w:history="1">
        <w:r w:rsidRPr="006713ED">
          <w:rPr>
            <w:rStyle w:val="Hyperlink"/>
            <w:rFonts w:ascii="Arial" w:hAnsi="Arial" w:cs="Arial"/>
            <w:sz w:val="24"/>
            <w:szCs w:val="24"/>
          </w:rPr>
          <w:t>https://doi.org/10.5172/hesr.2012.21.2.220</w:t>
        </w:r>
      </w:hyperlink>
      <w:r w:rsidRPr="006713ED">
        <w:rPr>
          <w:rFonts w:ascii="Arial" w:hAnsi="Arial" w:cs="Arial"/>
          <w:sz w:val="24"/>
          <w:szCs w:val="24"/>
        </w:rPr>
        <w:t xml:space="preserve">  </w:t>
      </w:r>
    </w:p>
    <w:p w14:paraId="4F3F3ABA" w14:textId="77777777" w:rsidR="00E04520" w:rsidRPr="006713ED" w:rsidRDefault="00E04520" w:rsidP="00650DF7">
      <w:pPr>
        <w:spacing w:line="360" w:lineRule="auto"/>
        <w:jc w:val="both"/>
        <w:rPr>
          <w:rFonts w:ascii="Arial" w:hAnsi="Arial" w:cs="Arial"/>
          <w:sz w:val="24"/>
          <w:szCs w:val="24"/>
        </w:rPr>
      </w:pPr>
      <w:r w:rsidRPr="006713ED">
        <w:rPr>
          <w:rFonts w:ascii="Arial" w:hAnsi="Arial" w:cs="Arial"/>
          <w:sz w:val="24"/>
          <w:szCs w:val="24"/>
        </w:rPr>
        <w:t>16.</w:t>
      </w:r>
      <w:r w:rsidRPr="006713ED">
        <w:rPr>
          <w:rFonts w:ascii="Arial" w:hAnsi="Arial" w:cs="Arial"/>
          <w:sz w:val="24"/>
          <w:szCs w:val="24"/>
        </w:rPr>
        <w:tab/>
        <w:t xml:space="preserve">Kapiki, S., 2012, September. Profit Optimization Strategies in Integrated Resorts-Case Study of the Sani Resort, Chalkidiki. In International Conference'Competition and Innovation in Tourism: New Challenges in an Uncertain Environment (pp. 193-205). </w:t>
      </w:r>
    </w:p>
    <w:p w14:paraId="47BCC929" w14:textId="6786BDB5" w:rsidR="00E04520" w:rsidRPr="006713ED" w:rsidRDefault="00E04520" w:rsidP="00650DF7">
      <w:pPr>
        <w:spacing w:line="360" w:lineRule="auto"/>
        <w:jc w:val="both"/>
        <w:rPr>
          <w:rFonts w:ascii="Arial" w:hAnsi="Arial" w:cs="Arial"/>
          <w:sz w:val="24"/>
          <w:szCs w:val="24"/>
        </w:rPr>
      </w:pPr>
      <w:r w:rsidRPr="006713ED">
        <w:rPr>
          <w:rFonts w:ascii="Arial" w:hAnsi="Arial" w:cs="Arial"/>
          <w:sz w:val="24"/>
          <w:szCs w:val="24"/>
        </w:rPr>
        <w:t>17.</w:t>
      </w:r>
      <w:r w:rsidRPr="006713ED">
        <w:rPr>
          <w:rFonts w:ascii="Arial" w:hAnsi="Arial" w:cs="Arial"/>
          <w:sz w:val="24"/>
          <w:szCs w:val="24"/>
        </w:rPr>
        <w:tab/>
        <w:t xml:space="preserve">Kiráľová, A. and Pavlíčeka, A., 2015. Development of social media strategies in tourism destination. Procedia-Social and Behavioral Sciences, 175, pp.358-366. </w:t>
      </w:r>
      <w:hyperlink r:id="rId21" w:history="1">
        <w:r w:rsidRPr="006713ED">
          <w:rPr>
            <w:rStyle w:val="Hyperlink"/>
            <w:rFonts w:ascii="Arial" w:hAnsi="Arial" w:cs="Arial"/>
            <w:sz w:val="24"/>
            <w:szCs w:val="24"/>
          </w:rPr>
          <w:t>https://doi.org/10.1016/j.sbspro.2015.01.1211</w:t>
        </w:r>
      </w:hyperlink>
      <w:r w:rsidRPr="006713ED">
        <w:rPr>
          <w:rFonts w:ascii="Arial" w:hAnsi="Arial" w:cs="Arial"/>
          <w:sz w:val="24"/>
          <w:szCs w:val="24"/>
        </w:rPr>
        <w:t xml:space="preserve">  </w:t>
      </w:r>
    </w:p>
    <w:p w14:paraId="307E10B3" w14:textId="74CBB359" w:rsidR="00E04520" w:rsidRPr="006713ED" w:rsidRDefault="00E04520" w:rsidP="00650DF7">
      <w:pPr>
        <w:spacing w:line="360" w:lineRule="auto"/>
        <w:jc w:val="both"/>
        <w:rPr>
          <w:rFonts w:ascii="Arial" w:hAnsi="Arial" w:cs="Arial"/>
          <w:sz w:val="24"/>
          <w:szCs w:val="24"/>
        </w:rPr>
      </w:pPr>
      <w:r w:rsidRPr="006713ED">
        <w:rPr>
          <w:rFonts w:ascii="Arial" w:hAnsi="Arial" w:cs="Arial"/>
          <w:sz w:val="24"/>
          <w:szCs w:val="24"/>
        </w:rPr>
        <w:t>18.</w:t>
      </w:r>
      <w:r w:rsidRPr="006713ED">
        <w:rPr>
          <w:rFonts w:ascii="Arial" w:hAnsi="Arial" w:cs="Arial"/>
          <w:sz w:val="24"/>
          <w:szCs w:val="24"/>
        </w:rPr>
        <w:tab/>
        <w:t xml:space="preserve">Majeed, S., Lu, C., Majeed, M. and Shahid, M.N., 2018. Health resorts and multi-textured perceptions of international health tourists. Sustainability, 10(4), p.1063. </w:t>
      </w:r>
      <w:hyperlink r:id="rId22" w:history="1">
        <w:r w:rsidRPr="006713ED">
          <w:rPr>
            <w:rStyle w:val="Hyperlink"/>
            <w:rFonts w:ascii="Arial" w:hAnsi="Arial" w:cs="Arial"/>
            <w:sz w:val="24"/>
            <w:szCs w:val="24"/>
          </w:rPr>
          <w:t>https://www.mdpi.com/2071-1050/10/4/1063/pdf</w:t>
        </w:r>
      </w:hyperlink>
      <w:r w:rsidRPr="006713ED">
        <w:rPr>
          <w:rFonts w:ascii="Arial" w:hAnsi="Arial" w:cs="Arial"/>
          <w:sz w:val="24"/>
          <w:szCs w:val="24"/>
        </w:rPr>
        <w:t xml:space="preserve">  </w:t>
      </w:r>
    </w:p>
    <w:p w14:paraId="6F535E98" w14:textId="77777777" w:rsidR="00E04520" w:rsidRPr="006713ED" w:rsidRDefault="00E04520" w:rsidP="00650DF7">
      <w:pPr>
        <w:spacing w:line="360" w:lineRule="auto"/>
        <w:jc w:val="both"/>
        <w:rPr>
          <w:rFonts w:ascii="Arial" w:hAnsi="Arial" w:cs="Arial"/>
          <w:sz w:val="24"/>
          <w:szCs w:val="24"/>
        </w:rPr>
      </w:pPr>
      <w:r w:rsidRPr="006713ED">
        <w:rPr>
          <w:rFonts w:ascii="Arial" w:hAnsi="Arial" w:cs="Arial"/>
          <w:sz w:val="24"/>
          <w:szCs w:val="24"/>
        </w:rPr>
        <w:t>19.</w:t>
      </w:r>
      <w:r w:rsidRPr="006713ED">
        <w:rPr>
          <w:rFonts w:ascii="Arial" w:hAnsi="Arial" w:cs="Arial"/>
          <w:sz w:val="24"/>
          <w:szCs w:val="24"/>
        </w:rPr>
        <w:tab/>
        <w:t>Martin, G. and Steiner, F., 2014. Lake| Flato Houses: Embracing the Landscape.</w:t>
      </w:r>
    </w:p>
    <w:p w14:paraId="6C60D691" w14:textId="446116BE" w:rsidR="00E04520" w:rsidRPr="006713ED" w:rsidRDefault="00E04520" w:rsidP="00650DF7">
      <w:pPr>
        <w:spacing w:line="360" w:lineRule="auto"/>
        <w:jc w:val="both"/>
        <w:rPr>
          <w:rFonts w:ascii="Arial" w:hAnsi="Arial" w:cs="Arial"/>
          <w:sz w:val="24"/>
          <w:szCs w:val="24"/>
        </w:rPr>
      </w:pPr>
      <w:r w:rsidRPr="006713ED">
        <w:rPr>
          <w:rFonts w:ascii="Arial" w:hAnsi="Arial" w:cs="Arial"/>
          <w:sz w:val="24"/>
          <w:szCs w:val="24"/>
        </w:rPr>
        <w:t>20.</w:t>
      </w:r>
      <w:r w:rsidRPr="006713ED">
        <w:rPr>
          <w:rFonts w:ascii="Arial" w:hAnsi="Arial" w:cs="Arial"/>
          <w:sz w:val="24"/>
          <w:szCs w:val="24"/>
        </w:rPr>
        <w:tab/>
        <w:t xml:space="preserve">Page, S.J., Hartwell, H., Johns, N., Fyall, A., Ladkin, A. and Hemingway, A., 2017. Case study: Wellness, tourism and small business development in a UK coastal resort: Public engagement in practice. Tourism Management, 60, pp.466-477. </w:t>
      </w:r>
      <w:hyperlink r:id="rId23" w:history="1">
        <w:r w:rsidRPr="006713ED">
          <w:rPr>
            <w:rStyle w:val="Hyperlink"/>
            <w:rFonts w:ascii="Arial" w:hAnsi="Arial" w:cs="Arial"/>
            <w:sz w:val="24"/>
            <w:szCs w:val="24"/>
          </w:rPr>
          <w:t>https://doi.org/10.1016/j.tourman.2016.12.014</w:t>
        </w:r>
      </w:hyperlink>
      <w:r w:rsidRPr="006713ED">
        <w:rPr>
          <w:rFonts w:ascii="Arial" w:hAnsi="Arial" w:cs="Arial"/>
          <w:sz w:val="24"/>
          <w:szCs w:val="24"/>
        </w:rPr>
        <w:t xml:space="preserve">  </w:t>
      </w:r>
    </w:p>
    <w:p w14:paraId="5A146180" w14:textId="57B69AE6" w:rsidR="00E04520" w:rsidRPr="006713ED" w:rsidRDefault="00E04520" w:rsidP="00650DF7">
      <w:pPr>
        <w:spacing w:line="360" w:lineRule="auto"/>
        <w:jc w:val="both"/>
        <w:rPr>
          <w:rFonts w:ascii="Arial" w:hAnsi="Arial" w:cs="Arial"/>
          <w:sz w:val="24"/>
          <w:szCs w:val="24"/>
        </w:rPr>
      </w:pPr>
      <w:r w:rsidRPr="006713ED">
        <w:rPr>
          <w:rFonts w:ascii="Arial" w:hAnsi="Arial" w:cs="Arial"/>
          <w:sz w:val="24"/>
          <w:szCs w:val="24"/>
        </w:rPr>
        <w:t>21.</w:t>
      </w:r>
      <w:r w:rsidRPr="006713ED">
        <w:rPr>
          <w:rFonts w:ascii="Arial" w:hAnsi="Arial" w:cs="Arial"/>
          <w:sz w:val="24"/>
          <w:szCs w:val="24"/>
        </w:rPr>
        <w:tab/>
        <w:t xml:space="preserve">Paul, I. and Roy, G., 2023. How eco-service quality affects tourist engagement behaviour in ecotourism: eco-consciousness and eco activity-based learning and SOR Theory. Tourism Recreation Research, pp.1-17. </w:t>
      </w:r>
      <w:hyperlink r:id="rId24" w:history="1">
        <w:r w:rsidRPr="006713ED">
          <w:rPr>
            <w:rStyle w:val="Hyperlink"/>
            <w:rFonts w:ascii="Arial" w:hAnsi="Arial" w:cs="Arial"/>
            <w:sz w:val="24"/>
            <w:szCs w:val="24"/>
          </w:rPr>
          <w:t>https://doi.org/10.1080/02508281.2023.2275240</w:t>
        </w:r>
      </w:hyperlink>
      <w:r w:rsidRPr="006713ED">
        <w:rPr>
          <w:rFonts w:ascii="Arial" w:hAnsi="Arial" w:cs="Arial"/>
          <w:sz w:val="24"/>
          <w:szCs w:val="24"/>
        </w:rPr>
        <w:t xml:space="preserve">  </w:t>
      </w:r>
    </w:p>
    <w:p w14:paraId="5AED49D5" w14:textId="142D9732" w:rsidR="00E04520" w:rsidRPr="006713ED" w:rsidRDefault="00E04520" w:rsidP="00650DF7">
      <w:pPr>
        <w:spacing w:line="360" w:lineRule="auto"/>
        <w:jc w:val="both"/>
        <w:rPr>
          <w:rFonts w:ascii="Arial" w:hAnsi="Arial" w:cs="Arial"/>
          <w:sz w:val="24"/>
          <w:szCs w:val="24"/>
        </w:rPr>
      </w:pPr>
      <w:r w:rsidRPr="006713ED">
        <w:rPr>
          <w:rFonts w:ascii="Arial" w:hAnsi="Arial" w:cs="Arial"/>
          <w:sz w:val="24"/>
          <w:szCs w:val="24"/>
        </w:rPr>
        <w:t>22.</w:t>
      </w:r>
      <w:r w:rsidRPr="006713ED">
        <w:rPr>
          <w:rFonts w:ascii="Arial" w:hAnsi="Arial" w:cs="Arial"/>
          <w:sz w:val="24"/>
          <w:szCs w:val="24"/>
        </w:rPr>
        <w:tab/>
        <w:t xml:space="preserve">Ponte, J., Couto, G., Sousa, Á., Pimentel, P. and Oliveira, A., 2021. Idealizing adventure tourism experiences: Tourists’ self-assessment and expectations. Journal of Outdoor Recreation and Tourism, 35, p.100379. </w:t>
      </w:r>
      <w:hyperlink r:id="rId25" w:history="1">
        <w:r w:rsidRPr="006713ED">
          <w:rPr>
            <w:rStyle w:val="Hyperlink"/>
            <w:rFonts w:ascii="Arial" w:hAnsi="Arial" w:cs="Arial"/>
            <w:sz w:val="24"/>
            <w:szCs w:val="24"/>
          </w:rPr>
          <w:t>https://doi.org/10.1016/j.jort.2021.100379</w:t>
        </w:r>
      </w:hyperlink>
      <w:r w:rsidRPr="006713ED">
        <w:rPr>
          <w:rFonts w:ascii="Arial" w:hAnsi="Arial" w:cs="Arial"/>
          <w:sz w:val="24"/>
          <w:szCs w:val="24"/>
        </w:rPr>
        <w:t xml:space="preserve">  </w:t>
      </w:r>
    </w:p>
    <w:p w14:paraId="5C366484" w14:textId="48B145A2" w:rsidR="00E04520" w:rsidRPr="006713ED" w:rsidRDefault="00E04520" w:rsidP="00650DF7">
      <w:pPr>
        <w:spacing w:line="360" w:lineRule="auto"/>
        <w:jc w:val="both"/>
        <w:rPr>
          <w:rFonts w:ascii="Arial" w:hAnsi="Arial" w:cs="Arial"/>
          <w:sz w:val="24"/>
          <w:szCs w:val="24"/>
        </w:rPr>
      </w:pPr>
      <w:r w:rsidRPr="006713ED">
        <w:rPr>
          <w:rFonts w:ascii="Arial" w:hAnsi="Arial" w:cs="Arial"/>
          <w:sz w:val="24"/>
          <w:szCs w:val="24"/>
        </w:rPr>
        <w:t>23.</w:t>
      </w:r>
      <w:r w:rsidRPr="006713ED">
        <w:rPr>
          <w:rFonts w:ascii="Arial" w:hAnsi="Arial" w:cs="Arial"/>
          <w:sz w:val="24"/>
          <w:szCs w:val="24"/>
        </w:rPr>
        <w:tab/>
        <w:t xml:space="preserve">Salum, H., 2021. Adventure Travel Guide Standard. </w:t>
      </w:r>
      <w:hyperlink r:id="rId26" w:history="1">
        <w:r w:rsidRPr="006713ED">
          <w:rPr>
            <w:rStyle w:val="Hyperlink"/>
            <w:rFonts w:ascii="Arial" w:hAnsi="Arial" w:cs="Arial"/>
            <w:sz w:val="24"/>
            <w:szCs w:val="24"/>
          </w:rPr>
          <w:t>https://cdn.adventuretravel.biz/wp-content/uploads/2021/01/ATGS-2021.pdf</w:t>
        </w:r>
      </w:hyperlink>
      <w:r w:rsidRPr="006713ED">
        <w:rPr>
          <w:rFonts w:ascii="Arial" w:hAnsi="Arial" w:cs="Arial"/>
          <w:sz w:val="24"/>
          <w:szCs w:val="24"/>
        </w:rPr>
        <w:t xml:space="preserve">  </w:t>
      </w:r>
    </w:p>
    <w:p w14:paraId="2DBB0AA0" w14:textId="6B2C94F9" w:rsidR="00E04520" w:rsidRPr="006713ED" w:rsidRDefault="00E04520" w:rsidP="00650DF7">
      <w:pPr>
        <w:spacing w:line="360" w:lineRule="auto"/>
        <w:jc w:val="both"/>
        <w:rPr>
          <w:rFonts w:ascii="Arial" w:hAnsi="Arial" w:cs="Arial"/>
          <w:sz w:val="24"/>
          <w:szCs w:val="24"/>
        </w:rPr>
      </w:pPr>
      <w:r w:rsidRPr="006713ED">
        <w:rPr>
          <w:rFonts w:ascii="Arial" w:hAnsi="Arial" w:cs="Arial"/>
          <w:sz w:val="24"/>
          <w:szCs w:val="24"/>
        </w:rPr>
        <w:t>24.</w:t>
      </w:r>
      <w:r w:rsidRPr="006713ED">
        <w:rPr>
          <w:rFonts w:ascii="Arial" w:hAnsi="Arial" w:cs="Arial"/>
          <w:sz w:val="24"/>
          <w:szCs w:val="24"/>
        </w:rPr>
        <w:tab/>
        <w:t xml:space="preserve">Schunk, D.H. and Mullen, C.A., 2012. Self-efficacy as an engaged learner. In Handbook of research on student engagement (pp. 219-235). Boston, MA: Springer US. </w:t>
      </w:r>
      <w:hyperlink r:id="rId27" w:history="1">
        <w:r w:rsidRPr="006713ED">
          <w:rPr>
            <w:rStyle w:val="Hyperlink"/>
            <w:rFonts w:ascii="Arial" w:hAnsi="Arial" w:cs="Arial"/>
            <w:sz w:val="24"/>
            <w:szCs w:val="24"/>
          </w:rPr>
          <w:t>http://media.picalab.cl/repo/descargas/bibliografia/Ense%C3%B1anza%20de%20M%C3%BAsical%20con%20TIC/2012%20EngagedLearnerChapter2012.pdf</w:t>
        </w:r>
      </w:hyperlink>
      <w:r w:rsidRPr="006713ED">
        <w:rPr>
          <w:rFonts w:ascii="Arial" w:hAnsi="Arial" w:cs="Arial"/>
          <w:sz w:val="24"/>
          <w:szCs w:val="24"/>
        </w:rPr>
        <w:t xml:space="preserve">  </w:t>
      </w:r>
    </w:p>
    <w:p w14:paraId="7B935A76" w14:textId="5393B1E9" w:rsidR="00E04520" w:rsidRPr="006713ED" w:rsidRDefault="00E04520" w:rsidP="00650DF7">
      <w:pPr>
        <w:spacing w:line="360" w:lineRule="auto"/>
        <w:jc w:val="both"/>
        <w:rPr>
          <w:rFonts w:ascii="Arial" w:hAnsi="Arial" w:cs="Arial"/>
          <w:sz w:val="24"/>
          <w:szCs w:val="24"/>
        </w:rPr>
      </w:pPr>
      <w:r w:rsidRPr="006713ED">
        <w:rPr>
          <w:rFonts w:ascii="Arial" w:hAnsi="Arial" w:cs="Arial"/>
          <w:sz w:val="24"/>
          <w:szCs w:val="24"/>
        </w:rPr>
        <w:t>25.</w:t>
      </w:r>
      <w:r w:rsidRPr="006713ED">
        <w:rPr>
          <w:rFonts w:ascii="Arial" w:hAnsi="Arial" w:cs="Arial"/>
          <w:sz w:val="24"/>
          <w:szCs w:val="24"/>
        </w:rPr>
        <w:tab/>
        <w:t xml:space="preserve">Shandas, V. and Messer, W.B., 2008. Fostering green communities through civic engagement: community-based environmental stewardship in the Portland area. Journal of the American Planning Association, 74(4), pp.408-418. </w:t>
      </w:r>
      <w:hyperlink r:id="rId28" w:history="1">
        <w:r w:rsidRPr="006713ED">
          <w:rPr>
            <w:rStyle w:val="Hyperlink"/>
            <w:rFonts w:ascii="Arial" w:hAnsi="Arial" w:cs="Arial"/>
            <w:sz w:val="24"/>
            <w:szCs w:val="24"/>
          </w:rPr>
          <w:t>https://doi.org/10.1080/01944360802291265</w:t>
        </w:r>
      </w:hyperlink>
      <w:r w:rsidRPr="006713ED">
        <w:rPr>
          <w:rFonts w:ascii="Arial" w:hAnsi="Arial" w:cs="Arial"/>
          <w:sz w:val="24"/>
          <w:szCs w:val="24"/>
        </w:rPr>
        <w:t xml:space="preserve">  </w:t>
      </w:r>
    </w:p>
    <w:p w14:paraId="5F0265DD" w14:textId="2DC4DB92" w:rsidR="00E04520" w:rsidRDefault="00E04520" w:rsidP="00650DF7">
      <w:pPr>
        <w:spacing w:line="360" w:lineRule="auto"/>
        <w:jc w:val="both"/>
        <w:rPr>
          <w:rFonts w:ascii="Arial" w:hAnsi="Arial" w:cs="Arial"/>
          <w:sz w:val="24"/>
          <w:szCs w:val="24"/>
        </w:rPr>
      </w:pPr>
      <w:r w:rsidRPr="006713ED">
        <w:rPr>
          <w:rFonts w:ascii="Arial" w:hAnsi="Arial" w:cs="Arial"/>
          <w:sz w:val="24"/>
          <w:szCs w:val="24"/>
        </w:rPr>
        <w:t>26.</w:t>
      </w:r>
      <w:r w:rsidRPr="006713ED">
        <w:rPr>
          <w:rFonts w:ascii="Arial" w:hAnsi="Arial" w:cs="Arial"/>
          <w:sz w:val="24"/>
          <w:szCs w:val="24"/>
        </w:rPr>
        <w:tab/>
        <w:t xml:space="preserve">Sierra-Huelsz, J.A. and Kainer, K.A., 2018. Tourism consumption of biodiversity: A global exploration of forest product use in thatched tropical resort architecture. Geoforum, 94, pp.1-11. </w:t>
      </w:r>
      <w:hyperlink r:id="rId29" w:history="1">
        <w:r w:rsidRPr="006713ED">
          <w:rPr>
            <w:rStyle w:val="Hyperlink"/>
            <w:rFonts w:ascii="Arial" w:hAnsi="Arial" w:cs="Arial"/>
            <w:sz w:val="24"/>
            <w:szCs w:val="24"/>
          </w:rPr>
          <w:t>https://doi.org/10.1016/j.geoforum.2018.06.004</w:t>
        </w:r>
      </w:hyperlink>
      <w:r w:rsidRPr="006713ED">
        <w:rPr>
          <w:rFonts w:ascii="Arial" w:hAnsi="Arial" w:cs="Arial"/>
          <w:sz w:val="24"/>
          <w:szCs w:val="24"/>
        </w:rPr>
        <w:t xml:space="preserve">  </w:t>
      </w:r>
    </w:p>
    <w:p w14:paraId="5FE28911" w14:textId="4745A44B" w:rsidR="00A3327F" w:rsidRPr="006713ED" w:rsidRDefault="00A3327F" w:rsidP="00650DF7">
      <w:pPr>
        <w:spacing w:line="360" w:lineRule="auto"/>
        <w:jc w:val="both"/>
        <w:rPr>
          <w:rFonts w:ascii="Arial" w:hAnsi="Arial" w:cs="Arial"/>
          <w:sz w:val="24"/>
          <w:szCs w:val="24"/>
        </w:rPr>
      </w:pPr>
      <w:r>
        <w:rPr>
          <w:rFonts w:ascii="Arial" w:hAnsi="Arial" w:cs="Arial"/>
          <w:sz w:val="24"/>
          <w:szCs w:val="24"/>
        </w:rPr>
        <w:t>2</w:t>
      </w:r>
      <w:r w:rsidR="00DF02C9">
        <w:rPr>
          <w:rFonts w:ascii="Arial" w:hAnsi="Arial" w:cs="Arial"/>
          <w:sz w:val="24"/>
          <w:szCs w:val="24"/>
        </w:rPr>
        <w:t>7</w:t>
      </w:r>
      <w:r>
        <w:rPr>
          <w:rFonts w:ascii="Arial" w:hAnsi="Arial" w:cs="Arial"/>
          <w:sz w:val="24"/>
          <w:szCs w:val="24"/>
        </w:rPr>
        <w:t xml:space="preserve">. </w:t>
      </w:r>
      <w:r w:rsidR="00DF02C9" w:rsidRPr="00DF02C9">
        <w:rPr>
          <w:rFonts w:ascii="Arial" w:hAnsi="Arial" w:cs="Arial"/>
          <w:sz w:val="24"/>
          <w:szCs w:val="24"/>
        </w:rPr>
        <w:t xml:space="preserve">SimilarWeb. (2024). Available at: </w:t>
      </w:r>
      <w:hyperlink r:id="rId30" w:history="1">
        <w:r w:rsidR="00DF02C9" w:rsidRPr="006E60A1">
          <w:rPr>
            <w:rStyle w:val="Hyperlink"/>
            <w:rFonts w:ascii="Arial" w:hAnsi="Arial" w:cs="Arial"/>
            <w:sz w:val="24"/>
            <w:szCs w:val="24"/>
          </w:rPr>
          <w:t>https://www.similarweb.com</w:t>
        </w:r>
      </w:hyperlink>
      <w:r w:rsidR="00DF02C9">
        <w:rPr>
          <w:rFonts w:ascii="Arial" w:hAnsi="Arial" w:cs="Arial"/>
          <w:sz w:val="24"/>
          <w:szCs w:val="24"/>
        </w:rPr>
        <w:t xml:space="preserve"> </w:t>
      </w:r>
    </w:p>
    <w:p w14:paraId="7A0AB901" w14:textId="43F06629" w:rsidR="00E04520" w:rsidRPr="006713ED" w:rsidRDefault="00E04520" w:rsidP="00650DF7">
      <w:pPr>
        <w:spacing w:line="360" w:lineRule="auto"/>
        <w:jc w:val="both"/>
        <w:rPr>
          <w:rFonts w:ascii="Arial" w:hAnsi="Arial" w:cs="Arial"/>
          <w:sz w:val="24"/>
          <w:szCs w:val="24"/>
        </w:rPr>
      </w:pPr>
      <w:r w:rsidRPr="006713ED">
        <w:rPr>
          <w:rFonts w:ascii="Arial" w:hAnsi="Arial" w:cs="Arial"/>
          <w:sz w:val="24"/>
          <w:szCs w:val="24"/>
        </w:rPr>
        <w:t>2</w:t>
      </w:r>
      <w:r w:rsidR="00DF02C9">
        <w:rPr>
          <w:rFonts w:ascii="Arial" w:hAnsi="Arial" w:cs="Arial"/>
          <w:sz w:val="24"/>
          <w:szCs w:val="24"/>
        </w:rPr>
        <w:t>8</w:t>
      </w:r>
      <w:r w:rsidRPr="006713ED">
        <w:rPr>
          <w:rFonts w:ascii="Arial" w:hAnsi="Arial" w:cs="Arial"/>
          <w:sz w:val="24"/>
          <w:szCs w:val="24"/>
        </w:rPr>
        <w:t>.</w:t>
      </w:r>
      <w:r w:rsidRPr="006713ED">
        <w:rPr>
          <w:rFonts w:ascii="Arial" w:hAnsi="Arial" w:cs="Arial"/>
          <w:sz w:val="24"/>
          <w:szCs w:val="24"/>
        </w:rPr>
        <w:tab/>
        <w:t xml:space="preserve">Stemmer, K., Aas, Ø., Veisten, K. and Lindberg, K., 2022. Assessing recreation specialization to guide nature-based tourism development: A hybrid choice model of birder destination preferences. Journal of Outdoor Recreation and Tourism, 39, p.100516. </w:t>
      </w:r>
      <w:hyperlink r:id="rId31" w:history="1">
        <w:r w:rsidRPr="006713ED">
          <w:rPr>
            <w:rStyle w:val="Hyperlink"/>
            <w:rFonts w:ascii="Arial" w:hAnsi="Arial" w:cs="Arial"/>
            <w:sz w:val="24"/>
            <w:szCs w:val="24"/>
          </w:rPr>
          <w:t>https://doi.org/10.1016/j.jort.2022.100516</w:t>
        </w:r>
      </w:hyperlink>
      <w:r w:rsidRPr="006713ED">
        <w:rPr>
          <w:rFonts w:ascii="Arial" w:hAnsi="Arial" w:cs="Arial"/>
          <w:sz w:val="24"/>
          <w:szCs w:val="24"/>
        </w:rPr>
        <w:t xml:space="preserve">  </w:t>
      </w:r>
    </w:p>
    <w:p w14:paraId="086866E2" w14:textId="31864650" w:rsidR="00E04520" w:rsidRPr="006713ED" w:rsidRDefault="00E04520" w:rsidP="00650DF7">
      <w:pPr>
        <w:spacing w:line="360" w:lineRule="auto"/>
        <w:jc w:val="both"/>
        <w:rPr>
          <w:rFonts w:ascii="Arial" w:hAnsi="Arial" w:cs="Arial"/>
          <w:sz w:val="24"/>
          <w:szCs w:val="24"/>
        </w:rPr>
      </w:pPr>
      <w:r w:rsidRPr="006713ED">
        <w:rPr>
          <w:rFonts w:ascii="Arial" w:hAnsi="Arial" w:cs="Arial"/>
          <w:sz w:val="24"/>
          <w:szCs w:val="24"/>
        </w:rPr>
        <w:t>2</w:t>
      </w:r>
      <w:r w:rsidR="00DF02C9">
        <w:rPr>
          <w:rFonts w:ascii="Arial" w:hAnsi="Arial" w:cs="Arial"/>
          <w:sz w:val="24"/>
          <w:szCs w:val="24"/>
        </w:rPr>
        <w:t>9</w:t>
      </w:r>
      <w:r w:rsidRPr="006713ED">
        <w:rPr>
          <w:rFonts w:ascii="Arial" w:hAnsi="Arial" w:cs="Arial"/>
          <w:sz w:val="24"/>
          <w:szCs w:val="24"/>
        </w:rPr>
        <w:t>.</w:t>
      </w:r>
      <w:r w:rsidRPr="006713ED">
        <w:rPr>
          <w:rFonts w:ascii="Arial" w:hAnsi="Arial" w:cs="Arial"/>
          <w:sz w:val="24"/>
          <w:szCs w:val="24"/>
        </w:rPr>
        <w:tab/>
        <w:t xml:space="preserve">Suhaimi, N.I.B. and Abdullah, A.B., 2017. The Role of Multilingualism in Enhancing Tourism Sector in Malaysia. International Journal of Academic Research in Business and Social Sciences, 7(7), pp.2222-6990. </w:t>
      </w:r>
      <w:hyperlink r:id="rId32" w:history="1">
        <w:r w:rsidRPr="006713ED">
          <w:rPr>
            <w:rStyle w:val="Hyperlink"/>
            <w:rFonts w:ascii="Arial" w:hAnsi="Arial" w:cs="Arial"/>
            <w:sz w:val="24"/>
            <w:szCs w:val="24"/>
          </w:rPr>
          <w:t>https://www.researchgate.net/profile/Nur-Suhaimi-10/publication/324123286_The_Role_of_Multilingualism_in_Enhancing_Tourism_Sector_in_Malaysia/links/5abf38d9aca27222c757f9a2/The-Role-of-Multilingualism-in-Enhancing-Tourism-Sector-in-Malaysia.pdf</w:t>
        </w:r>
      </w:hyperlink>
      <w:r w:rsidRPr="006713ED">
        <w:rPr>
          <w:rFonts w:ascii="Arial" w:hAnsi="Arial" w:cs="Arial"/>
          <w:sz w:val="24"/>
          <w:szCs w:val="24"/>
        </w:rPr>
        <w:t xml:space="preserve">  </w:t>
      </w:r>
    </w:p>
    <w:p w14:paraId="283FA7F9" w14:textId="3776293D" w:rsidR="00E04520" w:rsidRPr="006713ED" w:rsidRDefault="00DF02C9" w:rsidP="00650DF7">
      <w:pPr>
        <w:spacing w:line="360" w:lineRule="auto"/>
        <w:jc w:val="both"/>
        <w:rPr>
          <w:rFonts w:ascii="Arial" w:hAnsi="Arial" w:cs="Arial"/>
          <w:sz w:val="24"/>
          <w:szCs w:val="24"/>
        </w:rPr>
      </w:pPr>
      <w:r>
        <w:rPr>
          <w:rFonts w:ascii="Arial" w:hAnsi="Arial" w:cs="Arial"/>
          <w:sz w:val="24"/>
          <w:szCs w:val="24"/>
        </w:rPr>
        <w:t>30</w:t>
      </w:r>
      <w:r w:rsidR="00E04520" w:rsidRPr="006713ED">
        <w:rPr>
          <w:rFonts w:ascii="Arial" w:hAnsi="Arial" w:cs="Arial"/>
          <w:sz w:val="24"/>
          <w:szCs w:val="24"/>
        </w:rPr>
        <w:t>.</w:t>
      </w:r>
      <w:r w:rsidR="00E04520" w:rsidRPr="006713ED">
        <w:rPr>
          <w:rFonts w:ascii="Arial" w:hAnsi="Arial" w:cs="Arial"/>
          <w:sz w:val="24"/>
          <w:szCs w:val="24"/>
        </w:rPr>
        <w:tab/>
        <w:t xml:space="preserve">Warren, C., Becken, S. and Coghlan, A., 2018. Sustainability-oriented Service Innovation: fourteen-year longitudinal case study of a tourist accommodation provider. Journal of Sustainable Tourism, 26(10), pp.1784-1803. </w:t>
      </w:r>
      <w:hyperlink r:id="rId33" w:history="1">
        <w:r w:rsidR="00E04520" w:rsidRPr="006713ED">
          <w:rPr>
            <w:rStyle w:val="Hyperlink"/>
            <w:rFonts w:ascii="Arial" w:hAnsi="Arial" w:cs="Arial"/>
            <w:sz w:val="24"/>
            <w:szCs w:val="24"/>
          </w:rPr>
          <w:t>https://doi.org/10.1080/09669582.2018.1511721</w:t>
        </w:r>
      </w:hyperlink>
      <w:r w:rsidR="00E04520" w:rsidRPr="006713ED">
        <w:rPr>
          <w:rFonts w:ascii="Arial" w:hAnsi="Arial" w:cs="Arial"/>
          <w:sz w:val="24"/>
          <w:szCs w:val="24"/>
        </w:rPr>
        <w:t xml:space="preserve">  </w:t>
      </w:r>
    </w:p>
    <w:p w14:paraId="2D1BB3F4" w14:textId="11766EF5" w:rsidR="00E04520" w:rsidRPr="006713ED" w:rsidRDefault="00E04520" w:rsidP="00650DF7">
      <w:pPr>
        <w:spacing w:line="360" w:lineRule="auto"/>
        <w:jc w:val="both"/>
        <w:rPr>
          <w:rFonts w:ascii="Arial" w:hAnsi="Arial" w:cs="Arial"/>
          <w:sz w:val="24"/>
          <w:szCs w:val="24"/>
        </w:rPr>
      </w:pPr>
      <w:r w:rsidRPr="006713ED">
        <w:rPr>
          <w:rFonts w:ascii="Arial" w:hAnsi="Arial" w:cs="Arial"/>
          <w:sz w:val="24"/>
          <w:szCs w:val="24"/>
        </w:rPr>
        <w:t>3</w:t>
      </w:r>
      <w:r w:rsidR="00DF02C9">
        <w:rPr>
          <w:rFonts w:ascii="Arial" w:hAnsi="Arial" w:cs="Arial"/>
          <w:sz w:val="24"/>
          <w:szCs w:val="24"/>
        </w:rPr>
        <w:t>1</w:t>
      </w:r>
      <w:r w:rsidRPr="006713ED">
        <w:rPr>
          <w:rFonts w:ascii="Arial" w:hAnsi="Arial" w:cs="Arial"/>
          <w:sz w:val="24"/>
          <w:szCs w:val="24"/>
        </w:rPr>
        <w:t>.</w:t>
      </w:r>
      <w:r w:rsidRPr="006713ED">
        <w:rPr>
          <w:rFonts w:ascii="Arial" w:hAnsi="Arial" w:cs="Arial"/>
          <w:sz w:val="24"/>
          <w:szCs w:val="24"/>
        </w:rPr>
        <w:tab/>
        <w:t>Wilson, A., 2023. The Behavior Analyst's Guide to Working with Parents: Acceptance and Commitment Training for Effective Parental Collaboration in Treatment.</w:t>
      </w:r>
    </w:p>
    <w:p w14:paraId="3E67C12A" w14:textId="07C4EE96" w:rsidR="00225C1D" w:rsidRPr="006713ED" w:rsidRDefault="00E04520" w:rsidP="00650DF7">
      <w:pPr>
        <w:spacing w:line="360" w:lineRule="auto"/>
        <w:jc w:val="both"/>
        <w:rPr>
          <w:rFonts w:ascii="Arial" w:hAnsi="Arial" w:cs="Arial"/>
          <w:sz w:val="24"/>
          <w:szCs w:val="24"/>
        </w:rPr>
      </w:pPr>
      <w:r w:rsidRPr="006713ED">
        <w:rPr>
          <w:rFonts w:ascii="Arial" w:hAnsi="Arial" w:cs="Arial"/>
          <w:sz w:val="24"/>
          <w:szCs w:val="24"/>
        </w:rPr>
        <w:t>3</w:t>
      </w:r>
      <w:r w:rsidR="00DF02C9">
        <w:rPr>
          <w:rFonts w:ascii="Arial" w:hAnsi="Arial" w:cs="Arial"/>
          <w:sz w:val="24"/>
          <w:szCs w:val="24"/>
        </w:rPr>
        <w:t>2</w:t>
      </w:r>
      <w:r w:rsidRPr="006713ED">
        <w:rPr>
          <w:rFonts w:ascii="Arial" w:hAnsi="Arial" w:cs="Arial"/>
          <w:sz w:val="24"/>
          <w:szCs w:val="24"/>
        </w:rPr>
        <w:t>.</w:t>
      </w:r>
      <w:r w:rsidRPr="006713ED">
        <w:rPr>
          <w:rFonts w:ascii="Arial" w:hAnsi="Arial" w:cs="Arial"/>
          <w:sz w:val="24"/>
          <w:szCs w:val="24"/>
        </w:rPr>
        <w:tab/>
        <w:t xml:space="preserve">Wu, L., Fan, A., Yang, Y. and He, Z., 2022. Tech-touch balance in the service encounter: The impact of supplementary human service on consumer responses. International Journal of Hospitality Management, 101, p.103122. </w:t>
      </w:r>
      <w:hyperlink r:id="rId34" w:history="1">
        <w:r w:rsidRPr="006713ED">
          <w:rPr>
            <w:rStyle w:val="Hyperlink"/>
            <w:rFonts w:ascii="Arial" w:hAnsi="Arial" w:cs="Arial"/>
            <w:sz w:val="24"/>
            <w:szCs w:val="24"/>
          </w:rPr>
          <w:t>https://doi.org/10.1016/j.ijhm.2021.103122</w:t>
        </w:r>
      </w:hyperlink>
      <w:r w:rsidRPr="006713ED">
        <w:rPr>
          <w:rFonts w:ascii="Arial" w:hAnsi="Arial" w:cs="Arial"/>
          <w:sz w:val="24"/>
          <w:szCs w:val="24"/>
        </w:rPr>
        <w:t xml:space="preserve"> </w:t>
      </w:r>
    </w:p>
    <w:sectPr w:rsidR="00225C1D" w:rsidRPr="006713ED">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0CB7DCE" w14:textId="77777777" w:rsidR="00BC0ADA" w:rsidRDefault="00BC0ADA" w:rsidP="00CC6062">
      <w:pPr>
        <w:spacing w:after="0" w:line="240" w:lineRule="auto"/>
      </w:pPr>
      <w:r>
        <w:separator/>
      </w:r>
    </w:p>
  </w:endnote>
  <w:endnote w:type="continuationSeparator" w:id="0">
    <w:p w14:paraId="072FC71C" w14:textId="77777777" w:rsidR="00BC0ADA" w:rsidRDefault="00BC0ADA" w:rsidP="00CC6062">
      <w:pPr>
        <w:spacing w:after="0" w:line="240" w:lineRule="auto"/>
      </w:pPr>
      <w:r>
        <w:continuationSeparator/>
      </w:r>
    </w:p>
  </w:endnote>
  <w:endnote w:type="continuationNotice" w:id="1">
    <w:p w14:paraId="5744B000" w14:textId="77777777" w:rsidR="00BC0ADA" w:rsidRDefault="00BC0ADA">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Proxima Nova">
    <w:altName w:val="Tahoma"/>
    <w:charset w:val="00"/>
    <w:family w:val="auto"/>
    <w:pitch w:val="default"/>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4002EFF" w:usb1="C000247B" w:usb2="00000009" w:usb3="00000000" w:csb0="000001FF" w:csb1="00000000"/>
  </w:font>
  <w:font w:name="Yu Gothic">
    <w:altName w:val="游ゴシック"/>
    <w:panose1 w:val="020B0400000000000000"/>
    <w:charset w:val="80"/>
    <w:family w:val="swiss"/>
    <w:pitch w:val="variable"/>
    <w:sig w:usb0="E00002FF" w:usb1="2AC7FDFF" w:usb2="00000016"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64B32DE" w14:textId="77777777" w:rsidR="00BC0ADA" w:rsidRDefault="00BC0ADA" w:rsidP="00CC6062">
      <w:pPr>
        <w:spacing w:after="0" w:line="240" w:lineRule="auto"/>
      </w:pPr>
      <w:r>
        <w:separator/>
      </w:r>
    </w:p>
  </w:footnote>
  <w:footnote w:type="continuationSeparator" w:id="0">
    <w:p w14:paraId="11B6C9B9" w14:textId="77777777" w:rsidR="00BC0ADA" w:rsidRDefault="00BC0ADA" w:rsidP="00CC6062">
      <w:pPr>
        <w:spacing w:after="0" w:line="240" w:lineRule="auto"/>
      </w:pPr>
      <w:r>
        <w:continuationSeparator/>
      </w:r>
    </w:p>
  </w:footnote>
  <w:footnote w:type="continuationNotice" w:id="1">
    <w:p w14:paraId="491ACB84" w14:textId="77777777" w:rsidR="00BC0ADA" w:rsidRDefault="00BC0ADA">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44E37EA"/>
    <w:multiLevelType w:val="multilevel"/>
    <w:tmpl w:val="AA4CA198"/>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58D825C5"/>
    <w:multiLevelType w:val="multilevel"/>
    <w:tmpl w:val="7C36A26E"/>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603338366">
    <w:abstractNumId w:val="0"/>
  </w:num>
  <w:num w:numId="2" w16cid:durableId="213470829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00"/>
  <w:removePersonalInformation/>
  <w:removeDateAndTime/>
  <w:proofState w:spelling="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03817"/>
    <w:rsid w:val="00006500"/>
    <w:rsid w:val="00026421"/>
    <w:rsid w:val="00044DB2"/>
    <w:rsid w:val="0006636B"/>
    <w:rsid w:val="00083544"/>
    <w:rsid w:val="000A0E08"/>
    <w:rsid w:val="000B0E12"/>
    <w:rsid w:val="000D56AB"/>
    <w:rsid w:val="000E06E9"/>
    <w:rsid w:val="000F0908"/>
    <w:rsid w:val="000F19DD"/>
    <w:rsid w:val="000F388B"/>
    <w:rsid w:val="00140479"/>
    <w:rsid w:val="001660E9"/>
    <w:rsid w:val="001D1C57"/>
    <w:rsid w:val="001D29DB"/>
    <w:rsid w:val="001D4503"/>
    <w:rsid w:val="001F7CB0"/>
    <w:rsid w:val="0021773D"/>
    <w:rsid w:val="00225C1D"/>
    <w:rsid w:val="002404BE"/>
    <w:rsid w:val="00241FFD"/>
    <w:rsid w:val="0024300E"/>
    <w:rsid w:val="00251E05"/>
    <w:rsid w:val="00261FE2"/>
    <w:rsid w:val="002627CC"/>
    <w:rsid w:val="002958E0"/>
    <w:rsid w:val="002A1C27"/>
    <w:rsid w:val="002C0A05"/>
    <w:rsid w:val="002D71F3"/>
    <w:rsid w:val="00314EF2"/>
    <w:rsid w:val="00331CDC"/>
    <w:rsid w:val="00333533"/>
    <w:rsid w:val="00386573"/>
    <w:rsid w:val="003A105F"/>
    <w:rsid w:val="003C5486"/>
    <w:rsid w:val="003D3EC6"/>
    <w:rsid w:val="003E6456"/>
    <w:rsid w:val="003F3ABB"/>
    <w:rsid w:val="004072C2"/>
    <w:rsid w:val="00407E6E"/>
    <w:rsid w:val="00436BF9"/>
    <w:rsid w:val="00437E15"/>
    <w:rsid w:val="00452459"/>
    <w:rsid w:val="0046588E"/>
    <w:rsid w:val="00466C6D"/>
    <w:rsid w:val="0047707C"/>
    <w:rsid w:val="004F340F"/>
    <w:rsid w:val="00507EC9"/>
    <w:rsid w:val="00516B7F"/>
    <w:rsid w:val="00573FC6"/>
    <w:rsid w:val="00586278"/>
    <w:rsid w:val="005D00FF"/>
    <w:rsid w:val="005D3A9D"/>
    <w:rsid w:val="005E71F7"/>
    <w:rsid w:val="005F0115"/>
    <w:rsid w:val="005F32EA"/>
    <w:rsid w:val="006140E7"/>
    <w:rsid w:val="00637801"/>
    <w:rsid w:val="00646F6E"/>
    <w:rsid w:val="00650DF7"/>
    <w:rsid w:val="006713ED"/>
    <w:rsid w:val="00672875"/>
    <w:rsid w:val="0073529D"/>
    <w:rsid w:val="007439CB"/>
    <w:rsid w:val="007B0DA3"/>
    <w:rsid w:val="007C0B4C"/>
    <w:rsid w:val="007D78FD"/>
    <w:rsid w:val="007E5B46"/>
    <w:rsid w:val="007F1BA9"/>
    <w:rsid w:val="0080279A"/>
    <w:rsid w:val="0082049E"/>
    <w:rsid w:val="00827E73"/>
    <w:rsid w:val="008445E5"/>
    <w:rsid w:val="008466B8"/>
    <w:rsid w:val="00893648"/>
    <w:rsid w:val="008A364E"/>
    <w:rsid w:val="008F4208"/>
    <w:rsid w:val="00903B33"/>
    <w:rsid w:val="00913BBE"/>
    <w:rsid w:val="00915A58"/>
    <w:rsid w:val="00922198"/>
    <w:rsid w:val="00943E20"/>
    <w:rsid w:val="00952343"/>
    <w:rsid w:val="00961CF6"/>
    <w:rsid w:val="00987EE7"/>
    <w:rsid w:val="00990AE5"/>
    <w:rsid w:val="009A4076"/>
    <w:rsid w:val="009E36A8"/>
    <w:rsid w:val="009E47B5"/>
    <w:rsid w:val="009F4DBB"/>
    <w:rsid w:val="00A06A59"/>
    <w:rsid w:val="00A3327F"/>
    <w:rsid w:val="00A358B0"/>
    <w:rsid w:val="00A44E23"/>
    <w:rsid w:val="00A5669B"/>
    <w:rsid w:val="00A605D0"/>
    <w:rsid w:val="00A67C22"/>
    <w:rsid w:val="00A80E04"/>
    <w:rsid w:val="00A94511"/>
    <w:rsid w:val="00AD48E0"/>
    <w:rsid w:val="00AE394D"/>
    <w:rsid w:val="00B022C2"/>
    <w:rsid w:val="00B03771"/>
    <w:rsid w:val="00B4234F"/>
    <w:rsid w:val="00B56BF5"/>
    <w:rsid w:val="00B6049E"/>
    <w:rsid w:val="00B81CA7"/>
    <w:rsid w:val="00BA4D7A"/>
    <w:rsid w:val="00BC0ADA"/>
    <w:rsid w:val="00BF1ACC"/>
    <w:rsid w:val="00BF5FEA"/>
    <w:rsid w:val="00C17C25"/>
    <w:rsid w:val="00C23918"/>
    <w:rsid w:val="00C26894"/>
    <w:rsid w:val="00C6173B"/>
    <w:rsid w:val="00C91DF8"/>
    <w:rsid w:val="00C9391F"/>
    <w:rsid w:val="00CC1467"/>
    <w:rsid w:val="00CC6062"/>
    <w:rsid w:val="00CD20C3"/>
    <w:rsid w:val="00CF73FB"/>
    <w:rsid w:val="00D030FE"/>
    <w:rsid w:val="00D03817"/>
    <w:rsid w:val="00D051E1"/>
    <w:rsid w:val="00D10C75"/>
    <w:rsid w:val="00D33BB6"/>
    <w:rsid w:val="00D478EA"/>
    <w:rsid w:val="00D6567A"/>
    <w:rsid w:val="00D93DA5"/>
    <w:rsid w:val="00DC084A"/>
    <w:rsid w:val="00DE0AFD"/>
    <w:rsid w:val="00DE116D"/>
    <w:rsid w:val="00DF02C9"/>
    <w:rsid w:val="00DF14AE"/>
    <w:rsid w:val="00DF2C12"/>
    <w:rsid w:val="00E04520"/>
    <w:rsid w:val="00E67D5A"/>
    <w:rsid w:val="00E80F11"/>
    <w:rsid w:val="00E8212D"/>
    <w:rsid w:val="00E86258"/>
    <w:rsid w:val="00EA22E8"/>
    <w:rsid w:val="00EC7BB3"/>
    <w:rsid w:val="00ED7897"/>
    <w:rsid w:val="00F05CA8"/>
    <w:rsid w:val="00F105F3"/>
    <w:rsid w:val="00F43EDE"/>
    <w:rsid w:val="00F5411F"/>
    <w:rsid w:val="00F82247"/>
    <w:rsid w:val="00FA38EC"/>
    <w:rsid w:val="00FB319F"/>
    <w:rsid w:val="00FD1DAB"/>
    <w:rsid w:val="00FE6D16"/>
    <w:rsid w:val="00FF6704"/>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3BEDF1B5"/>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04520"/>
    <w:rPr>
      <w:color w:val="0563C1" w:themeColor="hyperlink"/>
      <w:u w:val="single"/>
    </w:rPr>
  </w:style>
  <w:style w:type="character" w:styleId="UnresolvedMention">
    <w:name w:val="Unresolved Mention"/>
    <w:basedOn w:val="DefaultParagraphFont"/>
    <w:uiPriority w:val="99"/>
    <w:semiHidden/>
    <w:unhideWhenUsed/>
    <w:rsid w:val="00E04520"/>
    <w:rPr>
      <w:color w:val="605E5C"/>
      <w:shd w:val="clear" w:color="auto" w:fill="E1DFDD"/>
    </w:rPr>
  </w:style>
  <w:style w:type="paragraph" w:styleId="Header">
    <w:name w:val="header"/>
    <w:basedOn w:val="Normal"/>
    <w:link w:val="HeaderChar"/>
    <w:uiPriority w:val="99"/>
    <w:unhideWhenUsed/>
    <w:rsid w:val="00CC6062"/>
    <w:pPr>
      <w:tabs>
        <w:tab w:val="center" w:pos="4680"/>
        <w:tab w:val="right" w:pos="9360"/>
      </w:tabs>
      <w:spacing w:after="0" w:line="240" w:lineRule="auto"/>
    </w:pPr>
  </w:style>
  <w:style w:type="character" w:customStyle="1" w:styleId="HeaderChar">
    <w:name w:val="Header Char"/>
    <w:basedOn w:val="DefaultParagraphFont"/>
    <w:link w:val="Header"/>
    <w:uiPriority w:val="99"/>
    <w:rsid w:val="00CC6062"/>
  </w:style>
  <w:style w:type="paragraph" w:styleId="Footer">
    <w:name w:val="footer"/>
    <w:basedOn w:val="Normal"/>
    <w:link w:val="FooterChar"/>
    <w:uiPriority w:val="99"/>
    <w:unhideWhenUsed/>
    <w:rsid w:val="00CC6062"/>
    <w:pPr>
      <w:tabs>
        <w:tab w:val="center" w:pos="4680"/>
        <w:tab w:val="right" w:pos="9360"/>
      </w:tabs>
      <w:spacing w:after="0" w:line="240" w:lineRule="auto"/>
    </w:pPr>
  </w:style>
  <w:style w:type="character" w:customStyle="1" w:styleId="FooterChar">
    <w:name w:val="Footer Char"/>
    <w:basedOn w:val="DefaultParagraphFont"/>
    <w:link w:val="Footer"/>
    <w:uiPriority w:val="99"/>
    <w:rsid w:val="00CC6062"/>
  </w:style>
  <w:style w:type="paragraph" w:styleId="NormalWeb">
    <w:name w:val="Normal (Web)"/>
    <w:basedOn w:val="Normal"/>
    <w:uiPriority w:val="99"/>
    <w:semiHidden/>
    <w:unhideWhenUsed/>
    <w:rsid w:val="00A5669B"/>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33290182">
      <w:bodyDiv w:val="1"/>
      <w:marLeft w:val="0"/>
      <w:marRight w:val="0"/>
      <w:marTop w:val="0"/>
      <w:marBottom w:val="0"/>
      <w:divBdr>
        <w:top w:val="none" w:sz="0" w:space="0" w:color="auto"/>
        <w:left w:val="none" w:sz="0" w:space="0" w:color="auto"/>
        <w:bottom w:val="none" w:sz="0" w:space="0" w:color="auto"/>
        <w:right w:val="none" w:sz="0" w:space="0" w:color="auto"/>
      </w:divBdr>
    </w:div>
    <w:div w:id="442697490">
      <w:bodyDiv w:val="1"/>
      <w:marLeft w:val="0"/>
      <w:marRight w:val="0"/>
      <w:marTop w:val="0"/>
      <w:marBottom w:val="0"/>
      <w:divBdr>
        <w:top w:val="none" w:sz="0" w:space="0" w:color="auto"/>
        <w:left w:val="none" w:sz="0" w:space="0" w:color="auto"/>
        <w:bottom w:val="none" w:sz="0" w:space="0" w:color="auto"/>
        <w:right w:val="none" w:sz="0" w:space="0" w:color="auto"/>
      </w:divBdr>
    </w:div>
    <w:div w:id="514274836">
      <w:bodyDiv w:val="1"/>
      <w:marLeft w:val="0"/>
      <w:marRight w:val="0"/>
      <w:marTop w:val="0"/>
      <w:marBottom w:val="0"/>
      <w:divBdr>
        <w:top w:val="none" w:sz="0" w:space="0" w:color="auto"/>
        <w:left w:val="none" w:sz="0" w:space="0" w:color="auto"/>
        <w:bottom w:val="none" w:sz="0" w:space="0" w:color="auto"/>
        <w:right w:val="none" w:sz="0" w:space="0" w:color="auto"/>
      </w:divBdr>
    </w:div>
    <w:div w:id="544292422">
      <w:bodyDiv w:val="1"/>
      <w:marLeft w:val="0"/>
      <w:marRight w:val="0"/>
      <w:marTop w:val="0"/>
      <w:marBottom w:val="0"/>
      <w:divBdr>
        <w:top w:val="none" w:sz="0" w:space="0" w:color="auto"/>
        <w:left w:val="none" w:sz="0" w:space="0" w:color="auto"/>
        <w:bottom w:val="none" w:sz="0" w:space="0" w:color="auto"/>
        <w:right w:val="none" w:sz="0" w:space="0" w:color="auto"/>
      </w:divBdr>
    </w:div>
    <w:div w:id="11059231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080/13549839.2021.2001796" TargetMode="External"/><Relationship Id="rId18" Type="http://schemas.openxmlformats.org/officeDocument/2006/relationships/hyperlink" Target="https://doi.org/10.1016/j.im.2016.11.010" TargetMode="External"/><Relationship Id="rId26" Type="http://schemas.openxmlformats.org/officeDocument/2006/relationships/hyperlink" Target="https://cdn.adventuretravel.biz/wp-content/uploads/2021/01/ATGS-2021.pdf" TargetMode="External"/><Relationship Id="rId3" Type="http://schemas.openxmlformats.org/officeDocument/2006/relationships/settings" Target="settings.xml"/><Relationship Id="rId21" Type="http://schemas.openxmlformats.org/officeDocument/2006/relationships/hyperlink" Target="https://doi.org/10.1016/j.sbspro.2015.01.1211" TargetMode="External"/><Relationship Id="rId34" Type="http://schemas.openxmlformats.org/officeDocument/2006/relationships/hyperlink" Target="https://doi.org/10.1016/j.ijhm.2021.103122" TargetMode="External"/><Relationship Id="rId7" Type="http://schemas.openxmlformats.org/officeDocument/2006/relationships/image" Target="media/image1.png"/><Relationship Id="rId12" Type="http://schemas.openxmlformats.org/officeDocument/2006/relationships/hyperlink" Target="https://doi.org/10.1080/13662716.2016.1216397" TargetMode="External"/><Relationship Id="rId17" Type="http://schemas.openxmlformats.org/officeDocument/2006/relationships/hyperlink" Target="https://esg.hilton.com/wp-content/uploads/sites/4/2023/04/Hilton-2022-Environmental-Social-and-Governance-Report.pdf" TargetMode="External"/><Relationship Id="rId25" Type="http://schemas.openxmlformats.org/officeDocument/2006/relationships/hyperlink" Target="https://doi.org/10.1016/j.jort.2021.100379" TargetMode="External"/><Relationship Id="rId33" Type="http://schemas.openxmlformats.org/officeDocument/2006/relationships/hyperlink" Target="https://doi.org/10.1080/09669582.2018.1511721" TargetMode="External"/><Relationship Id="rId2" Type="http://schemas.openxmlformats.org/officeDocument/2006/relationships/styles" Target="styles.xml"/><Relationship Id="rId16" Type="http://schemas.openxmlformats.org/officeDocument/2006/relationships/hyperlink" Target="https://doi.org/10.1080/02642069.2014.871531" TargetMode="External"/><Relationship Id="rId20" Type="http://schemas.openxmlformats.org/officeDocument/2006/relationships/hyperlink" Target="https://doi.org/10.5172/hesr.2012.21.2.220" TargetMode="External"/><Relationship Id="rId29" Type="http://schemas.openxmlformats.org/officeDocument/2006/relationships/hyperlink" Target="https://doi.org/10.1016/j.geoforum.2018.06.004"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researchgate.net/profile/Chetan-Dudhe-2/publication/351069704_AUOES-1-2017/links/6082e7a6881fa114b423a386/AUOES-1-2017.pdf" TargetMode="External"/><Relationship Id="rId24" Type="http://schemas.openxmlformats.org/officeDocument/2006/relationships/hyperlink" Target="https://doi.org/10.1080/02508281.2023.2275240" TargetMode="External"/><Relationship Id="rId32" Type="http://schemas.openxmlformats.org/officeDocument/2006/relationships/hyperlink" Target="https://www.researchgate.net/profile/Nur-Suhaimi-10/publication/324123286_The_Role_of_Multilingualism_in_Enhancing_Tourism_Sector_in_Malaysia/links/5abf38d9aca27222c757f9a2/The-Role-of-Multilingualism-in-Enhancing-Tourism-Sector-in-Malaysia.pdf" TargetMode="External"/><Relationship Id="rId5" Type="http://schemas.openxmlformats.org/officeDocument/2006/relationships/footnotes" Target="footnotes.xml"/><Relationship Id="rId15" Type="http://schemas.openxmlformats.org/officeDocument/2006/relationships/hyperlink" Target="https://keep.lib.asu.edu/system/files/2023-08/agritourism_final_4.26.23.pdf" TargetMode="External"/><Relationship Id="rId23" Type="http://schemas.openxmlformats.org/officeDocument/2006/relationships/hyperlink" Target="https://doi.org/10.1016/j.tourman.2016.12.014" TargetMode="External"/><Relationship Id="rId28" Type="http://schemas.openxmlformats.org/officeDocument/2006/relationships/hyperlink" Target="https://doi.org/10.1080/01944360802291265" TargetMode="External"/><Relationship Id="rId36" Type="http://schemas.openxmlformats.org/officeDocument/2006/relationships/theme" Target="theme/theme1.xml"/><Relationship Id="rId10" Type="http://schemas.openxmlformats.org/officeDocument/2006/relationships/hyperlink" Target="https://doi.org/10.1177/27538931231221718" TargetMode="External"/><Relationship Id="rId19" Type="http://schemas.openxmlformats.org/officeDocument/2006/relationships/hyperlink" Target="https://www.econstor.eu/bitstream/10419/218719/1/6-2-2.pdf" TargetMode="External"/><Relationship Id="rId31" Type="http://schemas.openxmlformats.org/officeDocument/2006/relationships/hyperlink" Target="https://doi.org/10.1016/j.jort.2022.100516" TargetMode="External"/><Relationship Id="rId4" Type="http://schemas.openxmlformats.org/officeDocument/2006/relationships/webSettings" Target="webSettings.xml"/><Relationship Id="rId9" Type="http://schemas.openxmlformats.org/officeDocument/2006/relationships/hyperlink" Target="https://doi.org/10.1080/10548408.2018.1541775" TargetMode="External"/><Relationship Id="rId14" Type="http://schemas.openxmlformats.org/officeDocument/2006/relationships/hyperlink" Target="https://doi.org/10.1016/j.annale.2021.100028" TargetMode="External"/><Relationship Id="rId22" Type="http://schemas.openxmlformats.org/officeDocument/2006/relationships/hyperlink" Target="https://www.mdpi.com/2071-1050/10/4/1063/pdf" TargetMode="External"/><Relationship Id="rId27" Type="http://schemas.openxmlformats.org/officeDocument/2006/relationships/hyperlink" Target="http://media.picalab.cl/repo/descargas/bibliografia/Ense%C3%B1anza%20de%20M%C3%BAsical%20con%20TIC/2012%20EngagedLearnerChapter2012.pdf" TargetMode="External"/><Relationship Id="rId30" Type="http://schemas.openxmlformats.org/officeDocument/2006/relationships/hyperlink" Target="https://www.similarweb.com" TargetMode="External"/><Relationship Id="rId35" Type="http://schemas.openxmlformats.org/officeDocument/2006/relationships/fontTable" Target="fontTable.xml"/><Relationship Id="rId8"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3035</Words>
  <Characters>22569</Characters>
  <Application>Microsoft Office Word</Application>
  <DocSecurity>4</DocSecurity>
  <Lines>188</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25553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2024-02-05T19:29:00Z</dcterms:created>
  <dcterms:modified xsi:type="dcterms:W3CDTF">2024-02-05T19:29:00Z</dcterms:modified>
</cp:coreProperties>
</file>