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BF1377" w14:textId="77777777" w:rsidR="00D955E0" w:rsidRPr="00D955E0" w:rsidRDefault="00D955E0" w:rsidP="00D955E0">
      <w:pPr>
        <w:shd w:val="clear" w:color="auto" w:fill="FFFFFF"/>
        <w:spacing w:after="0" w:line="293" w:lineRule="atLeast"/>
        <w:jc w:val="center"/>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u w:val="single"/>
          <w:lang w:eastAsia="en-GB"/>
        </w:rPr>
        <w:t>ECES6009 Making a Difference</w:t>
      </w:r>
    </w:p>
    <w:p w14:paraId="1B5AA97A" w14:textId="77777777" w:rsidR="00D955E0" w:rsidRPr="00D955E0" w:rsidRDefault="00D955E0" w:rsidP="00D955E0">
      <w:pPr>
        <w:shd w:val="clear" w:color="auto" w:fill="FFFFFF"/>
        <w:spacing w:after="0" w:line="360" w:lineRule="auto"/>
        <w:jc w:val="center"/>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u w:val="single"/>
          <w:lang w:eastAsia="en-GB"/>
        </w:rPr>
        <w:t xml:space="preserve">Multi-Agency Working and </w:t>
      </w:r>
      <w:proofErr w:type="gramStart"/>
      <w:r w:rsidRPr="00D955E0">
        <w:rPr>
          <w:rFonts w:ascii="Arial" w:eastAsia="Times New Roman" w:hAnsi="Arial" w:cs="Arial"/>
          <w:b/>
          <w:bCs/>
          <w:color w:val="222222"/>
          <w:sz w:val="24"/>
          <w:szCs w:val="24"/>
          <w:u w:val="single"/>
          <w:lang w:eastAsia="en-GB"/>
        </w:rPr>
        <w:t>Person Centred</w:t>
      </w:r>
      <w:proofErr w:type="gramEnd"/>
      <w:r w:rsidRPr="00D955E0">
        <w:rPr>
          <w:rFonts w:ascii="Arial" w:eastAsia="Times New Roman" w:hAnsi="Arial" w:cs="Arial"/>
          <w:b/>
          <w:bCs/>
          <w:color w:val="222222"/>
          <w:sz w:val="24"/>
          <w:szCs w:val="24"/>
          <w:u w:val="single"/>
          <w:lang w:eastAsia="en-GB"/>
        </w:rPr>
        <w:t xml:space="preserve"> Practice</w:t>
      </w:r>
    </w:p>
    <w:p w14:paraId="002480DF" w14:textId="77777777" w:rsidR="00D955E0" w:rsidRPr="00D955E0" w:rsidRDefault="00D955E0" w:rsidP="00D955E0">
      <w:pPr>
        <w:shd w:val="clear" w:color="auto" w:fill="FFFFFF"/>
        <w:spacing w:after="0" w:line="360" w:lineRule="auto"/>
        <w:jc w:val="center"/>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2A4EC20D" w14:textId="77777777" w:rsidR="00D955E0" w:rsidRDefault="00D955E0" w:rsidP="00D955E0">
      <w:pPr>
        <w:shd w:val="clear" w:color="auto" w:fill="FFFFFF"/>
        <w:spacing w:after="0" w:line="360" w:lineRule="auto"/>
        <w:rPr>
          <w:rFonts w:ascii="Arial" w:eastAsia="Times New Roman" w:hAnsi="Arial" w:cs="Arial"/>
          <w:b/>
          <w:bCs/>
          <w:color w:val="222222"/>
          <w:sz w:val="24"/>
          <w:szCs w:val="24"/>
          <w:lang w:eastAsia="en-GB"/>
        </w:rPr>
      </w:pPr>
    </w:p>
    <w:p w14:paraId="13708C6F" w14:textId="329740A4" w:rsidR="00D955E0" w:rsidRDefault="00D955E0" w:rsidP="00D955E0">
      <w:pPr>
        <w:shd w:val="clear" w:color="auto" w:fill="FFFFFF"/>
        <w:spacing w:after="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t>Introduction</w:t>
      </w:r>
    </w:p>
    <w:p w14:paraId="6F9794EA" w14:textId="77777777" w:rsidR="002D7EF0" w:rsidRDefault="002D7EF0" w:rsidP="00D955E0">
      <w:pPr>
        <w:shd w:val="clear" w:color="auto" w:fill="FFFFFF"/>
        <w:spacing w:after="0" w:line="360" w:lineRule="auto"/>
        <w:rPr>
          <w:rFonts w:ascii="Arial" w:eastAsia="Times New Roman" w:hAnsi="Arial" w:cs="Arial"/>
          <w:b/>
          <w:bCs/>
          <w:color w:val="222222"/>
          <w:sz w:val="24"/>
          <w:szCs w:val="24"/>
          <w:lang w:eastAsia="en-GB"/>
        </w:rPr>
      </w:pPr>
    </w:p>
    <w:p w14:paraId="5FC83240"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Multi-agency working is fundamental to ensuring many important rights are met such as the rights to education, safety, and health. These rights transpire to services whose responsibility it is to meet these needs such as education services, social services, and healthcare. Within this portfolio, there will be an analysis of what is meant by multi-agency working and the benefits and challenges that arise with it. Theoretical and legislative perspectives will also be included. Given that there are a large range of multi-agency organisations such as Flying Start and SNAP Cymru, this portfolio will be focusing on Multi-Agency Safeguarding Hubs, otherwise known as M.A.S.H. A key aspect of M.A.S.H, along with all multi-agency services alike, is person centred planning. Person centred planning is essential for ensuring that both an individual’s needs, and their families need are met. This portfolio aims to discuss how M.A.S.H use and integrate person centred planning within their service and how it is used.</w:t>
      </w:r>
    </w:p>
    <w:p w14:paraId="1E3CA4BD"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7030A0"/>
          <w:sz w:val="24"/>
          <w:szCs w:val="24"/>
          <w:lang w:eastAsia="en-GB"/>
        </w:rPr>
        <w:t> </w:t>
      </w:r>
    </w:p>
    <w:p w14:paraId="1788AA66" w14:textId="10C49C34" w:rsidR="00D955E0" w:rsidRDefault="00D955E0" w:rsidP="00D955E0">
      <w:pPr>
        <w:shd w:val="clear" w:color="auto" w:fill="FFFFFF"/>
        <w:spacing w:after="12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t xml:space="preserve">Analysis of definitions of multi-agency </w:t>
      </w:r>
      <w:proofErr w:type="gramStart"/>
      <w:r w:rsidRPr="00D955E0">
        <w:rPr>
          <w:rFonts w:ascii="Arial" w:eastAsia="Times New Roman" w:hAnsi="Arial" w:cs="Arial"/>
          <w:b/>
          <w:bCs/>
          <w:color w:val="222222"/>
          <w:sz w:val="24"/>
          <w:szCs w:val="24"/>
          <w:lang w:eastAsia="en-GB"/>
        </w:rPr>
        <w:t>working</w:t>
      </w:r>
      <w:proofErr w:type="gramEnd"/>
    </w:p>
    <w:p w14:paraId="61A92FAF" w14:textId="77777777" w:rsidR="002D7EF0" w:rsidRPr="00D955E0" w:rsidRDefault="002D7EF0" w:rsidP="00D955E0">
      <w:pPr>
        <w:shd w:val="clear" w:color="auto" w:fill="FFFFFF"/>
        <w:spacing w:after="120" w:line="360" w:lineRule="auto"/>
        <w:rPr>
          <w:rFonts w:ascii="Arial" w:eastAsia="Times New Roman" w:hAnsi="Arial" w:cs="Arial"/>
          <w:color w:val="222222"/>
          <w:sz w:val="24"/>
          <w:szCs w:val="24"/>
          <w:lang w:eastAsia="en-GB"/>
        </w:rPr>
      </w:pPr>
    </w:p>
    <w:p w14:paraId="52AE2BA1" w14:textId="220B1375" w:rsidR="00D955E0" w:rsidRPr="00D955E0" w:rsidRDefault="00D955E0" w:rsidP="00D955E0">
      <w:pPr>
        <w:shd w:val="clear" w:color="auto" w:fill="FFFFFF"/>
        <w:spacing w:after="12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The Social Care Institute for Excellence define multi-agency working as providing a seamless response to individual’s needs (The Social Care Institute for Excellence, 2021) though there can be wide interpretations and definitions. There are different variants of the term such as ‘multi-disciplinary, ‘inter-disciplinary’, ‘multi-professional work’ and ‘partnership working’. Percy-Smith (2006) says difficulty posed in agreeing on a definition is due to the </w:t>
      </w:r>
      <w:proofErr w:type="gramStart"/>
      <w:r w:rsidRPr="00D955E0">
        <w:rPr>
          <w:rFonts w:ascii="Arial" w:eastAsia="Times New Roman" w:hAnsi="Arial" w:cs="Arial"/>
          <w:color w:val="222222"/>
          <w:sz w:val="24"/>
          <w:szCs w:val="24"/>
          <w:lang w:eastAsia="en-GB"/>
        </w:rPr>
        <w:t>amount</w:t>
      </w:r>
      <w:proofErr w:type="gramEnd"/>
      <w:r w:rsidRPr="00D955E0">
        <w:rPr>
          <w:rFonts w:ascii="Arial" w:eastAsia="Times New Roman" w:hAnsi="Arial" w:cs="Arial"/>
          <w:color w:val="222222"/>
          <w:sz w:val="24"/>
          <w:szCs w:val="24"/>
          <w:lang w:eastAsia="en-GB"/>
        </w:rPr>
        <w:t xml:space="preserve"> of variations of these different terms across policies. The term ‘multi-agency working’ along with its variants embodies a multitude of interlocking concepts. Two key words when trying to define multi-agency working are ‘collaboration’ and ‘partnership’ (Gasper, 2010). Whittington (2003, quoted in, Gasper, 2010, p. 5) speaks about partnership as being a state of a relationship and goes on to say that ‘collaboration is the active process of </w:t>
      </w:r>
      <w:r w:rsidRPr="00D955E0">
        <w:rPr>
          <w:rFonts w:ascii="Arial" w:eastAsia="Times New Roman" w:hAnsi="Arial" w:cs="Arial"/>
          <w:color w:val="222222"/>
          <w:sz w:val="24"/>
          <w:szCs w:val="24"/>
          <w:lang w:eastAsia="en-GB"/>
        </w:rPr>
        <w:lastRenderedPageBreak/>
        <w:t xml:space="preserve">partnership in action’. Another definition given by the UK Centre for the Advancement of Interprofessional Education (CAIPE) is based around the ideology that it is a situation where ‘any two or more professionals share learning with, from and about each other to develop and improve collaborative practice’ (CAIPE, 2005, quoted in Gasper, 2010, p.5). This in turn improves outcomes for the service user. In summary of these terms and definitions, multi-agency working is essentially agencies working together to respond to an issue. There are three different models of multi-agency working. These models are multi-agency panels, multi-agency teams and integrated services (Every Child Matters, 2005). Multi-agency panels remain employed by their own companies but meet on a regular basis as a panel to discuss children who would benefit from a multi-agency output (Every Child Matters, 2005). Multi-agency teams are made up of practitioners who have come together from agencies for an independent project or focus task (Anning, 2010). The practitioners are either recruited or seconded for </w:t>
      </w:r>
      <w:proofErr w:type="gramStart"/>
      <w:r w:rsidRPr="00D955E0">
        <w:rPr>
          <w:rFonts w:ascii="Arial" w:eastAsia="Times New Roman" w:hAnsi="Arial" w:cs="Arial"/>
          <w:color w:val="222222"/>
          <w:sz w:val="24"/>
          <w:szCs w:val="24"/>
          <w:lang w:eastAsia="en-GB"/>
        </w:rPr>
        <w:t>a period of time</w:t>
      </w:r>
      <w:proofErr w:type="gramEnd"/>
      <w:r w:rsidRPr="00D955E0">
        <w:rPr>
          <w:rFonts w:ascii="Arial" w:eastAsia="Times New Roman" w:hAnsi="Arial" w:cs="Arial"/>
          <w:color w:val="222222"/>
          <w:sz w:val="24"/>
          <w:szCs w:val="24"/>
          <w:lang w:eastAsia="en-GB"/>
        </w:rPr>
        <w:t xml:space="preserve"> (Every Child Matters, 2005). Lastly, integrated service comes in the form of a hub available to a community, separate services work within the hub in a collaborative way (Every Child Matters, 2005). </w:t>
      </w:r>
    </w:p>
    <w:p w14:paraId="7ECC926E"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091A8917" w14:textId="100E8CB1"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Person centred planning is another important term that will be discussed within this portfolio. Person centred planning puts the individual’s need at the centre of all planning and decision making which will affect them (Council for Disabled Children, 2021). </w:t>
      </w:r>
      <w:r w:rsidR="00015E01">
        <w:rPr>
          <w:rFonts w:ascii="Arial" w:eastAsia="Times New Roman" w:hAnsi="Arial" w:cs="Arial"/>
          <w:color w:val="222222"/>
          <w:sz w:val="24"/>
          <w:szCs w:val="24"/>
          <w:lang w:eastAsia="en-GB"/>
        </w:rPr>
        <w:t xml:space="preserve">It </w:t>
      </w:r>
      <w:r w:rsidRPr="00D955E0">
        <w:rPr>
          <w:rFonts w:ascii="Arial" w:eastAsia="Times New Roman" w:hAnsi="Arial" w:cs="Arial"/>
          <w:color w:val="222222"/>
          <w:sz w:val="24"/>
          <w:szCs w:val="24"/>
          <w:lang w:eastAsia="en-GB"/>
        </w:rPr>
        <w:t>ensures that children feel that they are listened to and that their opinions and needs are valued. O’Brien and O’Brien (2000) describe it as:</w:t>
      </w:r>
    </w:p>
    <w:p w14:paraId="27808B7A" w14:textId="77777777" w:rsidR="00015E01" w:rsidRDefault="00015E01" w:rsidP="00D955E0">
      <w:pPr>
        <w:shd w:val="clear" w:color="auto" w:fill="FFFFFF"/>
        <w:spacing w:after="0" w:line="360" w:lineRule="auto"/>
        <w:ind w:left="284" w:right="284"/>
        <w:rPr>
          <w:rFonts w:ascii="Arial" w:eastAsia="Times New Roman" w:hAnsi="Arial" w:cs="Arial"/>
          <w:color w:val="222222"/>
          <w:sz w:val="24"/>
          <w:szCs w:val="24"/>
          <w:lang w:eastAsia="en-GB"/>
        </w:rPr>
      </w:pPr>
    </w:p>
    <w:p w14:paraId="5A09E609" w14:textId="7FBA41F0" w:rsid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A conscious search for new categories through which to understand the experience of people with developmental disabilities and work with them and their allies to change that experience for the better (O’Brien and O’Brien, 2000, p. 20).</w:t>
      </w:r>
    </w:p>
    <w:p w14:paraId="1A09A98D" w14:textId="77777777" w:rsidR="00015E01" w:rsidRPr="00D955E0" w:rsidRDefault="00015E01" w:rsidP="00D955E0">
      <w:pPr>
        <w:shd w:val="clear" w:color="auto" w:fill="FFFFFF"/>
        <w:spacing w:after="0" w:line="360" w:lineRule="auto"/>
        <w:ind w:left="284" w:right="284"/>
        <w:rPr>
          <w:rFonts w:ascii="Arial" w:eastAsia="Times New Roman" w:hAnsi="Arial" w:cs="Arial"/>
          <w:color w:val="222222"/>
          <w:sz w:val="24"/>
          <w:szCs w:val="24"/>
          <w:lang w:eastAsia="en-GB"/>
        </w:rPr>
      </w:pPr>
    </w:p>
    <w:p w14:paraId="264DB61D" w14:textId="16FDD3EA"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Whilst O’Brien and O’Brien (2000) speak specifically about disability, this can also extend to others with different needs and vulnerabilities.</w:t>
      </w:r>
      <w:r w:rsidR="00015E01">
        <w:rPr>
          <w:rFonts w:ascii="Arial" w:eastAsia="Times New Roman" w:hAnsi="Arial" w:cs="Arial"/>
          <w:color w:val="222222"/>
          <w:sz w:val="24"/>
          <w:szCs w:val="24"/>
          <w:lang w:eastAsia="en-GB"/>
        </w:rPr>
        <w:t xml:space="preserve"> </w:t>
      </w:r>
      <w:r w:rsidRPr="00D955E0">
        <w:rPr>
          <w:rFonts w:ascii="Arial" w:eastAsia="Times New Roman" w:hAnsi="Arial" w:cs="Arial"/>
          <w:color w:val="222222"/>
          <w:sz w:val="24"/>
          <w:szCs w:val="24"/>
          <w:lang w:eastAsia="en-GB"/>
        </w:rPr>
        <w:t xml:space="preserve">Person centred planning aims to give children and their families both control and freedom. Mercer (2003) says that it gives them the freedom to make decisions regardless of how big or small they </w:t>
      </w:r>
      <w:r w:rsidRPr="00D955E0">
        <w:rPr>
          <w:rFonts w:ascii="Arial" w:eastAsia="Times New Roman" w:hAnsi="Arial" w:cs="Arial"/>
          <w:color w:val="222222"/>
          <w:sz w:val="24"/>
          <w:szCs w:val="24"/>
          <w:lang w:eastAsia="en-GB"/>
        </w:rPr>
        <w:lastRenderedPageBreak/>
        <w:t>are. When children feel that they are listened to, it enables adults to help get to know children better and learn about the likes and dislikes (Council for Disabled Children, 2003). This helps to ensure that there are opportunities to engage in activities with the correct support and assistance (Mercer, 2003).</w:t>
      </w:r>
    </w:p>
    <w:p w14:paraId="0E502CC9"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34D2E1FA" w14:textId="7E94C2BD" w:rsidR="00D955E0" w:rsidRDefault="00D955E0" w:rsidP="00D955E0">
      <w:pPr>
        <w:shd w:val="clear" w:color="auto" w:fill="FFFFFF"/>
        <w:spacing w:after="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t xml:space="preserve">Benefits and challenges of multi-agency </w:t>
      </w:r>
      <w:proofErr w:type="gramStart"/>
      <w:r w:rsidRPr="00D955E0">
        <w:rPr>
          <w:rFonts w:ascii="Arial" w:eastAsia="Times New Roman" w:hAnsi="Arial" w:cs="Arial"/>
          <w:b/>
          <w:bCs/>
          <w:color w:val="222222"/>
          <w:sz w:val="24"/>
          <w:szCs w:val="24"/>
          <w:lang w:eastAsia="en-GB"/>
        </w:rPr>
        <w:t>working</w:t>
      </w:r>
      <w:proofErr w:type="gramEnd"/>
    </w:p>
    <w:p w14:paraId="2BFFD615" w14:textId="77777777" w:rsidR="002D7EF0" w:rsidRPr="00D955E0" w:rsidRDefault="002D7EF0" w:rsidP="00D955E0">
      <w:pPr>
        <w:shd w:val="clear" w:color="auto" w:fill="FFFFFF"/>
        <w:spacing w:after="0" w:line="360" w:lineRule="auto"/>
        <w:rPr>
          <w:rFonts w:ascii="Arial" w:eastAsia="Times New Roman" w:hAnsi="Arial" w:cs="Arial"/>
          <w:color w:val="222222"/>
          <w:sz w:val="24"/>
          <w:szCs w:val="24"/>
          <w:lang w:eastAsia="en-GB"/>
        </w:rPr>
      </w:pPr>
    </w:p>
    <w:p w14:paraId="19340E30"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Multi-agency working ultimately developed because of many devastating cases where there have been tragedies </w:t>
      </w:r>
      <w:proofErr w:type="gramStart"/>
      <w:r w:rsidRPr="00D955E0">
        <w:rPr>
          <w:rFonts w:ascii="Arial" w:eastAsia="Times New Roman" w:hAnsi="Arial" w:cs="Arial"/>
          <w:color w:val="222222"/>
          <w:sz w:val="24"/>
          <w:szCs w:val="24"/>
          <w:lang w:eastAsia="en-GB"/>
        </w:rPr>
        <w:t>as a consequence of</w:t>
      </w:r>
      <w:proofErr w:type="gramEnd"/>
      <w:r w:rsidRPr="00D955E0">
        <w:rPr>
          <w:rFonts w:ascii="Arial" w:eastAsia="Times New Roman" w:hAnsi="Arial" w:cs="Arial"/>
          <w:color w:val="222222"/>
          <w:sz w:val="24"/>
          <w:szCs w:val="24"/>
          <w:lang w:eastAsia="en-GB"/>
        </w:rPr>
        <w:t xml:space="preserve"> information not being passed from services and a lack of designated responsibility. Therefore, multi-agency working aims to improve services to ensure that needs are identified and met, that there is early intervention, the correct support is provided and to improve outcomes for children and their families through sharing information and working together (Atkinson et al. 2010). When agencies work together, there are more chances to identify needs and ensure they are dealt with holistically. Resources are also more focused which means actions are part of a coherent shared strategy (Gasper, 2010). Furthermore, by working together agencies can save time resulting in earlier identification and faster outcomes. The National Evaluation of Sure Start (2004) has found that multi-agency working has improved access to childcare and education, enabled access to more services, improved well-being and reduced some of the worst effects of poverty (Gasper, 2010).</w:t>
      </w:r>
    </w:p>
    <w:p w14:paraId="7D10FD28"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0FCCF0CE" w14:textId="02555488"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Through working together, </w:t>
      </w:r>
      <w:r w:rsidR="00015E01" w:rsidRPr="00D955E0">
        <w:rPr>
          <w:rFonts w:ascii="Arial" w:eastAsia="Times New Roman" w:hAnsi="Arial" w:cs="Arial"/>
          <w:color w:val="222222"/>
          <w:sz w:val="24"/>
          <w:szCs w:val="24"/>
          <w:lang w:eastAsia="en-GB"/>
        </w:rPr>
        <w:t>positive,</w:t>
      </w:r>
      <w:r w:rsidRPr="00D955E0">
        <w:rPr>
          <w:rFonts w:ascii="Arial" w:eastAsia="Times New Roman" w:hAnsi="Arial" w:cs="Arial"/>
          <w:color w:val="222222"/>
          <w:sz w:val="24"/>
          <w:szCs w:val="24"/>
          <w:lang w:eastAsia="en-GB"/>
        </w:rPr>
        <w:t xml:space="preserve"> and effective relationships have developed between services. Collaborative working has led to an increase of communication between services which has resulted in a better understanding of other services and their roles. To further this, Allnock et al. (2006) and Dickson et al. (2004) state that acquiring a good knowledge of other services could help contribute to effective multi-agency working (Allnock et al. 2006 and Dickinson et all 2004, quoted in Atkinson, </w:t>
      </w:r>
      <w:proofErr w:type="gramStart"/>
      <w:r w:rsidRPr="00D955E0">
        <w:rPr>
          <w:rFonts w:ascii="Arial" w:eastAsia="Times New Roman" w:hAnsi="Arial" w:cs="Arial"/>
          <w:color w:val="222222"/>
          <w:sz w:val="24"/>
          <w:szCs w:val="24"/>
          <w:lang w:eastAsia="en-GB"/>
        </w:rPr>
        <w:t>Jones</w:t>
      </w:r>
      <w:proofErr w:type="gramEnd"/>
      <w:r w:rsidRPr="00D955E0">
        <w:rPr>
          <w:rFonts w:ascii="Arial" w:eastAsia="Times New Roman" w:hAnsi="Arial" w:cs="Arial"/>
          <w:color w:val="222222"/>
          <w:sz w:val="24"/>
          <w:szCs w:val="24"/>
          <w:lang w:eastAsia="en-GB"/>
        </w:rPr>
        <w:t xml:space="preserve"> and Lamont, 2007). Understanding between agencies, along with trust, can lead to ‘willingness to take risks, enhanced potential for innovation and improved outcomes’ (Akinson, Jones and Lamont, 2007, p. 29). Effective partnerships result in improved services, identification in service gaps and improved integration (Fox and Butler, 2014). Moran et al. (2007) says social workers have voiced that they felt that their developing relationships with schools would result in better outcomes for </w:t>
      </w:r>
      <w:r w:rsidRPr="00D955E0">
        <w:rPr>
          <w:rFonts w:ascii="Arial" w:eastAsia="Times New Roman" w:hAnsi="Arial" w:cs="Arial"/>
          <w:color w:val="222222"/>
          <w:sz w:val="24"/>
          <w:szCs w:val="24"/>
          <w:lang w:eastAsia="en-GB"/>
        </w:rPr>
        <w:lastRenderedPageBreak/>
        <w:t>children and their families as there is a greater understanding of child protection which leads to early identification and faster referrals.</w:t>
      </w:r>
    </w:p>
    <w:p w14:paraId="443EB952"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35585841" w14:textId="74EEEE1F"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The social workers in which Moran et al (2007) writes about also discuss how they felt settings away from the social services’ office, such as community hubs, help families feel less stigmatised by their involvement. Similarly, having social services integrated within school settings helps improve approachability. A study showed how parents who would usually avoid speaking social workers began to build positive relationships with them over time when regularly introduced</w:t>
      </w:r>
      <w:r w:rsidR="006C640B">
        <w:rPr>
          <w:rFonts w:ascii="Arial" w:eastAsia="Times New Roman" w:hAnsi="Arial" w:cs="Arial"/>
          <w:color w:val="222222"/>
          <w:sz w:val="24"/>
          <w:szCs w:val="24"/>
          <w:lang w:eastAsia="en-GB"/>
        </w:rPr>
        <w:t xml:space="preserve"> to them at</w:t>
      </w:r>
      <w:r w:rsidRPr="00D955E0">
        <w:rPr>
          <w:rFonts w:ascii="Arial" w:eastAsia="Times New Roman" w:hAnsi="Arial" w:cs="Arial"/>
          <w:color w:val="222222"/>
          <w:sz w:val="24"/>
          <w:szCs w:val="24"/>
          <w:lang w:eastAsia="en-GB"/>
        </w:rPr>
        <w:t xml:space="preserve"> open evenings in their child’s school. This positively impacted perceptions which meant it was more likely that there would be earlier intervention and reduction in family difficulties (Moran et al. 2007). This affirms Fox and Butler’s literature (2014) in which they state that effective partnerships should appear to be integrated services from the service user’s viewpoint (Fox and Butler, 2014).</w:t>
      </w:r>
    </w:p>
    <w:p w14:paraId="193E8ACF"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0F5FEED5"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Though multi-agency working has many benefits, it also comes with its challenges. Communication has been identified as one of the largest challenges in multi-agency working (Atkinson, Doherty and Kinder, 2003). Sharing information is essential within multi-agency working however this can be difficult sometimes due to the Data Protection Act 1998. Some agencies may be unsure of what information they are able to pass on. Gasper (2010) speaks of how an Act designed to protect people can now sometimes be a barrier in enabling closer partnership which would provide better outcomes. Similarly, challenges can also occur when agencies are unaware of each other’s roles and responsibilities (Dunhill, </w:t>
      </w:r>
      <w:proofErr w:type="gramStart"/>
      <w:r w:rsidRPr="00D955E0">
        <w:rPr>
          <w:rFonts w:ascii="Arial" w:eastAsia="Times New Roman" w:hAnsi="Arial" w:cs="Arial"/>
          <w:color w:val="222222"/>
          <w:sz w:val="24"/>
          <w:szCs w:val="24"/>
          <w:lang w:eastAsia="en-GB"/>
        </w:rPr>
        <w:t>Elliott</w:t>
      </w:r>
      <w:proofErr w:type="gramEnd"/>
      <w:r w:rsidRPr="00D955E0">
        <w:rPr>
          <w:rFonts w:ascii="Arial" w:eastAsia="Times New Roman" w:hAnsi="Arial" w:cs="Arial"/>
          <w:color w:val="222222"/>
          <w:sz w:val="24"/>
          <w:szCs w:val="24"/>
          <w:lang w:eastAsia="en-GB"/>
        </w:rPr>
        <w:t xml:space="preserve"> and Shaw, 2010). When this occurs, there may be conflict over areas of responsibility along with disagreements over which actions to take (Atkinson, Doherty and Kinder, 2003).</w:t>
      </w:r>
    </w:p>
    <w:p w14:paraId="6E5A2DBA"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14993C4C" w14:textId="5ACCBADE"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Different agencies and professionals having different models of understanding and views also cause challenges when working together. In Anning’s (2010) study, she found that within the five multi-agency teams present, each had prominent models in which they based their practice on. The health team based their practice on the medical model, therefore focused mostly on medical diagnoses. A social worker from the study commented on how in her practice she gets to know children and their families aims, which is based on the social model, whereas consultants are more </w:t>
      </w:r>
      <w:r w:rsidRPr="00D955E0">
        <w:rPr>
          <w:rFonts w:ascii="Arial" w:eastAsia="Times New Roman" w:hAnsi="Arial" w:cs="Arial"/>
          <w:color w:val="222222"/>
          <w:sz w:val="24"/>
          <w:szCs w:val="24"/>
          <w:lang w:eastAsia="en-GB"/>
        </w:rPr>
        <w:lastRenderedPageBreak/>
        <w:t xml:space="preserve">concerned with a child’s rehabilitation and therefore she raises the question of ‘what is success measured by?’ to the interviewer. She discusses whether it would be the child making a full recovery or whether it would be the child being able to </w:t>
      </w:r>
      <w:r w:rsidR="002D7EF0" w:rsidRPr="00D955E0">
        <w:rPr>
          <w:rFonts w:ascii="Arial" w:eastAsia="Times New Roman" w:hAnsi="Arial" w:cs="Arial"/>
          <w:color w:val="222222"/>
          <w:sz w:val="24"/>
          <w:szCs w:val="24"/>
          <w:lang w:eastAsia="en-GB"/>
        </w:rPr>
        <w:t>re-join</w:t>
      </w:r>
      <w:r w:rsidRPr="00D955E0">
        <w:rPr>
          <w:rFonts w:ascii="Arial" w:eastAsia="Times New Roman" w:hAnsi="Arial" w:cs="Arial"/>
          <w:color w:val="222222"/>
          <w:sz w:val="24"/>
          <w:szCs w:val="24"/>
          <w:lang w:eastAsia="en-GB"/>
        </w:rPr>
        <w:t xml:space="preserve"> the family who would be able to care for them. Within this study, (Anning) 2010 shows the contrast between how different professionals’ views on models can affect the overall outcome and how the agencies work together to reach this. Moran et al. (2007) also speaks of how difficulties within different perspectives can cause barriers and says some social workers felt the medical model sometimes took dominance.</w:t>
      </w:r>
    </w:p>
    <w:p w14:paraId="55AAEFAC"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19B97EF1" w14:textId="7B29BC53" w:rsidR="00D955E0" w:rsidRDefault="00D955E0" w:rsidP="00D955E0">
      <w:pPr>
        <w:shd w:val="clear" w:color="auto" w:fill="FFFFFF"/>
        <w:spacing w:after="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t>Background to multi-agency safeguarding hubs (including theoretical perspective)</w:t>
      </w:r>
    </w:p>
    <w:p w14:paraId="0B2AA8A7" w14:textId="77777777" w:rsidR="002D7EF0" w:rsidRPr="00D955E0" w:rsidRDefault="002D7EF0" w:rsidP="00D955E0">
      <w:pPr>
        <w:shd w:val="clear" w:color="auto" w:fill="FFFFFF"/>
        <w:spacing w:after="0" w:line="360" w:lineRule="auto"/>
        <w:rPr>
          <w:rFonts w:ascii="Arial" w:eastAsia="Times New Roman" w:hAnsi="Arial" w:cs="Arial"/>
          <w:color w:val="222222"/>
          <w:sz w:val="24"/>
          <w:szCs w:val="24"/>
          <w:lang w:eastAsia="en-GB"/>
        </w:rPr>
      </w:pPr>
    </w:p>
    <w:p w14:paraId="7C4794C6"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Multi-agency safeguarding hubs, otherwise known as M.A.S.H, were developed in 2011 as a response to failures of agencies not working together to protect children, young people, and their families (Dunne and Finalay, 2016). They are made up of a range of agencies such as health services, social services, and the police. Multi-safeguarding hubs have become single points of contact regarding safeguarding concerns which was a core aim when establishing multi-agency safeguarding hubs. M.A.S.H have a three-stage framework. In a stage one, a vulnerable child is identified, and a risk assessment is done. The risk assessment is ranked high, medium, or standard. The higher the risk is, the faster the referral is processed (Shorrock, Mcmanus and Kirby, 2019). This risk assessment may be done by different services such as the police depending on the case and hub. If a referral meets the criteria to go onto stage two, agencies will then gather to share and analyse information. If the referral does not go onto stage two, it will most likely be recorded as ‘no further action’ (Shorrock, Mcmanus and Kirby, 2019). Lastly, stage three is when decisions are made. The referral will be reviewed by the relevant agencies and interventions will be put in place (Shorrock, Mcmanus, Kirby, 2019). This may be done virtually through emails and phone calls, or agencies may meet. The aim of M.A.S.H is to improve safeguarding responses and the Home Office (2014) have said there has been improvements in more accurate risk assessments, thorough management of cases to ensure they do not get ‘lost’ in the system, better understanding between agencies and more efficiency in the use of resources (Home Office, 2014).</w:t>
      </w:r>
    </w:p>
    <w:p w14:paraId="61237D18"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lastRenderedPageBreak/>
        <w:t> </w:t>
      </w:r>
    </w:p>
    <w:p w14:paraId="2982E3A7"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Anning (2010) speaks of two theories relevant to multi-agency working. One of which is Engestrom’s (1999) activity theory. A key feature of his activity theory is that conflict is inevitable within the world of work as tasks get reassigned and distributed within organisations. His ideology involved the idea that this conflict must be debated openly to make progress towards creating new knowledge and forms of practice (Anning, 2010). He says that there should be clear visions for the future </w:t>
      </w:r>
      <w:proofErr w:type="gramStart"/>
      <w:r w:rsidRPr="00D955E0">
        <w:rPr>
          <w:rFonts w:ascii="Arial" w:eastAsia="Times New Roman" w:hAnsi="Arial" w:cs="Arial"/>
          <w:color w:val="222222"/>
          <w:sz w:val="24"/>
          <w:szCs w:val="24"/>
          <w:lang w:eastAsia="en-GB"/>
        </w:rPr>
        <w:t>and also</w:t>
      </w:r>
      <w:proofErr w:type="gramEnd"/>
      <w:r w:rsidRPr="00D955E0">
        <w:rPr>
          <w:rFonts w:ascii="Arial" w:eastAsia="Times New Roman" w:hAnsi="Arial" w:cs="Arial"/>
          <w:color w:val="222222"/>
          <w:sz w:val="24"/>
          <w:szCs w:val="24"/>
          <w:lang w:eastAsia="en-GB"/>
        </w:rPr>
        <w:t xml:space="preserve"> speaks of ‘expansive learning cycles’, this is when:</w:t>
      </w:r>
    </w:p>
    <w:p w14:paraId="1D6440A8"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2A112F58" w14:textId="77777777" w:rsidR="00D955E0" w:rsidRP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Communities/teams come together with different knowledge, expertise, and histories to pursue a common goal. </w:t>
      </w:r>
      <w:proofErr w:type="gramStart"/>
      <w:r w:rsidRPr="00D955E0">
        <w:rPr>
          <w:rFonts w:ascii="Arial" w:eastAsia="Times New Roman" w:hAnsi="Arial" w:cs="Arial"/>
          <w:color w:val="222222"/>
          <w:sz w:val="24"/>
          <w:szCs w:val="24"/>
          <w:lang w:eastAsia="en-GB"/>
        </w:rPr>
        <w:t>In order to</w:t>
      </w:r>
      <w:proofErr w:type="gramEnd"/>
      <w:r w:rsidRPr="00D955E0">
        <w:rPr>
          <w:rFonts w:ascii="Arial" w:eastAsia="Times New Roman" w:hAnsi="Arial" w:cs="Arial"/>
          <w:color w:val="222222"/>
          <w:sz w:val="24"/>
          <w:szCs w:val="24"/>
          <w:lang w:eastAsia="en-GB"/>
        </w:rPr>
        <w:t xml:space="preserve"> effect change, they must work through the processes of articulating differences, exploring alternatives, modelling solutions, examining an agreed model and implementing activities (Anning, 2010, p. 12).</w:t>
      </w:r>
    </w:p>
    <w:p w14:paraId="7052134A" w14:textId="77777777" w:rsidR="00D955E0" w:rsidRPr="00D955E0" w:rsidRDefault="00D955E0" w:rsidP="00D955E0">
      <w:pPr>
        <w:shd w:val="clear" w:color="auto" w:fill="FFFFFF"/>
        <w:spacing w:after="0" w:line="360" w:lineRule="auto"/>
        <w:ind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17BAF34C" w14:textId="77777777" w:rsidR="00D955E0" w:rsidRPr="00D955E0" w:rsidRDefault="00D955E0" w:rsidP="00D955E0">
      <w:pPr>
        <w:shd w:val="clear" w:color="auto" w:fill="FFFFFF"/>
        <w:spacing w:after="0" w:line="360" w:lineRule="auto"/>
        <w:ind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Within multi-agency safeguarding hubs, services come together with a common aim and vision for each case and go through the expansive learning cycle as thought by Engestrom (1999) </w:t>
      </w:r>
      <w:proofErr w:type="gramStart"/>
      <w:r w:rsidRPr="00D955E0">
        <w:rPr>
          <w:rFonts w:ascii="Arial" w:eastAsia="Times New Roman" w:hAnsi="Arial" w:cs="Arial"/>
          <w:color w:val="222222"/>
          <w:sz w:val="24"/>
          <w:szCs w:val="24"/>
          <w:lang w:eastAsia="en-GB"/>
        </w:rPr>
        <w:t>in order to</w:t>
      </w:r>
      <w:proofErr w:type="gramEnd"/>
      <w:r w:rsidRPr="00D955E0">
        <w:rPr>
          <w:rFonts w:ascii="Arial" w:eastAsia="Times New Roman" w:hAnsi="Arial" w:cs="Arial"/>
          <w:color w:val="222222"/>
          <w:sz w:val="24"/>
          <w:szCs w:val="24"/>
          <w:lang w:eastAsia="en-GB"/>
        </w:rPr>
        <w:t xml:space="preserve"> reach the best outcome possible.</w:t>
      </w:r>
    </w:p>
    <w:p w14:paraId="7A14765C" w14:textId="77777777" w:rsidR="00D955E0" w:rsidRPr="00D955E0" w:rsidRDefault="00D955E0" w:rsidP="00D955E0">
      <w:pPr>
        <w:shd w:val="clear" w:color="auto" w:fill="FFFFFF"/>
        <w:spacing w:after="0" w:line="360" w:lineRule="auto"/>
        <w:ind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7E0D99C2" w14:textId="77777777" w:rsidR="00D955E0" w:rsidRPr="00D955E0" w:rsidRDefault="00D955E0" w:rsidP="00D955E0">
      <w:pPr>
        <w:shd w:val="clear" w:color="auto" w:fill="FFFFFF"/>
        <w:spacing w:after="0" w:line="360" w:lineRule="auto"/>
        <w:ind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Another theory discussed by Anning (2010) is Wenger’s (1998) ‘communities of practice’ theory. The theory is based on the premise that knowledge is formed within ‘communities of practice’ through participation and reification (Anning, 2010). In Wenger’s (1998) theory, participation is the shared interactions and experiences of the members of the community working towards a common goal (Anning, 2010). Reification, according to Wenger (1998), is the ‘explication of versions of knowledge into representations such as documents or artefacts’ (Anning, 2010, p. 11). He felt the construction of professional identities in shared environments are essential. To explain what Wenger (1998) meant by identities, for him it is a way of talking about how learning changes someone. In terms of multi-agency working, the theory highlights the importance of agencies working in partnership and learning together, essentially forming a community of practice that is characterised by a ‘shared history of learning and social relationships’ (Anning, 2010, p.11). To develop this community of practice, there must be mutual engagement, shared accountability, and shared repertoire (Anning, 2010, p.11).</w:t>
      </w:r>
    </w:p>
    <w:p w14:paraId="6AD0AEDF" w14:textId="77777777" w:rsidR="00D955E0" w:rsidRPr="00D955E0" w:rsidRDefault="00D955E0" w:rsidP="00D955E0">
      <w:pPr>
        <w:shd w:val="clear" w:color="auto" w:fill="FFFFFF"/>
        <w:spacing w:after="0" w:line="360" w:lineRule="auto"/>
        <w:ind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lastRenderedPageBreak/>
        <w:t> </w:t>
      </w:r>
    </w:p>
    <w:p w14:paraId="62D1838A" w14:textId="77777777" w:rsidR="00D955E0" w:rsidRPr="00D955E0" w:rsidRDefault="00D955E0" w:rsidP="00D955E0">
      <w:pPr>
        <w:shd w:val="clear" w:color="auto" w:fill="FFFFFF"/>
        <w:spacing w:after="0" w:line="360" w:lineRule="auto"/>
        <w:ind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Bronfenbrenner’s (1974) ecological systems theory also underpins multi-agency working and relates to it largely. His ideology is that everything that is around a child, affects the child and therefore came up with four layers that surround the child, thus creating the ecological system. The first layer which is closest to the child is the microsystem. The structures within this layer directly affect the child (Paquette and Ryan, 2001). This includes family, school, work, and peers. The second layer, the mesosystem, provides the connections between the structures in the microsystem (Paquette and Ryan, 2001). For example, the parent’s relationship with the child’s school. The third layer is the exosystem which is a larger social system and includes structures such as other family and the neighbourhood (Paquette and Ryan, 2001). Lastly is the macrosystem. This includes structures like laws, customs, and attitudes (Paquette and Ryan, 2001). When looking at the vast number of services that work in multi-agencies such as multi-agency safeguarding hubs, it is clear why certain services are involved. For example, registered social landlords and housing are part of Bridgend’s M.A.S.H. as according to Bronfenbrenner (1974), neighbourhoods are part of a child’s exosystem.</w:t>
      </w:r>
    </w:p>
    <w:p w14:paraId="1AB03FF1"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7691CF39" w14:textId="2538BDD6" w:rsidR="00D955E0" w:rsidRDefault="00D955E0" w:rsidP="00D955E0">
      <w:pPr>
        <w:shd w:val="clear" w:color="auto" w:fill="FFFFFF"/>
        <w:spacing w:after="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t>Multi-agency safeguarding hubs partner overview (including legislative perspective)</w:t>
      </w:r>
    </w:p>
    <w:p w14:paraId="0CD772B8" w14:textId="77777777" w:rsidR="002D7EF0" w:rsidRPr="00D955E0" w:rsidRDefault="002D7EF0" w:rsidP="00D955E0">
      <w:pPr>
        <w:shd w:val="clear" w:color="auto" w:fill="FFFFFF"/>
        <w:spacing w:after="0" w:line="360" w:lineRule="auto"/>
        <w:rPr>
          <w:rFonts w:ascii="Arial" w:eastAsia="Times New Roman" w:hAnsi="Arial" w:cs="Arial"/>
          <w:color w:val="222222"/>
          <w:sz w:val="24"/>
          <w:szCs w:val="24"/>
          <w:lang w:eastAsia="en-GB"/>
        </w:rPr>
      </w:pPr>
    </w:p>
    <w:p w14:paraId="52C7B345" w14:textId="0FC5CD3D" w:rsid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Multi-agency safeguarding hubs are made up of many different agencies. London’s local safeguarding board has stated that children’s social care, youth offending service, police, housing, </w:t>
      </w:r>
      <w:r w:rsidR="002D7EF0" w:rsidRPr="00D955E0">
        <w:rPr>
          <w:rFonts w:ascii="Arial" w:eastAsia="Times New Roman" w:hAnsi="Arial" w:cs="Arial"/>
          <w:color w:val="222222"/>
          <w:sz w:val="24"/>
          <w:szCs w:val="24"/>
          <w:lang w:eastAsia="en-GB"/>
        </w:rPr>
        <w:t>health,</w:t>
      </w:r>
      <w:r w:rsidRPr="00D955E0">
        <w:rPr>
          <w:rFonts w:ascii="Arial" w:eastAsia="Times New Roman" w:hAnsi="Arial" w:cs="Arial"/>
          <w:color w:val="222222"/>
          <w:sz w:val="24"/>
          <w:szCs w:val="24"/>
          <w:lang w:eastAsia="en-GB"/>
        </w:rPr>
        <w:t xml:space="preserve"> and education should be involved (Home Office, 2014). </w:t>
      </w:r>
      <w:proofErr w:type="gramStart"/>
      <w:r w:rsidRPr="00D955E0">
        <w:rPr>
          <w:rFonts w:ascii="Arial" w:eastAsia="Times New Roman" w:hAnsi="Arial" w:cs="Arial"/>
          <w:color w:val="222222"/>
          <w:sz w:val="24"/>
          <w:szCs w:val="24"/>
          <w:lang w:eastAsia="en-GB"/>
        </w:rPr>
        <w:t>In particular, Bridgend’s</w:t>
      </w:r>
      <w:proofErr w:type="gramEnd"/>
      <w:r w:rsidRPr="00D955E0">
        <w:rPr>
          <w:rFonts w:ascii="Arial" w:eastAsia="Times New Roman" w:hAnsi="Arial" w:cs="Arial"/>
          <w:color w:val="222222"/>
          <w:sz w:val="24"/>
          <w:szCs w:val="24"/>
          <w:lang w:eastAsia="en-GB"/>
        </w:rPr>
        <w:t xml:space="preserve"> MASH has given an overview of who is involved in their multi-agency and are as follows:</w:t>
      </w:r>
    </w:p>
    <w:p w14:paraId="23A24049" w14:textId="77777777" w:rsidR="002D7EF0" w:rsidRPr="00D955E0" w:rsidRDefault="002D7EF0" w:rsidP="00D955E0">
      <w:pPr>
        <w:shd w:val="clear" w:color="auto" w:fill="FFFFFF"/>
        <w:spacing w:after="0" w:line="360" w:lineRule="auto"/>
        <w:rPr>
          <w:rFonts w:ascii="Arial" w:eastAsia="Times New Roman" w:hAnsi="Arial" w:cs="Arial"/>
          <w:color w:val="222222"/>
          <w:sz w:val="24"/>
          <w:szCs w:val="24"/>
          <w:lang w:eastAsia="en-GB"/>
        </w:rPr>
      </w:pPr>
    </w:p>
    <w:p w14:paraId="523537C1" w14:textId="77777777" w:rsidR="00D955E0" w:rsidRP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Bridgend’s Bridgend County Borough Council (Children’s and adult services, early help, education, housing, mental health services, drugs and alcohol team and independent domestic violence advocates.)</w:t>
      </w:r>
    </w:p>
    <w:p w14:paraId="5EA8D136" w14:textId="77777777" w:rsidR="00D955E0" w:rsidRP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bookmarkStart w:id="0" w:name="m_8668499381295556284__Hlk65446987"/>
      <w:r w:rsidRPr="00D955E0">
        <w:rPr>
          <w:rFonts w:ascii="Arial" w:eastAsia="Times New Roman" w:hAnsi="Arial" w:cs="Arial"/>
          <w:color w:val="222222"/>
          <w:sz w:val="24"/>
          <w:szCs w:val="24"/>
          <w:lang w:eastAsia="en-GB"/>
        </w:rPr>
        <w:t xml:space="preserve">South Wales Police Public Protection Unit (Child abuse investigation unit, vulnerable adult unit, domestic abuse unit, missing </w:t>
      </w:r>
      <w:proofErr w:type="gramStart"/>
      <w:r w:rsidRPr="00D955E0">
        <w:rPr>
          <w:rFonts w:ascii="Arial" w:eastAsia="Times New Roman" w:hAnsi="Arial" w:cs="Arial"/>
          <w:color w:val="222222"/>
          <w:sz w:val="24"/>
          <w:szCs w:val="24"/>
          <w:lang w:eastAsia="en-GB"/>
        </w:rPr>
        <w:t>person</w:t>
      </w:r>
      <w:proofErr w:type="gramEnd"/>
      <w:r w:rsidRPr="00D955E0">
        <w:rPr>
          <w:rFonts w:ascii="Arial" w:eastAsia="Times New Roman" w:hAnsi="Arial" w:cs="Arial"/>
          <w:color w:val="222222"/>
          <w:sz w:val="24"/>
          <w:szCs w:val="24"/>
          <w:lang w:eastAsia="en-GB"/>
        </w:rPr>
        <w:t xml:space="preserve"> and child exploitation team.)</w:t>
      </w:r>
      <w:bookmarkEnd w:id="0"/>
    </w:p>
    <w:p w14:paraId="0D6EE641" w14:textId="77777777" w:rsidR="00D955E0" w:rsidRP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lastRenderedPageBreak/>
        <w:t xml:space="preserve">Registered social </w:t>
      </w:r>
      <w:proofErr w:type="gramStart"/>
      <w:r w:rsidRPr="00D955E0">
        <w:rPr>
          <w:rFonts w:ascii="Arial" w:eastAsia="Times New Roman" w:hAnsi="Arial" w:cs="Arial"/>
          <w:color w:val="222222"/>
          <w:sz w:val="24"/>
          <w:szCs w:val="24"/>
          <w:lang w:eastAsia="en-GB"/>
        </w:rPr>
        <w:t>landlords</w:t>
      </w:r>
      <w:proofErr w:type="gramEnd"/>
    </w:p>
    <w:p w14:paraId="7283F2B9" w14:textId="77777777" w:rsidR="00D955E0" w:rsidRP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Probation and community rehabilitation</w:t>
      </w:r>
    </w:p>
    <w:p w14:paraId="4B039C5E" w14:textId="77777777" w:rsidR="00D955E0" w:rsidRP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Health (Public protection nurses and child and adolescent mental health Services, or CAMHS, liaison worker)</w:t>
      </w:r>
    </w:p>
    <w:p w14:paraId="6492910C" w14:textId="77777777" w:rsidR="00D955E0" w:rsidRP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Bridgend Association of Voluntary Organisations, or BAVO, social navigator</w:t>
      </w:r>
    </w:p>
    <w:p w14:paraId="65D35D76" w14:textId="77777777" w:rsidR="00D955E0" w:rsidRPr="00D955E0" w:rsidRDefault="00D955E0" w:rsidP="00D955E0">
      <w:pPr>
        <w:shd w:val="clear" w:color="auto" w:fill="FFFFFF"/>
        <w:spacing w:after="0" w:line="360" w:lineRule="auto"/>
        <w:ind w:left="284" w:right="284"/>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Barnardos child sexual exploitation, or CSE, advocate (Bridgend County Borough Council, 2021).</w:t>
      </w:r>
    </w:p>
    <w:p w14:paraId="78B56B7A"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62E931F0"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The involvement of so many agencies working together occurred because of the Children’s Act 2004. It requires every local authority to appoint a senior officer who will be responsible for coordinating children’s services (Anning, 2010). The Children’s Act (2004) ensures that services work together to meet the needs of children, this means practitioners working together as a team (Hughes and Owen, 2009). Section 11 of the Act states what type of organisations should be involved in ensuring the welfare of children such as NHS services and safeguarding boards, it was included to ensure that outcomes for children were improved. A recommendation as part of the Laming Report (2003) which was an enquiry into the tragic death of Victoria Climbie, was put forward that the government should investigate implementing a database on national scale which would enable the sharing of information of vulnerable children to agencies, especially when a child is being moved around a lot (Laming, 2003). The Children’s Act (2004) paved the way for this legally, the database contains basic information such as the child’s name, address, </w:t>
      </w:r>
      <w:proofErr w:type="gramStart"/>
      <w:r w:rsidRPr="00D955E0">
        <w:rPr>
          <w:rFonts w:ascii="Arial" w:eastAsia="Times New Roman" w:hAnsi="Arial" w:cs="Arial"/>
          <w:color w:val="222222"/>
          <w:sz w:val="24"/>
          <w:szCs w:val="24"/>
          <w:lang w:eastAsia="en-GB"/>
        </w:rPr>
        <w:t>GP</w:t>
      </w:r>
      <w:proofErr w:type="gramEnd"/>
      <w:r w:rsidRPr="00D955E0">
        <w:rPr>
          <w:rFonts w:ascii="Arial" w:eastAsia="Times New Roman" w:hAnsi="Arial" w:cs="Arial"/>
          <w:color w:val="222222"/>
          <w:sz w:val="24"/>
          <w:szCs w:val="24"/>
          <w:lang w:eastAsia="en-GB"/>
        </w:rPr>
        <w:t xml:space="preserve"> and the practitioners involved with the child (Anning, 2010). There are safety precautions implemented with this database, such as ensuring all professionals who access the data base have a criminal record check. Other precautions include hiding certain details if it is deemed for example that a member of family could be in harm if their location is revealed in cases of domestic abuse (Anning, 2010). This system helps enable agencies to integrate and work together and support early identifications.</w:t>
      </w:r>
    </w:p>
    <w:p w14:paraId="272D9F87"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1C4DC1A1"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The Social Services and Well-being Wales Act 2014 which came into force in 2016, is specific to Wales. It is the legal framework for social services in Wales to improve well-being. Key features of the Act ensures that people </w:t>
      </w:r>
      <w:proofErr w:type="gramStart"/>
      <w:r w:rsidRPr="00D955E0">
        <w:rPr>
          <w:rFonts w:ascii="Arial" w:eastAsia="Times New Roman" w:hAnsi="Arial" w:cs="Arial"/>
          <w:color w:val="222222"/>
          <w:sz w:val="24"/>
          <w:szCs w:val="24"/>
          <w:lang w:eastAsia="en-GB"/>
        </w:rPr>
        <w:t>are able to</w:t>
      </w:r>
      <w:proofErr w:type="gramEnd"/>
      <w:r w:rsidRPr="00D955E0">
        <w:rPr>
          <w:rFonts w:ascii="Arial" w:eastAsia="Times New Roman" w:hAnsi="Arial" w:cs="Arial"/>
          <w:color w:val="222222"/>
          <w:sz w:val="24"/>
          <w:szCs w:val="24"/>
          <w:lang w:eastAsia="en-GB"/>
        </w:rPr>
        <w:t xml:space="preserve"> have a choice, control and make decisions which involve their care, that there are stronger </w:t>
      </w:r>
      <w:r w:rsidRPr="00D955E0">
        <w:rPr>
          <w:rFonts w:ascii="Arial" w:eastAsia="Times New Roman" w:hAnsi="Arial" w:cs="Arial"/>
          <w:color w:val="222222"/>
          <w:sz w:val="24"/>
          <w:szCs w:val="24"/>
          <w:lang w:eastAsia="en-GB"/>
        </w:rPr>
        <w:lastRenderedPageBreak/>
        <w:t>safeguarding powers, there is a preventative approach, and that authorities and boards work together to drive integration and improve services (Welsh Government, 2016). The three main features of the act are to ensure that service users are enabled to have a say with person centred practice, that partnership drives service delivery and that the correct support is given at the correct time (Welsh Government, 2016). The ‘Partnership and Integration’ part of the Act is important in relation to multi-agency working. It states that ‘local authorities and health boards must work together’ (Welsh Government, 2016, p. 6). This is to improve services and outcomes for both children and adults.</w:t>
      </w:r>
    </w:p>
    <w:p w14:paraId="6E0A112E"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13420DCC"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Another act specific to Wales is the Additional Learning Needs Tribunal Bill (2018). The Act, which has not yet been implemented, will see the term ‘special educational needs’ change to ‘additional learning </w:t>
      </w:r>
      <w:proofErr w:type="gramStart"/>
      <w:r w:rsidRPr="00D955E0">
        <w:rPr>
          <w:rFonts w:ascii="Arial" w:eastAsia="Times New Roman" w:hAnsi="Arial" w:cs="Arial"/>
          <w:color w:val="222222"/>
          <w:sz w:val="24"/>
          <w:szCs w:val="24"/>
          <w:lang w:eastAsia="en-GB"/>
        </w:rPr>
        <w:t>needs’</w:t>
      </w:r>
      <w:proofErr w:type="gramEnd"/>
      <w:r w:rsidRPr="00D955E0">
        <w:rPr>
          <w:rFonts w:ascii="Arial" w:eastAsia="Times New Roman" w:hAnsi="Arial" w:cs="Arial"/>
          <w:color w:val="222222"/>
          <w:sz w:val="24"/>
          <w:szCs w:val="24"/>
          <w:lang w:eastAsia="en-GB"/>
        </w:rPr>
        <w:t>. It is transformational and has combined single systems to create a unified one for learners aged 0-25 with additional learning needs (Welsh Government, 2018). Other changes include creating a single plan, known as an Independent Development Plan (IDP) to replace other statutory and non-statutory plans for learners along with the ALN code which are legally enforceable parameters to ensure that organisations that are responsible for children and young people must act accordingly (Welsh Government, 2018). Person centred planning has been emphasised and the Act requires that individuals’ views should always be considered and that children and their families feel that they are part of the planning process. Another area of focus which has been emphasised is the increased collaboration between services. It encourages partnership working and information sharing to ensure early identification and that the correct support is given (Welsh Government, 2018).</w:t>
      </w:r>
    </w:p>
    <w:p w14:paraId="6817F6CA"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7A639F9C" w14:textId="325F5522" w:rsidR="00D955E0" w:rsidRDefault="00D955E0" w:rsidP="00D955E0">
      <w:pPr>
        <w:shd w:val="clear" w:color="auto" w:fill="FFFFFF"/>
        <w:spacing w:after="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t>Roles and responsibilities</w:t>
      </w:r>
    </w:p>
    <w:p w14:paraId="0E51C721" w14:textId="77777777" w:rsidR="002D7EF0" w:rsidRPr="00D955E0" w:rsidRDefault="002D7EF0" w:rsidP="00D955E0">
      <w:pPr>
        <w:shd w:val="clear" w:color="auto" w:fill="FFFFFF"/>
        <w:spacing w:after="0" w:line="360" w:lineRule="auto"/>
        <w:rPr>
          <w:rFonts w:ascii="Arial" w:eastAsia="Times New Roman" w:hAnsi="Arial" w:cs="Arial"/>
          <w:color w:val="222222"/>
          <w:sz w:val="24"/>
          <w:szCs w:val="24"/>
          <w:lang w:eastAsia="en-GB"/>
        </w:rPr>
      </w:pPr>
    </w:p>
    <w:p w14:paraId="5AEF2A04"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With so many services working together within multi-agency working, it is important that there is a clear understanding of roles and responsibilities. As previously mentioned, there are several services that work together within a Multi-Agency Safeguarding Hub such as social services, police, </w:t>
      </w:r>
      <w:proofErr w:type="gramStart"/>
      <w:r w:rsidRPr="00D955E0">
        <w:rPr>
          <w:rFonts w:ascii="Arial" w:eastAsia="Times New Roman" w:hAnsi="Arial" w:cs="Arial"/>
          <w:color w:val="222222"/>
          <w:sz w:val="24"/>
          <w:szCs w:val="24"/>
          <w:lang w:eastAsia="en-GB"/>
        </w:rPr>
        <w:t>education</w:t>
      </w:r>
      <w:proofErr w:type="gramEnd"/>
      <w:r w:rsidRPr="00D955E0">
        <w:rPr>
          <w:rFonts w:ascii="Arial" w:eastAsia="Times New Roman" w:hAnsi="Arial" w:cs="Arial"/>
          <w:color w:val="222222"/>
          <w:sz w:val="24"/>
          <w:szCs w:val="24"/>
          <w:lang w:eastAsia="en-GB"/>
        </w:rPr>
        <w:t xml:space="preserve"> and health (Home Office, 2014). The involvement of health services has been said to be especially important, their information and view can be crucial though the Home Office (2014) </w:t>
      </w:r>
      <w:r w:rsidRPr="00D955E0">
        <w:rPr>
          <w:rFonts w:ascii="Arial" w:eastAsia="Times New Roman" w:hAnsi="Arial" w:cs="Arial"/>
          <w:color w:val="222222"/>
          <w:sz w:val="24"/>
          <w:szCs w:val="24"/>
          <w:lang w:eastAsia="en-GB"/>
        </w:rPr>
        <w:lastRenderedPageBreak/>
        <w:t xml:space="preserve">says that health care professionals are more likely to share information with other health care professionals rather than other services (Home Office, 2014). Education services have also been reported to be important by the Home Office (2014), Another service highlighted are the voluntary sector </w:t>
      </w:r>
      <w:proofErr w:type="gramStart"/>
      <w:r w:rsidRPr="00D955E0">
        <w:rPr>
          <w:rFonts w:ascii="Arial" w:eastAsia="Times New Roman" w:hAnsi="Arial" w:cs="Arial"/>
          <w:color w:val="222222"/>
          <w:sz w:val="24"/>
          <w:szCs w:val="24"/>
          <w:lang w:eastAsia="en-GB"/>
        </w:rPr>
        <w:t>in regards to</w:t>
      </w:r>
      <w:proofErr w:type="gramEnd"/>
      <w:r w:rsidRPr="00D955E0">
        <w:rPr>
          <w:rFonts w:ascii="Arial" w:eastAsia="Times New Roman" w:hAnsi="Arial" w:cs="Arial"/>
          <w:color w:val="222222"/>
          <w:sz w:val="24"/>
          <w:szCs w:val="24"/>
          <w:lang w:eastAsia="en-GB"/>
        </w:rPr>
        <w:t xml:space="preserve"> safeguarding as non-statutory organisations can help service users feel more comfortable. In addition, importance has also been placed on analysts who examine data and find trends and hotspots, this can be an important aspect for early identification (Home Office, 2014).</w:t>
      </w:r>
    </w:p>
    <w:p w14:paraId="242BCF85"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Though each service has their own agenda, when interviewees were asked about roles and responsibilities of agencies in a study by the National Foundation for Educational Research, </w:t>
      </w:r>
      <w:proofErr w:type="gramStart"/>
      <w:r w:rsidRPr="00D955E0">
        <w:rPr>
          <w:rFonts w:ascii="Arial" w:eastAsia="Times New Roman" w:hAnsi="Arial" w:cs="Arial"/>
          <w:color w:val="222222"/>
          <w:sz w:val="24"/>
          <w:szCs w:val="24"/>
          <w:lang w:eastAsia="en-GB"/>
        </w:rPr>
        <w:t>the majority of</w:t>
      </w:r>
      <w:proofErr w:type="gramEnd"/>
      <w:r w:rsidRPr="00D955E0">
        <w:rPr>
          <w:rFonts w:ascii="Arial" w:eastAsia="Times New Roman" w:hAnsi="Arial" w:cs="Arial"/>
          <w:color w:val="222222"/>
          <w:sz w:val="24"/>
          <w:szCs w:val="24"/>
          <w:lang w:eastAsia="en-GB"/>
        </w:rPr>
        <w:t xml:space="preserve"> interviewees spoke generally about roles and responsibilities rather than specific agencies and what they do (Atkinson et al. 2001). Leadership and management are needed when several services are involved. A lead professional will oversee and coordinate activity and will also be a point of contact for children and their families </w:t>
      </w:r>
      <w:proofErr w:type="gramStart"/>
      <w:r w:rsidRPr="00D955E0">
        <w:rPr>
          <w:rFonts w:ascii="Arial" w:eastAsia="Times New Roman" w:hAnsi="Arial" w:cs="Arial"/>
          <w:color w:val="222222"/>
          <w:sz w:val="24"/>
          <w:szCs w:val="24"/>
          <w:lang w:eastAsia="en-GB"/>
        </w:rPr>
        <w:t>in order to</w:t>
      </w:r>
      <w:proofErr w:type="gramEnd"/>
      <w:r w:rsidRPr="00D955E0">
        <w:rPr>
          <w:rFonts w:ascii="Arial" w:eastAsia="Times New Roman" w:hAnsi="Arial" w:cs="Arial"/>
          <w:color w:val="222222"/>
          <w:sz w:val="24"/>
          <w:szCs w:val="24"/>
          <w:lang w:eastAsia="en-GB"/>
        </w:rPr>
        <w:t xml:space="preserve"> improve their experience. However, in some cases there may be more than one person involved in line management. Line management includes activities such as overseeing planning and monitoring workload, time management, team building and motivating team members (Children’s Workforce Development Council, 2010). Similarly, an operational manager is independent and aims to bind the services together to work towards a shared goal. The responsibility for multi-agency safeguarding hub actions belongs to all line managers regardless of their seniority, the Home Office (2014) notes that some felt that safeguarding boards should provide an independent overview of multi-agency safeguarding hubs. When action is needed, a core group is formulated, and they are responsible for the implementation of child protection plans. All core members from agencies need to undertake their roles and responsibilities in accordance with the child protection plan. All members of the group have set responsibilities. The London Child Protection Procedures (2021) details these responsibilities. They must assist the line managers and participate in assessments by helping formulate and implementing a plan and monitoring and evaluating progress. Another essential core group member role is making recommendations in reviews to ensure the child has the best outcome possible (London Child Protection Procedures, 2021).</w:t>
      </w:r>
    </w:p>
    <w:p w14:paraId="3FC4E2A7"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7F38097D"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lastRenderedPageBreak/>
        <w:t xml:space="preserve">Further analysis from the National Foundation for Educational Research’s study into multi-agency working, more specifically roles and responsibilities within multi-agency working, found that interviewees </w:t>
      </w:r>
      <w:proofErr w:type="gramStart"/>
      <w:r w:rsidRPr="00D955E0">
        <w:rPr>
          <w:rFonts w:ascii="Arial" w:eastAsia="Times New Roman" w:hAnsi="Arial" w:cs="Arial"/>
          <w:color w:val="222222"/>
          <w:sz w:val="24"/>
          <w:szCs w:val="24"/>
          <w:lang w:eastAsia="en-GB"/>
        </w:rPr>
        <w:t>most commonly cited</w:t>
      </w:r>
      <w:proofErr w:type="gramEnd"/>
      <w:r w:rsidRPr="00D955E0">
        <w:rPr>
          <w:rFonts w:ascii="Arial" w:eastAsia="Times New Roman" w:hAnsi="Arial" w:cs="Arial"/>
          <w:color w:val="222222"/>
          <w:sz w:val="24"/>
          <w:szCs w:val="24"/>
          <w:lang w:eastAsia="en-GB"/>
        </w:rPr>
        <w:t xml:space="preserve"> the role of representing their agency in groups such as a core group or steering group (Atkinson et al. 2001). The top role cited was management and initiative development. Though there may be more than one line manager, it was found to often be a single agency with the majority having been found as education services and social services. This contrasts from the Home Office (2014) who stated that health care practitioners often take the lead though it is important to acknowledge that the study in which Atkinson et al. (2001) writes about is dated in comparison to the Home Office’s (2014) newer report. The second most cited role was providing training, </w:t>
      </w:r>
      <w:proofErr w:type="gramStart"/>
      <w:r w:rsidRPr="00D955E0">
        <w:rPr>
          <w:rFonts w:ascii="Arial" w:eastAsia="Times New Roman" w:hAnsi="Arial" w:cs="Arial"/>
          <w:color w:val="222222"/>
          <w:sz w:val="24"/>
          <w:szCs w:val="24"/>
          <w:lang w:eastAsia="en-GB"/>
        </w:rPr>
        <w:t>advice</w:t>
      </w:r>
      <w:proofErr w:type="gramEnd"/>
      <w:r w:rsidRPr="00D955E0">
        <w:rPr>
          <w:rFonts w:ascii="Arial" w:eastAsia="Times New Roman" w:hAnsi="Arial" w:cs="Arial"/>
          <w:color w:val="222222"/>
          <w:sz w:val="24"/>
          <w:szCs w:val="24"/>
          <w:lang w:eastAsia="en-GB"/>
        </w:rPr>
        <w:t xml:space="preserve"> and support to others (Atkinson et al. 2001). When interviewees were asked about their role in this area, the most staff who felt they offered this was the education department with health care professionals coming second and the social services third. Through the various studies of roles and responsibilities within multi-agency working, education services, health care professionals and the social services appear to have consistent strong involvement. Anning (2010) found that conflict arises between services about what their training equipped them to do, she also found that some professionals with expertise were unhappy about being branded as generalists (Anning, 2010).</w:t>
      </w:r>
    </w:p>
    <w:p w14:paraId="23D10509"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24BAF13B" w14:textId="7251054B" w:rsidR="00D955E0" w:rsidRDefault="00D955E0" w:rsidP="00D955E0">
      <w:pPr>
        <w:shd w:val="clear" w:color="auto" w:fill="FFFFFF"/>
        <w:spacing w:after="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t xml:space="preserve">Person centred planning with </w:t>
      </w:r>
      <w:proofErr w:type="gramStart"/>
      <w:r w:rsidRPr="00D955E0">
        <w:rPr>
          <w:rFonts w:ascii="Arial" w:eastAsia="Times New Roman" w:hAnsi="Arial" w:cs="Arial"/>
          <w:b/>
          <w:bCs/>
          <w:color w:val="222222"/>
          <w:sz w:val="24"/>
          <w:szCs w:val="24"/>
          <w:lang w:eastAsia="en-GB"/>
        </w:rPr>
        <w:t>critique</w:t>
      </w:r>
      <w:proofErr w:type="gramEnd"/>
    </w:p>
    <w:p w14:paraId="2944F2F4" w14:textId="77777777" w:rsidR="002D7EF0" w:rsidRPr="00D955E0" w:rsidRDefault="002D7EF0" w:rsidP="00D955E0">
      <w:pPr>
        <w:shd w:val="clear" w:color="auto" w:fill="FFFFFF"/>
        <w:spacing w:after="0" w:line="360" w:lineRule="auto"/>
        <w:rPr>
          <w:rFonts w:ascii="Arial" w:eastAsia="Times New Roman" w:hAnsi="Arial" w:cs="Arial"/>
          <w:color w:val="222222"/>
          <w:sz w:val="24"/>
          <w:szCs w:val="24"/>
          <w:lang w:eastAsia="en-GB"/>
        </w:rPr>
      </w:pPr>
    </w:p>
    <w:p w14:paraId="32C5186F"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The importance of </w:t>
      </w:r>
      <w:proofErr w:type="gramStart"/>
      <w:r w:rsidRPr="00D955E0">
        <w:rPr>
          <w:rFonts w:ascii="Arial" w:eastAsia="Times New Roman" w:hAnsi="Arial" w:cs="Arial"/>
          <w:color w:val="222222"/>
          <w:sz w:val="24"/>
          <w:szCs w:val="24"/>
          <w:lang w:eastAsia="en-GB"/>
        </w:rPr>
        <w:t>person centred</w:t>
      </w:r>
      <w:proofErr w:type="gramEnd"/>
      <w:r w:rsidRPr="00D955E0">
        <w:rPr>
          <w:rFonts w:ascii="Arial" w:eastAsia="Times New Roman" w:hAnsi="Arial" w:cs="Arial"/>
          <w:color w:val="222222"/>
          <w:sz w:val="24"/>
          <w:szCs w:val="24"/>
          <w:lang w:eastAsia="en-GB"/>
        </w:rPr>
        <w:t xml:space="preserve"> planning has been emphasised with the development of acts such as the Social Services and Well-being Act Wales (2014) and the Additional Learning Needs Tribunal Bill (2018) which has yet to be implemented. With social services and educational professionals having large and important involvement within multi-agency safeguarding hubs, there is even more prominence of </w:t>
      </w:r>
      <w:proofErr w:type="gramStart"/>
      <w:r w:rsidRPr="00D955E0">
        <w:rPr>
          <w:rFonts w:ascii="Arial" w:eastAsia="Times New Roman" w:hAnsi="Arial" w:cs="Arial"/>
          <w:color w:val="222222"/>
          <w:sz w:val="24"/>
          <w:szCs w:val="24"/>
          <w:lang w:eastAsia="en-GB"/>
        </w:rPr>
        <w:t>person centred</w:t>
      </w:r>
      <w:proofErr w:type="gramEnd"/>
      <w:r w:rsidRPr="00D955E0">
        <w:rPr>
          <w:rFonts w:ascii="Arial" w:eastAsia="Times New Roman" w:hAnsi="Arial" w:cs="Arial"/>
          <w:color w:val="222222"/>
          <w:sz w:val="24"/>
          <w:szCs w:val="24"/>
          <w:lang w:eastAsia="en-GB"/>
        </w:rPr>
        <w:t xml:space="preserve"> planning being at the centre of partnership and collaboration. One of the </w:t>
      </w:r>
      <w:proofErr w:type="gramStart"/>
      <w:r w:rsidRPr="00D955E0">
        <w:rPr>
          <w:rFonts w:ascii="Arial" w:eastAsia="Times New Roman" w:hAnsi="Arial" w:cs="Arial"/>
          <w:color w:val="222222"/>
          <w:sz w:val="24"/>
          <w:szCs w:val="24"/>
          <w:lang w:eastAsia="en-GB"/>
        </w:rPr>
        <w:t>key</w:t>
      </w:r>
      <w:proofErr w:type="gramEnd"/>
      <w:r w:rsidRPr="00D955E0">
        <w:rPr>
          <w:rFonts w:ascii="Arial" w:eastAsia="Times New Roman" w:hAnsi="Arial" w:cs="Arial"/>
          <w:color w:val="222222"/>
          <w:sz w:val="24"/>
          <w:szCs w:val="24"/>
          <w:lang w:eastAsia="en-GB"/>
        </w:rPr>
        <w:t xml:space="preserve"> aims of the Additional Learning Needs Tribunal Bill (2018), otherwise known as the ALN bill, is to ‘improve the planning and delivery of support for learners from 0-25 with ALN, placing learners’ needs, views, wishes and feelings at the heart of the process’ (Welsh Government, 2018, p. 2). This lays legal foundations to ensure that person centred planning is always in place and acknowledged in decision making processes. Person centred planning aims to help </w:t>
      </w:r>
      <w:r w:rsidRPr="00D955E0">
        <w:rPr>
          <w:rFonts w:ascii="Arial" w:eastAsia="Times New Roman" w:hAnsi="Arial" w:cs="Arial"/>
          <w:color w:val="222222"/>
          <w:sz w:val="24"/>
          <w:szCs w:val="24"/>
          <w:lang w:eastAsia="en-GB"/>
        </w:rPr>
        <w:lastRenderedPageBreak/>
        <w:t>children express their views and be part of decisions that affect them, helps practitioners get to know the child so that they can improve experiences and make plans that provide positive outcomes for children and their families (Tower Hamlets Psychology Service, 2015).</w:t>
      </w:r>
    </w:p>
    <w:p w14:paraId="4E473669"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1CFF3D0D"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proofErr w:type="gramStart"/>
      <w:r w:rsidRPr="00D955E0">
        <w:rPr>
          <w:rFonts w:ascii="Arial" w:eastAsia="Times New Roman" w:hAnsi="Arial" w:cs="Arial"/>
          <w:color w:val="222222"/>
          <w:sz w:val="24"/>
          <w:szCs w:val="24"/>
          <w:lang w:eastAsia="en-GB"/>
        </w:rPr>
        <w:t>One page</w:t>
      </w:r>
      <w:proofErr w:type="gramEnd"/>
      <w:r w:rsidRPr="00D955E0">
        <w:rPr>
          <w:rFonts w:ascii="Arial" w:eastAsia="Times New Roman" w:hAnsi="Arial" w:cs="Arial"/>
          <w:color w:val="222222"/>
          <w:sz w:val="24"/>
          <w:szCs w:val="24"/>
          <w:lang w:eastAsia="en-GB"/>
        </w:rPr>
        <w:t xml:space="preserve"> profiles are a common approach to person centred planning. They provide a format to record what is most important to a person in one place (Tower Hamlets Psychology Service, 2015). </w:t>
      </w:r>
      <w:proofErr w:type="gramStart"/>
      <w:r w:rsidRPr="00D955E0">
        <w:rPr>
          <w:rFonts w:ascii="Arial" w:eastAsia="Times New Roman" w:hAnsi="Arial" w:cs="Arial"/>
          <w:color w:val="222222"/>
          <w:sz w:val="24"/>
          <w:szCs w:val="24"/>
          <w:lang w:eastAsia="en-GB"/>
        </w:rPr>
        <w:t>One page</w:t>
      </w:r>
      <w:proofErr w:type="gramEnd"/>
      <w:r w:rsidRPr="00D955E0">
        <w:rPr>
          <w:rFonts w:ascii="Arial" w:eastAsia="Times New Roman" w:hAnsi="Arial" w:cs="Arial"/>
          <w:color w:val="222222"/>
          <w:sz w:val="24"/>
          <w:szCs w:val="24"/>
          <w:lang w:eastAsia="en-GB"/>
        </w:rPr>
        <w:t xml:space="preserve"> profiles contain information such as what the child wants and likes, who is important to them and what they do not like. Sanderson (2015) extends on one page profiles and says that the ‘working and not working’ tool can be used. This identifies what is and is not working so that outcomes can improve (Sanderson, 2015). The new Additional Learning Needs Tribunal Act has introduced Independent Development Plans, otherwise known as IDP’s. An Independent Development Plan will replace </w:t>
      </w:r>
      <w:proofErr w:type="gramStart"/>
      <w:r w:rsidRPr="00D955E0">
        <w:rPr>
          <w:rFonts w:ascii="Arial" w:eastAsia="Times New Roman" w:hAnsi="Arial" w:cs="Arial"/>
          <w:color w:val="222222"/>
          <w:sz w:val="24"/>
          <w:szCs w:val="24"/>
          <w:lang w:eastAsia="en-GB"/>
        </w:rPr>
        <w:t>one page</w:t>
      </w:r>
      <w:proofErr w:type="gramEnd"/>
      <w:r w:rsidRPr="00D955E0">
        <w:rPr>
          <w:rFonts w:ascii="Arial" w:eastAsia="Times New Roman" w:hAnsi="Arial" w:cs="Arial"/>
          <w:color w:val="222222"/>
          <w:sz w:val="24"/>
          <w:szCs w:val="24"/>
          <w:lang w:eastAsia="en-GB"/>
        </w:rPr>
        <w:t xml:space="preserve"> profiles along with other statutory and non-statutory special educational need plans for children and young people (Welsh Government, 2018). There are some criticisms of one page profile type approaches. Hagner, Helm and Butterworth (1996) say that the process can be constrained by facilitators’ tendency to behave according to previous roles and training. They also pose queries as to how this would facilitate in a classroom where they may be numerous children with IDP’s, it raises the question of how a teacher could cater to all children in the classroom. Dunhill, Elliott and Shaw (2010) bring attention that even though it may be demanding and hard applying a </w:t>
      </w:r>
      <w:proofErr w:type="gramStart"/>
      <w:r w:rsidRPr="00D955E0">
        <w:rPr>
          <w:rFonts w:ascii="Arial" w:eastAsia="Times New Roman" w:hAnsi="Arial" w:cs="Arial"/>
          <w:color w:val="222222"/>
          <w:sz w:val="24"/>
          <w:szCs w:val="24"/>
          <w:lang w:eastAsia="en-GB"/>
        </w:rPr>
        <w:t>person centred</w:t>
      </w:r>
      <w:proofErr w:type="gramEnd"/>
      <w:r w:rsidRPr="00D955E0">
        <w:rPr>
          <w:rFonts w:ascii="Arial" w:eastAsia="Times New Roman" w:hAnsi="Arial" w:cs="Arial"/>
          <w:color w:val="222222"/>
          <w:sz w:val="24"/>
          <w:szCs w:val="24"/>
          <w:lang w:eastAsia="en-GB"/>
        </w:rPr>
        <w:t xml:space="preserve"> approach, it should not be an excuse for professionals to ignore children’s voices. Another critique brought up by Hagner, Helm and Butterworth (1996) is the question of whether it is really the child’s meeting or the adults meeting, questions the level of participation (Hagner, Helm and Butterworth, 1996). Contributions towards </w:t>
      </w:r>
      <w:proofErr w:type="gramStart"/>
      <w:r w:rsidRPr="00D955E0">
        <w:rPr>
          <w:rFonts w:ascii="Arial" w:eastAsia="Times New Roman" w:hAnsi="Arial" w:cs="Arial"/>
          <w:color w:val="222222"/>
          <w:sz w:val="24"/>
          <w:szCs w:val="24"/>
          <w:lang w:eastAsia="en-GB"/>
        </w:rPr>
        <w:t>one page</w:t>
      </w:r>
      <w:proofErr w:type="gramEnd"/>
      <w:r w:rsidRPr="00D955E0">
        <w:rPr>
          <w:rFonts w:ascii="Arial" w:eastAsia="Times New Roman" w:hAnsi="Arial" w:cs="Arial"/>
          <w:color w:val="222222"/>
          <w:sz w:val="24"/>
          <w:szCs w:val="24"/>
          <w:lang w:eastAsia="en-GB"/>
        </w:rPr>
        <w:t xml:space="preserve"> profiles can also sometimes not be effective. If a child has not had much thought towards their wants or does not feel confident in engaging, the experience may seem superficial and loses its meaning to the child. In the event this happens a practitioner may take over and provide too much input (Tower Hamlets Psychology Service, 2015).</w:t>
      </w:r>
    </w:p>
    <w:p w14:paraId="06D5EC93"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57E17681"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Expanding on the notions of levels of participation, Hart’s (1992) ‘ladder of participation’ can be used to critique person centred planning. Hart (1992) has </w:t>
      </w:r>
      <w:r w:rsidRPr="00D955E0">
        <w:rPr>
          <w:rFonts w:ascii="Arial" w:eastAsia="Times New Roman" w:hAnsi="Arial" w:cs="Arial"/>
          <w:color w:val="222222"/>
          <w:sz w:val="24"/>
          <w:szCs w:val="24"/>
          <w:lang w:eastAsia="en-GB"/>
        </w:rPr>
        <w:lastRenderedPageBreak/>
        <w:t xml:space="preserve">identified eight different levels of participation. These levels are manipulation, decoration, tokenism, assigned but informed, consulted, and informed, adult-initiated shared decisions with children, child-initiated and directed and child-initiated shared decisions with adults (Dunhill, </w:t>
      </w:r>
      <w:proofErr w:type="gramStart"/>
      <w:r w:rsidRPr="00D955E0">
        <w:rPr>
          <w:rFonts w:ascii="Arial" w:eastAsia="Times New Roman" w:hAnsi="Arial" w:cs="Arial"/>
          <w:color w:val="222222"/>
          <w:sz w:val="24"/>
          <w:szCs w:val="24"/>
          <w:lang w:eastAsia="en-GB"/>
        </w:rPr>
        <w:t>Elliott</w:t>
      </w:r>
      <w:proofErr w:type="gramEnd"/>
      <w:r w:rsidRPr="00D955E0">
        <w:rPr>
          <w:rFonts w:ascii="Arial" w:eastAsia="Times New Roman" w:hAnsi="Arial" w:cs="Arial"/>
          <w:color w:val="222222"/>
          <w:sz w:val="24"/>
          <w:szCs w:val="24"/>
          <w:lang w:eastAsia="en-GB"/>
        </w:rPr>
        <w:t xml:space="preserve"> and Shaw, 2010). The level of participation that Hagner, Helm and Butterworth (1996) refer to can be analysed using Hart’s (1992) ladder of participation. Professionals who work in multi-agency safeguarding hubs can also use it as a tool when planning an approach and considering how much control and choice children really have in person centred planning. Person centred planning approaches should always aim to reach the higher levels of the ladder. Hart (1992) argues that the three lower levels of the ladder are non-participatory. Tokenism for example, is when children take part and are given a voice however actually have little control (Dunhill, </w:t>
      </w:r>
      <w:proofErr w:type="gramStart"/>
      <w:r w:rsidRPr="00D955E0">
        <w:rPr>
          <w:rFonts w:ascii="Arial" w:eastAsia="Times New Roman" w:hAnsi="Arial" w:cs="Arial"/>
          <w:color w:val="222222"/>
          <w:sz w:val="24"/>
          <w:szCs w:val="24"/>
          <w:lang w:eastAsia="en-GB"/>
        </w:rPr>
        <w:t>Elliott</w:t>
      </w:r>
      <w:proofErr w:type="gramEnd"/>
      <w:r w:rsidRPr="00D955E0">
        <w:rPr>
          <w:rFonts w:ascii="Arial" w:eastAsia="Times New Roman" w:hAnsi="Arial" w:cs="Arial"/>
          <w:color w:val="222222"/>
          <w:sz w:val="24"/>
          <w:szCs w:val="24"/>
          <w:lang w:eastAsia="en-GB"/>
        </w:rPr>
        <w:t xml:space="preserve"> and Shaw, 2010). An example of this would asking a child for their opinion with low intentions of trying to meet it. It is when analysing person centred approaches that practitioners need to consider how involved the child and family really are. In multi-agency working, children and their families may feel overwhelmed or unsure of who to talk to which is why there is always a lead professional attached to their case who is a point of contact for the child and the family.</w:t>
      </w:r>
    </w:p>
    <w:p w14:paraId="7F8C080E"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3A1DEF15" w14:textId="552932E9" w:rsidR="00D955E0" w:rsidRDefault="00D955E0" w:rsidP="00D955E0">
      <w:pPr>
        <w:shd w:val="clear" w:color="auto" w:fill="FFFFFF"/>
        <w:spacing w:after="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t>Conclusions</w:t>
      </w:r>
    </w:p>
    <w:p w14:paraId="2892FE4C" w14:textId="77777777" w:rsidR="002D7EF0" w:rsidRPr="00D955E0" w:rsidRDefault="002D7EF0" w:rsidP="00D955E0">
      <w:pPr>
        <w:shd w:val="clear" w:color="auto" w:fill="FFFFFF"/>
        <w:spacing w:after="0" w:line="360" w:lineRule="auto"/>
        <w:rPr>
          <w:rFonts w:ascii="Arial" w:eastAsia="Times New Roman" w:hAnsi="Arial" w:cs="Arial"/>
          <w:color w:val="222222"/>
          <w:sz w:val="24"/>
          <w:szCs w:val="24"/>
          <w:lang w:eastAsia="en-GB"/>
        </w:rPr>
      </w:pPr>
    </w:p>
    <w:p w14:paraId="2969C4FC"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xml:space="preserve">In conclusion, this portfolio has highlighted the importance of multi-agency working and how working in partnership and collaboration can provide better outcomes for children and their families. Due to developments in policy and legislations, </w:t>
      </w:r>
      <w:proofErr w:type="gramStart"/>
      <w:r w:rsidRPr="00D955E0">
        <w:rPr>
          <w:rFonts w:ascii="Arial" w:eastAsia="Times New Roman" w:hAnsi="Arial" w:cs="Arial"/>
          <w:color w:val="222222"/>
          <w:sz w:val="24"/>
          <w:szCs w:val="24"/>
          <w:lang w:eastAsia="en-GB"/>
        </w:rPr>
        <w:t>it is clear that integrated</w:t>
      </w:r>
      <w:proofErr w:type="gramEnd"/>
      <w:r w:rsidRPr="00D955E0">
        <w:rPr>
          <w:rFonts w:ascii="Arial" w:eastAsia="Times New Roman" w:hAnsi="Arial" w:cs="Arial"/>
          <w:color w:val="222222"/>
          <w:sz w:val="24"/>
          <w:szCs w:val="24"/>
          <w:lang w:eastAsia="en-GB"/>
        </w:rPr>
        <w:t xml:space="preserve"> working is needed in order to meet the goals and aims set out in these documentations, especially when fulfilling the Children’s Act 2004. Whilst multi-agency working is a positive step in meeting children’s needs, evidence shows that it can be complex and growing literature has highlighted the barriers and challenges that it poses. It can be difficult to put into practice successfully, there must be strategic planning, commitment, enthusiasm and changes in attitude and ways of working (Percy-Smith, 2006). Investments are needed, along with time and resources for staff </w:t>
      </w:r>
      <w:proofErr w:type="gramStart"/>
      <w:r w:rsidRPr="00D955E0">
        <w:rPr>
          <w:rFonts w:ascii="Arial" w:eastAsia="Times New Roman" w:hAnsi="Arial" w:cs="Arial"/>
          <w:color w:val="222222"/>
          <w:sz w:val="24"/>
          <w:szCs w:val="24"/>
          <w:lang w:eastAsia="en-GB"/>
        </w:rPr>
        <w:t>in order for</w:t>
      </w:r>
      <w:proofErr w:type="gramEnd"/>
      <w:r w:rsidRPr="00D955E0">
        <w:rPr>
          <w:rFonts w:ascii="Arial" w:eastAsia="Times New Roman" w:hAnsi="Arial" w:cs="Arial"/>
          <w:color w:val="222222"/>
          <w:sz w:val="24"/>
          <w:szCs w:val="24"/>
          <w:lang w:eastAsia="en-GB"/>
        </w:rPr>
        <w:t xml:space="preserve"> them to develop the skills to integrate with other services (Atkinson et al. 2001). The National Foundation for Education Research suggests that familiarity needs to </w:t>
      </w:r>
      <w:proofErr w:type="gramStart"/>
      <w:r w:rsidRPr="00D955E0">
        <w:rPr>
          <w:rFonts w:ascii="Arial" w:eastAsia="Times New Roman" w:hAnsi="Arial" w:cs="Arial"/>
          <w:color w:val="222222"/>
          <w:sz w:val="24"/>
          <w:szCs w:val="24"/>
          <w:lang w:eastAsia="en-GB"/>
        </w:rPr>
        <w:t>offered</w:t>
      </w:r>
      <w:proofErr w:type="gramEnd"/>
      <w:r w:rsidRPr="00D955E0">
        <w:rPr>
          <w:rFonts w:ascii="Arial" w:eastAsia="Times New Roman" w:hAnsi="Arial" w:cs="Arial"/>
          <w:color w:val="222222"/>
          <w:sz w:val="24"/>
          <w:szCs w:val="24"/>
          <w:lang w:eastAsia="en-GB"/>
        </w:rPr>
        <w:t xml:space="preserve"> along with initial training when introducing </w:t>
      </w:r>
      <w:r w:rsidRPr="00D955E0">
        <w:rPr>
          <w:rFonts w:ascii="Arial" w:eastAsia="Times New Roman" w:hAnsi="Arial" w:cs="Arial"/>
          <w:color w:val="222222"/>
          <w:sz w:val="24"/>
          <w:szCs w:val="24"/>
          <w:lang w:eastAsia="en-GB"/>
        </w:rPr>
        <w:lastRenderedPageBreak/>
        <w:t xml:space="preserve">multi-agency working along with continuing professional development (Atkinson et al. 2001). It has also been previously mentioned that there many variations for the term ‘multi-agency’ working without a single agreed definition. Going forwards, it would be of value to refine terms and descriptions associated with multi-agency working to advance general awareness and understandings of the process and outcomes (Atkinson et al. 2001). Percy-Smith (2006) also suggests that there should be more study and analysis on the impact of outcomes for children and their families </w:t>
      </w:r>
      <w:proofErr w:type="gramStart"/>
      <w:r w:rsidRPr="00D955E0">
        <w:rPr>
          <w:rFonts w:ascii="Arial" w:eastAsia="Times New Roman" w:hAnsi="Arial" w:cs="Arial"/>
          <w:color w:val="222222"/>
          <w:sz w:val="24"/>
          <w:szCs w:val="24"/>
          <w:lang w:eastAsia="en-GB"/>
        </w:rPr>
        <w:t>as a result of</w:t>
      </w:r>
      <w:proofErr w:type="gramEnd"/>
      <w:r w:rsidRPr="00D955E0">
        <w:rPr>
          <w:rFonts w:ascii="Arial" w:eastAsia="Times New Roman" w:hAnsi="Arial" w:cs="Arial"/>
          <w:color w:val="222222"/>
          <w:sz w:val="24"/>
          <w:szCs w:val="24"/>
          <w:lang w:eastAsia="en-GB"/>
        </w:rPr>
        <w:t xml:space="preserve"> multi-agency working. She also suggests that it would be of value to ‘examine the extent to which strategic partnerships facilitate the development of more effective multi-agency operational arrangements’ which leads to more beneficial outcomes (Percy-Smith, 2006, p. 9). In addition, it would also be useful to establish and analyse to the extent of which these benefits are attributed to multi-agency working (Percy-Smith, 2006). </w:t>
      </w:r>
      <w:proofErr w:type="gramStart"/>
      <w:r w:rsidRPr="00D955E0">
        <w:rPr>
          <w:rFonts w:ascii="Arial" w:eastAsia="Times New Roman" w:hAnsi="Arial" w:cs="Arial"/>
          <w:color w:val="222222"/>
          <w:sz w:val="24"/>
          <w:szCs w:val="24"/>
          <w:lang w:eastAsia="en-GB"/>
        </w:rPr>
        <w:t>In regard to</w:t>
      </w:r>
      <w:proofErr w:type="gramEnd"/>
      <w:r w:rsidRPr="00D955E0">
        <w:rPr>
          <w:rFonts w:ascii="Arial" w:eastAsia="Times New Roman" w:hAnsi="Arial" w:cs="Arial"/>
          <w:color w:val="222222"/>
          <w:sz w:val="24"/>
          <w:szCs w:val="24"/>
          <w:lang w:eastAsia="en-GB"/>
        </w:rPr>
        <w:t xml:space="preserve"> person centred practice, it is not a new development but one that has been more engrained within policy and legislation in recent years. The implementation of the Additional Learning Needs Tribunal Act (2018) will see more emphasis on person centred planning within settings and organisations and the integration of services to reach goals.</w:t>
      </w:r>
    </w:p>
    <w:p w14:paraId="59B6AE8B"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5052F0C6"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18EBB373"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254FFC40"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088CE2F1"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1FEAFA2A"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148BE318"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5593CE48"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225D93B3"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7AF7F0F2"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14E37997"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75BC4B20"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539B1072"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7ED2CF22"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786156DD"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494E64E1" w14:textId="77777777" w:rsidR="00D955E0" w:rsidRPr="00D955E0" w:rsidRDefault="00D955E0" w:rsidP="00D955E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70B24E18" w14:textId="77777777" w:rsidR="002D7EF0" w:rsidRDefault="00D955E0" w:rsidP="002D7EF0">
      <w:pPr>
        <w:shd w:val="clear" w:color="auto" w:fill="FFFFFF"/>
        <w:spacing w:after="0" w:line="36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394B3AD3" w14:textId="161C74D7" w:rsidR="002D7EF0" w:rsidRPr="002D7EF0" w:rsidRDefault="00D955E0" w:rsidP="002D7EF0">
      <w:pPr>
        <w:shd w:val="clear" w:color="auto" w:fill="FFFFFF"/>
        <w:spacing w:after="0" w:line="360" w:lineRule="auto"/>
        <w:rPr>
          <w:rFonts w:ascii="Arial" w:eastAsia="Times New Roman" w:hAnsi="Arial" w:cs="Arial"/>
          <w:b/>
          <w:bCs/>
          <w:color w:val="222222"/>
          <w:sz w:val="24"/>
          <w:szCs w:val="24"/>
          <w:lang w:eastAsia="en-GB"/>
        </w:rPr>
      </w:pPr>
      <w:r w:rsidRPr="00D955E0">
        <w:rPr>
          <w:rFonts w:ascii="Arial" w:eastAsia="Times New Roman" w:hAnsi="Arial" w:cs="Arial"/>
          <w:b/>
          <w:bCs/>
          <w:color w:val="222222"/>
          <w:sz w:val="24"/>
          <w:szCs w:val="24"/>
          <w:lang w:eastAsia="en-GB"/>
        </w:rPr>
        <w:lastRenderedPageBreak/>
        <w:t>Reference list</w:t>
      </w:r>
    </w:p>
    <w:p w14:paraId="293878B3"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b/>
          <w:bCs/>
          <w:color w:val="222222"/>
          <w:sz w:val="24"/>
          <w:szCs w:val="24"/>
          <w:lang w:eastAsia="en-GB"/>
        </w:rPr>
        <w:t> </w:t>
      </w:r>
    </w:p>
    <w:p w14:paraId="767B44F0"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Anning, A. (2010) </w:t>
      </w:r>
      <w:r w:rsidRPr="00D955E0">
        <w:rPr>
          <w:rFonts w:ascii="Arial" w:eastAsia="Times New Roman" w:hAnsi="Arial" w:cs="Arial"/>
          <w:i/>
          <w:iCs/>
          <w:color w:val="000000"/>
          <w:sz w:val="24"/>
          <w:szCs w:val="24"/>
          <w:lang w:eastAsia="en-GB"/>
        </w:rPr>
        <w:t>Developing multi-professional teamwork for integrated children’s services research, policy, and practice. </w:t>
      </w:r>
      <w:r w:rsidRPr="00D955E0">
        <w:rPr>
          <w:rFonts w:ascii="Arial" w:eastAsia="Times New Roman" w:hAnsi="Arial" w:cs="Arial"/>
          <w:color w:val="000000"/>
          <w:sz w:val="24"/>
          <w:szCs w:val="24"/>
          <w:lang w:eastAsia="en-GB"/>
        </w:rPr>
        <w:t>2</w:t>
      </w:r>
      <w:r w:rsidRPr="00D955E0">
        <w:rPr>
          <w:rFonts w:ascii="Arial" w:eastAsia="Times New Roman" w:hAnsi="Arial" w:cs="Arial"/>
          <w:color w:val="000000"/>
          <w:sz w:val="24"/>
          <w:szCs w:val="24"/>
          <w:vertAlign w:val="superscript"/>
          <w:lang w:eastAsia="en-GB"/>
        </w:rPr>
        <w:t>nd</w:t>
      </w:r>
      <w:r w:rsidRPr="00D955E0">
        <w:rPr>
          <w:rFonts w:ascii="Arial" w:eastAsia="Times New Roman" w:hAnsi="Arial" w:cs="Arial"/>
          <w:color w:val="000000"/>
          <w:sz w:val="24"/>
          <w:szCs w:val="24"/>
          <w:lang w:eastAsia="en-GB"/>
        </w:rPr>
        <w:t> ed. Berkshire: Open University Press.</w:t>
      </w:r>
    </w:p>
    <w:p w14:paraId="7210AA30"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045DEF26"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Atkinson et al. (2001)</w:t>
      </w:r>
      <w:r w:rsidRPr="00D955E0">
        <w:rPr>
          <w:rFonts w:ascii="Arial" w:eastAsia="Times New Roman" w:hAnsi="Arial" w:cs="Arial"/>
          <w:i/>
          <w:iCs/>
          <w:color w:val="000000"/>
          <w:sz w:val="24"/>
          <w:szCs w:val="24"/>
          <w:lang w:eastAsia="en-GB"/>
        </w:rPr>
        <w:t> Multi-agency working: a detailed study. </w:t>
      </w:r>
      <w:r w:rsidRPr="00D955E0">
        <w:rPr>
          <w:rFonts w:ascii="Arial" w:eastAsia="Times New Roman" w:hAnsi="Arial" w:cs="Arial"/>
          <w:color w:val="000000"/>
          <w:sz w:val="24"/>
          <w:szCs w:val="24"/>
          <w:lang w:eastAsia="en-GB"/>
        </w:rPr>
        <w:t>Available at: </w:t>
      </w:r>
      <w:hyperlink r:id="rId4" w:tgtFrame="_blank" w:history="1">
        <w:r w:rsidRPr="00D955E0">
          <w:rPr>
            <w:rFonts w:ascii="Arial" w:eastAsia="Times New Roman" w:hAnsi="Arial" w:cs="Arial"/>
            <w:color w:val="1155CC"/>
            <w:sz w:val="24"/>
            <w:szCs w:val="24"/>
            <w:u w:val="single"/>
            <w:lang w:eastAsia="en-GB"/>
          </w:rPr>
          <w:t>https://www.nfer.ac.uk/publications/CSS02/CSS02.pdf</w:t>
        </w:r>
      </w:hyperlink>
      <w:r w:rsidRPr="00D955E0">
        <w:rPr>
          <w:rFonts w:ascii="Arial" w:eastAsia="Times New Roman" w:hAnsi="Arial" w:cs="Arial"/>
          <w:color w:val="000000"/>
          <w:sz w:val="24"/>
          <w:szCs w:val="24"/>
          <w:lang w:eastAsia="en-GB"/>
        </w:rPr>
        <w:t> (Accessed: 15 February 2021).</w:t>
      </w:r>
    </w:p>
    <w:p w14:paraId="22AC3416"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4356FB12"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Atkinson, M. and Doherty, P. and Kinder, K. (2003) ‘Multi-agency working: models, challenges, and key factors for success’, </w:t>
      </w:r>
      <w:r w:rsidRPr="00D955E0">
        <w:rPr>
          <w:rFonts w:ascii="Arial" w:eastAsia="Times New Roman" w:hAnsi="Arial" w:cs="Arial"/>
          <w:i/>
          <w:iCs/>
          <w:color w:val="000000"/>
          <w:sz w:val="24"/>
          <w:szCs w:val="24"/>
          <w:lang w:eastAsia="en-GB"/>
        </w:rPr>
        <w:t>Journal of early childhood research. </w:t>
      </w:r>
      <w:r w:rsidRPr="00D955E0">
        <w:rPr>
          <w:rFonts w:ascii="Arial" w:eastAsia="Times New Roman" w:hAnsi="Arial" w:cs="Arial"/>
          <w:color w:val="000000"/>
          <w:sz w:val="24"/>
          <w:szCs w:val="24"/>
          <w:lang w:eastAsia="en-GB"/>
        </w:rPr>
        <w:t>3(1), pp. 7-17.</w:t>
      </w:r>
    </w:p>
    <w:p w14:paraId="7AEABB86"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1A2909A7"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Atkinson, M. and Jones, M. and Lamont, E. (2007) </w:t>
      </w:r>
      <w:r w:rsidRPr="00D955E0">
        <w:rPr>
          <w:rFonts w:ascii="Arial" w:eastAsia="Times New Roman" w:hAnsi="Arial" w:cs="Arial"/>
          <w:i/>
          <w:iCs/>
          <w:color w:val="000000"/>
          <w:sz w:val="24"/>
          <w:szCs w:val="24"/>
          <w:lang w:eastAsia="en-GB"/>
        </w:rPr>
        <w:t>Multi-agency working and its implications for practice: a review of the literature. </w:t>
      </w:r>
      <w:r w:rsidRPr="00D955E0">
        <w:rPr>
          <w:rFonts w:ascii="Arial" w:eastAsia="Times New Roman" w:hAnsi="Arial" w:cs="Arial"/>
          <w:color w:val="000000"/>
          <w:sz w:val="24"/>
          <w:szCs w:val="24"/>
          <w:lang w:eastAsia="en-GB"/>
        </w:rPr>
        <w:t>Available at: </w:t>
      </w:r>
      <w:hyperlink r:id="rId5" w:tgtFrame="_blank" w:history="1">
        <w:r w:rsidRPr="00D955E0">
          <w:rPr>
            <w:rFonts w:ascii="Arial" w:eastAsia="Times New Roman" w:hAnsi="Arial" w:cs="Arial"/>
            <w:color w:val="1155CC"/>
            <w:sz w:val="24"/>
            <w:szCs w:val="24"/>
            <w:u w:val="single"/>
            <w:lang w:eastAsia="en-GB"/>
          </w:rPr>
          <w:t>https://www.nfer.ac.uk/media/2001/mad01.pdf</w:t>
        </w:r>
      </w:hyperlink>
      <w:r w:rsidRPr="00D955E0">
        <w:rPr>
          <w:rFonts w:ascii="Arial" w:eastAsia="Times New Roman" w:hAnsi="Arial" w:cs="Arial"/>
          <w:color w:val="000000"/>
          <w:sz w:val="24"/>
          <w:szCs w:val="24"/>
          <w:lang w:eastAsia="en-GB"/>
        </w:rPr>
        <w:t> (Accessed: 18 February 2021).</w:t>
      </w:r>
    </w:p>
    <w:p w14:paraId="33641CD1"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22B24CE7"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Atkinson, M. et al. (2002) </w:t>
      </w:r>
      <w:r w:rsidRPr="00D955E0">
        <w:rPr>
          <w:rFonts w:ascii="Arial" w:eastAsia="Times New Roman" w:hAnsi="Arial" w:cs="Arial"/>
          <w:i/>
          <w:iCs/>
          <w:color w:val="000000"/>
          <w:sz w:val="24"/>
          <w:szCs w:val="24"/>
          <w:lang w:eastAsia="en-GB"/>
        </w:rPr>
        <w:t>Multi-agency working: a detailed study</w:t>
      </w:r>
      <w:r w:rsidRPr="00D955E0">
        <w:rPr>
          <w:rFonts w:ascii="Arial" w:eastAsia="Times New Roman" w:hAnsi="Arial" w:cs="Arial"/>
          <w:color w:val="000000"/>
          <w:sz w:val="24"/>
          <w:szCs w:val="24"/>
          <w:lang w:eastAsia="en-GB"/>
        </w:rPr>
        <w:t>. Slough: NFER.</w:t>
      </w:r>
    </w:p>
    <w:p w14:paraId="2D3CFEA1"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18012F9F"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Bridgend County Borough Council (2021) </w:t>
      </w:r>
      <w:r w:rsidRPr="00D955E0">
        <w:rPr>
          <w:rFonts w:ascii="Arial" w:eastAsia="Times New Roman" w:hAnsi="Arial" w:cs="Arial"/>
          <w:i/>
          <w:iCs/>
          <w:color w:val="222222"/>
          <w:sz w:val="24"/>
          <w:szCs w:val="24"/>
          <w:lang w:eastAsia="en-GB"/>
        </w:rPr>
        <w:t>Multi-Agency Safeguarding Hub (MASH). </w:t>
      </w:r>
      <w:r w:rsidRPr="00D955E0">
        <w:rPr>
          <w:rFonts w:ascii="Arial" w:eastAsia="Times New Roman" w:hAnsi="Arial" w:cs="Arial"/>
          <w:color w:val="222222"/>
          <w:sz w:val="24"/>
          <w:szCs w:val="24"/>
          <w:lang w:eastAsia="en-GB"/>
        </w:rPr>
        <w:t>Available at: </w:t>
      </w:r>
      <w:hyperlink r:id="rId6" w:tgtFrame="_blank" w:history="1">
        <w:r w:rsidRPr="00D955E0">
          <w:rPr>
            <w:rFonts w:ascii="Arial" w:eastAsia="Times New Roman" w:hAnsi="Arial" w:cs="Arial"/>
            <w:color w:val="1155CC"/>
            <w:sz w:val="24"/>
            <w:szCs w:val="24"/>
            <w:u w:val="single"/>
            <w:lang w:eastAsia="en-GB"/>
          </w:rPr>
          <w:t>https://www.bridgend.gov.uk/residents/social-care-and-wellbeing/multi-agency-safeguarding-hub-mash/</w:t>
        </w:r>
      </w:hyperlink>
      <w:r w:rsidRPr="00D955E0">
        <w:rPr>
          <w:rFonts w:ascii="Arial" w:eastAsia="Times New Roman" w:hAnsi="Arial" w:cs="Arial"/>
          <w:color w:val="222222"/>
          <w:sz w:val="24"/>
          <w:szCs w:val="24"/>
          <w:lang w:eastAsia="en-GB"/>
        </w:rPr>
        <w:t> (Accessed: 20 February 2021).</w:t>
      </w:r>
    </w:p>
    <w:p w14:paraId="008CA508"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2EA3D536"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Children’s Workforce Development Council (2010) </w:t>
      </w:r>
      <w:r w:rsidRPr="00D955E0">
        <w:rPr>
          <w:rFonts w:ascii="Arial" w:eastAsia="Times New Roman" w:hAnsi="Arial" w:cs="Arial"/>
          <w:i/>
          <w:iCs/>
          <w:color w:val="222222"/>
          <w:sz w:val="24"/>
          <w:szCs w:val="24"/>
          <w:lang w:eastAsia="en-GB"/>
        </w:rPr>
        <w:t>Setting up multi-agency services. </w:t>
      </w:r>
      <w:r w:rsidRPr="00D955E0">
        <w:rPr>
          <w:rFonts w:ascii="Arial" w:eastAsia="Times New Roman" w:hAnsi="Arial" w:cs="Arial"/>
          <w:color w:val="222222"/>
          <w:sz w:val="24"/>
          <w:szCs w:val="24"/>
          <w:lang w:eastAsia="en-GB"/>
        </w:rPr>
        <w:t>Available at: </w:t>
      </w:r>
      <w:hyperlink r:id="rId7" w:tgtFrame="_blank" w:history="1">
        <w:r w:rsidRPr="00D955E0">
          <w:rPr>
            <w:rFonts w:ascii="Arial" w:eastAsia="Times New Roman" w:hAnsi="Arial" w:cs="Arial"/>
            <w:color w:val="1155CC"/>
            <w:sz w:val="24"/>
            <w:szCs w:val="24"/>
            <w:u w:val="single"/>
            <w:lang w:eastAsia="en-GB"/>
          </w:rPr>
          <w:t>https://dera.ioe.ac.uk/1853/1/IW129_0310.pdf</w:t>
        </w:r>
      </w:hyperlink>
      <w:r w:rsidRPr="00D955E0">
        <w:rPr>
          <w:rFonts w:ascii="Arial" w:eastAsia="Times New Roman" w:hAnsi="Arial" w:cs="Arial"/>
          <w:color w:val="222222"/>
          <w:sz w:val="24"/>
          <w:szCs w:val="24"/>
          <w:lang w:eastAsia="en-GB"/>
        </w:rPr>
        <w:t> (Accessed: 22 February 2021).</w:t>
      </w:r>
    </w:p>
    <w:p w14:paraId="5E374006"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08A00F7F"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Council for Disabled Children (2021) W</w:t>
      </w:r>
      <w:r w:rsidRPr="00D955E0">
        <w:rPr>
          <w:rFonts w:ascii="Arial" w:eastAsia="Times New Roman" w:hAnsi="Arial" w:cs="Arial"/>
          <w:i/>
          <w:iCs/>
          <w:color w:val="000000"/>
          <w:sz w:val="24"/>
          <w:szCs w:val="24"/>
          <w:lang w:eastAsia="en-GB"/>
        </w:rPr>
        <w:t>hat is Person Centred Planning? </w:t>
      </w:r>
      <w:r w:rsidRPr="00D955E0">
        <w:rPr>
          <w:rFonts w:ascii="Arial" w:eastAsia="Times New Roman" w:hAnsi="Arial" w:cs="Arial"/>
          <w:color w:val="000000"/>
          <w:sz w:val="24"/>
          <w:szCs w:val="24"/>
          <w:lang w:eastAsia="en-GB"/>
        </w:rPr>
        <w:t>Available at: </w:t>
      </w:r>
      <w:hyperlink r:id="rId8" w:tgtFrame="_blank" w:history="1">
        <w:r w:rsidRPr="00D955E0">
          <w:rPr>
            <w:rFonts w:ascii="Arial" w:eastAsia="Times New Roman" w:hAnsi="Arial" w:cs="Arial"/>
            <w:color w:val="1155CC"/>
            <w:sz w:val="24"/>
            <w:szCs w:val="24"/>
            <w:u w:val="single"/>
            <w:lang w:eastAsia="en-GB"/>
          </w:rPr>
          <w:t>https://councilfordisabledchildren.org.uk/information-advice-and-support-programme/useful-resources-publications-animations/what-person-centred-planning</w:t>
        </w:r>
      </w:hyperlink>
      <w:r w:rsidRPr="00D955E0">
        <w:rPr>
          <w:rFonts w:ascii="Arial" w:eastAsia="Times New Roman" w:hAnsi="Arial" w:cs="Arial"/>
          <w:color w:val="000000"/>
          <w:sz w:val="24"/>
          <w:szCs w:val="24"/>
          <w:lang w:eastAsia="en-GB"/>
        </w:rPr>
        <w:t>  (Accessed 15 February 2021).</w:t>
      </w:r>
    </w:p>
    <w:p w14:paraId="7F7F26BE"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4BFE3C49"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Dunhill, A. and Elliott, B. and Shaw, B. (2010) </w:t>
      </w:r>
      <w:r w:rsidRPr="00D955E0">
        <w:rPr>
          <w:rFonts w:ascii="Arial" w:eastAsia="Times New Roman" w:hAnsi="Arial" w:cs="Arial"/>
          <w:i/>
          <w:iCs/>
          <w:color w:val="000000"/>
          <w:sz w:val="24"/>
          <w:szCs w:val="24"/>
          <w:lang w:eastAsia="en-GB"/>
        </w:rPr>
        <w:t>Effective Communication and Engagement with Children and Young People, Their Families and Carers. </w:t>
      </w:r>
      <w:r w:rsidRPr="00D955E0">
        <w:rPr>
          <w:rFonts w:ascii="Arial" w:eastAsia="Times New Roman" w:hAnsi="Arial" w:cs="Arial"/>
          <w:color w:val="000000"/>
          <w:sz w:val="24"/>
          <w:szCs w:val="24"/>
          <w:lang w:eastAsia="en-GB"/>
        </w:rPr>
        <w:t>Exeter: Learning Matters.</w:t>
      </w:r>
    </w:p>
    <w:p w14:paraId="735BA0B2"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Dunne, J. and Finalay, F. (2016) ‘G625 Multi-agency safeguarding hub – a new way of working’, </w:t>
      </w:r>
      <w:r w:rsidRPr="00D955E0">
        <w:rPr>
          <w:rFonts w:ascii="Arial" w:eastAsia="Times New Roman" w:hAnsi="Arial" w:cs="Arial"/>
          <w:i/>
          <w:iCs/>
          <w:color w:val="222222"/>
          <w:sz w:val="24"/>
          <w:szCs w:val="24"/>
          <w:lang w:eastAsia="en-GB"/>
        </w:rPr>
        <w:t>Archives of disease in childhood, </w:t>
      </w:r>
      <w:r w:rsidRPr="00D955E0">
        <w:rPr>
          <w:rFonts w:ascii="Arial" w:eastAsia="Times New Roman" w:hAnsi="Arial" w:cs="Arial"/>
          <w:color w:val="222222"/>
          <w:sz w:val="24"/>
          <w:szCs w:val="24"/>
          <w:lang w:eastAsia="en-GB"/>
        </w:rPr>
        <w:t>101(1), p. 369.</w:t>
      </w:r>
    </w:p>
    <w:p w14:paraId="1D30C740"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73589C04"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Every Child Matters (2005) </w:t>
      </w:r>
      <w:r w:rsidRPr="00D955E0">
        <w:rPr>
          <w:rFonts w:ascii="Arial" w:eastAsia="Times New Roman" w:hAnsi="Arial" w:cs="Arial"/>
          <w:i/>
          <w:iCs/>
          <w:color w:val="222222"/>
          <w:sz w:val="24"/>
          <w:szCs w:val="24"/>
          <w:lang w:eastAsia="en-GB"/>
        </w:rPr>
        <w:t>Multi-agency working. </w:t>
      </w:r>
      <w:r w:rsidRPr="00D955E0">
        <w:rPr>
          <w:rFonts w:ascii="Arial" w:eastAsia="Times New Roman" w:hAnsi="Arial" w:cs="Arial"/>
          <w:color w:val="222222"/>
          <w:sz w:val="24"/>
          <w:szCs w:val="24"/>
          <w:lang w:eastAsia="en-GB"/>
        </w:rPr>
        <w:t>Available at: </w:t>
      </w:r>
      <w:hyperlink r:id="rId9" w:tgtFrame="_blank" w:history="1">
        <w:r w:rsidRPr="00D955E0">
          <w:rPr>
            <w:rFonts w:ascii="Arial" w:eastAsia="Times New Roman" w:hAnsi="Arial" w:cs="Arial"/>
            <w:color w:val="1155CC"/>
            <w:sz w:val="24"/>
            <w:szCs w:val="24"/>
            <w:u w:val="single"/>
            <w:lang w:eastAsia="en-GB"/>
          </w:rPr>
          <w:t>https://www.wokingham.gov.uk/EasysiteWeb/getresource.axd?AssetID=75433&amp;</w:t>
        </w:r>
      </w:hyperlink>
      <w:r w:rsidRPr="00D955E0">
        <w:rPr>
          <w:rFonts w:ascii="Arial" w:eastAsia="Times New Roman" w:hAnsi="Arial" w:cs="Arial"/>
          <w:color w:val="222222"/>
          <w:sz w:val="24"/>
          <w:szCs w:val="24"/>
          <w:lang w:eastAsia="en-GB"/>
        </w:rPr>
        <w:t> (Accessed: 15 February 2021).</w:t>
      </w:r>
    </w:p>
    <w:p w14:paraId="29664761"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53CD2CE1"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Fox, C. and Butler, G. (2004) ‘Partnerships: where next?’, </w:t>
      </w:r>
      <w:r w:rsidRPr="00D955E0">
        <w:rPr>
          <w:rFonts w:ascii="Arial" w:eastAsia="Times New Roman" w:hAnsi="Arial" w:cs="Arial"/>
          <w:i/>
          <w:iCs/>
          <w:color w:val="000000"/>
          <w:sz w:val="24"/>
          <w:szCs w:val="24"/>
          <w:lang w:eastAsia="en-GB"/>
        </w:rPr>
        <w:t>Community Safety Journal, </w:t>
      </w:r>
      <w:r w:rsidRPr="00D955E0">
        <w:rPr>
          <w:rFonts w:ascii="Arial" w:eastAsia="Times New Roman" w:hAnsi="Arial" w:cs="Arial"/>
          <w:color w:val="000000"/>
          <w:sz w:val="24"/>
          <w:szCs w:val="24"/>
          <w:lang w:eastAsia="en-GB"/>
        </w:rPr>
        <w:t>3(3), pp. 36-44.</w:t>
      </w:r>
    </w:p>
    <w:p w14:paraId="013F8903"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7D77E053"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Gasper, M. (2010) </w:t>
      </w:r>
      <w:r w:rsidRPr="00D955E0">
        <w:rPr>
          <w:rFonts w:ascii="Arial" w:eastAsia="Times New Roman" w:hAnsi="Arial" w:cs="Arial"/>
          <w:i/>
          <w:iCs/>
          <w:color w:val="000000"/>
          <w:sz w:val="24"/>
          <w:szCs w:val="24"/>
          <w:lang w:eastAsia="en-GB"/>
        </w:rPr>
        <w:t xml:space="preserve">Multi-agency working in the early </w:t>
      </w:r>
      <w:proofErr w:type="gramStart"/>
      <w:r w:rsidRPr="00D955E0">
        <w:rPr>
          <w:rFonts w:ascii="Arial" w:eastAsia="Times New Roman" w:hAnsi="Arial" w:cs="Arial"/>
          <w:i/>
          <w:iCs/>
          <w:color w:val="000000"/>
          <w:sz w:val="24"/>
          <w:szCs w:val="24"/>
          <w:lang w:eastAsia="en-GB"/>
        </w:rPr>
        <w:t>years</w:t>
      </w:r>
      <w:proofErr w:type="gramEnd"/>
      <w:r w:rsidRPr="00D955E0">
        <w:rPr>
          <w:rFonts w:ascii="Arial" w:eastAsia="Times New Roman" w:hAnsi="Arial" w:cs="Arial"/>
          <w:i/>
          <w:iCs/>
          <w:color w:val="000000"/>
          <w:sz w:val="24"/>
          <w:szCs w:val="24"/>
          <w:lang w:eastAsia="en-GB"/>
        </w:rPr>
        <w:t xml:space="preserve"> challenges and opportunities. </w:t>
      </w:r>
      <w:r w:rsidRPr="00D955E0">
        <w:rPr>
          <w:rFonts w:ascii="Arial" w:eastAsia="Times New Roman" w:hAnsi="Arial" w:cs="Arial"/>
          <w:color w:val="000000"/>
          <w:sz w:val="24"/>
          <w:szCs w:val="24"/>
          <w:lang w:eastAsia="en-GB"/>
        </w:rPr>
        <w:t>London: SAGE.</w:t>
      </w:r>
    </w:p>
    <w:p w14:paraId="7AE5BEBF"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5AD38EA9"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Hobart, C. and Frankel, J. (2010) </w:t>
      </w:r>
      <w:r w:rsidRPr="00D955E0">
        <w:rPr>
          <w:rFonts w:ascii="Arial" w:eastAsia="Times New Roman" w:hAnsi="Arial" w:cs="Arial"/>
          <w:i/>
          <w:iCs/>
          <w:color w:val="222222"/>
          <w:sz w:val="24"/>
          <w:szCs w:val="24"/>
          <w:lang w:eastAsia="en-GB"/>
        </w:rPr>
        <w:t>Good practice in safeguarding children. </w:t>
      </w:r>
      <w:r w:rsidRPr="00D955E0">
        <w:rPr>
          <w:rFonts w:ascii="Arial" w:eastAsia="Times New Roman" w:hAnsi="Arial" w:cs="Arial"/>
          <w:color w:val="222222"/>
          <w:sz w:val="24"/>
          <w:szCs w:val="24"/>
          <w:lang w:eastAsia="en-GB"/>
        </w:rPr>
        <w:t>3</w:t>
      </w:r>
      <w:r w:rsidRPr="00D955E0">
        <w:rPr>
          <w:rFonts w:ascii="Arial" w:eastAsia="Times New Roman" w:hAnsi="Arial" w:cs="Arial"/>
          <w:color w:val="222222"/>
          <w:sz w:val="24"/>
          <w:szCs w:val="24"/>
          <w:vertAlign w:val="superscript"/>
          <w:lang w:eastAsia="en-GB"/>
        </w:rPr>
        <w:t>rd</w:t>
      </w:r>
      <w:r w:rsidRPr="00D955E0">
        <w:rPr>
          <w:rFonts w:ascii="Arial" w:eastAsia="Times New Roman" w:hAnsi="Arial" w:cs="Arial"/>
          <w:color w:val="222222"/>
          <w:sz w:val="24"/>
          <w:szCs w:val="24"/>
          <w:lang w:eastAsia="en-GB"/>
        </w:rPr>
        <w:t> ed. Cheltenham: Nelson Thornes.</w:t>
      </w:r>
    </w:p>
    <w:p w14:paraId="0114CB2E"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lastRenderedPageBreak/>
        <w:t> </w:t>
      </w:r>
    </w:p>
    <w:p w14:paraId="15C358C3"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Home Office (2014) </w:t>
      </w:r>
      <w:r w:rsidRPr="00D955E0">
        <w:rPr>
          <w:rFonts w:ascii="Arial" w:eastAsia="Times New Roman" w:hAnsi="Arial" w:cs="Arial"/>
          <w:i/>
          <w:iCs/>
          <w:color w:val="222222"/>
          <w:sz w:val="24"/>
          <w:szCs w:val="24"/>
          <w:lang w:eastAsia="en-GB"/>
        </w:rPr>
        <w:t>Multi Agency Working and Information Sharing Final Report. </w:t>
      </w:r>
      <w:r w:rsidRPr="00D955E0">
        <w:rPr>
          <w:rFonts w:ascii="Arial" w:eastAsia="Times New Roman" w:hAnsi="Arial" w:cs="Arial"/>
          <w:color w:val="222222"/>
          <w:sz w:val="24"/>
          <w:szCs w:val="24"/>
          <w:lang w:eastAsia="en-GB"/>
        </w:rPr>
        <w:t>Available at: </w:t>
      </w:r>
      <w:hyperlink r:id="rId10" w:tgtFrame="_blank" w:history="1">
        <w:r w:rsidRPr="00D955E0">
          <w:rPr>
            <w:rFonts w:ascii="Arial" w:eastAsia="Times New Roman" w:hAnsi="Arial" w:cs="Arial"/>
            <w:color w:val="1155CC"/>
            <w:sz w:val="24"/>
            <w:szCs w:val="24"/>
            <w:u w:val="single"/>
            <w:lang w:eastAsia="en-GB"/>
          </w:rPr>
          <w:t>https://assets.publishing.service.gov.uk/government/uploads/system/uploads/attachment_data/file/338875/MASH.pdf</w:t>
        </w:r>
      </w:hyperlink>
      <w:r w:rsidRPr="00D955E0">
        <w:rPr>
          <w:rFonts w:ascii="Arial" w:eastAsia="Times New Roman" w:hAnsi="Arial" w:cs="Arial"/>
          <w:color w:val="222222"/>
          <w:sz w:val="24"/>
          <w:szCs w:val="24"/>
          <w:lang w:eastAsia="en-GB"/>
        </w:rPr>
        <w:t> (Accessed: 18 February 2021).</w:t>
      </w:r>
    </w:p>
    <w:p w14:paraId="0230FB66"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2C292CC5"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Hughes, L. and Owen, H. (2009) </w:t>
      </w:r>
      <w:r w:rsidRPr="00D955E0">
        <w:rPr>
          <w:rFonts w:ascii="Arial" w:eastAsia="Times New Roman" w:hAnsi="Arial" w:cs="Arial"/>
          <w:i/>
          <w:iCs/>
          <w:color w:val="222222"/>
          <w:sz w:val="24"/>
          <w:szCs w:val="24"/>
          <w:lang w:eastAsia="en-GB"/>
        </w:rPr>
        <w:t>Good practice in safeguarding children working effectively in child protection. </w:t>
      </w:r>
      <w:r w:rsidRPr="00D955E0">
        <w:rPr>
          <w:rFonts w:ascii="Arial" w:eastAsia="Times New Roman" w:hAnsi="Arial" w:cs="Arial"/>
          <w:color w:val="222222"/>
          <w:sz w:val="24"/>
          <w:szCs w:val="24"/>
          <w:lang w:eastAsia="en-GB"/>
        </w:rPr>
        <w:t>London: Jessica Kingsley Publishers.</w:t>
      </w:r>
    </w:p>
    <w:p w14:paraId="42A73FF2"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254D0CDB"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Laming, L. (2003) </w:t>
      </w:r>
      <w:r w:rsidRPr="00D955E0">
        <w:rPr>
          <w:rFonts w:ascii="Arial" w:eastAsia="Times New Roman" w:hAnsi="Arial" w:cs="Arial"/>
          <w:i/>
          <w:iCs/>
          <w:color w:val="222222"/>
          <w:sz w:val="24"/>
          <w:szCs w:val="24"/>
          <w:lang w:eastAsia="en-GB"/>
        </w:rPr>
        <w:t>The Victoria Climbie Inquiry: report of an inquiry by Lord Laming. </w:t>
      </w:r>
      <w:r w:rsidRPr="00D955E0">
        <w:rPr>
          <w:rFonts w:ascii="Arial" w:eastAsia="Times New Roman" w:hAnsi="Arial" w:cs="Arial"/>
          <w:color w:val="222222"/>
          <w:sz w:val="24"/>
          <w:szCs w:val="24"/>
          <w:lang w:eastAsia="en-GB"/>
        </w:rPr>
        <w:t>Available at: </w:t>
      </w:r>
      <w:hyperlink r:id="rId11" w:tgtFrame="_blank" w:history="1">
        <w:r w:rsidRPr="00D955E0">
          <w:rPr>
            <w:rFonts w:ascii="Arial" w:eastAsia="Times New Roman" w:hAnsi="Arial" w:cs="Arial"/>
            <w:color w:val="1155CC"/>
            <w:sz w:val="24"/>
            <w:szCs w:val="24"/>
            <w:u w:val="single"/>
            <w:lang w:eastAsia="en-GB"/>
          </w:rPr>
          <w:t>https://www.gov.uk/government/publications/the-victoria-climbie-inquiry-report-of-an-inquiry-by-lord-laming</w:t>
        </w:r>
      </w:hyperlink>
      <w:r w:rsidRPr="00D955E0">
        <w:rPr>
          <w:rFonts w:ascii="Arial" w:eastAsia="Times New Roman" w:hAnsi="Arial" w:cs="Arial"/>
          <w:color w:val="222222"/>
          <w:sz w:val="24"/>
          <w:szCs w:val="24"/>
          <w:lang w:eastAsia="en-GB"/>
        </w:rPr>
        <w:t> (Accessed: 20 February 2021).</w:t>
      </w:r>
    </w:p>
    <w:p w14:paraId="17F2F8F0"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5F44DEAF"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London Child Protection Procedures (2021) </w:t>
      </w:r>
      <w:r w:rsidRPr="00D955E0">
        <w:rPr>
          <w:rFonts w:ascii="Arial" w:eastAsia="Times New Roman" w:hAnsi="Arial" w:cs="Arial"/>
          <w:i/>
          <w:iCs/>
          <w:color w:val="222222"/>
          <w:sz w:val="24"/>
          <w:szCs w:val="24"/>
          <w:lang w:eastAsia="en-GB"/>
        </w:rPr>
        <w:t>Implementation of Child Protection Plans. </w:t>
      </w:r>
      <w:r w:rsidRPr="00D955E0">
        <w:rPr>
          <w:rFonts w:ascii="Arial" w:eastAsia="Times New Roman" w:hAnsi="Arial" w:cs="Arial"/>
          <w:color w:val="222222"/>
          <w:sz w:val="24"/>
          <w:szCs w:val="24"/>
          <w:lang w:eastAsia="en-GB"/>
        </w:rPr>
        <w:t>Available: </w:t>
      </w:r>
      <w:hyperlink r:id="rId12" w:anchor="5.4-the-lead-social-worker-role" w:tgtFrame="_blank" w:history="1">
        <w:r w:rsidRPr="00D955E0">
          <w:rPr>
            <w:rFonts w:ascii="Arial" w:eastAsia="Times New Roman" w:hAnsi="Arial" w:cs="Arial"/>
            <w:color w:val="1155CC"/>
            <w:sz w:val="24"/>
            <w:szCs w:val="24"/>
            <w:u w:val="single"/>
            <w:lang w:eastAsia="en-GB"/>
          </w:rPr>
          <w:t>https://www.londoncp.co.uk/imp_chi_prot.html#5.4-the-lead-social-worker-role</w:t>
        </w:r>
      </w:hyperlink>
      <w:r w:rsidRPr="00D955E0">
        <w:rPr>
          <w:rFonts w:ascii="Arial" w:eastAsia="Times New Roman" w:hAnsi="Arial" w:cs="Arial"/>
          <w:color w:val="222222"/>
          <w:sz w:val="24"/>
          <w:szCs w:val="24"/>
          <w:lang w:eastAsia="en-GB"/>
        </w:rPr>
        <w:t> (Accessed: 22 February 2021).</w:t>
      </w:r>
    </w:p>
    <w:p w14:paraId="701FD50F"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103D9976"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Mercer, M. (2003) </w:t>
      </w:r>
      <w:r w:rsidRPr="00D955E0">
        <w:rPr>
          <w:rFonts w:ascii="Arial" w:eastAsia="Times New Roman" w:hAnsi="Arial" w:cs="Arial"/>
          <w:i/>
          <w:iCs/>
          <w:color w:val="000000"/>
          <w:sz w:val="24"/>
          <w:szCs w:val="24"/>
          <w:lang w:eastAsia="en-GB"/>
        </w:rPr>
        <w:t>Person Centred Planning. Helping People with Disabilities Achieve Personal Outcomes. </w:t>
      </w:r>
      <w:r w:rsidRPr="00D955E0">
        <w:rPr>
          <w:rFonts w:ascii="Arial" w:eastAsia="Times New Roman" w:hAnsi="Arial" w:cs="Arial"/>
          <w:color w:val="000000"/>
          <w:sz w:val="24"/>
          <w:szCs w:val="24"/>
          <w:lang w:eastAsia="en-GB"/>
        </w:rPr>
        <w:t>Illinois: High Tide Press.</w:t>
      </w:r>
    </w:p>
    <w:p w14:paraId="263504D5"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5B07255C"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Moran, P. et al. (2007) ‘Multi-agency working: implications for an early-intervention social work team’, </w:t>
      </w:r>
      <w:r w:rsidRPr="00D955E0">
        <w:rPr>
          <w:rFonts w:ascii="Arial" w:eastAsia="Times New Roman" w:hAnsi="Arial" w:cs="Arial"/>
          <w:i/>
          <w:iCs/>
          <w:color w:val="000000"/>
          <w:sz w:val="24"/>
          <w:szCs w:val="24"/>
          <w:lang w:eastAsia="en-GB"/>
        </w:rPr>
        <w:t>Children and Family Social Work, </w:t>
      </w:r>
      <w:r w:rsidRPr="00D955E0">
        <w:rPr>
          <w:rFonts w:ascii="Arial" w:eastAsia="Times New Roman" w:hAnsi="Arial" w:cs="Arial"/>
          <w:color w:val="000000"/>
          <w:sz w:val="24"/>
          <w:szCs w:val="24"/>
          <w:lang w:eastAsia="en-GB"/>
        </w:rPr>
        <w:t>12(2), pp. 143-151.</w:t>
      </w:r>
    </w:p>
    <w:p w14:paraId="3C312D4A"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45A334D1"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O’Brien, J. and O’Brien, L. (2000) </w:t>
      </w:r>
      <w:r w:rsidRPr="00D955E0">
        <w:rPr>
          <w:rFonts w:ascii="Arial" w:eastAsia="Times New Roman" w:hAnsi="Arial" w:cs="Arial"/>
          <w:i/>
          <w:iCs/>
          <w:color w:val="222222"/>
          <w:sz w:val="24"/>
          <w:szCs w:val="24"/>
          <w:lang w:eastAsia="en-GB"/>
        </w:rPr>
        <w:t>A Little Book About Person Centred Planning</w:t>
      </w:r>
      <w:r w:rsidRPr="00D955E0">
        <w:rPr>
          <w:rFonts w:ascii="Arial" w:eastAsia="Times New Roman" w:hAnsi="Arial" w:cs="Arial"/>
          <w:color w:val="222222"/>
          <w:sz w:val="24"/>
          <w:szCs w:val="24"/>
          <w:lang w:eastAsia="en-GB"/>
        </w:rPr>
        <w:t>. Ontario: Inclusion Press.</w:t>
      </w:r>
    </w:p>
    <w:p w14:paraId="212E13F7"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7FC09CA1"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Paquette, D. and Ryan, J. </w:t>
      </w:r>
      <w:r w:rsidRPr="00D955E0">
        <w:rPr>
          <w:rFonts w:ascii="Arial" w:eastAsia="Times New Roman" w:hAnsi="Arial" w:cs="Arial"/>
          <w:i/>
          <w:iCs/>
          <w:color w:val="222222"/>
          <w:sz w:val="24"/>
          <w:szCs w:val="24"/>
          <w:lang w:eastAsia="en-GB"/>
        </w:rPr>
        <w:t>Bronfenbrenner’s Ecological Systems Theory. </w:t>
      </w:r>
      <w:r w:rsidRPr="00D955E0">
        <w:rPr>
          <w:rFonts w:ascii="Arial" w:eastAsia="Times New Roman" w:hAnsi="Arial" w:cs="Arial"/>
          <w:color w:val="222222"/>
          <w:sz w:val="24"/>
          <w:szCs w:val="24"/>
          <w:lang w:eastAsia="en-GB"/>
        </w:rPr>
        <w:t>Available at: </w:t>
      </w:r>
      <w:hyperlink r:id="rId13" w:tgtFrame="_blank" w:history="1">
        <w:r w:rsidRPr="00D955E0">
          <w:rPr>
            <w:rFonts w:ascii="Arial" w:eastAsia="Times New Roman" w:hAnsi="Arial" w:cs="Arial"/>
            <w:color w:val="1155CC"/>
            <w:sz w:val="24"/>
            <w:szCs w:val="24"/>
            <w:u w:val="single"/>
            <w:lang w:eastAsia="en-GB"/>
          </w:rPr>
          <w:t>https://d1wqtxts1xzle7.cloudfront.net/44165922/bronfenbrenners_ecological.pdf?1459170051=&amp;response-content-disposition=inline%3B+filename%3DBronfenbrenners_Ecological_Systems_Theor.p</w:t>
        </w:r>
      </w:hyperlink>
      <w:r w:rsidRPr="00D955E0">
        <w:rPr>
          <w:rFonts w:ascii="Arial" w:eastAsia="Times New Roman" w:hAnsi="Arial" w:cs="Arial"/>
          <w:color w:val="222222"/>
          <w:sz w:val="24"/>
          <w:szCs w:val="24"/>
          <w:lang w:eastAsia="en-GB"/>
        </w:rPr>
        <w:t> (Accessed: 18 February 2021).</w:t>
      </w:r>
    </w:p>
    <w:p w14:paraId="1B45CBA5"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5FA235DB"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xml:space="preserve">Percy-Smith, J. (2006) ‘What Works in Strategic Partnerships for Children: </w:t>
      </w:r>
      <w:proofErr w:type="gramStart"/>
      <w:r w:rsidRPr="00D955E0">
        <w:rPr>
          <w:rFonts w:ascii="Arial" w:eastAsia="Times New Roman" w:hAnsi="Arial" w:cs="Arial"/>
          <w:color w:val="000000"/>
          <w:sz w:val="24"/>
          <w:szCs w:val="24"/>
          <w:lang w:eastAsia="en-GB"/>
        </w:rPr>
        <w:t>a</w:t>
      </w:r>
      <w:proofErr w:type="gramEnd"/>
      <w:r w:rsidRPr="00D955E0">
        <w:rPr>
          <w:rFonts w:ascii="Arial" w:eastAsia="Times New Roman" w:hAnsi="Arial" w:cs="Arial"/>
          <w:color w:val="000000"/>
          <w:sz w:val="24"/>
          <w:szCs w:val="24"/>
          <w:lang w:eastAsia="en-GB"/>
        </w:rPr>
        <w:t xml:space="preserve"> Research Review’, </w:t>
      </w:r>
      <w:r w:rsidRPr="00D955E0">
        <w:rPr>
          <w:rFonts w:ascii="Arial" w:eastAsia="Times New Roman" w:hAnsi="Arial" w:cs="Arial"/>
          <w:i/>
          <w:iCs/>
          <w:color w:val="000000"/>
          <w:sz w:val="24"/>
          <w:szCs w:val="24"/>
          <w:lang w:eastAsia="en-GB"/>
        </w:rPr>
        <w:t>Children &amp; Society, </w:t>
      </w:r>
      <w:r w:rsidRPr="00D955E0">
        <w:rPr>
          <w:rFonts w:ascii="Arial" w:eastAsia="Times New Roman" w:hAnsi="Arial" w:cs="Arial"/>
          <w:color w:val="000000"/>
          <w:sz w:val="24"/>
          <w:szCs w:val="24"/>
          <w:lang w:eastAsia="en-GB"/>
        </w:rPr>
        <w:t>20(4), pp. 313-323.</w:t>
      </w:r>
    </w:p>
    <w:p w14:paraId="6CF9063F"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 </w:t>
      </w:r>
    </w:p>
    <w:p w14:paraId="28718A1C"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000000"/>
          <w:sz w:val="24"/>
          <w:szCs w:val="24"/>
          <w:lang w:eastAsia="en-GB"/>
        </w:rPr>
        <w:t>Sanderson, H. (2015) </w:t>
      </w:r>
      <w:r w:rsidRPr="00D955E0">
        <w:rPr>
          <w:rFonts w:ascii="Arial" w:eastAsia="Times New Roman" w:hAnsi="Arial" w:cs="Arial"/>
          <w:i/>
          <w:iCs/>
          <w:color w:val="000000"/>
          <w:sz w:val="24"/>
          <w:szCs w:val="24"/>
          <w:lang w:eastAsia="en-GB"/>
        </w:rPr>
        <w:t>Helen Sanderson Associates</w:t>
      </w:r>
      <w:r w:rsidRPr="00D955E0">
        <w:rPr>
          <w:rFonts w:ascii="Arial" w:eastAsia="Times New Roman" w:hAnsi="Arial" w:cs="Arial"/>
          <w:color w:val="000000"/>
          <w:sz w:val="24"/>
          <w:szCs w:val="24"/>
          <w:lang w:eastAsia="en-GB"/>
        </w:rPr>
        <w:t>. Available at </w:t>
      </w:r>
      <w:hyperlink r:id="rId14" w:tgtFrame="_blank" w:history="1">
        <w:r w:rsidRPr="00D955E0">
          <w:rPr>
            <w:rFonts w:ascii="Arial" w:eastAsia="Times New Roman" w:hAnsi="Arial" w:cs="Arial"/>
            <w:color w:val="000000"/>
            <w:sz w:val="24"/>
            <w:szCs w:val="24"/>
            <w:u w:val="single"/>
            <w:lang w:eastAsia="en-GB"/>
          </w:rPr>
          <w:t>http://www.helensandersonassociates.co.uk/</w:t>
        </w:r>
      </w:hyperlink>
      <w:r w:rsidRPr="00D955E0">
        <w:rPr>
          <w:rFonts w:ascii="Arial" w:eastAsia="Times New Roman" w:hAnsi="Arial" w:cs="Arial"/>
          <w:color w:val="000000"/>
          <w:sz w:val="24"/>
          <w:szCs w:val="24"/>
          <w:lang w:eastAsia="en-GB"/>
        </w:rPr>
        <w:t>. (Accessed: 29 February 2021).</w:t>
      </w:r>
    </w:p>
    <w:p w14:paraId="26CC2B51"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01A67F6C"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Shorrock, S. and Mcmanus, M. and Kirby, S. (2019) ‘Practitioner perspectives of multi-agency safeguarding hubs (MASH)’, </w:t>
      </w:r>
      <w:r w:rsidRPr="00D955E0">
        <w:rPr>
          <w:rFonts w:ascii="Arial" w:eastAsia="Times New Roman" w:hAnsi="Arial" w:cs="Arial"/>
          <w:i/>
          <w:iCs/>
          <w:color w:val="222222"/>
          <w:sz w:val="24"/>
          <w:szCs w:val="24"/>
          <w:lang w:eastAsia="en-GB"/>
        </w:rPr>
        <w:t>The Journal of Adult Protection, </w:t>
      </w:r>
      <w:r w:rsidRPr="00D955E0">
        <w:rPr>
          <w:rFonts w:ascii="Arial" w:eastAsia="Times New Roman" w:hAnsi="Arial" w:cs="Arial"/>
          <w:color w:val="222222"/>
          <w:sz w:val="24"/>
          <w:szCs w:val="24"/>
          <w:lang w:eastAsia="en-GB"/>
        </w:rPr>
        <w:t>pp. 1-24. DOI: 0000.0002.3049.1248.</w:t>
      </w:r>
    </w:p>
    <w:p w14:paraId="6B73002A"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35DA325C"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The Social Care Institute of Excellence (2021) </w:t>
      </w:r>
      <w:r w:rsidRPr="00D955E0">
        <w:rPr>
          <w:rFonts w:ascii="Arial" w:eastAsia="Times New Roman" w:hAnsi="Arial" w:cs="Arial"/>
          <w:i/>
          <w:iCs/>
          <w:color w:val="222222"/>
          <w:sz w:val="24"/>
          <w:szCs w:val="24"/>
          <w:lang w:eastAsia="en-GB"/>
        </w:rPr>
        <w:t>Multi-agency working. </w:t>
      </w:r>
      <w:r w:rsidRPr="00D955E0">
        <w:rPr>
          <w:rFonts w:ascii="Arial" w:eastAsia="Times New Roman" w:hAnsi="Arial" w:cs="Arial"/>
          <w:color w:val="222222"/>
          <w:sz w:val="24"/>
          <w:szCs w:val="24"/>
          <w:lang w:eastAsia="en-GB"/>
        </w:rPr>
        <w:t>Available at: </w:t>
      </w:r>
      <w:hyperlink r:id="rId15" w:anchor=":~:text=Multi%2Dagency%20working%20is%20about,on%20an%20ad%20hoc%20basis" w:tgtFrame="_blank" w:history="1">
        <w:r w:rsidRPr="00D955E0">
          <w:rPr>
            <w:rFonts w:ascii="Arial" w:eastAsia="Times New Roman" w:hAnsi="Arial" w:cs="Arial"/>
            <w:color w:val="1155CC"/>
            <w:sz w:val="24"/>
            <w:szCs w:val="24"/>
            <w:u w:val="single"/>
            <w:lang w:eastAsia="en-GB"/>
          </w:rPr>
          <w:t>https://www.scie.org.uk/publications/nqswtool/multiagencyworking/#:~:text=Multi%2Dagency%20working%20is%20about,on%20an%20ad%20hoc%20basis</w:t>
        </w:r>
      </w:hyperlink>
      <w:r w:rsidRPr="00D955E0">
        <w:rPr>
          <w:rFonts w:ascii="Arial" w:eastAsia="Times New Roman" w:hAnsi="Arial" w:cs="Arial"/>
          <w:color w:val="222222"/>
          <w:sz w:val="24"/>
          <w:szCs w:val="24"/>
          <w:lang w:eastAsia="en-GB"/>
        </w:rPr>
        <w:t> (Accessed: 15 February 2021).</w:t>
      </w:r>
    </w:p>
    <w:p w14:paraId="0ECAD668"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1690053D"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Tower Hamlets Psychology Service (2015) </w:t>
      </w:r>
      <w:r w:rsidRPr="00D955E0">
        <w:rPr>
          <w:rFonts w:ascii="Arial" w:eastAsia="Times New Roman" w:hAnsi="Arial" w:cs="Arial"/>
          <w:i/>
          <w:iCs/>
          <w:color w:val="222222"/>
          <w:sz w:val="24"/>
          <w:szCs w:val="24"/>
          <w:lang w:eastAsia="en-GB"/>
        </w:rPr>
        <w:t>Person centred planning with children and young people. </w:t>
      </w:r>
      <w:r w:rsidRPr="00D955E0">
        <w:rPr>
          <w:rFonts w:ascii="Arial" w:eastAsia="Times New Roman" w:hAnsi="Arial" w:cs="Arial"/>
          <w:color w:val="222222"/>
          <w:sz w:val="24"/>
          <w:szCs w:val="24"/>
          <w:lang w:eastAsia="en-GB"/>
        </w:rPr>
        <w:t xml:space="preserve">Available </w:t>
      </w:r>
      <w:r w:rsidRPr="00D955E0">
        <w:rPr>
          <w:rFonts w:ascii="Arial" w:eastAsia="Times New Roman" w:hAnsi="Arial" w:cs="Arial"/>
          <w:color w:val="222222"/>
          <w:sz w:val="24"/>
          <w:szCs w:val="24"/>
          <w:lang w:eastAsia="en-GB"/>
        </w:rPr>
        <w:lastRenderedPageBreak/>
        <w:t>at: </w:t>
      </w:r>
      <w:hyperlink r:id="rId16" w:tgtFrame="_blank" w:history="1">
        <w:r w:rsidRPr="00D955E0">
          <w:rPr>
            <w:rFonts w:ascii="Arial" w:eastAsia="Times New Roman" w:hAnsi="Arial" w:cs="Arial"/>
            <w:color w:val="1155CC"/>
            <w:sz w:val="24"/>
            <w:szCs w:val="24"/>
            <w:u w:val="single"/>
            <w:lang w:eastAsia="en-GB"/>
          </w:rPr>
          <w:t>https://www.towerhamlets.gov.uk/Documents/Children-and-families-services/Early-Years/TH_PCP_Model.pdf</w:t>
        </w:r>
      </w:hyperlink>
      <w:r w:rsidRPr="00D955E0">
        <w:rPr>
          <w:rFonts w:ascii="Arial" w:eastAsia="Times New Roman" w:hAnsi="Arial" w:cs="Arial"/>
          <w:color w:val="222222"/>
          <w:sz w:val="24"/>
          <w:szCs w:val="24"/>
          <w:lang w:eastAsia="en-GB"/>
        </w:rPr>
        <w:t> (Accessed: 29 Febuary 2021).</w:t>
      </w:r>
    </w:p>
    <w:p w14:paraId="2E25A424"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 </w:t>
      </w:r>
    </w:p>
    <w:p w14:paraId="7516CEA5"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Welsh Government (2016) </w:t>
      </w:r>
      <w:r w:rsidRPr="00D955E0">
        <w:rPr>
          <w:rFonts w:ascii="Arial" w:eastAsia="Times New Roman" w:hAnsi="Arial" w:cs="Arial"/>
          <w:i/>
          <w:iCs/>
          <w:color w:val="222222"/>
          <w:sz w:val="24"/>
          <w:szCs w:val="24"/>
          <w:lang w:eastAsia="en-GB"/>
        </w:rPr>
        <w:t>Social Services and Well-Being Wales Act 2014. </w:t>
      </w:r>
      <w:r w:rsidRPr="00D955E0">
        <w:rPr>
          <w:rFonts w:ascii="Arial" w:eastAsia="Times New Roman" w:hAnsi="Arial" w:cs="Arial"/>
          <w:color w:val="222222"/>
          <w:sz w:val="24"/>
          <w:szCs w:val="24"/>
          <w:lang w:eastAsia="en-GB"/>
        </w:rPr>
        <w:t>Available at: </w:t>
      </w:r>
      <w:hyperlink r:id="rId17" w:tgtFrame="_blank" w:history="1">
        <w:r w:rsidRPr="00D955E0">
          <w:rPr>
            <w:rFonts w:ascii="Arial" w:eastAsia="Times New Roman" w:hAnsi="Arial" w:cs="Arial"/>
            <w:color w:val="1155CC"/>
            <w:sz w:val="24"/>
            <w:szCs w:val="24"/>
            <w:u w:val="single"/>
            <w:lang w:eastAsia="en-GB"/>
          </w:rPr>
          <w:t>https://gov.wales/sites/default/files/publications/2019-05/social-services-and-well-being-wales-act-2014-the-essentials.pdf</w:t>
        </w:r>
      </w:hyperlink>
      <w:r w:rsidRPr="00D955E0">
        <w:rPr>
          <w:rFonts w:ascii="Arial" w:eastAsia="Times New Roman" w:hAnsi="Arial" w:cs="Arial"/>
          <w:color w:val="222222"/>
          <w:sz w:val="24"/>
          <w:szCs w:val="24"/>
          <w:lang w:eastAsia="en-GB"/>
        </w:rPr>
        <w:t> (Accessed: 21 February 2021).</w:t>
      </w:r>
    </w:p>
    <w:p w14:paraId="07027A6B" w14:textId="77777777" w:rsidR="00D955E0" w:rsidRPr="00D955E0" w:rsidRDefault="00D955E0" w:rsidP="00D955E0">
      <w:pPr>
        <w:shd w:val="clear" w:color="auto" w:fill="FFFFFF"/>
        <w:spacing w:after="0" w:line="240" w:lineRule="auto"/>
        <w:rPr>
          <w:rFonts w:ascii="Arial" w:eastAsia="Times New Roman" w:hAnsi="Arial" w:cs="Arial"/>
          <w:color w:val="222222"/>
          <w:sz w:val="24"/>
          <w:szCs w:val="24"/>
          <w:lang w:eastAsia="en-GB"/>
        </w:rPr>
      </w:pPr>
      <w:r w:rsidRPr="00D955E0">
        <w:rPr>
          <w:rFonts w:ascii="Arial" w:eastAsia="Times New Roman" w:hAnsi="Arial" w:cs="Arial"/>
          <w:color w:val="222222"/>
          <w:sz w:val="24"/>
          <w:szCs w:val="24"/>
          <w:lang w:eastAsia="en-GB"/>
        </w:rPr>
        <w:t>Welsh Government (2018) </w:t>
      </w:r>
      <w:r w:rsidRPr="00D955E0">
        <w:rPr>
          <w:rFonts w:ascii="Arial" w:eastAsia="Times New Roman" w:hAnsi="Arial" w:cs="Arial"/>
          <w:i/>
          <w:iCs/>
          <w:color w:val="222222"/>
          <w:sz w:val="24"/>
          <w:szCs w:val="24"/>
          <w:lang w:eastAsia="en-GB"/>
        </w:rPr>
        <w:t>Additional learning needs (ALN) transformational programme. </w:t>
      </w:r>
      <w:r w:rsidRPr="00D955E0">
        <w:rPr>
          <w:rFonts w:ascii="Arial" w:eastAsia="Times New Roman" w:hAnsi="Arial" w:cs="Arial"/>
          <w:color w:val="222222"/>
          <w:sz w:val="24"/>
          <w:szCs w:val="24"/>
          <w:lang w:eastAsia="en-GB"/>
        </w:rPr>
        <w:t>Available at: </w:t>
      </w:r>
      <w:hyperlink r:id="rId18" w:tgtFrame="_blank" w:history="1">
        <w:r w:rsidRPr="00D955E0">
          <w:rPr>
            <w:rFonts w:ascii="Arial" w:eastAsia="Times New Roman" w:hAnsi="Arial" w:cs="Arial"/>
            <w:color w:val="1155CC"/>
            <w:sz w:val="24"/>
            <w:szCs w:val="24"/>
            <w:u w:val="single"/>
            <w:lang w:eastAsia="en-GB"/>
          </w:rPr>
          <w:t>https://gov.wales/sites/default/files/publications/2019-05/social-services-and-well-being-wales-act-2014-the-essentials.pdf</w:t>
        </w:r>
      </w:hyperlink>
      <w:r w:rsidRPr="00D955E0">
        <w:rPr>
          <w:rFonts w:ascii="Arial" w:eastAsia="Times New Roman" w:hAnsi="Arial" w:cs="Arial"/>
          <w:color w:val="222222"/>
          <w:sz w:val="24"/>
          <w:szCs w:val="24"/>
          <w:lang w:eastAsia="en-GB"/>
        </w:rPr>
        <w:t> (Accessed: 21 February 2021).</w:t>
      </w:r>
    </w:p>
    <w:p w14:paraId="0340DF71" w14:textId="77777777" w:rsidR="004652A0" w:rsidRDefault="004652A0"/>
    <w:sectPr w:rsidR="00465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5E0"/>
    <w:rsid w:val="00015E01"/>
    <w:rsid w:val="002D7EF0"/>
    <w:rsid w:val="004652A0"/>
    <w:rsid w:val="006C640B"/>
    <w:rsid w:val="00D955E0"/>
    <w:rsid w:val="00D97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DF045"/>
  <w15:chartTrackingRefBased/>
  <w15:docId w15:val="{100D0EBE-5742-4D26-B67F-47790DDA6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5607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ncilfordisabledchildren.org.uk/information-advice-and-support-programme/useful-resources-publications-animations/what-person-centred-planning" TargetMode="External"/><Relationship Id="rId13" Type="http://schemas.openxmlformats.org/officeDocument/2006/relationships/hyperlink" Target="https://d1wqtxts1xzle7.cloudfront.net/44165922/bronfenbrenners_ecological.pdf?1459170051=&amp;response-content-disposition=inline%3B+filename%3DBronfenbrenners_Ecological_Systems_Theor.p" TargetMode="External"/><Relationship Id="rId18" Type="http://schemas.openxmlformats.org/officeDocument/2006/relationships/hyperlink" Target="https://gov.wales/sites/default/files/publications/2019-05/social-services-and-well-being-wales-act-2014-the-essentials.pdf" TargetMode="External"/><Relationship Id="rId3" Type="http://schemas.openxmlformats.org/officeDocument/2006/relationships/webSettings" Target="webSettings.xml"/><Relationship Id="rId7" Type="http://schemas.openxmlformats.org/officeDocument/2006/relationships/hyperlink" Target="https://dera.ioe.ac.uk/1853/1/IW129_0310.pdf" TargetMode="External"/><Relationship Id="rId12" Type="http://schemas.openxmlformats.org/officeDocument/2006/relationships/hyperlink" Target="https://www.londoncp.co.uk/imp_chi_prot.html" TargetMode="External"/><Relationship Id="rId17" Type="http://schemas.openxmlformats.org/officeDocument/2006/relationships/hyperlink" Target="https://gov.wales/sites/default/files/publications/2019-05/social-services-and-well-being-wales-act-2014-the-essentials.pdf" TargetMode="External"/><Relationship Id="rId2" Type="http://schemas.openxmlformats.org/officeDocument/2006/relationships/settings" Target="settings.xml"/><Relationship Id="rId16" Type="http://schemas.openxmlformats.org/officeDocument/2006/relationships/hyperlink" Target="https://www.towerhamlets.gov.uk/Documents/Children-and-families-services/Early-Years/TH_PCP_Model.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ridgend.gov.uk/residents/social-care-and-wellbeing/multi-agency-safeguarding-hub-mash/" TargetMode="External"/><Relationship Id="rId11" Type="http://schemas.openxmlformats.org/officeDocument/2006/relationships/hyperlink" Target="https://www.gov.uk/government/publications/the-victoria-climbie-inquiry-report-of-an-inquiry-by-lord-laming" TargetMode="External"/><Relationship Id="rId5" Type="http://schemas.openxmlformats.org/officeDocument/2006/relationships/hyperlink" Target="https://www.nfer.ac.uk/media/2001/mad01.pdf" TargetMode="External"/><Relationship Id="rId15" Type="http://schemas.openxmlformats.org/officeDocument/2006/relationships/hyperlink" Target="https://www.scie.org.uk/publications/nqswtool/multiagencyworking/" TargetMode="External"/><Relationship Id="rId10" Type="http://schemas.openxmlformats.org/officeDocument/2006/relationships/hyperlink" Target="https://assets.publishing.service.gov.uk/government/uploads/system/uploads/attachment_data/file/338875/MASH.pdf" TargetMode="External"/><Relationship Id="rId19" Type="http://schemas.openxmlformats.org/officeDocument/2006/relationships/fontTable" Target="fontTable.xml"/><Relationship Id="rId4" Type="http://schemas.openxmlformats.org/officeDocument/2006/relationships/hyperlink" Target="https://www.nfer.ac.uk/publications/CSS02/CSS02.pdf" TargetMode="External"/><Relationship Id="rId9" Type="http://schemas.openxmlformats.org/officeDocument/2006/relationships/hyperlink" Target="https://www.wokingham.gov.uk/EasysiteWeb/getresource.axd?AssetID=75433&amp;" TargetMode="External"/><Relationship Id="rId14" Type="http://schemas.openxmlformats.org/officeDocument/2006/relationships/hyperlink" Target="http://www.helensandersonassociate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17</Pages>
  <Words>5905</Words>
  <Characters>33664</Characters>
  <Application>Microsoft Office Word</Application>
  <DocSecurity>0</DocSecurity>
  <Lines>280</Lines>
  <Paragraphs>78</Paragraphs>
  <ScaleCrop>false</ScaleCrop>
  <Company/>
  <LinksUpToDate>false</LinksUpToDate>
  <CharactersWithSpaces>39491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Marie</dc:creator>
  <cp:keywords/>
  <dc:description/>
  <cp:lastModifiedBy>Leanne Marie</cp:lastModifiedBy>
  <cp:revision>5</cp:revision>
  <dcterms:created xsi:type="dcterms:W3CDTF">2021-03-01T20:05:00Z</dcterms:created>
  <dcterms:modified xsi:type="dcterms:W3CDTF">2021-03-01T20:29:00Z</dcterms:modified>
</cp:coreProperties>
</file>