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C6E01" w:rsidR="001A38B4" w:rsidP="00A7720B" w:rsidRDefault="00B41DA1" w14:paraId="60A7B8F7" w14:textId="338C47D5">
      <w:pPr>
        <w:rPr>
          <w:rFonts w:ascii="Arial" w:hAnsi="Arial" w:cs="Arial"/>
          <w:b/>
          <w:bCs/>
          <w:sz w:val="32"/>
          <w:szCs w:val="32"/>
        </w:rPr>
      </w:pPr>
      <w:r w:rsidRPr="007C6E01">
        <w:rPr>
          <w:b/>
          <w:bCs/>
          <w:sz w:val="32"/>
          <w:szCs w:val="32"/>
        </w:rPr>
        <w:t xml:space="preserve">             </w:t>
      </w:r>
      <w:r w:rsidRPr="007C6E01" w:rsidR="001A38B4">
        <w:rPr>
          <w:b/>
          <w:bCs/>
          <w:sz w:val="32"/>
          <w:szCs w:val="32"/>
        </w:rPr>
        <w:t xml:space="preserve"> </w:t>
      </w:r>
      <w:r w:rsidRPr="007C6E01" w:rsidR="001A38B4">
        <w:rPr>
          <w:rFonts w:ascii="Arial" w:hAnsi="Arial" w:cs="Arial"/>
          <w:b/>
          <w:bCs/>
          <w:sz w:val="32"/>
          <w:szCs w:val="32"/>
        </w:rPr>
        <w:t>Psychology in Health and</w:t>
      </w:r>
      <w:r w:rsidRPr="007C6E01">
        <w:rPr>
          <w:rFonts w:ascii="Arial" w:hAnsi="Arial" w:cs="Arial"/>
          <w:b/>
          <w:bCs/>
          <w:sz w:val="32"/>
          <w:szCs w:val="32"/>
        </w:rPr>
        <w:t xml:space="preserve"> Social</w:t>
      </w:r>
      <w:r w:rsidRPr="007C6E01" w:rsidR="000E3BF4">
        <w:rPr>
          <w:rFonts w:ascii="Arial" w:hAnsi="Arial" w:cs="Arial"/>
          <w:b/>
          <w:bCs/>
          <w:sz w:val="32"/>
          <w:szCs w:val="32"/>
        </w:rPr>
        <w:t xml:space="preserve"> </w:t>
      </w:r>
      <w:r w:rsidRPr="007C6E01" w:rsidR="001A38B4">
        <w:rPr>
          <w:rFonts w:ascii="Arial" w:hAnsi="Arial" w:cs="Arial"/>
          <w:b/>
          <w:bCs/>
          <w:sz w:val="32"/>
          <w:szCs w:val="32"/>
        </w:rPr>
        <w:t>Care</w:t>
      </w:r>
      <w:r w:rsidRPr="007C6E01" w:rsidR="00A7720B">
        <w:rPr>
          <w:rFonts w:ascii="Arial" w:hAnsi="Arial" w:cs="Arial"/>
          <w:b/>
          <w:bCs/>
          <w:sz w:val="32"/>
          <w:szCs w:val="32"/>
        </w:rPr>
        <w:t xml:space="preserve"> </w:t>
      </w:r>
      <w:r w:rsidRPr="007C6E01" w:rsidR="00336EB4">
        <w:rPr>
          <w:rFonts w:ascii="Arial" w:hAnsi="Arial" w:cs="Arial"/>
          <w:b/>
          <w:bCs/>
          <w:sz w:val="32"/>
          <w:szCs w:val="32"/>
        </w:rPr>
        <w:t>(LCHS4010)</w:t>
      </w:r>
    </w:p>
    <w:p w:rsidR="00AE740F" w:rsidP="00336EB4" w:rsidRDefault="00AE740F" w14:paraId="06388DC6" w14:textId="77777777">
      <w:pPr>
        <w:rPr>
          <w:b/>
          <w:bCs/>
        </w:rPr>
      </w:pPr>
    </w:p>
    <w:p w:rsidR="007C6E01" w:rsidP="00336EB4" w:rsidRDefault="001A38B4" w14:paraId="581101A4" w14:textId="77777777">
      <w:pPr>
        <w:rPr>
          <w:b/>
          <w:bCs/>
        </w:rPr>
      </w:pPr>
      <w:r w:rsidRPr="001A38B4">
        <w:rPr>
          <w:b/>
          <w:bCs/>
        </w:rPr>
        <w:t xml:space="preserve"> </w:t>
      </w:r>
    </w:p>
    <w:p w:rsidRPr="007C6E01" w:rsidR="001A38B4" w:rsidP="00336EB4" w:rsidRDefault="00AE740F" w14:paraId="1D6FD8B7" w14:textId="6C10B588">
      <w:pPr>
        <w:rPr>
          <w:rFonts w:ascii="Arial" w:hAnsi="Arial" w:cs="Arial"/>
        </w:rPr>
      </w:pPr>
      <w:r>
        <w:rPr>
          <w:rFonts w:ascii="Arial" w:hAnsi="Arial" w:cs="Arial"/>
          <w:b/>
          <w:bCs/>
        </w:rPr>
        <w:t xml:space="preserve"> </w:t>
      </w:r>
      <w:r w:rsidRPr="007C6E01" w:rsidR="001E09F4">
        <w:rPr>
          <w:rFonts w:ascii="Arial" w:hAnsi="Arial" w:cs="Arial"/>
        </w:rPr>
        <w:t>S</w:t>
      </w:r>
      <w:r w:rsidRPr="007C6E01">
        <w:rPr>
          <w:rFonts w:ascii="Arial" w:hAnsi="Arial" w:cs="Arial"/>
        </w:rPr>
        <w:t>tudent</w:t>
      </w:r>
      <w:r w:rsidRPr="007C6E01" w:rsidR="001E09F4">
        <w:rPr>
          <w:rFonts w:ascii="Arial" w:hAnsi="Arial" w:cs="Arial"/>
        </w:rPr>
        <w:t xml:space="preserve"> Name</w:t>
      </w:r>
      <w:r w:rsidRPr="007C6E01">
        <w:rPr>
          <w:rFonts w:ascii="Arial" w:hAnsi="Arial" w:cs="Arial"/>
        </w:rPr>
        <w:t xml:space="preserve">: </w:t>
      </w:r>
      <w:r w:rsidRPr="007C6E01" w:rsidR="008526C0">
        <w:rPr>
          <w:rFonts w:ascii="Arial" w:hAnsi="Arial" w:cs="Arial"/>
        </w:rPr>
        <w:t xml:space="preserve">Jessica Maribel Gomez </w:t>
      </w:r>
      <w:r w:rsidRPr="007C6E01" w:rsidR="001E09F4">
        <w:rPr>
          <w:rFonts w:ascii="Arial" w:hAnsi="Arial" w:cs="Arial"/>
        </w:rPr>
        <w:t>Nivelo</w:t>
      </w:r>
    </w:p>
    <w:p w:rsidRPr="007C6E01" w:rsidR="00D10D64" w:rsidP="00336EB4" w:rsidRDefault="00D10D64" w14:paraId="20CA897C" w14:textId="627E5A73">
      <w:pPr>
        <w:rPr>
          <w:rFonts w:ascii="Arial" w:hAnsi="Arial" w:cs="Arial"/>
        </w:rPr>
      </w:pPr>
      <w:r w:rsidRPr="007C6E01">
        <w:rPr>
          <w:rFonts w:ascii="Arial" w:hAnsi="Arial" w:cs="Arial"/>
        </w:rPr>
        <w:t>Student Number: 2428006</w:t>
      </w:r>
    </w:p>
    <w:p w:rsidRPr="007C6E01" w:rsidR="00D10D64" w:rsidP="00336EB4" w:rsidRDefault="007D1704" w14:paraId="331E244F" w14:textId="5985BD18">
      <w:pPr>
        <w:rPr>
          <w:rFonts w:ascii="Arial" w:hAnsi="Arial" w:cs="Arial"/>
        </w:rPr>
      </w:pPr>
      <w:r w:rsidRPr="007C6E01">
        <w:rPr>
          <w:rFonts w:ascii="Arial" w:hAnsi="Arial" w:cs="Arial"/>
        </w:rPr>
        <w:t xml:space="preserve">Lecturer Name: </w:t>
      </w:r>
      <w:r w:rsidRPr="007C6E01" w:rsidR="00CC6B0C">
        <w:rPr>
          <w:rFonts w:ascii="Arial" w:hAnsi="Arial" w:cs="Arial"/>
        </w:rPr>
        <w:t xml:space="preserve">Farah </w:t>
      </w:r>
      <w:r w:rsidRPr="007C6E01" w:rsidR="00DD72D4">
        <w:rPr>
          <w:rFonts w:ascii="Arial" w:hAnsi="Arial" w:cs="Arial"/>
        </w:rPr>
        <w:t>Wiita</w:t>
      </w:r>
    </w:p>
    <w:p w:rsidR="001A38B4" w:rsidP="00336EB4" w:rsidRDefault="001A38B4" w14:paraId="66D9970E" w14:textId="0399C7B1">
      <w:pPr>
        <w:rPr>
          <w:b/>
          <w:bCs/>
        </w:rPr>
      </w:pPr>
    </w:p>
    <w:p w:rsidRPr="001A38B4" w:rsidR="001A38B4" w:rsidP="001A38B4" w:rsidRDefault="001A38B4" w14:paraId="4484E53A" w14:textId="77777777">
      <w:pPr>
        <w:spacing w:before="0" w:after="160" w:line="278" w:lineRule="auto"/>
        <w:jc w:val="left"/>
        <w:rPr>
          <w:b/>
          <w:bCs/>
        </w:rPr>
      </w:pPr>
      <w:r>
        <w:rPr>
          <w:b/>
          <w:bCs/>
        </w:rPr>
        <w:br w:type="page"/>
      </w:r>
    </w:p>
    <w:p w:rsidR="00F07383" w:rsidP="00C25B44" w:rsidRDefault="00096AB9" w14:paraId="395AC68D" w14:textId="5AEA6D2F">
      <w:pPr>
        <w:pStyle w:val="Heading1"/>
        <w:jc w:val="center"/>
      </w:pPr>
      <w:r>
        <w:lastRenderedPageBreak/>
        <w:t>E</w:t>
      </w:r>
      <w:r w:rsidR="00D61225">
        <w:t>RICK</w:t>
      </w:r>
      <w:r w:rsidR="0052114B">
        <w:t>SON</w:t>
      </w:r>
      <w:r w:rsidR="00782377">
        <w:t>’</w:t>
      </w:r>
      <w:r w:rsidR="00C25B44">
        <w:t xml:space="preserve">S </w:t>
      </w:r>
      <w:r w:rsidR="009B033E">
        <w:t>PSYCHO</w:t>
      </w:r>
      <w:r w:rsidR="00DC5B9D">
        <w:t>SOCIAL THEORY</w:t>
      </w:r>
      <w:r w:rsidR="005949C2">
        <w:t xml:space="preserve"> (</w:t>
      </w:r>
      <w:r w:rsidR="00F07383">
        <w:t xml:space="preserve">WEEK </w:t>
      </w:r>
      <w:r w:rsidR="00634161">
        <w:t>1</w:t>
      </w:r>
      <w:r w:rsidR="00785AD4">
        <w:t>,</w:t>
      </w:r>
      <w:r w:rsidR="00F07383">
        <w:t>2,3,4,</w:t>
      </w:r>
      <w:r w:rsidR="005949C2">
        <w:t>5)</w:t>
      </w:r>
    </w:p>
    <w:p w:rsidRPr="0051698D" w:rsidR="0051698D" w:rsidP="0051698D" w:rsidRDefault="0051698D" w14:paraId="6A7FD8F3" w14:textId="77777777">
      <w:pPr>
        <w:pStyle w:val="Heading1"/>
      </w:pPr>
      <w:r w:rsidRPr="0051698D">
        <w:t>Article 1</w:t>
      </w:r>
    </w:p>
    <w:p w:rsidR="0051698D" w:rsidP="0051698D" w:rsidRDefault="0051698D" w14:paraId="45B2D84A" w14:textId="11AF98FC">
      <w:pPr>
        <w:rPr>
          <w:i/>
          <w:iCs/>
        </w:rPr>
      </w:pPr>
      <w:bookmarkStart w:name="_Hlk226133137" w:id="0"/>
      <w:r w:rsidRPr="0051698D">
        <w:t xml:space="preserve">Abbasi, M., Radfar, M., Jafarizadeh, H. and </w:t>
      </w:r>
      <w:proofErr w:type="spellStart"/>
      <w:r w:rsidRPr="0051698D">
        <w:t>Khalkhali</w:t>
      </w:r>
      <w:proofErr w:type="spellEnd"/>
      <w:r w:rsidRPr="0051698D">
        <w:t>, H. (2025)</w:t>
      </w:r>
      <w:r w:rsidR="006B604A">
        <w:t>.</w:t>
      </w:r>
      <w:r w:rsidRPr="0051698D">
        <w:t xml:space="preserve"> </w:t>
      </w:r>
      <w:r w:rsidRPr="0051698D">
        <w:rPr>
          <w:i/>
          <w:iCs/>
        </w:rPr>
        <w:t>Does life story work based on Erikson’s theory enhance psychological well-being in elderly residents of nursing homes? A randomized controlled trial.</w:t>
      </w:r>
      <w:r w:rsidRPr="0051698D">
        <w:t xml:space="preserve"> </w:t>
      </w:r>
      <w:r w:rsidRPr="0051698D">
        <w:rPr>
          <w:i/>
          <w:iCs/>
        </w:rPr>
        <w:t xml:space="preserve">Available at: </w:t>
      </w:r>
      <w:hyperlink w:history="1" r:id="rId5">
        <w:r w:rsidRPr="002E3EA5">
          <w:rPr>
            <w:rStyle w:val="Hyperlink"/>
            <w:i/>
            <w:iCs/>
          </w:rPr>
          <w:t>https://www.sciencedirect.com/science/article/abs/pii/S0197457224003902</w:t>
        </w:r>
      </w:hyperlink>
      <w:r>
        <w:rPr>
          <w:i/>
          <w:iCs/>
        </w:rPr>
        <w:t xml:space="preserve"> </w:t>
      </w:r>
    </w:p>
    <w:bookmarkEnd w:id="0"/>
    <w:p w:rsidRPr="0051698D" w:rsidR="0051698D" w:rsidP="0051698D" w:rsidRDefault="0051698D" w14:paraId="79206BF1" w14:textId="77777777">
      <w:pPr>
        <w:rPr>
          <w:b/>
          <w:bCs/>
        </w:rPr>
      </w:pPr>
      <w:r w:rsidRPr="0051698D">
        <w:rPr>
          <w:b/>
          <w:bCs/>
        </w:rPr>
        <w:t>Annotated Bibliography:</w:t>
      </w:r>
    </w:p>
    <w:p w:rsidRPr="001D046F" w:rsidR="0051698D" w:rsidP="0051698D" w:rsidRDefault="001D046F" w14:paraId="6BD9ED51" w14:textId="1F17E976">
      <w:r w:rsidRPr="001D046F">
        <w:t xml:space="preserve">Abbasi et al. (2025) focus on the use of </w:t>
      </w:r>
      <w:r w:rsidR="006B604A">
        <w:t>Erikson's</w:t>
      </w:r>
      <w:r w:rsidRPr="001D046F">
        <w:t xml:space="preserve"> psychosocial theory, which is a stage of ego integrity vs. despair, in nursing </w:t>
      </w:r>
      <w:r w:rsidR="006B604A">
        <w:t>homes</w:t>
      </w:r>
      <w:r w:rsidRPr="001D046F">
        <w:t xml:space="preserve">. The researchers conducted a </w:t>
      </w:r>
      <w:r w:rsidRPr="001D046F" w:rsidR="00D3051B">
        <w:t>randomized</w:t>
      </w:r>
      <w:r w:rsidRPr="001D046F">
        <w:t xml:space="preserve"> controlled trial as a method of assessing the effectiveness of life story work interventions on the psychological </w:t>
      </w:r>
      <w:r w:rsidR="006B604A">
        <w:t>well-being</w:t>
      </w:r>
      <w:r w:rsidRPr="001D046F">
        <w:t xml:space="preserve"> of older adults. These results suggest that </w:t>
      </w:r>
      <w:r w:rsidRPr="001D046F" w:rsidR="00D3051B">
        <w:t>organized</w:t>
      </w:r>
      <w:r w:rsidRPr="001D046F">
        <w:t xml:space="preserve"> thinking on the life experiences of individuals greatly improves emotional </w:t>
      </w:r>
      <w:r w:rsidR="006B604A">
        <w:t>well-being</w:t>
      </w:r>
      <w:r w:rsidRPr="001D046F">
        <w:t xml:space="preserve">, which assists them </w:t>
      </w:r>
      <w:r w:rsidR="006B604A">
        <w:t>in finding</w:t>
      </w:r>
      <w:r w:rsidRPr="001D046F">
        <w:t xml:space="preserve"> some form of fulfilment and acceptance </w:t>
      </w:r>
      <w:proofErr w:type="gramStart"/>
      <w:r w:rsidRPr="001D046F">
        <w:t>later on</w:t>
      </w:r>
      <w:proofErr w:type="gramEnd"/>
      <w:r w:rsidRPr="001D046F">
        <w:t xml:space="preserve"> in life. This underlines the fact that Erikson argues that a thriving resolution of this stage results in more satisfaction in life. This study relates well to health and social care</w:t>
      </w:r>
      <w:r w:rsidR="006B604A">
        <w:t>,</w:t>
      </w:r>
      <w:r w:rsidRPr="001D046F">
        <w:t xml:space="preserve"> given that it validates a practical, evidence-based intervention that social workers may apply in residential care. Nonetheless, the research can be constrained by the sample size and context used, and this can limit </w:t>
      </w:r>
      <w:r w:rsidRPr="001D046F" w:rsidR="00D3051B">
        <w:t>generalization</w:t>
      </w:r>
      <w:r w:rsidRPr="001D046F">
        <w:t xml:space="preserve"> of the results in various care settings. </w:t>
      </w:r>
    </w:p>
    <w:p w:rsidRPr="0051698D" w:rsidR="0051698D" w:rsidP="0051698D" w:rsidRDefault="0051698D" w14:paraId="22722481" w14:textId="77777777">
      <w:pPr>
        <w:rPr>
          <w:b/>
          <w:bCs/>
        </w:rPr>
      </w:pPr>
      <w:r w:rsidRPr="0051698D">
        <w:rPr>
          <w:b/>
          <w:bCs/>
        </w:rPr>
        <w:t>Article 2</w:t>
      </w:r>
    </w:p>
    <w:p w:rsidR="0051698D" w:rsidP="0051698D" w:rsidRDefault="0051698D" w14:paraId="0FEF27E2" w14:textId="1D990046">
      <w:bookmarkStart w:name="_Hlk226133130" w:id="1"/>
      <w:r>
        <w:t>Belser, C.T., Tavormina, H. and O’Hanlon, A. (2026)</w:t>
      </w:r>
      <w:r w:rsidR="006B604A">
        <w:t>.</w:t>
      </w:r>
      <w:r>
        <w:t xml:space="preserve"> Gardening as a Psychosocial Well-Being Activity for Adults: Integrating Eco-Wellness and Developmental Theory. Available at: </w:t>
      </w:r>
      <w:hyperlink w:history="1" r:id="rId6">
        <w:r w:rsidRPr="002E3EA5" w:rsidR="00F07383">
          <w:rPr>
            <w:rStyle w:val="Hyperlink"/>
          </w:rPr>
          <w:t>https://mds.marshall.edu/adsp/vol25/iss1/6/</w:t>
        </w:r>
      </w:hyperlink>
      <w:r w:rsidR="00F07383">
        <w:t xml:space="preserve"> </w:t>
      </w:r>
    </w:p>
    <w:bookmarkEnd w:id="1"/>
    <w:p w:rsidRPr="0051698D" w:rsidR="0051698D" w:rsidP="0051698D" w:rsidRDefault="0051698D" w14:paraId="64D9B35C" w14:textId="77777777">
      <w:pPr>
        <w:rPr>
          <w:b/>
          <w:bCs/>
        </w:rPr>
      </w:pPr>
      <w:r w:rsidRPr="0051698D">
        <w:rPr>
          <w:b/>
          <w:bCs/>
        </w:rPr>
        <w:t>Annotated Bibliography</w:t>
      </w:r>
    </w:p>
    <w:p w:rsidRPr="00C415A8" w:rsidR="00C415A8" w:rsidP="00C415A8" w:rsidRDefault="00C415A8" w14:paraId="00A1C822" w14:textId="4515B545">
      <w:r w:rsidRPr="00C415A8">
        <w:t xml:space="preserve">Belser et al. (2026) examine how meaningful activities, i.e., gardening, can be used to facilitate psychosocial wellbeing throughout adulthood, basing their study on developmental theories, including those of Erikson framework. The article purports that purposeful and socially interactive activities can be helpful in improving emotional stability, identity, and life satisfaction, especially later in life. This conforms to the importance of Erikson in </w:t>
      </w:r>
      <w:proofErr w:type="spellStart"/>
      <w:r w:rsidRPr="00C415A8">
        <w:t>reali</w:t>
      </w:r>
      <w:r w:rsidR="000B15D8">
        <w:t>s</w:t>
      </w:r>
      <w:r w:rsidRPr="00C415A8">
        <w:t>ation</w:t>
      </w:r>
      <w:proofErr w:type="spellEnd"/>
      <w:r w:rsidRPr="00C415A8">
        <w:t xml:space="preserve"> of the ego integrity by being involved in meaningful reflection and participation. The study can be applied to health and social care because it demonstrates the potential of structured activities to be applied to </w:t>
      </w:r>
      <w:r w:rsidR="006B604A">
        <w:t>the well-being</w:t>
      </w:r>
      <w:r w:rsidRPr="00C415A8">
        <w:t xml:space="preserve"> </w:t>
      </w:r>
      <w:r w:rsidRPr="00C415A8">
        <w:lastRenderedPageBreak/>
        <w:t xml:space="preserve">group of older adults in their care, especially in alleviating isolation and increasing </w:t>
      </w:r>
      <w:r w:rsidR="006B604A">
        <w:t xml:space="preserve">a </w:t>
      </w:r>
      <w:r w:rsidRPr="00C415A8">
        <w:t>sense of purpose. Nevertheless, the article is considered highly theoretical</w:t>
      </w:r>
      <w:r w:rsidR="006B604A">
        <w:t>,</w:t>
      </w:r>
      <w:r w:rsidRPr="00C415A8">
        <w:t xml:space="preserve"> and no empirical evidence can be found, which impedes its capacity to reveal objective effectiveness in comparison with the intervention-based research.</w:t>
      </w:r>
    </w:p>
    <w:p w:rsidR="00017A60" w:rsidP="00C415A8" w:rsidRDefault="00017A60" w14:paraId="732E8027" w14:textId="77777777">
      <w:pPr>
        <w:jc w:val="center"/>
        <w:rPr>
          <w:b/>
          <w:bCs/>
        </w:rPr>
      </w:pPr>
    </w:p>
    <w:p w:rsidRPr="00C415A8" w:rsidR="00C66894" w:rsidP="00C415A8" w:rsidRDefault="009D5C27" w14:paraId="5F9A0086" w14:textId="308B8307">
      <w:pPr>
        <w:jc w:val="center"/>
        <w:rPr>
          <w:b/>
          <w:bCs/>
        </w:rPr>
      </w:pPr>
      <w:r>
        <w:rPr>
          <w:b/>
          <w:bCs/>
        </w:rPr>
        <w:t xml:space="preserve">BANDURA’S SOCIAL THEORY </w:t>
      </w:r>
      <w:r w:rsidR="00017A60">
        <w:rPr>
          <w:b/>
          <w:bCs/>
        </w:rPr>
        <w:t>(</w:t>
      </w:r>
      <w:r w:rsidRPr="00C415A8" w:rsidR="00F07383">
        <w:rPr>
          <w:b/>
          <w:bCs/>
        </w:rPr>
        <w:t>Week 7</w:t>
      </w:r>
      <w:r w:rsidRPr="00C415A8" w:rsidR="00DC4853">
        <w:rPr>
          <w:b/>
          <w:bCs/>
        </w:rPr>
        <w:t>,</w:t>
      </w:r>
      <w:r w:rsidRPr="00C415A8" w:rsidR="00F07383">
        <w:rPr>
          <w:b/>
          <w:bCs/>
        </w:rPr>
        <w:t>8</w:t>
      </w:r>
      <w:r w:rsidRPr="00C415A8" w:rsidR="00DC4853">
        <w:rPr>
          <w:b/>
          <w:bCs/>
        </w:rPr>
        <w:t>,</w:t>
      </w:r>
      <w:r w:rsidRPr="00C415A8" w:rsidR="00F07383">
        <w:rPr>
          <w:b/>
          <w:bCs/>
        </w:rPr>
        <w:t>9</w:t>
      </w:r>
      <w:r w:rsidR="00017A60">
        <w:rPr>
          <w:b/>
          <w:bCs/>
        </w:rPr>
        <w:t>)</w:t>
      </w:r>
    </w:p>
    <w:p w:rsidRPr="00F07383" w:rsidR="00F07383" w:rsidP="00F07383" w:rsidRDefault="00F07383" w14:paraId="3213018D" w14:textId="77777777">
      <w:pPr>
        <w:rPr>
          <w:b/>
          <w:bCs/>
        </w:rPr>
      </w:pPr>
      <w:r w:rsidRPr="00F07383">
        <w:rPr>
          <w:b/>
          <w:bCs/>
        </w:rPr>
        <w:t>Article 1</w:t>
      </w:r>
    </w:p>
    <w:p w:rsidR="00F07383" w:rsidP="00F07383" w:rsidRDefault="00F07383" w14:paraId="1E2F5524" w14:textId="58EFA93C">
      <w:proofErr w:type="spellStart"/>
      <w:r>
        <w:t>Egele</w:t>
      </w:r>
      <w:proofErr w:type="spellEnd"/>
      <w:r>
        <w:t>, V. S., Klopp, E. and Stark, R. (2025)</w:t>
      </w:r>
      <w:r w:rsidR="006B604A">
        <w:t>.</w:t>
      </w:r>
      <w:r>
        <w:t xml:space="preserve"> How valid is Bandura’s Social Cognitive Theory to explain physical activity behavior? Available at: </w:t>
      </w:r>
      <w:hyperlink w:history="1" r:id="rId7">
        <w:r w:rsidRPr="002E3EA5">
          <w:rPr>
            <w:rStyle w:val="Hyperlink"/>
          </w:rPr>
          <w:t>https://pmc.ncbi.nlm.nih.gov/articles/PMC11854433/</w:t>
        </w:r>
      </w:hyperlink>
      <w:r>
        <w:t xml:space="preserve"> </w:t>
      </w:r>
    </w:p>
    <w:p w:rsidRPr="00F07383" w:rsidR="00F07383" w:rsidP="00F07383" w:rsidRDefault="00F07383" w14:paraId="18E21488" w14:textId="77777777">
      <w:pPr>
        <w:rPr>
          <w:b/>
          <w:bCs/>
        </w:rPr>
      </w:pPr>
      <w:r w:rsidRPr="00F07383">
        <w:rPr>
          <w:b/>
          <w:bCs/>
        </w:rPr>
        <w:t>Annotated Bibliography</w:t>
      </w:r>
    </w:p>
    <w:p w:rsidRPr="005B4672" w:rsidR="005B4672" w:rsidP="00F07383" w:rsidRDefault="005B4672" w14:paraId="4710988E" w14:textId="5498AD6F">
      <w:proofErr w:type="spellStart"/>
      <w:r w:rsidRPr="005B4672">
        <w:t>Egele</w:t>
      </w:r>
      <w:proofErr w:type="spellEnd"/>
      <w:r w:rsidRPr="005B4672">
        <w:t xml:space="preserve"> et al. (2025) assess the applicability of the Social Cognitive Theory developed by Bandura in explaining health-related </w:t>
      </w:r>
      <w:r w:rsidRPr="005B4672" w:rsidR="00020C92">
        <w:t>behaviors</w:t>
      </w:r>
      <w:r w:rsidRPr="005B4672">
        <w:t>, specifically, physical activity. Self-efficacy is a key construct and the focus of the study</w:t>
      </w:r>
      <w:r w:rsidR="006B604A">
        <w:t>,</w:t>
      </w:r>
      <w:r w:rsidRPr="005B4672">
        <w:t xml:space="preserve"> and it indicates that more confident individuals are more inclined to participate in and adopt physical </w:t>
      </w:r>
      <w:r w:rsidR="006B604A">
        <w:t>exercise</w:t>
      </w:r>
      <w:r w:rsidRPr="005B4672">
        <w:t xml:space="preserve">. In the shaping of </w:t>
      </w:r>
      <w:proofErr w:type="spellStart"/>
      <w:r w:rsidRPr="005B4672">
        <w:t>behaviour</w:t>
      </w:r>
      <w:proofErr w:type="spellEnd"/>
      <w:r w:rsidRPr="005B4672">
        <w:t>, the role of environmental and social factors, including support systems</w:t>
      </w:r>
      <w:r w:rsidR="006B604A">
        <w:t>,</w:t>
      </w:r>
      <w:r w:rsidRPr="005B4672">
        <w:t xml:space="preserve"> is also highlighted by the findings. This is similar to the concept of reciprocal determinism as postulated by Bandura</w:t>
      </w:r>
      <w:r w:rsidR="006B604A">
        <w:t>,</w:t>
      </w:r>
      <w:r w:rsidRPr="005B4672">
        <w:t xml:space="preserve"> whereby </w:t>
      </w:r>
      <w:proofErr w:type="spellStart"/>
      <w:r w:rsidRPr="005B4672">
        <w:t>behaviour</w:t>
      </w:r>
      <w:proofErr w:type="spellEnd"/>
      <w:r w:rsidRPr="005B4672">
        <w:t>, personal forces</w:t>
      </w:r>
      <w:r w:rsidR="006B604A">
        <w:t>,</w:t>
      </w:r>
      <w:r w:rsidRPr="005B4672">
        <w:t xml:space="preserve"> </w:t>
      </w:r>
      <w:r w:rsidR="006B604A">
        <w:t>and</w:t>
      </w:r>
      <w:r w:rsidRPr="005B4672">
        <w:t xml:space="preserve"> environment interrelate dynamically. This study has a considerable impact on health and social care because it offers data to support the assumption that the self-efficacy of individuals (including older adults) can be improved to lead to better adherence to health </w:t>
      </w:r>
      <w:proofErr w:type="spellStart"/>
      <w:r w:rsidRPr="005B4672">
        <w:t>behaviours</w:t>
      </w:r>
      <w:proofErr w:type="spellEnd"/>
      <w:r w:rsidRPr="005B4672">
        <w:t xml:space="preserve">. Physical activity and wellbeing in care </w:t>
      </w:r>
      <w:r w:rsidR="006B604A">
        <w:t>homes</w:t>
      </w:r>
      <w:r w:rsidRPr="005B4672">
        <w:t xml:space="preserve"> can be encouraged through techniques that involve encouraging, setting goals and social assistance. Nonetheless, the research can be constrained by its general population wastage, which might not represent the </w:t>
      </w:r>
      <w:r w:rsidR="006B604A">
        <w:t>multidimensionality</w:t>
      </w:r>
      <w:r w:rsidRPr="005B4672">
        <w:t xml:space="preserve"> of older adults with cognitive or physical deficiencies in their entirety.</w:t>
      </w:r>
    </w:p>
    <w:p w:rsidRPr="00F07383" w:rsidR="00F07383" w:rsidP="00F07383" w:rsidRDefault="00F07383" w14:paraId="3E763C01" w14:textId="21DD6FA4">
      <w:pPr>
        <w:rPr>
          <w:b/>
          <w:bCs/>
        </w:rPr>
      </w:pPr>
      <w:r w:rsidRPr="00F07383">
        <w:rPr>
          <w:b/>
          <w:bCs/>
        </w:rPr>
        <w:t>Article 2</w:t>
      </w:r>
    </w:p>
    <w:p w:rsidR="00F07383" w:rsidP="00F07383" w:rsidRDefault="00F07383" w14:paraId="58E8D45E" w14:textId="3632BEBE">
      <w:r>
        <w:t>Amin, S. M. et al. (2025)</w:t>
      </w:r>
      <w:r w:rsidR="006B604A">
        <w:t>.</w:t>
      </w:r>
      <w:r>
        <w:t xml:space="preserve"> The mediating role of self-care self-efficacy in geriatric health </w:t>
      </w:r>
      <w:proofErr w:type="spellStart"/>
      <w:r>
        <w:t>behaviours</w:t>
      </w:r>
      <w:proofErr w:type="spellEnd"/>
      <w:r>
        <w:t xml:space="preserve">. Available at: </w:t>
      </w:r>
      <w:hyperlink w:history="1" r:id="rId8">
        <w:r w:rsidRPr="002E3EA5">
          <w:rPr>
            <w:rStyle w:val="Hyperlink"/>
          </w:rPr>
          <w:t>https://www.frontiersin.org/journals/public-health/articles/10.3389/fpubh.2025.1697089/full</w:t>
        </w:r>
      </w:hyperlink>
      <w:r>
        <w:t xml:space="preserve"> </w:t>
      </w:r>
    </w:p>
    <w:p w:rsidR="003162E7" w:rsidP="00F07383" w:rsidRDefault="003162E7" w14:paraId="50CCC7AD" w14:textId="77777777">
      <w:pPr>
        <w:rPr>
          <w:b/>
          <w:bCs/>
        </w:rPr>
      </w:pPr>
    </w:p>
    <w:p w:rsidRPr="00F07383" w:rsidR="00F07383" w:rsidP="00F07383" w:rsidRDefault="00F07383" w14:paraId="77280A77" w14:textId="0ECC5B07">
      <w:pPr>
        <w:rPr>
          <w:b/>
          <w:bCs/>
        </w:rPr>
      </w:pPr>
      <w:r w:rsidRPr="00F07383">
        <w:rPr>
          <w:b/>
          <w:bCs/>
        </w:rPr>
        <w:lastRenderedPageBreak/>
        <w:t>Annotated Bibliography:</w:t>
      </w:r>
    </w:p>
    <w:p w:rsidR="00DB1529" w:rsidP="00DB1529" w:rsidRDefault="000119CA" w14:paraId="189BFEDF" w14:textId="273F9331">
      <w:r w:rsidRPr="000119CA">
        <w:t xml:space="preserve">Amin et al. (2025) examine how the self-efficacy concept develops into the desired health </w:t>
      </w:r>
      <w:proofErr w:type="spellStart"/>
      <w:r w:rsidRPr="000119CA">
        <w:t>behaviours</w:t>
      </w:r>
      <w:proofErr w:type="spellEnd"/>
      <w:r w:rsidRPr="000119CA">
        <w:t xml:space="preserve"> in the case of older adults and how they are involved in self-care </w:t>
      </w:r>
      <w:proofErr w:type="spellStart"/>
      <w:r w:rsidRPr="000119CA">
        <w:t>behaviours</w:t>
      </w:r>
      <w:proofErr w:type="spellEnd"/>
      <w:r w:rsidRPr="000119CA">
        <w:t xml:space="preserve">, including medication adherence, diet and physical activity. This research proves that self-efficacy is a mediating factor, such that people who do not rule themselves out of being able to control their health would tend to perform more positive </w:t>
      </w:r>
      <w:proofErr w:type="spellStart"/>
      <w:r w:rsidRPr="000119CA">
        <w:t>behaviours</w:t>
      </w:r>
      <w:proofErr w:type="spellEnd"/>
      <w:r w:rsidRPr="000119CA">
        <w:t xml:space="preserve">. This </w:t>
      </w:r>
      <w:r w:rsidR="006B604A">
        <w:t>supports</w:t>
      </w:r>
      <w:r w:rsidRPr="000119CA">
        <w:t xml:space="preserve"> the Social Cognitive Theory by Bandura</w:t>
      </w:r>
      <w:r w:rsidR="006B604A">
        <w:t>,</w:t>
      </w:r>
      <w:r w:rsidRPr="000119CA">
        <w:t xml:space="preserve"> especially the assumption that cognitive beliefs can determine the </w:t>
      </w:r>
      <w:proofErr w:type="spellStart"/>
      <w:r w:rsidRPr="000119CA">
        <w:t>behavioural</w:t>
      </w:r>
      <w:proofErr w:type="spellEnd"/>
      <w:r w:rsidRPr="000119CA">
        <w:t xml:space="preserve"> outcome. The results have a great implication on health and social care</w:t>
      </w:r>
      <w:r w:rsidR="006B604A">
        <w:t>,</w:t>
      </w:r>
      <w:r w:rsidRPr="000119CA">
        <w:t xml:space="preserve"> particularly in residential care facilities where independence and self-management should be encouraged. This theory can be </w:t>
      </w:r>
      <w:proofErr w:type="spellStart"/>
      <w:r w:rsidRPr="000119CA">
        <w:t>utilised</w:t>
      </w:r>
      <w:proofErr w:type="spellEnd"/>
      <w:r w:rsidRPr="000119CA">
        <w:t xml:space="preserve"> by care professionals </w:t>
      </w:r>
      <w:r w:rsidR="006B604A">
        <w:t>who</w:t>
      </w:r>
      <w:r w:rsidRPr="000119CA">
        <w:t xml:space="preserve"> empower older adults by conducting education and encouraging </w:t>
      </w:r>
      <w:proofErr w:type="spellStart"/>
      <w:r w:rsidRPr="000119CA">
        <w:t>personalised</w:t>
      </w:r>
      <w:proofErr w:type="spellEnd"/>
      <w:r w:rsidRPr="000119CA">
        <w:t xml:space="preserve"> support and reinforcement strategies. Nevertheless, the research can be constrained by some contextual variables like cultural differences between individuals and their degree of dependency; this may overrule the </w:t>
      </w:r>
      <w:proofErr w:type="spellStart"/>
      <w:r w:rsidRPr="000119CA">
        <w:t>generalisation</w:t>
      </w:r>
      <w:proofErr w:type="spellEnd"/>
      <w:r w:rsidRPr="000119CA">
        <w:t xml:space="preserve"> of the study results among the older adults.</w:t>
      </w:r>
      <w:r w:rsidR="00DB1529">
        <w:br w:type="page"/>
      </w:r>
    </w:p>
    <w:p w:rsidR="00F07383" w:rsidP="00DB1529" w:rsidRDefault="00DB1529" w14:paraId="338D641D" w14:textId="77777777">
      <w:pPr>
        <w:pStyle w:val="Heading1"/>
        <w:jc w:val="center"/>
      </w:pPr>
      <w:r>
        <w:lastRenderedPageBreak/>
        <w:t>TASK 2 REPORT</w:t>
      </w:r>
    </w:p>
    <w:p w:rsidRPr="00DB1529" w:rsidR="00DB1529" w:rsidP="00CA3B0A" w:rsidRDefault="00DB1529" w14:paraId="524681BA" w14:textId="3FD822C8">
      <w:pPr>
        <w:rPr>
          <w:b/>
          <w:bCs/>
        </w:rPr>
      </w:pPr>
      <w:r w:rsidRPr="00DB1529">
        <w:rPr>
          <w:b/>
          <w:bCs/>
        </w:rPr>
        <w:t xml:space="preserve">Application of Bandura’s Social Cognitive Theory to Improve </w:t>
      </w:r>
      <w:r w:rsidR="006B604A">
        <w:rPr>
          <w:b/>
          <w:bCs/>
        </w:rPr>
        <w:t>Well-being</w:t>
      </w:r>
      <w:r w:rsidRPr="00DB1529">
        <w:rPr>
          <w:b/>
          <w:bCs/>
        </w:rPr>
        <w:t xml:space="preserve"> in Older Adults in Residential Care</w:t>
      </w:r>
    </w:p>
    <w:p w:rsidR="00CA3B0A" w:rsidP="00CA3B0A" w:rsidRDefault="00CA3B0A" w14:paraId="69C0C679" w14:textId="77777777">
      <w:pPr>
        <w:spacing w:before="0" w:after="160"/>
      </w:pPr>
    </w:p>
    <w:p w:rsidR="00CA3B0A" w:rsidP="00CA3B0A" w:rsidRDefault="00CA3B0A" w14:paraId="5BE13D0C" w14:textId="03AEF384">
      <w:pPr>
        <w:spacing w:before="0" w:after="160"/>
      </w:pPr>
      <w:r w:rsidRPr="00CA3B0A">
        <w:rPr>
          <w:b/>
          <w:bCs/>
        </w:rPr>
        <w:t>Introduction</w:t>
      </w:r>
    </w:p>
    <w:p w:rsidR="00CA3B0A" w:rsidP="00CA3B0A" w:rsidRDefault="00CA3B0A" w14:paraId="6AEFE54D" w14:textId="2D4D52BD">
      <w:pPr>
        <w:spacing w:before="0" w:after="160"/>
      </w:pPr>
      <w:r>
        <w:t xml:space="preserve">The Social Cognitive Theory by Bandura is focused on the framework of interaction existing between individual-level variables, </w:t>
      </w:r>
      <w:proofErr w:type="spellStart"/>
      <w:r>
        <w:t>i</w:t>
      </w:r>
      <w:proofErr w:type="spellEnd"/>
      <w:proofErr w:type="gramStart"/>
      <w:r>
        <w:t>. e</w:t>
      </w:r>
      <w:proofErr w:type="gramEnd"/>
      <w:r>
        <w:t>.</w:t>
      </w:r>
      <w:r w:rsidR="006B604A">
        <w:t>,</w:t>
      </w:r>
      <w:r>
        <w:t xml:space="preserve"> </w:t>
      </w:r>
      <w:proofErr w:type="spellStart"/>
      <w:r>
        <w:t>behaviour</w:t>
      </w:r>
      <w:proofErr w:type="spellEnd"/>
      <w:r>
        <w:t xml:space="preserve"> and environmental influences</w:t>
      </w:r>
      <w:r w:rsidR="006B604A">
        <w:t>,</w:t>
      </w:r>
      <w:r>
        <w:t xml:space="preserve"> a phenomenon referred to as reciprocal </w:t>
      </w:r>
      <w:r w:rsidR="00980056">
        <w:t>determinism. One</w:t>
      </w:r>
      <w:r>
        <w:t xml:space="preserve"> of the key aspects of this theory is self-efficacy, which is a feeling of competence in a person to carry out certain tasks (Woodcock and </w:t>
      </w:r>
      <w:proofErr w:type="spellStart"/>
      <w:r>
        <w:t>Tournaki</w:t>
      </w:r>
      <w:proofErr w:type="spellEnd"/>
      <w:r>
        <w:t xml:space="preserve">, 2022). Self-efficacy is an important factor in the determination of motivation, autonomy, and general psychological health in the case of older adults in residential care. Since ageing is commonly linked with impaired physical and cognitive functions the application of </w:t>
      </w:r>
      <w:r w:rsidR="006B604A">
        <w:t>Bandura's</w:t>
      </w:r>
      <w:r>
        <w:t xml:space="preserve"> theory can assist care professionals </w:t>
      </w:r>
      <w:proofErr w:type="gramStart"/>
      <w:r>
        <w:t>with regard to</w:t>
      </w:r>
      <w:proofErr w:type="gramEnd"/>
      <w:r>
        <w:t xml:space="preserve"> fostering positive </w:t>
      </w:r>
      <w:proofErr w:type="spellStart"/>
      <w:r>
        <w:t>behaviours</w:t>
      </w:r>
      <w:proofErr w:type="spellEnd"/>
      <w:r>
        <w:t xml:space="preserve"> and improving the quality of life of the residents.</w:t>
      </w:r>
    </w:p>
    <w:p w:rsidRPr="00CA3B0A" w:rsidR="00CA3B0A" w:rsidP="00CA3B0A" w:rsidRDefault="00CA3B0A" w14:paraId="103CA30D" w14:textId="238B00A7">
      <w:pPr>
        <w:spacing w:before="0" w:after="160"/>
        <w:rPr>
          <w:b/>
          <w:bCs/>
        </w:rPr>
      </w:pPr>
      <w:r w:rsidRPr="00CA3B0A">
        <w:rPr>
          <w:b/>
          <w:bCs/>
        </w:rPr>
        <w:t>Application to Residential Care Settings</w:t>
      </w:r>
    </w:p>
    <w:p w:rsidR="00CA3B0A" w:rsidP="00CA3B0A" w:rsidRDefault="00CA3B0A" w14:paraId="0147E8BE" w14:textId="1D5E9429">
      <w:pPr>
        <w:spacing w:before="0" w:after="160"/>
      </w:pPr>
      <w:r>
        <w:t xml:space="preserve">The theory of Bandura can be successfully implemented to enhance the </w:t>
      </w:r>
      <w:r w:rsidR="006B604A">
        <w:t>well-being</w:t>
      </w:r>
      <w:r>
        <w:t xml:space="preserve"> of older adults in the care home setting by way of </w:t>
      </w:r>
      <w:proofErr w:type="spellStart"/>
      <w:r>
        <w:t>behavioural</w:t>
      </w:r>
      <w:proofErr w:type="spellEnd"/>
      <w:r>
        <w:t xml:space="preserve"> and environmental interventions. An important strategy involves improving the self-efficacy of residents, which is done by stimulating their involvement in everyday tasks, including personal care, light exercising and </w:t>
      </w:r>
      <w:proofErr w:type="spellStart"/>
      <w:r w:rsidR="006B604A">
        <w:t>socialising</w:t>
      </w:r>
      <w:proofErr w:type="spellEnd"/>
      <w:r>
        <w:t xml:space="preserve"> (The Efficacy of the ‘CREB Innovation’ Derives </w:t>
      </w:r>
      <w:proofErr w:type="gramStart"/>
      <w:r>
        <w:t>From</w:t>
      </w:r>
      <w:proofErr w:type="gramEnd"/>
      <w:r>
        <w:t xml:space="preserve"> the Application of Bandura and Orem, 2025). The residents are more likely to be active, have self-confidence, and be independent when they believe in their capabilities.</w:t>
      </w:r>
    </w:p>
    <w:p w:rsidR="00CA3B0A" w:rsidP="00CA3B0A" w:rsidRDefault="00CA3B0A" w14:paraId="3EB86B49" w14:textId="77777777">
      <w:pPr>
        <w:spacing w:before="0" w:after="160"/>
      </w:pPr>
      <w:r>
        <w:t xml:space="preserve">Another significant characteristic of the theory is social modelling. Older people are capable of following the positive </w:t>
      </w:r>
      <w:proofErr w:type="spellStart"/>
      <w:r>
        <w:t>behaviour</w:t>
      </w:r>
      <w:proofErr w:type="spellEnd"/>
      <w:r>
        <w:t xml:space="preserve"> patterns by observing the actions of other people or members of care (Cui et al., 2025). As an example, physical activities like walking together can be conducted in groups, and community dinners, which can provide residents with the opportunity to watch and repeat </w:t>
      </w:r>
      <w:proofErr w:type="spellStart"/>
      <w:r>
        <w:t>behaviour</w:t>
      </w:r>
      <w:proofErr w:type="spellEnd"/>
      <w:r>
        <w:t>, improving physical and social wellbeing.</w:t>
      </w:r>
    </w:p>
    <w:p w:rsidR="00CA3B0A" w:rsidP="00CA3B0A" w:rsidRDefault="00CA3B0A" w14:paraId="43F89415" w14:textId="68126657">
      <w:pPr>
        <w:spacing w:before="0" w:after="160"/>
      </w:pPr>
      <w:r>
        <w:lastRenderedPageBreak/>
        <w:t xml:space="preserve">Moreover, the preferred </w:t>
      </w:r>
      <w:proofErr w:type="spellStart"/>
      <w:r>
        <w:t>behaviours</w:t>
      </w:r>
      <w:proofErr w:type="spellEnd"/>
      <w:r>
        <w:t xml:space="preserve"> can be reinforced by praise and encouragement </w:t>
      </w:r>
      <w:r w:rsidR="006B604A">
        <w:t>from</w:t>
      </w:r>
      <w:r>
        <w:t xml:space="preserve"> staff</w:t>
      </w:r>
      <w:r w:rsidR="006B604A">
        <w:t>, who</w:t>
      </w:r>
      <w:r>
        <w:t xml:space="preserve"> are part of the reinforcement strategies. </w:t>
      </w:r>
      <w:proofErr w:type="gramStart"/>
      <w:r>
        <w:t>The</w:t>
      </w:r>
      <w:r w:rsidR="008005CB">
        <w:t xml:space="preserve"> </w:t>
      </w:r>
      <w:r>
        <w:t>positive</w:t>
      </w:r>
      <w:proofErr w:type="gramEnd"/>
      <w:r>
        <w:t xml:space="preserve"> feedback contributes to gaining confidence and encourages residents to </w:t>
      </w:r>
      <w:r w:rsidR="006B604A">
        <w:t>continue</w:t>
      </w:r>
      <w:r>
        <w:t xml:space="preserve"> doing positive things. The possibility of participation is also increased by environmental support, namely, </w:t>
      </w:r>
      <w:r w:rsidR="006B604A">
        <w:t xml:space="preserve">a </w:t>
      </w:r>
      <w:r>
        <w:t xml:space="preserve">safe and accessible space (Lynch et al., 2022). In general, </w:t>
      </w:r>
      <w:r w:rsidR="006B604A">
        <w:t xml:space="preserve">the </w:t>
      </w:r>
      <w:r>
        <w:t>Bandura framework is a useful concept that care professionals should use to facilitate active ageing and psychological health.</w:t>
      </w:r>
    </w:p>
    <w:p w:rsidRPr="00CA3B0A" w:rsidR="00CA3B0A" w:rsidP="00CA3B0A" w:rsidRDefault="00CA3B0A" w14:paraId="3255B04A" w14:textId="77777777">
      <w:pPr>
        <w:spacing w:before="0" w:after="160"/>
        <w:rPr>
          <w:b/>
          <w:bCs/>
        </w:rPr>
      </w:pPr>
      <w:r w:rsidRPr="00CA3B0A">
        <w:rPr>
          <w:b/>
          <w:bCs/>
        </w:rPr>
        <w:t>Case Scenario</w:t>
      </w:r>
    </w:p>
    <w:p w:rsidR="00CA3B0A" w:rsidP="00CA3B0A" w:rsidRDefault="00CA3B0A" w14:paraId="1C58C560" w14:textId="159A3139">
      <w:pPr>
        <w:spacing w:before="0" w:after="160"/>
      </w:pPr>
      <w:r>
        <w:t xml:space="preserve">Consider </w:t>
      </w:r>
      <w:r w:rsidR="006B604A">
        <w:t>an 80-year-old</w:t>
      </w:r>
      <w:r>
        <w:t xml:space="preserve"> resident admitted to a care home </w:t>
      </w:r>
      <w:r w:rsidR="006B604A">
        <w:t>who lacks</w:t>
      </w:r>
      <w:r>
        <w:t xml:space="preserve"> the motivation and engagement to do anything because of </w:t>
      </w:r>
      <w:r w:rsidR="006B604A">
        <w:t xml:space="preserve">a </w:t>
      </w:r>
      <w:r>
        <w:t>lack of confidence following a recent fall. Using the theory by Bandura, a gradual restoration of self-efficacy through the resident can be achieved by planning small, manageable goals, e.g., short walks under supervision. Social modelling can also be further encouraged by observing other residents involved in engaging in similar activities as they are successful. The resident should restore confidence, become more ready to do physical and social activities with the help of continuous support and positive reinforcement by the staff, which would positively affect the wellbeing.</w:t>
      </w:r>
    </w:p>
    <w:p w:rsidRPr="00CA3B0A" w:rsidR="00CA3B0A" w:rsidP="00CA3B0A" w:rsidRDefault="00CA3B0A" w14:paraId="1498BA16" w14:textId="77777777">
      <w:pPr>
        <w:spacing w:before="0" w:after="160"/>
        <w:rPr>
          <w:b/>
          <w:bCs/>
        </w:rPr>
      </w:pPr>
      <w:r w:rsidRPr="00CA3B0A">
        <w:rPr>
          <w:b/>
          <w:bCs/>
        </w:rPr>
        <w:t>Challenge in Application</w:t>
      </w:r>
    </w:p>
    <w:p w:rsidR="00CA3B0A" w:rsidP="00CA3B0A" w:rsidRDefault="00CA3B0A" w14:paraId="42279909" w14:textId="20B8F10D">
      <w:pPr>
        <w:spacing w:before="0" w:after="160"/>
      </w:pPr>
      <w:r>
        <w:t xml:space="preserve">Although it is advantageous, the application of the theory </w:t>
      </w:r>
      <w:proofErr w:type="gramStart"/>
      <w:r>
        <w:t xml:space="preserve">of </w:t>
      </w:r>
      <w:r w:rsidR="003474A8">
        <w:t xml:space="preserve"> </w:t>
      </w:r>
      <w:r>
        <w:t>Bandura</w:t>
      </w:r>
      <w:proofErr w:type="gramEnd"/>
      <w:r>
        <w:t xml:space="preserve"> in residential care may bring issues. Among the major problems, there is also the existence of cognitive disabilities, including dementia, which can restrain the information processing capacity of a person, impair their learning ability based on observations, or subdue their confidence </w:t>
      </w:r>
      <w:r w:rsidR="006B604A">
        <w:t>in</w:t>
      </w:r>
      <w:r>
        <w:t xml:space="preserve"> their capacities (Anette Bjerregaard Alrø et al., 2024). Also, workforce and time limitations can limit the chances of </w:t>
      </w:r>
      <w:proofErr w:type="spellStart"/>
      <w:r>
        <w:t>personalised</w:t>
      </w:r>
      <w:proofErr w:type="spellEnd"/>
      <w:r>
        <w:t xml:space="preserve"> support and strategies like goal-setting and reinforcement may not be applied continuously. These issues may impede </w:t>
      </w:r>
      <w:r w:rsidR="006B604A">
        <w:t xml:space="preserve">the </w:t>
      </w:r>
      <w:r>
        <w:t xml:space="preserve">successful use of </w:t>
      </w:r>
      <w:r w:rsidR="006B604A">
        <w:t>theory-based</w:t>
      </w:r>
      <w:r>
        <w:t xml:space="preserve"> interventions.</w:t>
      </w:r>
    </w:p>
    <w:p w:rsidRPr="00CA3B0A" w:rsidR="00CA3B0A" w:rsidP="00CA3B0A" w:rsidRDefault="00CA3B0A" w14:paraId="0426CD35" w14:textId="77777777">
      <w:pPr>
        <w:spacing w:before="0" w:after="160"/>
        <w:rPr>
          <w:b/>
          <w:bCs/>
        </w:rPr>
      </w:pPr>
      <w:r w:rsidRPr="00CA3B0A">
        <w:rPr>
          <w:b/>
          <w:bCs/>
        </w:rPr>
        <w:t>Evidence-Based Solution</w:t>
      </w:r>
    </w:p>
    <w:p w:rsidR="001A38B4" w:rsidP="00CA3B0A" w:rsidRDefault="00CA3B0A" w14:paraId="4E69E1F6" w14:textId="46EB8108">
      <w:pPr>
        <w:spacing w:before="0" w:after="160"/>
      </w:pPr>
      <w:r w:rsidR="00CA3B0A">
        <w:rPr/>
        <w:t>To overcome these issues, person-</w:t>
      </w:r>
      <w:r w:rsidR="00CA3B0A">
        <w:rPr/>
        <w:t>centred</w:t>
      </w:r>
      <w:r w:rsidR="00CA3B0A">
        <w:rPr/>
        <w:t xml:space="preserve"> approaches can be used in care homes with structured interventions that provide better self-efficacy. Studies have found that by providing </w:t>
      </w:r>
      <w:r w:rsidR="006B604A">
        <w:rPr/>
        <w:t>personalisation</w:t>
      </w:r>
      <w:r w:rsidR="00CA3B0A">
        <w:rPr/>
        <w:t xml:space="preserve">, such as simplification of tasks, repetition and regular encouragement, older adults may become more engaged (Kebede et al., 2022).  Implementation can also be facilitated by training staff on </w:t>
      </w:r>
      <w:r w:rsidR="00CA3B0A">
        <w:rPr/>
        <w:t>behaviour</w:t>
      </w:r>
      <w:r w:rsidR="00CA3B0A">
        <w:rPr/>
        <w:t xml:space="preserve"> change techniques, like goal-setting and positive reinforcement. There </w:t>
      </w:r>
      <w:r w:rsidR="00CA3B0A">
        <w:rPr/>
        <w:t xml:space="preserve">is also evidence that </w:t>
      </w:r>
      <w:r w:rsidR="006B604A">
        <w:rPr/>
        <w:t>supports</w:t>
      </w:r>
      <w:r w:rsidR="00CA3B0A">
        <w:rPr/>
        <w:t xml:space="preserve"> the social structure is important in enhancing self-efficacy and encouraging health </w:t>
      </w:r>
      <w:r w:rsidR="00CA3B0A">
        <w:rPr/>
        <w:t>behaviours</w:t>
      </w:r>
      <w:r w:rsidR="00CA3B0A">
        <w:rPr/>
        <w:t xml:space="preserve">. </w:t>
      </w:r>
      <w:r w:rsidR="00CA3B0A">
        <w:rPr/>
        <w:t>Thus, a combination of group work and peer working support can be used to overcome mental and inspirational obstacles.</w:t>
      </w:r>
      <w:r w:rsidR="00CA3B0A">
        <w:rPr/>
        <w:t xml:space="preserve"> Professionals can successfully improve the </w:t>
      </w:r>
      <w:r w:rsidR="00442A34">
        <w:rPr/>
        <w:t>well-being</w:t>
      </w:r>
      <w:r w:rsidR="00CA3B0A">
        <w:rPr/>
        <w:t xml:space="preserve"> of older adults in residential settings by integrating both theoretical principles and evidence-based care practices introduced by Bandura (</w:t>
      </w:r>
      <w:r w:rsidR="77C6FF6A">
        <w:rPr/>
        <w:t>Gheorghiu, A.</w:t>
      </w:r>
      <w:r w:rsidR="00930814">
        <w:rPr/>
        <w:t xml:space="preserve"> </w:t>
      </w:r>
      <w:r w:rsidR="00223D0A">
        <w:rPr/>
        <w:t>and Rad</w:t>
      </w:r>
      <w:r w:rsidR="00CA3B0A">
        <w:rPr/>
        <w:t>,</w:t>
      </w:r>
      <w:r w:rsidR="2E8AD6D7">
        <w:rPr/>
        <w:t xml:space="preserve"> D</w:t>
      </w:r>
      <w:r w:rsidR="31C42E84">
        <w:rPr/>
        <w:t xml:space="preserve">. </w:t>
      </w:r>
      <w:r w:rsidR="00CA3B0A">
        <w:rPr/>
        <w:t>2025</w:t>
      </w:r>
      <w:bookmarkStart w:name="_Int_xTRKQyMD" w:id="890396694"/>
      <w:r w:rsidR="00CA3B0A">
        <w:rPr/>
        <w:t>).</w:t>
      </w:r>
      <w:r>
        <w:br w:type="page"/>
      </w:r>
      <w:bookmarkEnd w:id="890396694"/>
    </w:p>
    <w:p w:rsidRPr="0075417C" w:rsidR="001A38B4" w:rsidP="001A38B4" w:rsidRDefault="001A38B4" w14:paraId="4F0E7FBF" w14:textId="77777777">
      <w:pPr>
        <w:pStyle w:val="Heading1"/>
      </w:pPr>
      <w:r>
        <w:lastRenderedPageBreak/>
        <w:t xml:space="preserve">References </w:t>
      </w:r>
    </w:p>
    <w:p w:rsidR="001A38B4" w:rsidP="001A38B4" w:rsidRDefault="001A38B4" w14:paraId="7A479302" w14:textId="407BEBC6">
      <w:pPr>
        <w:ind w:left="720" w:hanging="720"/>
        <w:rPr>
          <w:i/>
          <w:iCs/>
        </w:rPr>
      </w:pPr>
      <w:r w:rsidRPr="0051698D">
        <w:t xml:space="preserve">Abbasi, M., Radfar, M., Jafarizadeh, H. and </w:t>
      </w:r>
      <w:proofErr w:type="spellStart"/>
      <w:r w:rsidRPr="0051698D">
        <w:t>Khalkhali</w:t>
      </w:r>
      <w:proofErr w:type="spellEnd"/>
      <w:r w:rsidRPr="0051698D">
        <w:t>, H. (2025)</w:t>
      </w:r>
      <w:r w:rsidR="00442A34">
        <w:t>.</w:t>
      </w:r>
      <w:r w:rsidRPr="0051698D">
        <w:t xml:space="preserve"> </w:t>
      </w:r>
      <w:r w:rsidRPr="0051698D">
        <w:rPr>
          <w:i/>
          <w:iCs/>
        </w:rPr>
        <w:t>Does life story work based on Erikson’s theory enhance psychological well-being in elderly residents of nursing homes? A randomized controlled trial.</w:t>
      </w:r>
      <w:r w:rsidRPr="0051698D">
        <w:t xml:space="preserve"> </w:t>
      </w:r>
      <w:r w:rsidRPr="0051698D">
        <w:rPr>
          <w:i/>
          <w:iCs/>
        </w:rPr>
        <w:t xml:space="preserve">Available at: </w:t>
      </w:r>
      <w:hyperlink w:history="1" r:id="rId9">
        <w:r w:rsidRPr="002E3EA5">
          <w:rPr>
            <w:rStyle w:val="Hyperlink"/>
            <w:i/>
            <w:iCs/>
          </w:rPr>
          <w:t>https://www.sciencedirect.com/science/article/abs/pii/S0197457224003902</w:t>
        </w:r>
      </w:hyperlink>
      <w:r>
        <w:rPr>
          <w:i/>
          <w:iCs/>
        </w:rPr>
        <w:t xml:space="preserve"> </w:t>
      </w:r>
    </w:p>
    <w:p w:rsidR="001A38B4" w:rsidP="001A38B4" w:rsidRDefault="001A38B4" w14:paraId="26DF9EA7" w14:textId="77777777">
      <w:pPr>
        <w:ind w:left="720" w:hanging="720"/>
      </w:pPr>
      <w:r w:rsidRPr="0075417C">
        <w:t xml:space="preserve">Amin, S. M., Awad, A., Hussein, M., Tawfik, A. F., Mohammed, S., </w:t>
      </w:r>
      <w:proofErr w:type="spellStart"/>
      <w:r w:rsidRPr="0075417C">
        <w:t>AbouZeid</w:t>
      </w:r>
      <w:proofErr w:type="spellEnd"/>
      <w:r w:rsidRPr="0075417C">
        <w:t xml:space="preserve">, N. A., Mahmoud Abdelwahab Khedr, &amp; Ayman Mohamed El-Ashry. (2025). The mediating role of self-care self-efficacy in the relationship between health behavior and psychological wellbeing among community-dwelling older adults with hypertension. </w:t>
      </w:r>
      <w:r w:rsidRPr="0075417C">
        <w:rPr>
          <w:i/>
          <w:iCs/>
        </w:rPr>
        <w:t>Frontiers in Public Health</w:t>
      </w:r>
      <w:r w:rsidRPr="0075417C">
        <w:t xml:space="preserve">, </w:t>
      </w:r>
      <w:r w:rsidRPr="0075417C">
        <w:rPr>
          <w:i/>
          <w:iCs/>
        </w:rPr>
        <w:t>13</w:t>
      </w:r>
      <w:r w:rsidRPr="0075417C">
        <w:t xml:space="preserve">, 1697089–1697089. </w:t>
      </w:r>
      <w:hyperlink w:history="1" r:id="rId10">
        <w:r w:rsidRPr="0075417C">
          <w:rPr>
            <w:rStyle w:val="Hyperlink"/>
          </w:rPr>
          <w:t>https://doi.org/10.3389/fpubh.2025.1697089</w:t>
        </w:r>
      </w:hyperlink>
      <w:r>
        <w:t xml:space="preserve"> </w:t>
      </w:r>
    </w:p>
    <w:p w:rsidRPr="00616B80" w:rsidR="001A38B4" w:rsidP="001A38B4" w:rsidRDefault="001A38B4" w14:paraId="6BD627EF" w14:textId="77777777">
      <w:pPr>
        <w:ind w:left="720" w:hanging="720"/>
      </w:pPr>
      <w:r w:rsidRPr="007C1B78">
        <w:rPr>
          <w:lang w:val="nl-NL"/>
        </w:rPr>
        <w:t xml:space="preserve">Anette Bjerregaard Alrø, Svenningsen, H., Helene Korvenius Nedergaard, Hanne Irene Jensen and Dreyer, P. (2024). </w:t>
      </w:r>
      <w:r w:rsidRPr="00616B80">
        <w:t xml:space="preserve">Cognitive impairment in intensive care unit patients: A qualitative exploration through observations and interviews. </w:t>
      </w:r>
      <w:r w:rsidRPr="00616B80">
        <w:rPr>
          <w:i/>
          <w:iCs/>
        </w:rPr>
        <w:t>Intensive and Critical Care Nursing</w:t>
      </w:r>
      <w:r w:rsidRPr="00616B80">
        <w:t xml:space="preserve">, 81, pp.103611–103611. </w:t>
      </w:r>
      <w:proofErr w:type="spellStart"/>
      <w:proofErr w:type="gramStart"/>
      <w:r w:rsidRPr="00616B80">
        <w:t>doi:https</w:t>
      </w:r>
      <w:proofErr w:type="spellEnd"/>
      <w:r w:rsidRPr="00616B80">
        <w:t>://doi.org/10.1016/j.iccn.2023.103611</w:t>
      </w:r>
      <w:proofErr w:type="gramEnd"/>
      <w:r w:rsidRPr="00616B80">
        <w:t>.</w:t>
      </w:r>
    </w:p>
    <w:p w:rsidR="001A38B4" w:rsidP="001A38B4" w:rsidRDefault="001A38B4" w14:paraId="11C6EFAB" w14:textId="77777777">
      <w:pPr>
        <w:ind w:left="720" w:hanging="720"/>
      </w:pPr>
      <w:r>
        <w:t xml:space="preserve">Belser, C.T., Tavormina, H. and O’Hanlon, A. (2026) Gardening as a Psychosocial Well-Being Activity for Adults: Integrating Eco-Wellness and Developmental Theory. Available at: </w:t>
      </w:r>
      <w:hyperlink w:history="1" r:id="rId11">
        <w:r w:rsidRPr="002E3EA5">
          <w:rPr>
            <w:rStyle w:val="Hyperlink"/>
          </w:rPr>
          <w:t>https://mds.marshall.edu/adsp/vol25/iss1/6/</w:t>
        </w:r>
      </w:hyperlink>
      <w:r>
        <w:t xml:space="preserve"> </w:t>
      </w:r>
    </w:p>
    <w:p w:rsidR="001A38B4" w:rsidP="001A38B4" w:rsidRDefault="001A38B4" w14:paraId="17E51FB5" w14:textId="77777777">
      <w:pPr>
        <w:ind w:left="720" w:hanging="720"/>
      </w:pPr>
      <w:r w:rsidRPr="0075417C">
        <w:t xml:space="preserve">Cui, S., Crowe-Cumella, H., Fortuna, K.L. and Jain, F.A. (2025). A state-of-the-art narrative review of peer support for family caregivers of people with dementia: from in-person to digital delivery. </w:t>
      </w:r>
      <w:r w:rsidRPr="0075417C">
        <w:rPr>
          <w:i/>
          <w:iCs/>
        </w:rPr>
        <w:t>mHealth</w:t>
      </w:r>
      <w:r w:rsidRPr="0075417C">
        <w:t xml:space="preserve">, 11, pp.9–9. </w:t>
      </w:r>
      <w:proofErr w:type="spellStart"/>
      <w:proofErr w:type="gramStart"/>
      <w:r w:rsidRPr="0075417C">
        <w:t>doi:https</w:t>
      </w:r>
      <w:proofErr w:type="spellEnd"/>
      <w:r w:rsidRPr="0075417C">
        <w:t>://doi.org/10.21037/mhealth-24-19</w:t>
      </w:r>
      <w:proofErr w:type="gramEnd"/>
      <w:r w:rsidRPr="0075417C">
        <w:t>.</w:t>
      </w:r>
    </w:p>
    <w:p w:rsidR="001A38B4" w:rsidP="001A38B4" w:rsidRDefault="001A38B4" w14:paraId="4BFE1927" w14:textId="77777777">
      <w:pPr>
        <w:ind w:left="720" w:hanging="720"/>
      </w:pPr>
      <w:r w:rsidRPr="00D3051B">
        <w:rPr>
          <w:lang w:val="nl-NL"/>
        </w:rPr>
        <w:t xml:space="preserve">Egele, V. S., Klopp, E., &amp; Stark, R. (2025). </w:t>
      </w:r>
      <w:r w:rsidRPr="0075417C">
        <w:t xml:space="preserve">How Valid Is Bandura’s Social Cognitive Theory to Explain Physical Activity Behavior? </w:t>
      </w:r>
      <w:r w:rsidRPr="0075417C">
        <w:rPr>
          <w:i/>
          <w:iCs/>
        </w:rPr>
        <w:t>European Journal of Investigation in Health, Psychology and Education</w:t>
      </w:r>
      <w:r w:rsidRPr="0075417C">
        <w:t xml:space="preserve">, </w:t>
      </w:r>
      <w:r w:rsidRPr="0075417C">
        <w:rPr>
          <w:i/>
          <w:iCs/>
        </w:rPr>
        <w:t>15</w:t>
      </w:r>
      <w:r w:rsidRPr="0075417C">
        <w:t xml:space="preserve">(2), 20. </w:t>
      </w:r>
      <w:hyperlink w:history="1" r:id="rId12">
        <w:r w:rsidRPr="0075417C">
          <w:rPr>
            <w:rStyle w:val="Hyperlink"/>
          </w:rPr>
          <w:t>https://doi.org/10.3390/ejihpe15020020</w:t>
        </w:r>
      </w:hyperlink>
      <w:r>
        <w:t xml:space="preserve"> </w:t>
      </w:r>
    </w:p>
    <w:p w:rsidRPr="0075417C" w:rsidR="001A38B4" w:rsidP="001A38B4" w:rsidRDefault="001A38B4" w14:paraId="6E17C20F" w14:textId="5C44FFEE">
      <w:pPr>
        <w:ind w:left="720" w:hanging="720"/>
      </w:pPr>
      <w:proofErr w:type="gramStart"/>
      <w:r w:rsidRPr="00616B80">
        <w:t>G</w:t>
      </w:r>
      <w:r w:rsidR="00E25FE8">
        <w:t xml:space="preserve">heorghiu </w:t>
      </w:r>
      <w:r w:rsidRPr="00616B80">
        <w:t>,</w:t>
      </w:r>
      <w:proofErr w:type="gramEnd"/>
      <w:r w:rsidRPr="00616B80">
        <w:t xml:space="preserve"> A. and R</w:t>
      </w:r>
      <w:r w:rsidR="00E3045B">
        <w:t>ad</w:t>
      </w:r>
      <w:r w:rsidRPr="00616B80">
        <w:t>, D., 2025. E</w:t>
      </w:r>
      <w:r w:rsidR="00E3045B">
        <w:t>vidence</w:t>
      </w:r>
      <w:r w:rsidRPr="00616B80">
        <w:t>-</w:t>
      </w:r>
      <w:r w:rsidR="008A46E9">
        <w:t>based</w:t>
      </w:r>
      <w:r w:rsidRPr="00616B80">
        <w:t xml:space="preserve"> P</w:t>
      </w:r>
      <w:r w:rsidR="008A46E9">
        <w:t>sychosocial</w:t>
      </w:r>
      <w:r w:rsidRPr="00616B80">
        <w:t xml:space="preserve"> T</w:t>
      </w:r>
      <w:r w:rsidR="008A46E9">
        <w:t>herapies</w:t>
      </w:r>
      <w:r w:rsidRPr="00616B80">
        <w:t xml:space="preserve"> </w:t>
      </w:r>
      <w:r w:rsidR="008A46E9">
        <w:t xml:space="preserve">for </w:t>
      </w:r>
      <w:r w:rsidRPr="00616B80">
        <w:t>E</w:t>
      </w:r>
      <w:r w:rsidR="000E1ACC">
        <w:t>nhancing well</w:t>
      </w:r>
      <w:r w:rsidRPr="00616B80">
        <w:t>-</w:t>
      </w:r>
      <w:r w:rsidR="000E1ACC">
        <w:t>b</w:t>
      </w:r>
      <w:r w:rsidR="003D04FF">
        <w:t>eing and promoting</w:t>
      </w:r>
      <w:r w:rsidRPr="00616B80">
        <w:t xml:space="preserve"> </w:t>
      </w:r>
      <w:r w:rsidR="003D04FF">
        <w:t>active</w:t>
      </w:r>
      <w:r w:rsidR="008C2F01">
        <w:t xml:space="preserve"> aging in elderly care</w:t>
      </w:r>
      <w:r w:rsidR="007249E0">
        <w:t xml:space="preserve"> facilities</w:t>
      </w:r>
      <w:r w:rsidRPr="00616B80">
        <w:t>. </w:t>
      </w:r>
      <w:r w:rsidRPr="00616B80">
        <w:rPr>
          <w:i/>
          <w:iCs/>
        </w:rPr>
        <w:t>Journal Plus Education/</w:t>
      </w:r>
      <w:proofErr w:type="spellStart"/>
      <w:r w:rsidRPr="00616B80">
        <w:rPr>
          <w:i/>
          <w:iCs/>
        </w:rPr>
        <w:t>Educaţia</w:t>
      </w:r>
      <w:proofErr w:type="spellEnd"/>
      <w:r w:rsidRPr="00616B80">
        <w:rPr>
          <w:i/>
          <w:iCs/>
        </w:rPr>
        <w:t xml:space="preserve"> Plus</w:t>
      </w:r>
      <w:r w:rsidRPr="00616B80">
        <w:t>, </w:t>
      </w:r>
      <w:r w:rsidRPr="00616B80">
        <w:rPr>
          <w:i/>
          <w:iCs/>
        </w:rPr>
        <w:t>39</w:t>
      </w:r>
      <w:r w:rsidRPr="00616B80">
        <w:t>(2).</w:t>
      </w:r>
    </w:p>
    <w:p w:rsidR="001A38B4" w:rsidP="001A38B4" w:rsidRDefault="001A38B4" w14:paraId="207CB1F0" w14:textId="77777777">
      <w:pPr>
        <w:ind w:left="720" w:hanging="720"/>
      </w:pPr>
      <w:r w:rsidRPr="00616B80">
        <w:t>Kebede, A.S., Ozolins, L.L., Holst, H. and Galvin, K., 2022. Digital engagement of older adults: scoping review. </w:t>
      </w:r>
      <w:r w:rsidRPr="00616B80">
        <w:rPr>
          <w:i/>
          <w:iCs/>
        </w:rPr>
        <w:t>Journal of Medical Internet Research</w:t>
      </w:r>
      <w:r w:rsidRPr="00616B80">
        <w:t>, </w:t>
      </w:r>
      <w:r w:rsidRPr="00616B80">
        <w:rPr>
          <w:i/>
          <w:iCs/>
        </w:rPr>
        <w:t>24</w:t>
      </w:r>
      <w:r w:rsidRPr="00616B80">
        <w:t>(12), p.e40192.</w:t>
      </w:r>
    </w:p>
    <w:p w:rsidR="001A38B4" w:rsidP="001A38B4" w:rsidRDefault="001A38B4" w14:paraId="6AC2FAA8" w14:textId="77777777">
      <w:pPr>
        <w:ind w:left="720" w:hanging="720"/>
      </w:pPr>
      <w:r w:rsidRPr="00616B80">
        <w:lastRenderedPageBreak/>
        <w:t>Lynch, B., Ryan, A.A., O’Neill, M. and Penney, S., 2022. The factors that influence care home residents’ and families’ engagement with decision-making about their care and support: an integrative review of the literature. </w:t>
      </w:r>
      <w:r w:rsidRPr="00616B80">
        <w:rPr>
          <w:i/>
          <w:iCs/>
        </w:rPr>
        <w:t>BMC geriatrics</w:t>
      </w:r>
      <w:r w:rsidRPr="00616B80">
        <w:t>, </w:t>
      </w:r>
      <w:r w:rsidRPr="00616B80">
        <w:rPr>
          <w:i/>
          <w:iCs/>
        </w:rPr>
        <w:t>22</w:t>
      </w:r>
      <w:r w:rsidRPr="00616B80">
        <w:t>(1), p.873.</w:t>
      </w:r>
      <w:r>
        <w:t xml:space="preserve"> </w:t>
      </w:r>
    </w:p>
    <w:p w:rsidRPr="0075417C" w:rsidR="001A38B4" w:rsidP="001A38B4" w:rsidRDefault="001A38B4" w14:paraId="55170141" w14:textId="77777777">
      <w:pPr>
        <w:ind w:left="720" w:hanging="720"/>
      </w:pPr>
      <w:r w:rsidRPr="0075417C">
        <w:t xml:space="preserve">The Efficacy of the ‘CREB Innovation’ Derives </w:t>
      </w:r>
      <w:proofErr w:type="gramStart"/>
      <w:r w:rsidRPr="0075417C">
        <w:t>From</w:t>
      </w:r>
      <w:proofErr w:type="gramEnd"/>
      <w:r w:rsidRPr="0075417C">
        <w:t xml:space="preserve"> the Application of Bandura and Orem’s Theory towards Self-Care Knowledge, </w:t>
      </w:r>
      <w:proofErr w:type="spellStart"/>
      <w:r w:rsidRPr="0075417C">
        <w:t>SelfEfficacy</w:t>
      </w:r>
      <w:proofErr w:type="spellEnd"/>
      <w:r w:rsidRPr="0075417C">
        <w:t xml:space="preserve">, Self-Care Behavior, and Satisfaction among Older Thai Hypertensive Patients in Thailand. (2025). </w:t>
      </w:r>
      <w:r w:rsidRPr="0075417C">
        <w:rPr>
          <w:i/>
          <w:iCs/>
        </w:rPr>
        <w:t>Journal of Posthumanism</w:t>
      </w:r>
      <w:r w:rsidRPr="0075417C">
        <w:t>, [online] 5(1), pp.1324–1337. Available at: https://www.ceeol.com/search/article-detail?id=1359007.</w:t>
      </w:r>
    </w:p>
    <w:p w:rsidRPr="0075417C" w:rsidR="001A38B4" w:rsidP="001A38B4" w:rsidRDefault="001A38B4" w14:paraId="6E980EF9" w14:textId="77777777">
      <w:pPr>
        <w:ind w:left="720" w:hanging="720"/>
      </w:pPr>
      <w:r w:rsidRPr="0075417C">
        <w:t xml:space="preserve">Woodcock, S. and </w:t>
      </w:r>
      <w:proofErr w:type="spellStart"/>
      <w:r w:rsidRPr="0075417C">
        <w:t>Tournaki</w:t>
      </w:r>
      <w:proofErr w:type="spellEnd"/>
      <w:r w:rsidRPr="0075417C">
        <w:t xml:space="preserve">, N. (2022). Bandura’s triadic reciprocal determinism model and teacher self-efficacy scales: A revisit. </w:t>
      </w:r>
      <w:r w:rsidRPr="0075417C">
        <w:rPr>
          <w:i/>
          <w:iCs/>
        </w:rPr>
        <w:t>Teacher Development</w:t>
      </w:r>
      <w:r w:rsidRPr="0075417C">
        <w:t xml:space="preserve">, 27(1), pp.1–17. </w:t>
      </w:r>
      <w:proofErr w:type="spellStart"/>
      <w:proofErr w:type="gramStart"/>
      <w:r w:rsidRPr="0075417C">
        <w:t>doi:https</w:t>
      </w:r>
      <w:proofErr w:type="spellEnd"/>
      <w:r w:rsidRPr="0075417C">
        <w:t>://doi.org/10.1080/13664530.2022.2150285</w:t>
      </w:r>
      <w:proofErr w:type="gramEnd"/>
      <w:r w:rsidRPr="0075417C">
        <w:t>.</w:t>
      </w:r>
    </w:p>
    <w:p w:rsidRPr="001A38B4" w:rsidR="001A38B4" w:rsidP="001A38B4" w:rsidRDefault="001A38B4" w14:paraId="5A836A08" w14:textId="77777777"/>
    <w:sectPr w:rsidRPr="001A38B4" w:rsidR="001A38B4">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xTRKQyMD" int2:invalidationBookmarkName="" int2:hashCode="WvveIltHIqIr7c" int2:id="bQqCayWD">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F13A2C"/>
    <w:multiLevelType w:val="hybridMultilevel"/>
    <w:tmpl w:val="BC44EB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5258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894"/>
    <w:rsid w:val="000119CA"/>
    <w:rsid w:val="00017A60"/>
    <w:rsid w:val="00020C92"/>
    <w:rsid w:val="00096AB9"/>
    <w:rsid w:val="000B15D8"/>
    <w:rsid w:val="000E1ACC"/>
    <w:rsid w:val="000E3BF4"/>
    <w:rsid w:val="001A38B4"/>
    <w:rsid w:val="001D046F"/>
    <w:rsid w:val="001E09F4"/>
    <w:rsid w:val="00211022"/>
    <w:rsid w:val="00217659"/>
    <w:rsid w:val="00223D0A"/>
    <w:rsid w:val="002601E1"/>
    <w:rsid w:val="00276BDE"/>
    <w:rsid w:val="0028097E"/>
    <w:rsid w:val="002904B4"/>
    <w:rsid w:val="002A7CFB"/>
    <w:rsid w:val="003162E7"/>
    <w:rsid w:val="00336EB4"/>
    <w:rsid w:val="003474A8"/>
    <w:rsid w:val="0037501E"/>
    <w:rsid w:val="003C12B9"/>
    <w:rsid w:val="003D04FF"/>
    <w:rsid w:val="003E4401"/>
    <w:rsid w:val="003F38A9"/>
    <w:rsid w:val="00442A34"/>
    <w:rsid w:val="005134F4"/>
    <w:rsid w:val="0051698D"/>
    <w:rsid w:val="0052114B"/>
    <w:rsid w:val="005920B0"/>
    <w:rsid w:val="005949C2"/>
    <w:rsid w:val="005A7B27"/>
    <w:rsid w:val="005B4672"/>
    <w:rsid w:val="005F0D42"/>
    <w:rsid w:val="0062046A"/>
    <w:rsid w:val="00634161"/>
    <w:rsid w:val="006625D6"/>
    <w:rsid w:val="00673C91"/>
    <w:rsid w:val="00693C6E"/>
    <w:rsid w:val="006B604A"/>
    <w:rsid w:val="006D2F7A"/>
    <w:rsid w:val="006D3031"/>
    <w:rsid w:val="006D5D0A"/>
    <w:rsid w:val="00720744"/>
    <w:rsid w:val="007249E0"/>
    <w:rsid w:val="007262E0"/>
    <w:rsid w:val="00770D33"/>
    <w:rsid w:val="00782377"/>
    <w:rsid w:val="00785AD4"/>
    <w:rsid w:val="007C1B78"/>
    <w:rsid w:val="007C6E01"/>
    <w:rsid w:val="007D1704"/>
    <w:rsid w:val="007F5A33"/>
    <w:rsid w:val="008005CB"/>
    <w:rsid w:val="008526C0"/>
    <w:rsid w:val="00867448"/>
    <w:rsid w:val="008829F3"/>
    <w:rsid w:val="008A46E9"/>
    <w:rsid w:val="008C2F01"/>
    <w:rsid w:val="008D716C"/>
    <w:rsid w:val="00930814"/>
    <w:rsid w:val="0094190A"/>
    <w:rsid w:val="00980056"/>
    <w:rsid w:val="009974DA"/>
    <w:rsid w:val="009B033E"/>
    <w:rsid w:val="009D5C27"/>
    <w:rsid w:val="00A7720B"/>
    <w:rsid w:val="00AE740F"/>
    <w:rsid w:val="00B174F8"/>
    <w:rsid w:val="00B24460"/>
    <w:rsid w:val="00B41DA1"/>
    <w:rsid w:val="00B55BB9"/>
    <w:rsid w:val="00BA7698"/>
    <w:rsid w:val="00BB1EB5"/>
    <w:rsid w:val="00BB39A0"/>
    <w:rsid w:val="00C2078A"/>
    <w:rsid w:val="00C25B44"/>
    <w:rsid w:val="00C415A8"/>
    <w:rsid w:val="00C66894"/>
    <w:rsid w:val="00CA28B8"/>
    <w:rsid w:val="00CA3B0A"/>
    <w:rsid w:val="00CC6B0C"/>
    <w:rsid w:val="00D10D64"/>
    <w:rsid w:val="00D3051B"/>
    <w:rsid w:val="00D340EA"/>
    <w:rsid w:val="00D61225"/>
    <w:rsid w:val="00D85955"/>
    <w:rsid w:val="00DB1529"/>
    <w:rsid w:val="00DC4853"/>
    <w:rsid w:val="00DC5B9D"/>
    <w:rsid w:val="00DD72D4"/>
    <w:rsid w:val="00E25FE8"/>
    <w:rsid w:val="00E3045B"/>
    <w:rsid w:val="00E37917"/>
    <w:rsid w:val="00E431BA"/>
    <w:rsid w:val="00E64572"/>
    <w:rsid w:val="00F07383"/>
    <w:rsid w:val="22DFF070"/>
    <w:rsid w:val="2E8AD6D7"/>
    <w:rsid w:val="31C42E84"/>
    <w:rsid w:val="3E22A293"/>
    <w:rsid w:val="4F01421F"/>
    <w:rsid w:val="77C6FF6A"/>
    <w:rsid w:val="7B7D7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4B905"/>
  <w15:chartTrackingRefBased/>
  <w15:docId w15:val="{170854B3-7413-4360-8516-87E6481EC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55BB9"/>
    <w:pPr>
      <w:spacing w:before="120" w:after="120"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2601E1"/>
    <w:pPr>
      <w:outlineLvl w:val="0"/>
    </w:pPr>
    <w:rPr>
      <w:b/>
      <w:bCs/>
      <w:szCs w:val="28"/>
    </w:rPr>
  </w:style>
  <w:style w:type="paragraph" w:styleId="Heading2">
    <w:name w:val="heading 2"/>
    <w:basedOn w:val="Heading1"/>
    <w:next w:val="Normal"/>
    <w:link w:val="Heading2Char"/>
    <w:uiPriority w:val="9"/>
    <w:unhideWhenUsed/>
    <w:qFormat/>
    <w:rsid w:val="002601E1"/>
    <w:pPr>
      <w:outlineLvl w:val="1"/>
    </w:pPr>
    <w:rPr>
      <w:i/>
      <w:szCs w:val="24"/>
    </w:rPr>
  </w:style>
  <w:style w:type="paragraph" w:styleId="Heading3">
    <w:name w:val="heading 3"/>
    <w:basedOn w:val="Heading2"/>
    <w:next w:val="Normal"/>
    <w:link w:val="Heading3Char"/>
    <w:uiPriority w:val="9"/>
    <w:unhideWhenUsed/>
    <w:qFormat/>
    <w:rsid w:val="0094190A"/>
    <w:pPr>
      <w:outlineLvl w:val="2"/>
    </w:pPr>
    <w:rPr>
      <w:i w:val="0"/>
      <w:iCs/>
    </w:rPr>
  </w:style>
  <w:style w:type="paragraph" w:styleId="Heading4">
    <w:name w:val="heading 4"/>
    <w:basedOn w:val="Normal"/>
    <w:next w:val="Normal"/>
    <w:link w:val="Heading4Char"/>
    <w:uiPriority w:val="9"/>
    <w:semiHidden/>
    <w:unhideWhenUsed/>
    <w:qFormat/>
    <w:rsid w:val="00C66894"/>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6894"/>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6894"/>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894"/>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894"/>
    <w:pPr>
      <w:keepNext/>
      <w:keepLines/>
      <w:spacing w:before="0"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894"/>
    <w:pPr>
      <w:keepNext/>
      <w:keepLines/>
      <w:spacing w:before="0"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basedOn w:val="Normal"/>
    <w:uiPriority w:val="1"/>
    <w:qFormat/>
    <w:rsid w:val="0094190A"/>
    <w:pPr>
      <w:ind w:left="720" w:hanging="720"/>
    </w:pPr>
  </w:style>
  <w:style w:type="character" w:styleId="Heading1Char" w:customStyle="1">
    <w:name w:val="Heading 1 Char"/>
    <w:basedOn w:val="DefaultParagraphFont"/>
    <w:link w:val="Heading1"/>
    <w:uiPriority w:val="9"/>
    <w:rsid w:val="002601E1"/>
    <w:rPr>
      <w:rFonts w:ascii="Times New Roman" w:hAnsi="Times New Roman" w:cs="Times New Roman"/>
      <w:b/>
      <w:bCs/>
      <w:szCs w:val="28"/>
    </w:rPr>
  </w:style>
  <w:style w:type="character" w:styleId="Heading2Char" w:customStyle="1">
    <w:name w:val="Heading 2 Char"/>
    <w:basedOn w:val="DefaultParagraphFont"/>
    <w:link w:val="Heading2"/>
    <w:uiPriority w:val="9"/>
    <w:rsid w:val="002601E1"/>
    <w:rPr>
      <w:rFonts w:ascii="Times New Roman" w:hAnsi="Times New Roman" w:cs="Times New Roman"/>
      <w:b/>
      <w:bCs/>
      <w:i/>
    </w:rPr>
  </w:style>
  <w:style w:type="character" w:styleId="Heading3Char" w:customStyle="1">
    <w:name w:val="Heading 3 Char"/>
    <w:basedOn w:val="DefaultParagraphFont"/>
    <w:link w:val="Heading3"/>
    <w:uiPriority w:val="9"/>
    <w:rsid w:val="0094190A"/>
    <w:rPr>
      <w:rFonts w:ascii="Times New Roman" w:hAnsi="Times New Roman" w:cs="Times New Roman"/>
      <w:b/>
      <w:bCs/>
      <w:i/>
      <w:iCs/>
    </w:rPr>
  </w:style>
  <w:style w:type="paragraph" w:styleId="TOCHeading">
    <w:name w:val="TOC Heading"/>
    <w:basedOn w:val="Normal"/>
    <w:next w:val="Normal"/>
    <w:uiPriority w:val="39"/>
    <w:unhideWhenUsed/>
    <w:qFormat/>
    <w:rsid w:val="0094190A"/>
    <w:pPr>
      <w:jc w:val="center"/>
    </w:pPr>
    <w:rPr>
      <w:b/>
      <w:bCs/>
      <w:sz w:val="28"/>
      <w:szCs w:val="28"/>
    </w:rPr>
  </w:style>
  <w:style w:type="paragraph" w:styleId="Title">
    <w:name w:val="Title"/>
    <w:basedOn w:val="Normal"/>
    <w:next w:val="Normal"/>
    <w:link w:val="TitleChar"/>
    <w:uiPriority w:val="10"/>
    <w:qFormat/>
    <w:rsid w:val="0094190A"/>
    <w:pPr>
      <w:jc w:val="center"/>
    </w:pPr>
    <w:rPr>
      <w:b/>
      <w:bCs/>
      <w:sz w:val="28"/>
      <w:szCs w:val="28"/>
    </w:rPr>
  </w:style>
  <w:style w:type="character" w:styleId="TitleChar" w:customStyle="1">
    <w:name w:val="Title Char"/>
    <w:basedOn w:val="DefaultParagraphFont"/>
    <w:link w:val="Title"/>
    <w:uiPriority w:val="10"/>
    <w:rsid w:val="0094190A"/>
    <w:rPr>
      <w:rFonts w:ascii="Times New Roman" w:hAnsi="Times New Roman" w:cs="Times New Roman"/>
      <w:b/>
      <w:bCs/>
      <w:sz w:val="28"/>
      <w:szCs w:val="28"/>
    </w:rPr>
  </w:style>
  <w:style w:type="paragraph" w:styleId="Subtitle">
    <w:name w:val="Subtitle"/>
    <w:basedOn w:val="Normal"/>
    <w:next w:val="Normal"/>
    <w:link w:val="SubtitleChar"/>
    <w:uiPriority w:val="11"/>
    <w:qFormat/>
    <w:rsid w:val="00C2078A"/>
    <w:pPr>
      <w:jc w:val="center"/>
    </w:pPr>
  </w:style>
  <w:style w:type="character" w:styleId="SubtitleChar" w:customStyle="1">
    <w:name w:val="Subtitle Char"/>
    <w:basedOn w:val="DefaultParagraphFont"/>
    <w:link w:val="Subtitle"/>
    <w:uiPriority w:val="11"/>
    <w:rsid w:val="00C2078A"/>
    <w:rPr>
      <w:rFonts w:ascii="Times New Roman" w:hAnsi="Times New Roman" w:cs="Times New Roman"/>
    </w:rPr>
  </w:style>
  <w:style w:type="character" w:styleId="Heading4Char" w:customStyle="1">
    <w:name w:val="Heading 4 Char"/>
    <w:basedOn w:val="DefaultParagraphFont"/>
    <w:link w:val="Heading4"/>
    <w:uiPriority w:val="9"/>
    <w:semiHidden/>
    <w:rsid w:val="00C66894"/>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C66894"/>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C6689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6689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6689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66894"/>
    <w:rPr>
      <w:rFonts w:eastAsiaTheme="majorEastAsia" w:cstheme="majorBidi"/>
      <w:color w:val="272727" w:themeColor="text1" w:themeTint="D8"/>
    </w:rPr>
  </w:style>
  <w:style w:type="paragraph" w:styleId="Quote">
    <w:name w:val="Quote"/>
    <w:basedOn w:val="Normal"/>
    <w:next w:val="Normal"/>
    <w:link w:val="QuoteChar"/>
    <w:uiPriority w:val="29"/>
    <w:qFormat/>
    <w:rsid w:val="00C66894"/>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C66894"/>
    <w:rPr>
      <w:rFonts w:ascii="Times New Roman" w:hAnsi="Times New Roman" w:cs="Times New Roman"/>
      <w:i/>
      <w:iCs/>
      <w:color w:val="404040" w:themeColor="text1" w:themeTint="BF"/>
    </w:rPr>
  </w:style>
  <w:style w:type="paragraph" w:styleId="ListParagraph">
    <w:name w:val="List Paragraph"/>
    <w:basedOn w:val="Normal"/>
    <w:uiPriority w:val="34"/>
    <w:qFormat/>
    <w:rsid w:val="00C66894"/>
    <w:pPr>
      <w:ind w:left="720"/>
      <w:contextualSpacing/>
    </w:pPr>
  </w:style>
  <w:style w:type="character" w:styleId="IntenseEmphasis">
    <w:name w:val="Intense Emphasis"/>
    <w:basedOn w:val="DefaultParagraphFont"/>
    <w:uiPriority w:val="21"/>
    <w:qFormat/>
    <w:rsid w:val="00C66894"/>
    <w:rPr>
      <w:i/>
      <w:iCs/>
      <w:color w:val="2F5496" w:themeColor="accent1" w:themeShade="BF"/>
    </w:rPr>
  </w:style>
  <w:style w:type="paragraph" w:styleId="IntenseQuote">
    <w:name w:val="Intense Quote"/>
    <w:basedOn w:val="Normal"/>
    <w:next w:val="Normal"/>
    <w:link w:val="IntenseQuoteChar"/>
    <w:uiPriority w:val="30"/>
    <w:qFormat/>
    <w:rsid w:val="00C66894"/>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C66894"/>
    <w:rPr>
      <w:rFonts w:ascii="Times New Roman" w:hAnsi="Times New Roman" w:cs="Times New Roman"/>
      <w:i/>
      <w:iCs/>
      <w:color w:val="2F5496" w:themeColor="accent1" w:themeShade="BF"/>
    </w:rPr>
  </w:style>
  <w:style w:type="character" w:styleId="IntenseReference">
    <w:name w:val="Intense Reference"/>
    <w:basedOn w:val="DefaultParagraphFont"/>
    <w:uiPriority w:val="32"/>
    <w:qFormat/>
    <w:rsid w:val="00C66894"/>
    <w:rPr>
      <w:b/>
      <w:bCs/>
      <w:smallCaps/>
      <w:color w:val="2F5496" w:themeColor="accent1" w:themeShade="BF"/>
      <w:spacing w:val="5"/>
    </w:rPr>
  </w:style>
  <w:style w:type="character" w:styleId="Hyperlink">
    <w:name w:val="Hyperlink"/>
    <w:basedOn w:val="DefaultParagraphFont"/>
    <w:uiPriority w:val="99"/>
    <w:unhideWhenUsed/>
    <w:rsid w:val="0051698D"/>
    <w:rPr>
      <w:color w:val="0563C1" w:themeColor="hyperlink"/>
      <w:u w:val="single"/>
    </w:rPr>
  </w:style>
  <w:style w:type="character" w:styleId="UnresolvedMention">
    <w:name w:val="Unresolved Mention"/>
    <w:basedOn w:val="DefaultParagraphFont"/>
    <w:uiPriority w:val="99"/>
    <w:semiHidden/>
    <w:unhideWhenUsed/>
    <w:rsid w:val="00516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rontiersin.org/journals/public-health/articles/10.3389/fpubh.2025.1697089/full"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pmc.ncbi.nlm.nih.gov/articles/PMC11854433/" TargetMode="External" Id="rId7" /><Relationship Type="http://schemas.openxmlformats.org/officeDocument/2006/relationships/hyperlink" Target="https://doi.org/10.3390/ejihpe15020020"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mds.marshall.edu/adsp/vol25/iss1/6/" TargetMode="External" Id="rId6" /><Relationship Type="http://schemas.openxmlformats.org/officeDocument/2006/relationships/hyperlink" Target="https://mds.marshall.edu/adsp/vol25/iss1/6/" TargetMode="External" Id="rId11" /><Relationship Type="http://schemas.openxmlformats.org/officeDocument/2006/relationships/hyperlink" Target="https://www.sciencedirect.com/science/article/abs/pii/S0197457224003902" TargetMode="External" Id="rId5" /><Relationship Type="http://schemas.openxmlformats.org/officeDocument/2006/relationships/hyperlink" Target="https://doi.org/10.3389/fpubh.2025.1697089" TargetMode="External" Id="rId10" /><Relationship Type="http://schemas.openxmlformats.org/officeDocument/2006/relationships/webSettings" Target="webSettings.xml" Id="rId4" /><Relationship Type="http://schemas.openxmlformats.org/officeDocument/2006/relationships/hyperlink" Target="https://www.sciencedirect.com/science/article/abs/pii/S0197457224003902" TargetMode="External" Id="rId9" /><Relationship Type="http://schemas.openxmlformats.org/officeDocument/2006/relationships/theme" Target="theme/theme1.xml" Id="rId14" /><Relationship Type="http://schemas.microsoft.com/office/2020/10/relationships/intelligence" Target="intelligence2.xml" Id="R52cf9eb6839c48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MT_Prod-08</dc:creator>
  <keywords/>
  <dc:description/>
  <lastModifiedBy>Jessica Maribel Gomez Nivelo (2428006)</lastModifiedBy>
  <revision>78</revision>
  <dcterms:created xsi:type="dcterms:W3CDTF">2026-04-03T11:17:00.0000000Z</dcterms:created>
  <dcterms:modified xsi:type="dcterms:W3CDTF">2026-04-15T15:31:31.0867095Z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24a9889b-bd4b-49d8-87d4-ca4400858364</vt:lpwstr>
  </property>
</Properties>
</file>