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2A08A" w14:textId="77777777" w:rsidR="00F0043B" w:rsidRPr="00F0043B" w:rsidRDefault="00F0043B" w:rsidP="00F0043B">
      <w:pPr>
        <w:spacing w:line="360" w:lineRule="auto"/>
        <w:jc w:val="center"/>
        <w:rPr>
          <w:rFonts w:ascii="Arial" w:hAnsi="Arial" w:cs="Arial"/>
          <w:b/>
          <w:bCs/>
          <w:sz w:val="28"/>
          <w:szCs w:val="28"/>
        </w:rPr>
      </w:pPr>
      <w:r w:rsidRPr="00F0043B">
        <w:rPr>
          <w:rFonts w:ascii="Arial" w:hAnsi="Arial" w:cs="Arial"/>
          <w:b/>
          <w:bCs/>
          <w:sz w:val="28"/>
          <w:szCs w:val="28"/>
        </w:rPr>
        <w:t>Sustainable Hospitality &amp; Tourism Management</w:t>
      </w:r>
    </w:p>
    <w:p w14:paraId="252D8CB4" w14:textId="19D0F56C" w:rsidR="00F0043B" w:rsidRPr="00F0043B" w:rsidRDefault="00F0043B" w:rsidP="00F0043B">
      <w:pPr>
        <w:spacing w:line="360" w:lineRule="auto"/>
        <w:jc w:val="center"/>
        <w:rPr>
          <w:rFonts w:ascii="Arial" w:hAnsi="Arial" w:cs="Arial"/>
          <w:b/>
          <w:bCs/>
          <w:sz w:val="24"/>
          <w:szCs w:val="24"/>
        </w:rPr>
      </w:pPr>
      <w:r w:rsidRPr="00F0043B">
        <w:rPr>
          <w:rFonts w:ascii="Arial" w:hAnsi="Arial" w:cs="Arial"/>
          <w:b/>
          <w:bCs/>
          <w:sz w:val="24"/>
          <w:szCs w:val="24"/>
        </w:rPr>
        <w:t>BMIH5006</w:t>
      </w:r>
    </w:p>
    <w:p w14:paraId="5F7B972D" w14:textId="77777777" w:rsidR="00F0043B" w:rsidRPr="00F0043B" w:rsidRDefault="00F0043B" w:rsidP="00F0043B">
      <w:pPr>
        <w:spacing w:line="360" w:lineRule="auto"/>
        <w:jc w:val="center"/>
        <w:rPr>
          <w:rFonts w:ascii="Arial" w:hAnsi="Arial" w:cs="Arial"/>
          <w:b/>
          <w:bCs/>
          <w:sz w:val="28"/>
          <w:szCs w:val="28"/>
        </w:rPr>
      </w:pPr>
      <w:r w:rsidRPr="00F0043B">
        <w:rPr>
          <w:rFonts w:ascii="Arial" w:hAnsi="Arial" w:cs="Arial"/>
          <w:b/>
          <w:bCs/>
          <w:sz w:val="24"/>
          <w:szCs w:val="24"/>
        </w:rPr>
        <w:t>Essay</w:t>
      </w:r>
    </w:p>
    <w:p w14:paraId="2363859F" w14:textId="77777777" w:rsidR="00F0043B" w:rsidRDefault="00F0043B" w:rsidP="00F0043B">
      <w:pPr>
        <w:spacing w:line="360" w:lineRule="auto"/>
        <w:rPr>
          <w:rFonts w:ascii="Arial" w:hAnsi="Arial" w:cs="Arial"/>
          <w:sz w:val="28"/>
          <w:szCs w:val="28"/>
        </w:rPr>
      </w:pPr>
    </w:p>
    <w:p w14:paraId="3C09EA4C" w14:textId="77777777" w:rsidR="00F0043B" w:rsidRDefault="00F0043B" w:rsidP="00F0043B">
      <w:pPr>
        <w:spacing w:line="360" w:lineRule="auto"/>
        <w:rPr>
          <w:rFonts w:ascii="Arial" w:hAnsi="Arial" w:cs="Arial"/>
          <w:sz w:val="28"/>
          <w:szCs w:val="28"/>
        </w:rPr>
      </w:pPr>
    </w:p>
    <w:p w14:paraId="636E2EAA" w14:textId="77777777" w:rsidR="00F0043B" w:rsidRDefault="00F0043B" w:rsidP="00F0043B">
      <w:pPr>
        <w:spacing w:line="360" w:lineRule="auto"/>
        <w:rPr>
          <w:rFonts w:ascii="Arial" w:hAnsi="Arial" w:cs="Arial"/>
          <w:sz w:val="28"/>
          <w:szCs w:val="28"/>
        </w:rPr>
      </w:pPr>
    </w:p>
    <w:p w14:paraId="15010D6C" w14:textId="77777777" w:rsidR="00F0043B" w:rsidRPr="00F0043B" w:rsidRDefault="00F0043B" w:rsidP="00F0043B">
      <w:pPr>
        <w:spacing w:line="360" w:lineRule="auto"/>
        <w:jc w:val="center"/>
        <w:rPr>
          <w:rFonts w:ascii="Arial" w:hAnsi="Arial" w:cs="Arial"/>
          <w:b/>
          <w:bCs/>
          <w:sz w:val="24"/>
          <w:szCs w:val="24"/>
        </w:rPr>
      </w:pPr>
    </w:p>
    <w:p w14:paraId="646C9DA8" w14:textId="26932DA6" w:rsidR="00F0043B" w:rsidRDefault="00F0043B" w:rsidP="00F0043B">
      <w:pPr>
        <w:spacing w:line="360" w:lineRule="auto"/>
        <w:jc w:val="center"/>
        <w:rPr>
          <w:rFonts w:ascii="Arial" w:hAnsi="Arial" w:cs="Arial"/>
          <w:b/>
          <w:bCs/>
          <w:sz w:val="24"/>
          <w:szCs w:val="24"/>
        </w:rPr>
      </w:pPr>
      <w:r w:rsidRPr="00F0043B">
        <w:rPr>
          <w:rFonts w:ascii="Arial" w:hAnsi="Arial" w:cs="Arial"/>
          <w:b/>
          <w:bCs/>
          <w:sz w:val="24"/>
          <w:szCs w:val="24"/>
        </w:rPr>
        <w:t>Lecturer: Kathryn Roberts</w:t>
      </w:r>
    </w:p>
    <w:p w14:paraId="60736C8A" w14:textId="421E28BB" w:rsidR="00F0043B" w:rsidRPr="00F0043B" w:rsidRDefault="00F0043B" w:rsidP="00F0043B">
      <w:pPr>
        <w:spacing w:line="360" w:lineRule="auto"/>
        <w:jc w:val="center"/>
        <w:rPr>
          <w:rFonts w:ascii="Arial" w:hAnsi="Arial" w:cs="Arial"/>
          <w:b/>
          <w:bCs/>
          <w:sz w:val="24"/>
          <w:szCs w:val="24"/>
        </w:rPr>
      </w:pPr>
      <w:r w:rsidRPr="00F0043B">
        <w:rPr>
          <w:rFonts w:ascii="Arial" w:hAnsi="Arial" w:cs="Arial"/>
          <w:b/>
          <w:bCs/>
          <w:sz w:val="24"/>
          <w:szCs w:val="24"/>
        </w:rPr>
        <w:t>Student name:</w:t>
      </w:r>
      <w:r w:rsidR="003E50C9">
        <w:rPr>
          <w:rFonts w:ascii="Arial" w:hAnsi="Arial" w:cs="Arial"/>
          <w:b/>
          <w:bCs/>
          <w:sz w:val="24"/>
          <w:szCs w:val="24"/>
        </w:rPr>
        <w:t xml:space="preserve"> Roxana Jurj</w:t>
      </w:r>
    </w:p>
    <w:p w14:paraId="35E9236D" w14:textId="5FEAE1CE" w:rsidR="00F0043B" w:rsidRPr="00F0043B" w:rsidRDefault="00F0043B" w:rsidP="00F0043B">
      <w:pPr>
        <w:spacing w:line="360" w:lineRule="auto"/>
        <w:jc w:val="center"/>
        <w:rPr>
          <w:rFonts w:ascii="Arial" w:hAnsi="Arial" w:cs="Arial"/>
          <w:b/>
          <w:bCs/>
          <w:sz w:val="24"/>
          <w:szCs w:val="24"/>
        </w:rPr>
      </w:pPr>
      <w:r w:rsidRPr="00F0043B">
        <w:rPr>
          <w:rFonts w:ascii="Arial" w:hAnsi="Arial" w:cs="Arial"/>
          <w:b/>
          <w:bCs/>
          <w:sz w:val="24"/>
          <w:szCs w:val="24"/>
        </w:rPr>
        <w:t>Student id:</w:t>
      </w:r>
      <w:r w:rsidR="003E50C9">
        <w:rPr>
          <w:rFonts w:ascii="Arial" w:hAnsi="Arial" w:cs="Arial"/>
          <w:b/>
          <w:bCs/>
          <w:sz w:val="24"/>
          <w:szCs w:val="24"/>
        </w:rPr>
        <w:t xml:space="preserve"> </w:t>
      </w:r>
      <w:r w:rsidR="003E50C9" w:rsidRPr="003E50C9">
        <w:rPr>
          <w:rFonts w:ascii="Arial" w:hAnsi="Arial" w:cs="Arial"/>
          <w:b/>
          <w:bCs/>
          <w:sz w:val="24"/>
          <w:szCs w:val="24"/>
        </w:rPr>
        <w:t>2126298</w:t>
      </w:r>
    </w:p>
    <w:p w14:paraId="5AB49B6D" w14:textId="36B3FC5B" w:rsidR="00F0043B" w:rsidRPr="00F0043B" w:rsidRDefault="00F0043B" w:rsidP="00F0043B">
      <w:pPr>
        <w:spacing w:line="360" w:lineRule="auto"/>
        <w:jc w:val="center"/>
        <w:rPr>
          <w:rFonts w:ascii="Arial" w:hAnsi="Arial" w:cs="Arial"/>
          <w:b/>
          <w:bCs/>
          <w:sz w:val="24"/>
          <w:szCs w:val="24"/>
        </w:rPr>
      </w:pPr>
      <w:r w:rsidRPr="00F0043B">
        <w:rPr>
          <w:rFonts w:ascii="Arial" w:hAnsi="Arial" w:cs="Arial"/>
          <w:b/>
          <w:bCs/>
          <w:sz w:val="24"/>
          <w:szCs w:val="24"/>
        </w:rPr>
        <w:t>Word count:</w:t>
      </w:r>
      <w:r w:rsidR="00C8742C">
        <w:rPr>
          <w:rFonts w:ascii="Arial" w:hAnsi="Arial" w:cs="Arial"/>
          <w:b/>
          <w:bCs/>
          <w:sz w:val="24"/>
          <w:szCs w:val="24"/>
        </w:rPr>
        <w:t xml:space="preserve"> 2128</w:t>
      </w:r>
    </w:p>
    <w:p w14:paraId="7651D6FA" w14:textId="77777777" w:rsidR="00B151A8" w:rsidRDefault="00B151A8"/>
    <w:p w14:paraId="7DE1E7E9" w14:textId="77777777" w:rsidR="00A17815" w:rsidRDefault="00A17815"/>
    <w:p w14:paraId="0DD087E1" w14:textId="77777777" w:rsidR="00A17815" w:rsidRDefault="00A17815"/>
    <w:p w14:paraId="6286E12E" w14:textId="77777777" w:rsidR="00A17815" w:rsidRDefault="00A17815"/>
    <w:p w14:paraId="2FB9340F" w14:textId="77777777" w:rsidR="00A17815" w:rsidRDefault="00A17815"/>
    <w:p w14:paraId="2A3232EC" w14:textId="77777777" w:rsidR="00A17815" w:rsidRDefault="00A17815"/>
    <w:p w14:paraId="206F29BC" w14:textId="77777777" w:rsidR="00A17815" w:rsidRDefault="00A17815"/>
    <w:p w14:paraId="2B7B5CA7" w14:textId="77777777" w:rsidR="00A17815" w:rsidRDefault="00A17815"/>
    <w:p w14:paraId="6F888450" w14:textId="77777777" w:rsidR="00A17815" w:rsidRDefault="00A17815"/>
    <w:p w14:paraId="7EFDDF39" w14:textId="77777777" w:rsidR="00A17815" w:rsidRDefault="00A17815"/>
    <w:p w14:paraId="2A0B4315" w14:textId="77777777" w:rsidR="00A17815" w:rsidRDefault="00A17815"/>
    <w:p w14:paraId="1F31159D" w14:textId="77777777" w:rsidR="00A17815" w:rsidRDefault="00A17815"/>
    <w:p w14:paraId="40489BB9" w14:textId="77777777" w:rsidR="00A17815" w:rsidRDefault="00A17815"/>
    <w:p w14:paraId="2FD175AD" w14:textId="77777777" w:rsidR="00A17815" w:rsidRDefault="00A17815" w:rsidP="00A17815">
      <w:pPr>
        <w:spacing w:line="360" w:lineRule="auto"/>
        <w:jc w:val="both"/>
      </w:pPr>
    </w:p>
    <w:p w14:paraId="54EAEC39" w14:textId="77777777" w:rsidR="00254A01" w:rsidRPr="00A17815" w:rsidRDefault="00254A01" w:rsidP="00A17815">
      <w:pPr>
        <w:spacing w:line="360" w:lineRule="auto"/>
        <w:jc w:val="both"/>
        <w:rPr>
          <w:rFonts w:ascii="Arial" w:hAnsi="Arial" w:cs="Arial"/>
          <w:sz w:val="24"/>
          <w:szCs w:val="24"/>
        </w:rPr>
      </w:pPr>
    </w:p>
    <w:p w14:paraId="7891E2ED" w14:textId="31E50647" w:rsidR="00A17815" w:rsidRPr="00C8742C" w:rsidRDefault="00A17815" w:rsidP="00A17815">
      <w:pPr>
        <w:spacing w:line="360" w:lineRule="auto"/>
        <w:jc w:val="both"/>
        <w:rPr>
          <w:rFonts w:ascii="Arial" w:hAnsi="Arial" w:cs="Arial"/>
          <w:sz w:val="24"/>
          <w:szCs w:val="24"/>
        </w:rPr>
      </w:pPr>
      <w:r w:rsidRPr="00C8742C">
        <w:rPr>
          <w:rFonts w:ascii="Arial" w:hAnsi="Arial" w:cs="Arial"/>
          <w:sz w:val="24"/>
          <w:szCs w:val="24"/>
        </w:rPr>
        <w:lastRenderedPageBreak/>
        <w:t xml:space="preserve">The sustainability necessity within the hospitality sector is distinguished by its </w:t>
      </w:r>
      <w:proofErr w:type="gramStart"/>
      <w:r w:rsidRPr="00C8742C">
        <w:rPr>
          <w:rFonts w:ascii="Arial" w:hAnsi="Arial" w:cs="Arial"/>
          <w:sz w:val="24"/>
          <w:szCs w:val="24"/>
        </w:rPr>
        <w:t>capacity</w:t>
      </w:r>
      <w:proofErr w:type="gramEnd"/>
      <w:r w:rsidRPr="00C8742C">
        <w:rPr>
          <w:rFonts w:ascii="Arial" w:hAnsi="Arial" w:cs="Arial"/>
          <w:sz w:val="24"/>
          <w:szCs w:val="24"/>
        </w:rPr>
        <w:t xml:space="preserve"> to foster a competitive edge, bolster reputation, and tackle ecological dilemmas. The sector is distinguished by the coexistence of sizable, domestically owned enterprises and large multinational corporations, both of which are instrumental in implementing sustainable practices. Small businesses present distinctive challenges and prospects for environmental stewardship, </w:t>
      </w:r>
      <w:proofErr w:type="gramStart"/>
      <w:r w:rsidRPr="00C8742C">
        <w:rPr>
          <w:rFonts w:ascii="Arial" w:hAnsi="Arial" w:cs="Arial"/>
          <w:sz w:val="24"/>
          <w:szCs w:val="24"/>
        </w:rPr>
        <w:t>whereas</w:t>
      </w:r>
      <w:proofErr w:type="gramEnd"/>
      <w:r w:rsidRPr="00C8742C">
        <w:rPr>
          <w:rFonts w:ascii="Arial" w:hAnsi="Arial" w:cs="Arial"/>
          <w:sz w:val="24"/>
          <w:szCs w:val="24"/>
        </w:rPr>
        <w:t xml:space="preserve"> large corporations frequently take the lead in instituting sustainability strategies. By embracing sustainability, hospitality operations can effectively mitigate the urgent environmental impacts they generate</w:t>
      </w:r>
      <w:r w:rsidR="008A23F8" w:rsidRPr="00C8742C">
        <w:rPr>
          <w:rFonts w:ascii="Arial" w:hAnsi="Arial" w:cs="Arial"/>
          <w:sz w:val="24"/>
          <w:szCs w:val="24"/>
        </w:rPr>
        <w:t xml:space="preserve"> (</w:t>
      </w:r>
      <w:proofErr w:type="spellStart"/>
      <w:r w:rsidR="008A23F8" w:rsidRPr="00C8742C">
        <w:rPr>
          <w:rFonts w:ascii="Arial" w:hAnsi="Arial" w:cs="Arial"/>
          <w:sz w:val="24"/>
          <w:szCs w:val="24"/>
        </w:rPr>
        <w:t>Inkson</w:t>
      </w:r>
      <w:proofErr w:type="spellEnd"/>
      <w:r w:rsidR="008A23F8" w:rsidRPr="00C8742C">
        <w:rPr>
          <w:rFonts w:ascii="Arial" w:hAnsi="Arial" w:cs="Arial"/>
          <w:sz w:val="24"/>
          <w:szCs w:val="24"/>
        </w:rPr>
        <w:t xml:space="preserve"> </w:t>
      </w:r>
      <w:r w:rsidR="008A23F8" w:rsidRPr="00C8742C">
        <w:rPr>
          <w:rFonts w:ascii="Arial" w:hAnsi="Arial" w:cs="Arial"/>
          <w:sz w:val="24"/>
          <w:szCs w:val="24"/>
        </w:rPr>
        <w:t>and Minnaert,</w:t>
      </w:r>
      <w:r w:rsidR="008A23F8" w:rsidRPr="00C8742C">
        <w:rPr>
          <w:rFonts w:ascii="Arial" w:hAnsi="Arial" w:cs="Arial"/>
          <w:sz w:val="24"/>
          <w:szCs w:val="24"/>
        </w:rPr>
        <w:t xml:space="preserve"> </w:t>
      </w:r>
      <w:r w:rsidR="008A23F8" w:rsidRPr="00C8742C">
        <w:rPr>
          <w:rFonts w:ascii="Arial" w:hAnsi="Arial" w:cs="Arial"/>
          <w:sz w:val="24"/>
          <w:szCs w:val="24"/>
        </w:rPr>
        <w:t>2018)</w:t>
      </w:r>
      <w:r w:rsidR="008A23F8" w:rsidRPr="00C8742C">
        <w:rPr>
          <w:rFonts w:ascii="Arial" w:hAnsi="Arial" w:cs="Arial"/>
          <w:sz w:val="24"/>
          <w:szCs w:val="24"/>
        </w:rPr>
        <w:t>.</w:t>
      </w:r>
      <w:r w:rsidR="008A23F8" w:rsidRPr="00C8742C">
        <w:rPr>
          <w:rFonts w:ascii="Arial" w:hAnsi="Arial" w:cs="Arial"/>
          <w:sz w:val="24"/>
          <w:szCs w:val="24"/>
        </w:rPr>
        <w:t xml:space="preserve"> </w:t>
      </w:r>
      <w:r w:rsidRPr="00C8742C">
        <w:rPr>
          <w:rFonts w:ascii="Arial" w:hAnsi="Arial" w:cs="Arial"/>
          <w:sz w:val="24"/>
          <w:szCs w:val="24"/>
        </w:rPr>
        <w:t xml:space="preserve"> Additionally, this practice corresponds with the increasing consumer demand for responsible and sustainable travel experiences. The transition towards sustainability is critical </w:t>
      </w:r>
      <w:proofErr w:type="gramStart"/>
      <w:r w:rsidRPr="00C8742C">
        <w:rPr>
          <w:rFonts w:ascii="Arial" w:hAnsi="Arial" w:cs="Arial"/>
          <w:sz w:val="24"/>
          <w:szCs w:val="24"/>
        </w:rPr>
        <w:t>in order to</w:t>
      </w:r>
      <w:proofErr w:type="gramEnd"/>
      <w:r w:rsidRPr="00C8742C">
        <w:rPr>
          <w:rFonts w:ascii="Arial" w:hAnsi="Arial" w:cs="Arial"/>
          <w:sz w:val="24"/>
          <w:szCs w:val="24"/>
        </w:rPr>
        <w:t xml:space="preserve"> safeguard the hospitality industry's enduring viability and resilience, while also making significant contributions to the preservation of the environment, social accountability, and economic wellbeing. Moreover, the integration of Corporate Social Responsibility and circular economy principles within the hospitality sector supports sustainability endeavours while also promote resource efficiency, waste minimization, and ethical business involvement with local communities and the environment</w:t>
      </w:r>
      <w:r w:rsidR="008A23F8" w:rsidRPr="00C8742C">
        <w:rPr>
          <w:rFonts w:ascii="Arial" w:hAnsi="Arial" w:cs="Arial"/>
          <w:sz w:val="24"/>
          <w:szCs w:val="24"/>
        </w:rPr>
        <w:t xml:space="preserve"> (</w:t>
      </w:r>
      <w:r w:rsidR="008A23F8" w:rsidRPr="00C8742C">
        <w:rPr>
          <w:rFonts w:ascii="Arial" w:hAnsi="Arial" w:cs="Arial"/>
          <w:sz w:val="24"/>
          <w:szCs w:val="24"/>
          <w:shd w:val="clear" w:color="auto" w:fill="FFFFFF"/>
        </w:rPr>
        <w:t>Rodr</w:t>
      </w:r>
      <w:r w:rsidR="008A23F8" w:rsidRPr="00C8742C">
        <w:rPr>
          <w:rFonts w:ascii="Arial" w:hAnsi="Arial" w:cs="Arial"/>
          <w:sz w:val="24"/>
          <w:szCs w:val="24"/>
          <w:shd w:val="clear" w:color="auto" w:fill="FFFFFF"/>
        </w:rPr>
        <w:t>i</w:t>
      </w:r>
      <w:r w:rsidR="008A23F8" w:rsidRPr="00C8742C">
        <w:rPr>
          <w:rFonts w:ascii="Arial" w:hAnsi="Arial" w:cs="Arial"/>
          <w:sz w:val="24"/>
          <w:szCs w:val="24"/>
          <w:shd w:val="clear" w:color="auto" w:fill="FFFFFF"/>
        </w:rPr>
        <w:t>guez-Ant</w:t>
      </w:r>
      <w:r w:rsidR="008A23F8" w:rsidRPr="00C8742C">
        <w:rPr>
          <w:rFonts w:ascii="Arial" w:hAnsi="Arial" w:cs="Arial"/>
          <w:sz w:val="24"/>
          <w:szCs w:val="24"/>
          <w:shd w:val="clear" w:color="auto" w:fill="FFFFFF"/>
        </w:rPr>
        <w:t>on</w:t>
      </w:r>
      <w:r w:rsidR="008A23F8" w:rsidRPr="00C8742C">
        <w:rPr>
          <w:rFonts w:ascii="Arial" w:hAnsi="Arial" w:cs="Arial"/>
          <w:sz w:val="24"/>
          <w:szCs w:val="24"/>
          <w:shd w:val="clear" w:color="auto" w:fill="FFFFFF"/>
        </w:rPr>
        <w:t xml:space="preserve"> and Alonso-Almeida</w:t>
      </w:r>
      <w:r w:rsidR="008A23F8" w:rsidRPr="00C8742C">
        <w:rPr>
          <w:rFonts w:ascii="Arial" w:hAnsi="Arial" w:cs="Arial"/>
          <w:sz w:val="24"/>
          <w:szCs w:val="24"/>
          <w:shd w:val="clear" w:color="auto" w:fill="FFFFFF"/>
        </w:rPr>
        <w:t xml:space="preserve">, </w:t>
      </w:r>
      <w:r w:rsidR="008A23F8" w:rsidRPr="00C8742C">
        <w:rPr>
          <w:rFonts w:ascii="Arial" w:hAnsi="Arial" w:cs="Arial"/>
          <w:sz w:val="24"/>
          <w:szCs w:val="24"/>
          <w:shd w:val="clear" w:color="auto" w:fill="FFFFFF"/>
        </w:rPr>
        <w:t>2019)</w:t>
      </w:r>
      <w:r w:rsidR="008A23F8" w:rsidRPr="00C8742C">
        <w:rPr>
          <w:rFonts w:ascii="Arial" w:hAnsi="Arial" w:cs="Arial"/>
          <w:sz w:val="24"/>
          <w:szCs w:val="24"/>
          <w:shd w:val="clear" w:color="auto" w:fill="FFFFFF"/>
        </w:rPr>
        <w:t>.</w:t>
      </w:r>
      <w:r w:rsidR="008A23F8" w:rsidRPr="00C8742C">
        <w:rPr>
          <w:rFonts w:ascii="Arial" w:hAnsi="Arial" w:cs="Arial"/>
          <w:sz w:val="24"/>
          <w:szCs w:val="24"/>
        </w:rPr>
        <w:t xml:space="preserve"> </w:t>
      </w:r>
      <w:r w:rsidRPr="00C8742C">
        <w:rPr>
          <w:rFonts w:ascii="Arial" w:hAnsi="Arial" w:cs="Arial"/>
          <w:sz w:val="24"/>
          <w:szCs w:val="24"/>
        </w:rPr>
        <w:t>Corporate Social Responsibility is a managerial ideology in which organisations incorporate considerations of society and the environment into their routine business activities and engagements with relevant parties. It pertains to businesses accepting accountability for the ways in which their operations affect the environment, consumers, employees, and communities</w:t>
      </w:r>
      <w:r w:rsidR="008A23F8" w:rsidRPr="00C8742C">
        <w:rPr>
          <w:rFonts w:ascii="Arial" w:hAnsi="Arial" w:cs="Arial"/>
          <w:sz w:val="24"/>
          <w:szCs w:val="24"/>
        </w:rPr>
        <w:t xml:space="preserve"> (Sheehy, 2015). </w:t>
      </w:r>
      <w:r w:rsidRPr="00C8742C">
        <w:rPr>
          <w:rFonts w:ascii="Arial" w:hAnsi="Arial" w:cs="Arial"/>
          <w:sz w:val="24"/>
          <w:szCs w:val="24"/>
        </w:rPr>
        <w:t xml:space="preserve"> The circular economy, conversely, is an economic framework that prioritises resource conservation and pollution reduction. By </w:t>
      </w:r>
      <w:proofErr w:type="gramStart"/>
      <w:r w:rsidRPr="00C8742C">
        <w:rPr>
          <w:rFonts w:ascii="Arial" w:hAnsi="Arial" w:cs="Arial"/>
          <w:sz w:val="24"/>
          <w:szCs w:val="24"/>
        </w:rPr>
        <w:t>establishing</w:t>
      </w:r>
      <w:proofErr w:type="gramEnd"/>
      <w:r w:rsidRPr="00C8742C">
        <w:rPr>
          <w:rFonts w:ascii="Arial" w:hAnsi="Arial" w:cs="Arial"/>
          <w:sz w:val="24"/>
          <w:szCs w:val="24"/>
        </w:rPr>
        <w:t xml:space="preserve"> a closed loop system through the reuse, repair, refurbishment, and recycling of existing products and materials for as long as possible, this model reduces resource input consumption, waste production, pollution, and carbon emissions</w:t>
      </w:r>
      <w:r w:rsidR="008A23F8" w:rsidRPr="00C8742C">
        <w:rPr>
          <w:rFonts w:ascii="Arial" w:hAnsi="Arial" w:cs="Arial"/>
          <w:sz w:val="24"/>
          <w:szCs w:val="24"/>
        </w:rPr>
        <w:t xml:space="preserve"> (Castro et al., 2022).</w:t>
      </w:r>
      <w:r w:rsidRPr="00C8742C">
        <w:rPr>
          <w:rFonts w:ascii="Arial" w:hAnsi="Arial" w:cs="Arial"/>
          <w:sz w:val="24"/>
          <w:szCs w:val="24"/>
        </w:rPr>
        <w:t xml:space="preserve"> The aim of this essay is to understand how Mariott incorporate a circular economy framework into their policy on corporate social responsibility.</w:t>
      </w:r>
    </w:p>
    <w:p w14:paraId="4F6E125E" w14:textId="3A2E95C1" w:rsidR="00511A37" w:rsidRPr="00C8742C" w:rsidRDefault="00AA35D8" w:rsidP="00A17815">
      <w:pPr>
        <w:spacing w:line="360" w:lineRule="auto"/>
        <w:jc w:val="both"/>
        <w:rPr>
          <w:rFonts w:ascii="Arial" w:hAnsi="Arial" w:cs="Arial"/>
          <w:sz w:val="24"/>
          <w:szCs w:val="24"/>
        </w:rPr>
      </w:pPr>
      <w:r w:rsidRPr="00C8742C">
        <w:rPr>
          <w:rFonts w:ascii="Arial" w:hAnsi="Arial" w:cs="Arial"/>
          <w:sz w:val="24"/>
          <w:szCs w:val="24"/>
        </w:rPr>
        <w:t xml:space="preserve">It is critical for the hospitality industry to adopt a circular economy </w:t>
      </w:r>
      <w:r w:rsidR="008A23F8" w:rsidRPr="00C8742C">
        <w:rPr>
          <w:rFonts w:ascii="Arial" w:hAnsi="Arial" w:cs="Arial"/>
          <w:sz w:val="24"/>
          <w:szCs w:val="24"/>
        </w:rPr>
        <w:t>to</w:t>
      </w:r>
      <w:r w:rsidRPr="00C8742C">
        <w:rPr>
          <w:rFonts w:ascii="Arial" w:hAnsi="Arial" w:cs="Arial"/>
          <w:sz w:val="24"/>
          <w:szCs w:val="24"/>
        </w:rPr>
        <w:t xml:space="preserve"> foster sustainability and resilience. The technique performs a fundamental reassessment of resource utilisation, with a priority on optimising efficiency and minimising waste </w:t>
      </w:r>
      <w:proofErr w:type="gramStart"/>
      <w:r w:rsidRPr="00C8742C">
        <w:rPr>
          <w:rFonts w:ascii="Arial" w:hAnsi="Arial" w:cs="Arial"/>
          <w:sz w:val="24"/>
          <w:szCs w:val="24"/>
        </w:rPr>
        <w:t>by means of</w:t>
      </w:r>
      <w:proofErr w:type="gramEnd"/>
      <w:r w:rsidRPr="00C8742C">
        <w:rPr>
          <w:rFonts w:ascii="Arial" w:hAnsi="Arial" w:cs="Arial"/>
          <w:sz w:val="24"/>
          <w:szCs w:val="24"/>
        </w:rPr>
        <w:t xml:space="preserve"> material reuse, repair, refurbishment, and recycling. In contrast to the conventional linear economy, which adheres to a "take-make-dispose" framework, the circular economy endeavours to </w:t>
      </w:r>
      <w:proofErr w:type="gramStart"/>
      <w:r w:rsidRPr="00C8742C">
        <w:rPr>
          <w:rFonts w:ascii="Arial" w:hAnsi="Arial" w:cs="Arial"/>
          <w:sz w:val="24"/>
          <w:szCs w:val="24"/>
        </w:rPr>
        <w:t>establish</w:t>
      </w:r>
      <w:proofErr w:type="gramEnd"/>
      <w:r w:rsidRPr="00C8742C">
        <w:rPr>
          <w:rFonts w:ascii="Arial" w:hAnsi="Arial" w:cs="Arial"/>
          <w:sz w:val="24"/>
          <w:szCs w:val="24"/>
        </w:rPr>
        <w:t xml:space="preserve"> closed-loop systems with the goal of maximising the value retained from resources</w:t>
      </w:r>
      <w:r w:rsidR="00DD5A42" w:rsidRPr="00C8742C">
        <w:rPr>
          <w:rFonts w:ascii="Arial" w:hAnsi="Arial" w:cs="Arial"/>
          <w:sz w:val="24"/>
          <w:szCs w:val="24"/>
        </w:rPr>
        <w:t xml:space="preserve"> (Castro et al., 2022).</w:t>
      </w:r>
      <w:r w:rsidRPr="00C8742C">
        <w:rPr>
          <w:rFonts w:ascii="Arial" w:hAnsi="Arial" w:cs="Arial"/>
          <w:sz w:val="24"/>
          <w:szCs w:val="24"/>
        </w:rPr>
        <w:t xml:space="preserve"> The potential for the circular economy to </w:t>
      </w:r>
      <w:r w:rsidR="00DD5A42" w:rsidRPr="00C8742C">
        <w:rPr>
          <w:rFonts w:ascii="Arial" w:hAnsi="Arial" w:cs="Arial"/>
          <w:sz w:val="24"/>
          <w:szCs w:val="24"/>
        </w:rPr>
        <w:t>mitigate</w:t>
      </w:r>
      <w:r w:rsidRPr="00C8742C">
        <w:rPr>
          <w:rFonts w:ascii="Arial" w:hAnsi="Arial" w:cs="Arial"/>
          <w:sz w:val="24"/>
          <w:szCs w:val="24"/>
        </w:rPr>
        <w:t xml:space="preserve"> the environmental consequences of operations is what </w:t>
      </w:r>
      <w:r w:rsidR="00DD5A42" w:rsidRPr="00C8742C">
        <w:rPr>
          <w:rFonts w:ascii="Arial" w:hAnsi="Arial" w:cs="Arial"/>
          <w:sz w:val="24"/>
          <w:szCs w:val="24"/>
        </w:rPr>
        <w:t>makes</w:t>
      </w:r>
      <w:r w:rsidRPr="00C8742C">
        <w:rPr>
          <w:rFonts w:ascii="Arial" w:hAnsi="Arial" w:cs="Arial"/>
          <w:sz w:val="24"/>
          <w:szCs w:val="24"/>
        </w:rPr>
        <w:t xml:space="preserve"> it significant in the hospitality industry. For example, the substantial water and energy consumption of hotels contributes to the generation of waste and carbon emissions. Hotels have the potential to significantly reduce their resource consumption by adopting circular economy principles, which include the installation of water recycling systems and the energy utilisation of renewable sources</w:t>
      </w:r>
      <w:r w:rsidR="00DD5A42" w:rsidRPr="00C8742C">
        <w:rPr>
          <w:rFonts w:ascii="Arial" w:hAnsi="Arial" w:cs="Arial"/>
          <w:sz w:val="24"/>
          <w:szCs w:val="24"/>
        </w:rPr>
        <w:t xml:space="preserve"> </w:t>
      </w:r>
      <w:r w:rsidR="00DD5A42" w:rsidRPr="00C8742C">
        <w:rPr>
          <w:rFonts w:ascii="Arial" w:hAnsi="Arial" w:cs="Arial"/>
          <w:sz w:val="24"/>
          <w:szCs w:val="24"/>
          <w:shd w:val="clear" w:color="auto" w:fill="FFFFFF"/>
        </w:rPr>
        <w:t>(Ben Youssef and Zeqiri, 2022)</w:t>
      </w:r>
      <w:r w:rsidR="00DD5A42" w:rsidRPr="00C8742C">
        <w:rPr>
          <w:rFonts w:ascii="Arial" w:hAnsi="Arial" w:cs="Arial"/>
          <w:sz w:val="24"/>
          <w:szCs w:val="24"/>
          <w:shd w:val="clear" w:color="auto" w:fill="FFFFFF"/>
        </w:rPr>
        <w:t xml:space="preserve">. </w:t>
      </w:r>
      <w:r w:rsidRPr="00C8742C">
        <w:rPr>
          <w:rFonts w:ascii="Arial" w:hAnsi="Arial" w:cs="Arial"/>
          <w:sz w:val="24"/>
          <w:szCs w:val="24"/>
        </w:rPr>
        <w:t xml:space="preserve"> Illustratively, the Scandic Hotels situated in Scandinavia have effectively incorporated waste reduction strategies and energy efficiency measures, which </w:t>
      </w:r>
      <w:proofErr w:type="gramStart"/>
      <w:r w:rsidRPr="00C8742C">
        <w:rPr>
          <w:rFonts w:ascii="Arial" w:hAnsi="Arial" w:cs="Arial"/>
          <w:sz w:val="24"/>
          <w:szCs w:val="24"/>
        </w:rPr>
        <w:t>demonstrates</w:t>
      </w:r>
      <w:proofErr w:type="gramEnd"/>
      <w:r w:rsidRPr="00C8742C">
        <w:rPr>
          <w:rFonts w:ascii="Arial" w:hAnsi="Arial" w:cs="Arial"/>
          <w:sz w:val="24"/>
          <w:szCs w:val="24"/>
        </w:rPr>
        <w:t xml:space="preserve"> a firm commitment to sustainability while upholding the highest standards of visitor satisfaction</w:t>
      </w:r>
      <w:r w:rsidR="00DD5A42" w:rsidRPr="00C8742C">
        <w:rPr>
          <w:rFonts w:ascii="Arial" w:hAnsi="Arial" w:cs="Arial"/>
          <w:sz w:val="24"/>
          <w:szCs w:val="24"/>
        </w:rPr>
        <w:t xml:space="preserve"> (Scandic, 2023). </w:t>
      </w:r>
      <w:r w:rsidRPr="00C8742C">
        <w:rPr>
          <w:rFonts w:ascii="Arial" w:hAnsi="Arial" w:cs="Arial"/>
          <w:sz w:val="24"/>
          <w:szCs w:val="24"/>
        </w:rPr>
        <w:t>Furthermore, food waste creates a significant challenge within the hospitality. By promoting the donation of excess food to local communities or the conversion of food refuse into compost for horticulture initiatives, the circular approach effectively tackles this issue</w:t>
      </w:r>
      <w:r w:rsidR="00DD5A42" w:rsidRPr="00C8742C">
        <w:rPr>
          <w:rFonts w:ascii="Arial" w:hAnsi="Arial" w:cs="Arial"/>
          <w:sz w:val="24"/>
          <w:szCs w:val="24"/>
        </w:rPr>
        <w:t xml:space="preserve"> (UN, 2021). </w:t>
      </w:r>
      <w:r w:rsidRPr="00C8742C">
        <w:rPr>
          <w:rFonts w:ascii="Arial" w:hAnsi="Arial" w:cs="Arial"/>
          <w:sz w:val="24"/>
          <w:szCs w:val="24"/>
        </w:rPr>
        <w:t xml:space="preserve"> Illustratively, the Accor Hotels group has executed a broad initiative to mitigate food waste by employing technological systems to </w:t>
      </w:r>
      <w:proofErr w:type="gramStart"/>
      <w:r w:rsidRPr="00C8742C">
        <w:rPr>
          <w:rFonts w:ascii="Arial" w:hAnsi="Arial" w:cs="Arial"/>
          <w:sz w:val="24"/>
          <w:szCs w:val="24"/>
        </w:rPr>
        <w:t>monitor</w:t>
      </w:r>
      <w:proofErr w:type="gramEnd"/>
      <w:r w:rsidRPr="00C8742C">
        <w:rPr>
          <w:rFonts w:ascii="Arial" w:hAnsi="Arial" w:cs="Arial"/>
          <w:sz w:val="24"/>
          <w:szCs w:val="24"/>
        </w:rPr>
        <w:t xml:space="preserve"> and curtail waste across multiple establishments , which is a concrete illustration of the implementation of circular principles</w:t>
      </w:r>
      <w:r w:rsidR="00DD5A42" w:rsidRPr="00C8742C">
        <w:rPr>
          <w:rFonts w:ascii="Arial" w:hAnsi="Arial" w:cs="Arial"/>
          <w:sz w:val="24"/>
          <w:szCs w:val="24"/>
        </w:rPr>
        <w:t xml:space="preserve"> (Cambon, 2023). </w:t>
      </w:r>
      <w:r w:rsidRPr="00C8742C">
        <w:rPr>
          <w:rFonts w:ascii="Arial" w:hAnsi="Arial" w:cs="Arial"/>
          <w:sz w:val="24"/>
          <w:szCs w:val="24"/>
        </w:rPr>
        <w:t xml:space="preserve">The circular economy further advocates for the utilisation of sustainable materials. For instance, waste can be reduced </w:t>
      </w:r>
      <w:proofErr w:type="gramStart"/>
      <w:r w:rsidRPr="00C8742C">
        <w:rPr>
          <w:rFonts w:ascii="Arial" w:hAnsi="Arial" w:cs="Arial"/>
          <w:sz w:val="24"/>
          <w:szCs w:val="24"/>
        </w:rPr>
        <w:t>substantially through</w:t>
      </w:r>
      <w:proofErr w:type="gramEnd"/>
      <w:r w:rsidRPr="00C8742C">
        <w:rPr>
          <w:rFonts w:ascii="Arial" w:hAnsi="Arial" w:cs="Arial"/>
          <w:sz w:val="24"/>
          <w:szCs w:val="24"/>
        </w:rPr>
        <w:t xml:space="preserve"> the implementation of biodegradable amenities and the replacement of single-use plastics with reusable alternatives. Marriott International's decision to substitute minuscule toiletry bottles with volume receptacles is a significant attempt aimed at mitigating plastic pollution</w:t>
      </w:r>
      <w:r w:rsidR="00DD5A42" w:rsidRPr="00C8742C">
        <w:rPr>
          <w:rFonts w:ascii="Arial" w:hAnsi="Arial" w:cs="Arial"/>
          <w:sz w:val="24"/>
          <w:szCs w:val="24"/>
        </w:rPr>
        <w:t xml:space="preserve"> </w:t>
      </w:r>
      <w:r w:rsidR="00DD5A42" w:rsidRPr="00C8742C">
        <w:rPr>
          <w:rFonts w:ascii="Arial" w:hAnsi="Arial" w:cs="Arial"/>
          <w:sz w:val="24"/>
          <w:szCs w:val="24"/>
          <w:shd w:val="clear" w:color="auto" w:fill="FFFFFF"/>
        </w:rPr>
        <w:t>(Girling, Gordy and Lanier, 2015)</w:t>
      </w:r>
      <w:r w:rsidR="00DD5A42" w:rsidRPr="00C8742C">
        <w:rPr>
          <w:rFonts w:ascii="Arial" w:hAnsi="Arial" w:cs="Arial"/>
          <w:sz w:val="24"/>
          <w:szCs w:val="24"/>
          <w:shd w:val="clear" w:color="auto" w:fill="FFFFFF"/>
        </w:rPr>
        <w:t>.</w:t>
      </w:r>
      <w:r w:rsidRPr="00C8742C">
        <w:rPr>
          <w:rFonts w:ascii="Arial" w:hAnsi="Arial" w:cs="Arial"/>
          <w:sz w:val="24"/>
          <w:szCs w:val="24"/>
        </w:rPr>
        <w:t xml:space="preserve">This exemplifies how prominent hotel chains can influence others to adopt more sustainable practices. Nevertheless, the incorporation of circular economy principles into the operations of hotels is not devoid of obstacles. A substantial </w:t>
      </w:r>
      <w:proofErr w:type="gramStart"/>
      <w:r w:rsidRPr="00C8742C">
        <w:rPr>
          <w:rFonts w:ascii="Arial" w:hAnsi="Arial" w:cs="Arial"/>
          <w:sz w:val="24"/>
          <w:szCs w:val="24"/>
        </w:rPr>
        <w:t>initial</w:t>
      </w:r>
      <w:proofErr w:type="gramEnd"/>
      <w:r w:rsidRPr="00C8742C">
        <w:rPr>
          <w:rFonts w:ascii="Arial" w:hAnsi="Arial" w:cs="Arial"/>
          <w:sz w:val="24"/>
          <w:szCs w:val="24"/>
        </w:rPr>
        <w:t xml:space="preserve"> investment in sustainable technologies and systems is necessary, potentially dissuading certain operators. Furthermore, it is imperative that both personnel and customers </w:t>
      </w:r>
      <w:r w:rsidR="00DD5A42" w:rsidRPr="00C8742C">
        <w:rPr>
          <w:rFonts w:ascii="Arial" w:hAnsi="Arial" w:cs="Arial"/>
          <w:sz w:val="24"/>
          <w:szCs w:val="24"/>
        </w:rPr>
        <w:t>experience</w:t>
      </w:r>
      <w:r w:rsidRPr="00C8742C">
        <w:rPr>
          <w:rFonts w:ascii="Arial" w:hAnsi="Arial" w:cs="Arial"/>
          <w:sz w:val="24"/>
          <w:szCs w:val="24"/>
        </w:rPr>
        <w:t xml:space="preserve"> a cultural transformation that places a higher regard on sustainability and encourages the adoption of circular behaviours, including energy conservation and recycling</w:t>
      </w:r>
      <w:r w:rsidR="00DD5A42" w:rsidRPr="00C8742C">
        <w:rPr>
          <w:rFonts w:ascii="Arial" w:hAnsi="Arial" w:cs="Arial"/>
          <w:sz w:val="24"/>
          <w:szCs w:val="24"/>
        </w:rPr>
        <w:t xml:space="preserve"> </w:t>
      </w:r>
      <w:r w:rsidR="00DD5A42" w:rsidRPr="00C8742C">
        <w:rPr>
          <w:rFonts w:ascii="Arial" w:hAnsi="Arial" w:cs="Arial"/>
          <w:sz w:val="24"/>
          <w:szCs w:val="24"/>
        </w:rPr>
        <w:t>(</w:t>
      </w:r>
      <w:r w:rsidR="00DD5A42" w:rsidRPr="00C8742C">
        <w:rPr>
          <w:rFonts w:ascii="Arial" w:hAnsi="Arial" w:cs="Arial"/>
          <w:sz w:val="24"/>
          <w:szCs w:val="24"/>
          <w:shd w:val="clear" w:color="auto" w:fill="FFFFFF"/>
        </w:rPr>
        <w:t>Rodriguez-Anton and Alonso-Almeida, 2019)</w:t>
      </w:r>
      <w:r w:rsidR="00DD5A42" w:rsidRPr="00C8742C">
        <w:rPr>
          <w:rFonts w:ascii="Arial" w:hAnsi="Arial" w:cs="Arial"/>
          <w:sz w:val="24"/>
          <w:szCs w:val="24"/>
          <w:shd w:val="clear" w:color="auto" w:fill="FFFFFF"/>
        </w:rPr>
        <w:t xml:space="preserve">. </w:t>
      </w:r>
      <w:r w:rsidR="00511A37" w:rsidRPr="00C8742C">
        <w:rPr>
          <w:rFonts w:ascii="Arial" w:hAnsi="Arial" w:cs="Arial"/>
          <w:sz w:val="24"/>
          <w:szCs w:val="24"/>
        </w:rPr>
        <w:t>Therefore</w:t>
      </w:r>
      <w:r w:rsidRPr="00C8742C">
        <w:rPr>
          <w:rFonts w:ascii="Arial" w:hAnsi="Arial" w:cs="Arial"/>
          <w:sz w:val="24"/>
          <w:szCs w:val="24"/>
        </w:rPr>
        <w:t xml:space="preserve">, despite the obstacles that may arise during the implementation of a circular economy in the hospitality sector, this shift </w:t>
      </w:r>
      <w:proofErr w:type="gramStart"/>
      <w:r w:rsidRPr="00C8742C">
        <w:rPr>
          <w:rFonts w:ascii="Arial" w:hAnsi="Arial" w:cs="Arial"/>
          <w:sz w:val="24"/>
          <w:szCs w:val="24"/>
        </w:rPr>
        <w:t>provides</w:t>
      </w:r>
      <w:proofErr w:type="gramEnd"/>
      <w:r w:rsidRPr="00C8742C">
        <w:rPr>
          <w:rFonts w:ascii="Arial" w:hAnsi="Arial" w:cs="Arial"/>
          <w:sz w:val="24"/>
          <w:szCs w:val="24"/>
        </w:rPr>
        <w:t xml:space="preserve"> an avenue for improved customer satisfaction, financial savings, and environmental sustainability.</w:t>
      </w:r>
    </w:p>
    <w:p w14:paraId="3EBF8638" w14:textId="2833DD4A" w:rsidR="00511A37" w:rsidRPr="00C8742C" w:rsidRDefault="00511A37" w:rsidP="006F7D97">
      <w:pPr>
        <w:spacing w:line="360" w:lineRule="auto"/>
        <w:jc w:val="both"/>
        <w:rPr>
          <w:rFonts w:ascii="Arial" w:hAnsi="Arial" w:cs="Arial"/>
          <w:sz w:val="24"/>
          <w:szCs w:val="24"/>
        </w:rPr>
      </w:pPr>
      <w:r w:rsidRPr="00C8742C">
        <w:rPr>
          <w:rFonts w:ascii="Arial" w:hAnsi="Arial" w:cs="Arial"/>
          <w:sz w:val="24"/>
          <w:szCs w:val="24"/>
        </w:rPr>
        <w:t>Within the hospitality sector, Corporate Social Responsibility </w:t>
      </w:r>
      <w:proofErr w:type="gramStart"/>
      <w:r w:rsidRPr="00C8742C">
        <w:rPr>
          <w:rFonts w:ascii="Arial" w:hAnsi="Arial" w:cs="Arial"/>
          <w:sz w:val="24"/>
          <w:szCs w:val="24"/>
        </w:rPr>
        <w:t>comprises</w:t>
      </w:r>
      <w:proofErr w:type="gramEnd"/>
      <w:r w:rsidRPr="00C8742C">
        <w:rPr>
          <w:rFonts w:ascii="Arial" w:hAnsi="Arial" w:cs="Arial"/>
          <w:sz w:val="24"/>
          <w:szCs w:val="24"/>
        </w:rPr>
        <w:t xml:space="preserve"> an extensive array of initiatives that seek to hold companies responsible for the ways in which they operate in terms of the environment, society, and finances. Social responsibility  is</w:t>
      </w:r>
      <w:r w:rsidR="0077033A" w:rsidRPr="00C8742C">
        <w:rPr>
          <w:rFonts w:ascii="Arial" w:hAnsi="Arial" w:cs="Arial"/>
          <w:sz w:val="24"/>
          <w:szCs w:val="24"/>
        </w:rPr>
        <w:t xml:space="preserve"> </w:t>
      </w:r>
      <w:r w:rsidRPr="00C8742C">
        <w:rPr>
          <w:rFonts w:ascii="Arial" w:hAnsi="Arial" w:cs="Arial"/>
          <w:sz w:val="24"/>
          <w:szCs w:val="24"/>
        </w:rPr>
        <w:t>crucial in the hospitality industry due to the direct engagement that occurs between establishments and their clients, staff, and the wider community</w:t>
      </w:r>
      <w:r w:rsidR="0077033A" w:rsidRPr="00C8742C">
        <w:rPr>
          <w:rFonts w:ascii="Arial" w:hAnsi="Arial" w:cs="Arial"/>
          <w:sz w:val="24"/>
          <w:szCs w:val="24"/>
        </w:rPr>
        <w:t xml:space="preserve"> (Karol et al., 2022). </w:t>
      </w:r>
      <w:r w:rsidRPr="00C8742C">
        <w:rPr>
          <w:rFonts w:ascii="Arial" w:hAnsi="Arial" w:cs="Arial"/>
          <w:sz w:val="24"/>
          <w:szCs w:val="24"/>
        </w:rPr>
        <w:t xml:space="preserve">Emphasising the multifaceted nature of CSR initiatives, Carrol </w:t>
      </w:r>
      <w:r w:rsidR="0077033A" w:rsidRPr="00C8742C">
        <w:rPr>
          <w:rFonts w:ascii="Arial" w:hAnsi="Arial" w:cs="Arial"/>
          <w:sz w:val="24"/>
          <w:szCs w:val="24"/>
        </w:rPr>
        <w:t xml:space="preserve">cited in </w:t>
      </w:r>
      <w:r w:rsidR="0077033A" w:rsidRPr="00C8742C">
        <w:rPr>
          <w:rFonts w:ascii="Arial" w:hAnsi="Arial" w:cs="Arial"/>
          <w:sz w:val="24"/>
          <w:szCs w:val="24"/>
          <w:shd w:val="clear" w:color="auto" w:fill="FFFFFF"/>
        </w:rPr>
        <w:t xml:space="preserve">Nurunnabi, </w:t>
      </w:r>
      <w:proofErr w:type="spellStart"/>
      <w:r w:rsidR="0077033A" w:rsidRPr="00C8742C">
        <w:rPr>
          <w:rFonts w:ascii="Arial" w:hAnsi="Arial" w:cs="Arial"/>
          <w:sz w:val="24"/>
          <w:szCs w:val="24"/>
          <w:shd w:val="clear" w:color="auto" w:fill="FFFFFF"/>
        </w:rPr>
        <w:t>Alfakhri</w:t>
      </w:r>
      <w:proofErr w:type="spellEnd"/>
      <w:r w:rsidR="0077033A" w:rsidRPr="00C8742C">
        <w:rPr>
          <w:rFonts w:ascii="Arial" w:hAnsi="Arial" w:cs="Arial"/>
          <w:sz w:val="24"/>
          <w:szCs w:val="24"/>
          <w:shd w:val="clear" w:color="auto" w:fill="FFFFFF"/>
        </w:rPr>
        <w:t xml:space="preserve">, and </w:t>
      </w:r>
      <w:proofErr w:type="spellStart"/>
      <w:r w:rsidR="0077033A" w:rsidRPr="00C8742C">
        <w:rPr>
          <w:rFonts w:ascii="Arial" w:hAnsi="Arial" w:cs="Arial"/>
          <w:sz w:val="24"/>
          <w:szCs w:val="24"/>
          <w:shd w:val="clear" w:color="auto" w:fill="FFFFFF"/>
        </w:rPr>
        <w:t>Alfakhri</w:t>
      </w:r>
      <w:proofErr w:type="spellEnd"/>
      <w:r w:rsidR="0077033A" w:rsidRPr="00C8742C">
        <w:rPr>
          <w:rFonts w:ascii="Arial" w:hAnsi="Arial" w:cs="Arial"/>
          <w:sz w:val="24"/>
          <w:szCs w:val="24"/>
          <w:shd w:val="clear" w:color="auto" w:fill="FFFFFF"/>
        </w:rPr>
        <w:t>,</w:t>
      </w:r>
      <w:r w:rsidR="0077033A" w:rsidRPr="00C8742C">
        <w:rPr>
          <w:rFonts w:ascii="Arial" w:hAnsi="Arial" w:cs="Arial"/>
          <w:sz w:val="24"/>
          <w:szCs w:val="24"/>
          <w:shd w:val="clear" w:color="auto" w:fill="FFFFFF"/>
        </w:rPr>
        <w:t xml:space="preserve"> (</w:t>
      </w:r>
      <w:r w:rsidR="0077033A" w:rsidRPr="00C8742C">
        <w:rPr>
          <w:rFonts w:ascii="Arial" w:hAnsi="Arial" w:cs="Arial"/>
          <w:sz w:val="24"/>
          <w:szCs w:val="24"/>
          <w:shd w:val="clear" w:color="auto" w:fill="FFFFFF"/>
        </w:rPr>
        <w:t>2020</w:t>
      </w:r>
      <w:r w:rsidR="0077033A" w:rsidRPr="00C8742C">
        <w:rPr>
          <w:rFonts w:ascii="Arial" w:hAnsi="Arial" w:cs="Arial"/>
          <w:sz w:val="24"/>
          <w:szCs w:val="24"/>
          <w:shd w:val="clear" w:color="auto" w:fill="FFFFFF"/>
        </w:rPr>
        <w:t>)</w:t>
      </w:r>
      <w:r w:rsidRPr="00C8742C">
        <w:rPr>
          <w:rFonts w:ascii="Arial" w:hAnsi="Arial" w:cs="Arial"/>
          <w:sz w:val="24"/>
          <w:szCs w:val="24"/>
        </w:rPr>
        <w:t xml:space="preserve"> defines CSR as the economic, legal, ethical, and philanthropic expectations that society has of organisations at any </w:t>
      </w:r>
      <w:proofErr w:type="gramStart"/>
      <w:r w:rsidRPr="00C8742C">
        <w:rPr>
          <w:rFonts w:ascii="Arial" w:hAnsi="Arial" w:cs="Arial"/>
          <w:sz w:val="24"/>
          <w:szCs w:val="24"/>
        </w:rPr>
        <w:t>particular time</w:t>
      </w:r>
      <w:proofErr w:type="gramEnd"/>
      <w:r w:rsidRPr="00C8742C">
        <w:rPr>
          <w:rFonts w:ascii="Arial" w:hAnsi="Arial" w:cs="Arial"/>
          <w:sz w:val="24"/>
          <w:szCs w:val="24"/>
        </w:rPr>
        <w:t xml:space="preserve">. Increasing consumer demand for responsible and sustainable business practices </w:t>
      </w:r>
      <w:proofErr w:type="gramStart"/>
      <w:r w:rsidRPr="00C8742C">
        <w:rPr>
          <w:rFonts w:ascii="Arial" w:hAnsi="Arial" w:cs="Arial"/>
          <w:sz w:val="24"/>
          <w:szCs w:val="24"/>
        </w:rPr>
        <w:t>demonstrates</w:t>
      </w:r>
      <w:proofErr w:type="gramEnd"/>
      <w:r w:rsidRPr="00C8742C">
        <w:rPr>
          <w:rFonts w:ascii="Arial" w:hAnsi="Arial" w:cs="Arial"/>
          <w:sz w:val="24"/>
          <w:szCs w:val="24"/>
        </w:rPr>
        <w:t xml:space="preserve"> that CSR vital in the hospitality sector. According </w:t>
      </w:r>
      <w:r w:rsidR="0077033A" w:rsidRPr="00C8742C">
        <w:rPr>
          <w:rFonts w:ascii="Arial" w:hAnsi="Arial" w:cs="Arial"/>
          <w:sz w:val="24"/>
          <w:szCs w:val="24"/>
          <w:shd w:val="clear" w:color="auto" w:fill="FFFFFF"/>
        </w:rPr>
        <w:t xml:space="preserve">to </w:t>
      </w:r>
      <w:r w:rsidR="0077033A" w:rsidRPr="00C8742C">
        <w:rPr>
          <w:rFonts w:ascii="Arial" w:hAnsi="Arial" w:cs="Arial"/>
          <w:sz w:val="24"/>
          <w:szCs w:val="24"/>
          <w:shd w:val="clear" w:color="auto" w:fill="FFFFFF"/>
        </w:rPr>
        <w:t xml:space="preserve">White, Hardisty and Habib, </w:t>
      </w:r>
      <w:r w:rsidR="0077033A" w:rsidRPr="00C8742C">
        <w:rPr>
          <w:rFonts w:ascii="Arial" w:hAnsi="Arial" w:cs="Arial"/>
          <w:sz w:val="24"/>
          <w:szCs w:val="24"/>
          <w:shd w:val="clear" w:color="auto" w:fill="FFFFFF"/>
        </w:rPr>
        <w:t>(</w:t>
      </w:r>
      <w:r w:rsidR="0077033A" w:rsidRPr="00C8742C">
        <w:rPr>
          <w:rFonts w:ascii="Arial" w:hAnsi="Arial" w:cs="Arial"/>
          <w:sz w:val="24"/>
          <w:szCs w:val="24"/>
          <w:shd w:val="clear" w:color="auto" w:fill="FFFFFF"/>
        </w:rPr>
        <w:t>2019)</w:t>
      </w:r>
      <w:r w:rsidRPr="00C8742C">
        <w:rPr>
          <w:rFonts w:ascii="Arial" w:hAnsi="Arial" w:cs="Arial"/>
          <w:sz w:val="24"/>
          <w:szCs w:val="24"/>
        </w:rPr>
        <w:t xml:space="preserve">, sustainable brands are experiencing greater growth than their conventional rivals, suggesting that consumers have a significant preference for responsible companies. The hospitality sector </w:t>
      </w:r>
      <w:proofErr w:type="gramStart"/>
      <w:r w:rsidRPr="00C8742C">
        <w:rPr>
          <w:rFonts w:ascii="Arial" w:hAnsi="Arial" w:cs="Arial"/>
          <w:sz w:val="24"/>
          <w:szCs w:val="24"/>
        </w:rPr>
        <w:t>exhibits</w:t>
      </w:r>
      <w:proofErr w:type="gramEnd"/>
      <w:r w:rsidRPr="00C8742C">
        <w:rPr>
          <w:rFonts w:ascii="Arial" w:hAnsi="Arial" w:cs="Arial"/>
          <w:sz w:val="24"/>
          <w:szCs w:val="24"/>
        </w:rPr>
        <w:t xml:space="preserve"> a similar pattern, wherein a favourable environmental standing can impact patronage and preference. 40% of millennial respondents, for instance, have selected an employer </w:t>
      </w:r>
      <w:proofErr w:type="gramStart"/>
      <w:r w:rsidRPr="00C8742C">
        <w:rPr>
          <w:rFonts w:ascii="Arial" w:hAnsi="Arial" w:cs="Arial"/>
          <w:sz w:val="24"/>
          <w:szCs w:val="24"/>
        </w:rPr>
        <w:t>on the basis of</w:t>
      </w:r>
      <w:proofErr w:type="gramEnd"/>
      <w:r w:rsidRPr="00C8742C">
        <w:rPr>
          <w:rFonts w:ascii="Arial" w:hAnsi="Arial" w:cs="Arial"/>
          <w:sz w:val="24"/>
          <w:szCs w:val="24"/>
        </w:rPr>
        <w:t xml:space="preserve"> its sustainability performance; this finding highlights the significance of CSR in retaining and recruiting talen</w:t>
      </w:r>
      <w:r w:rsidR="0077033A" w:rsidRPr="00C8742C">
        <w:rPr>
          <w:rFonts w:ascii="Arial" w:hAnsi="Arial" w:cs="Arial"/>
          <w:sz w:val="24"/>
          <w:szCs w:val="24"/>
        </w:rPr>
        <w:t>t (Aziz, 2020). However, i</w:t>
      </w:r>
      <w:r w:rsidRPr="00C8742C">
        <w:rPr>
          <w:rFonts w:ascii="Arial" w:hAnsi="Arial" w:cs="Arial"/>
          <w:sz w:val="24"/>
          <w:szCs w:val="24"/>
        </w:rPr>
        <w:t xml:space="preserve">mplementing CSR presents the hospitality industry with distinct challenges and opportunities. One consideration is that the sector's waste generation potential and dependence on natural resources </w:t>
      </w:r>
      <w:proofErr w:type="gramStart"/>
      <w:r w:rsidRPr="00C8742C">
        <w:rPr>
          <w:rFonts w:ascii="Arial" w:hAnsi="Arial" w:cs="Arial"/>
          <w:sz w:val="24"/>
          <w:szCs w:val="24"/>
        </w:rPr>
        <w:t>necessitate</w:t>
      </w:r>
      <w:proofErr w:type="gramEnd"/>
      <w:r w:rsidRPr="00C8742C">
        <w:rPr>
          <w:rFonts w:ascii="Arial" w:hAnsi="Arial" w:cs="Arial"/>
          <w:sz w:val="24"/>
          <w:szCs w:val="24"/>
        </w:rPr>
        <w:t xml:space="preserve"> a conscientious approach to environmental management</w:t>
      </w:r>
      <w:r w:rsidR="0077033A" w:rsidRPr="00C8742C">
        <w:rPr>
          <w:rFonts w:ascii="Arial" w:hAnsi="Arial" w:cs="Arial"/>
          <w:sz w:val="24"/>
          <w:szCs w:val="24"/>
        </w:rPr>
        <w:t xml:space="preserve"> (</w:t>
      </w:r>
      <w:r w:rsidR="0077033A" w:rsidRPr="00C8742C">
        <w:rPr>
          <w:rFonts w:ascii="Arial" w:hAnsi="Arial" w:cs="Arial"/>
          <w:sz w:val="24"/>
          <w:szCs w:val="24"/>
        </w:rPr>
        <w:t>Sloan, Legrand, and Chen, 2017)</w:t>
      </w:r>
      <w:r w:rsidR="0077033A" w:rsidRPr="00C8742C">
        <w:rPr>
          <w:rFonts w:ascii="Arial" w:hAnsi="Arial" w:cs="Arial"/>
          <w:sz w:val="24"/>
          <w:szCs w:val="24"/>
        </w:rPr>
        <w:t>.</w:t>
      </w:r>
      <w:r w:rsidRPr="00C8742C">
        <w:rPr>
          <w:rFonts w:ascii="Arial" w:hAnsi="Arial" w:cs="Arial"/>
          <w:sz w:val="24"/>
          <w:szCs w:val="24"/>
        </w:rPr>
        <w:t xml:space="preserve"> Conversely, the worldwide scope of the industry offers a forum for advancing cultural interchange and </w:t>
      </w:r>
      <w:r w:rsidR="0077033A" w:rsidRPr="00C8742C">
        <w:rPr>
          <w:rFonts w:ascii="Arial" w:hAnsi="Arial" w:cs="Arial"/>
          <w:sz w:val="24"/>
          <w:szCs w:val="24"/>
        </w:rPr>
        <w:t>supporting</w:t>
      </w:r>
      <w:r w:rsidRPr="00C8742C">
        <w:rPr>
          <w:rFonts w:ascii="Arial" w:hAnsi="Arial" w:cs="Arial"/>
          <w:sz w:val="24"/>
          <w:szCs w:val="24"/>
        </w:rPr>
        <w:t xml:space="preserve"> local communities. Hospitality enterprises, spanning from intimate inns to global hotel conglomerates, have adopted diverse manifestations of corporate social responsibility. These include endeavours to sustain local economies, mitigate food waste, and </w:t>
      </w:r>
      <w:proofErr w:type="gramStart"/>
      <w:r w:rsidRPr="00C8742C">
        <w:rPr>
          <w:rFonts w:ascii="Arial" w:hAnsi="Arial" w:cs="Arial"/>
          <w:sz w:val="24"/>
          <w:szCs w:val="24"/>
        </w:rPr>
        <w:t>participate</w:t>
      </w:r>
      <w:proofErr w:type="gramEnd"/>
      <w:r w:rsidRPr="00C8742C">
        <w:rPr>
          <w:rFonts w:ascii="Arial" w:hAnsi="Arial" w:cs="Arial"/>
          <w:sz w:val="24"/>
          <w:szCs w:val="24"/>
        </w:rPr>
        <w:t xml:space="preserve"> in philanthropic initiatives. However, there are obstacles to implementing CSR in the hospitality industry. Achieving this requires an innovative strategy that transcends ordinary compliance and incorporates CSR into the core business operations. Due to the intricate nature of the hospitality supply chain, which encompasses refuse management and food sourcing, a comprehensive and systemic approach to CSR is necessary</w:t>
      </w:r>
      <w:r w:rsidR="0077033A" w:rsidRPr="00C8742C">
        <w:rPr>
          <w:rFonts w:ascii="Arial" w:hAnsi="Arial" w:cs="Arial"/>
          <w:sz w:val="24"/>
          <w:szCs w:val="24"/>
        </w:rPr>
        <w:t xml:space="preserve"> (Punitha, 2013). </w:t>
      </w:r>
      <w:r w:rsidRPr="00C8742C">
        <w:rPr>
          <w:rFonts w:ascii="Arial" w:hAnsi="Arial" w:cs="Arial"/>
          <w:sz w:val="24"/>
          <w:szCs w:val="24"/>
        </w:rPr>
        <w:t xml:space="preserve">Moreover, it can be difficult to quantify the effects of CSR initiatives, therefore, </w:t>
      </w:r>
      <w:proofErr w:type="gramStart"/>
      <w:r w:rsidRPr="00C8742C">
        <w:rPr>
          <w:rFonts w:ascii="Arial" w:hAnsi="Arial" w:cs="Arial"/>
          <w:sz w:val="24"/>
          <w:szCs w:val="24"/>
        </w:rPr>
        <w:t>robust</w:t>
      </w:r>
      <w:proofErr w:type="gramEnd"/>
      <w:r w:rsidRPr="00C8742C">
        <w:rPr>
          <w:rFonts w:ascii="Arial" w:hAnsi="Arial" w:cs="Arial"/>
          <w:sz w:val="24"/>
          <w:szCs w:val="24"/>
        </w:rPr>
        <w:t xml:space="preserve"> and transparent reporting mechanisms are required.</w:t>
      </w:r>
    </w:p>
    <w:p w14:paraId="250764E8" w14:textId="68BD20FE" w:rsidR="006F7D97" w:rsidRPr="00C8742C" w:rsidRDefault="006F7D97" w:rsidP="00511A37">
      <w:pPr>
        <w:spacing w:line="360" w:lineRule="auto"/>
        <w:jc w:val="both"/>
        <w:rPr>
          <w:rFonts w:ascii="Arial" w:hAnsi="Arial" w:cs="Arial"/>
          <w:sz w:val="24"/>
          <w:szCs w:val="24"/>
        </w:rPr>
      </w:pPr>
      <w:r w:rsidRPr="00C8742C">
        <w:rPr>
          <w:rFonts w:ascii="Arial" w:hAnsi="Arial" w:cs="Arial"/>
          <w:sz w:val="24"/>
          <w:szCs w:val="24"/>
        </w:rPr>
        <w:t xml:space="preserve">Marriott International is a renowned worldwide leader in the hospitality sector, distinguished by its vast collection of hotels and lodging establishments. Established in 1927 by J. Willard and Alice Marriott, the corporation has since expanded to encompass more than 7,000 properties distributed under 30 renowned trademarks, and to </w:t>
      </w:r>
      <w:proofErr w:type="gramStart"/>
      <w:r w:rsidRPr="00C8742C">
        <w:rPr>
          <w:rFonts w:ascii="Arial" w:hAnsi="Arial" w:cs="Arial"/>
          <w:sz w:val="24"/>
          <w:szCs w:val="24"/>
        </w:rPr>
        <w:t>operate</w:t>
      </w:r>
      <w:proofErr w:type="gramEnd"/>
      <w:r w:rsidRPr="00C8742C">
        <w:rPr>
          <w:rFonts w:ascii="Arial" w:hAnsi="Arial" w:cs="Arial"/>
          <w:sz w:val="24"/>
          <w:szCs w:val="24"/>
        </w:rPr>
        <w:t xml:space="preserve"> in 131 countries and territories</w:t>
      </w:r>
      <w:r w:rsidR="00591802" w:rsidRPr="00C8742C">
        <w:rPr>
          <w:rFonts w:ascii="Arial" w:hAnsi="Arial" w:cs="Arial"/>
          <w:sz w:val="24"/>
          <w:szCs w:val="24"/>
        </w:rPr>
        <w:t xml:space="preserve"> (Mariott International, 2023). </w:t>
      </w:r>
      <w:r w:rsidRPr="00C8742C">
        <w:rPr>
          <w:rFonts w:ascii="Arial" w:hAnsi="Arial" w:cs="Arial"/>
          <w:sz w:val="24"/>
          <w:szCs w:val="24"/>
        </w:rPr>
        <w:t xml:space="preserve"> Marriott is widely acclaimed for its constant commitment to excellence, ingenuity, and guest satisfaction, which has positioned it as the hotel of choice for global travellers. In their 2022 Serve 360 Report, Marriott International </w:t>
      </w:r>
      <w:proofErr w:type="gramStart"/>
      <w:r w:rsidRPr="00C8742C">
        <w:rPr>
          <w:rFonts w:ascii="Arial" w:hAnsi="Arial" w:cs="Arial"/>
          <w:sz w:val="24"/>
          <w:szCs w:val="24"/>
        </w:rPr>
        <w:t>demonstrates</w:t>
      </w:r>
      <w:proofErr w:type="gramEnd"/>
      <w:r w:rsidRPr="00C8742C">
        <w:rPr>
          <w:rFonts w:ascii="Arial" w:hAnsi="Arial" w:cs="Arial"/>
          <w:sz w:val="24"/>
          <w:szCs w:val="24"/>
        </w:rPr>
        <w:t xml:space="preserve"> their dedication to sustainability and the circular economy through the integration of these principles into their worldwide business activities, thus exemplifying their CSR policy. Their initiatives are designed to enhance community engagement, reduce environmental impact, and promote responsible sourcing, all </w:t>
      </w:r>
      <w:proofErr w:type="gramStart"/>
      <w:r w:rsidRPr="00C8742C">
        <w:rPr>
          <w:rFonts w:ascii="Arial" w:hAnsi="Arial" w:cs="Arial"/>
          <w:sz w:val="24"/>
          <w:szCs w:val="24"/>
        </w:rPr>
        <w:t>in accordance with</w:t>
      </w:r>
      <w:proofErr w:type="gramEnd"/>
      <w:r w:rsidRPr="00C8742C">
        <w:rPr>
          <w:rFonts w:ascii="Arial" w:hAnsi="Arial" w:cs="Arial"/>
          <w:sz w:val="24"/>
          <w:szCs w:val="24"/>
        </w:rPr>
        <w:t xml:space="preserve"> the Sustainable Development Goals</w:t>
      </w:r>
      <w:r w:rsidR="00591802" w:rsidRPr="00C8742C">
        <w:rPr>
          <w:rFonts w:ascii="Arial" w:hAnsi="Arial" w:cs="Arial"/>
          <w:sz w:val="24"/>
          <w:szCs w:val="24"/>
        </w:rPr>
        <w:t xml:space="preserve"> (Mariott 360, 2022).</w:t>
      </w:r>
      <w:r w:rsidRPr="00C8742C">
        <w:rPr>
          <w:rFonts w:ascii="Arial" w:hAnsi="Arial" w:cs="Arial"/>
          <w:sz w:val="24"/>
          <w:szCs w:val="24"/>
        </w:rPr>
        <w:t xml:space="preserve"> Marriott's CSR initiatives incorporate circular economy principles with a particular focus on responsible operations, which cover energy efficiency and reducing waste. As an illustration, the organisation has pledged to decrease carbon intensity by 30% and water intensity by 15% across its entire portfolio by 2025</w:t>
      </w:r>
      <w:r w:rsidR="00591802" w:rsidRPr="00C8742C">
        <w:rPr>
          <w:rFonts w:ascii="Arial" w:hAnsi="Arial" w:cs="Arial"/>
          <w:sz w:val="24"/>
          <w:szCs w:val="24"/>
        </w:rPr>
        <w:t xml:space="preserve"> (Mariott, 2016). </w:t>
      </w:r>
      <w:r w:rsidRPr="00C8742C">
        <w:rPr>
          <w:rFonts w:ascii="Arial" w:hAnsi="Arial" w:cs="Arial"/>
          <w:sz w:val="24"/>
          <w:szCs w:val="24"/>
        </w:rPr>
        <w:t xml:space="preserve"> In addition, they intend to reduce food waste by 50% and refuse sent to landfills by 45%, which signifies a substantial shift towards circular resource utilisation. These ambitious targets </w:t>
      </w:r>
      <w:proofErr w:type="gramStart"/>
      <w:r w:rsidRPr="00C8742C">
        <w:rPr>
          <w:rFonts w:ascii="Arial" w:hAnsi="Arial" w:cs="Arial"/>
          <w:sz w:val="24"/>
          <w:szCs w:val="24"/>
        </w:rPr>
        <w:t>demonstrate</w:t>
      </w:r>
      <w:proofErr w:type="gramEnd"/>
      <w:r w:rsidRPr="00C8742C">
        <w:rPr>
          <w:rFonts w:ascii="Arial" w:hAnsi="Arial" w:cs="Arial"/>
          <w:sz w:val="24"/>
          <w:szCs w:val="24"/>
        </w:rPr>
        <w:t xml:space="preserve"> a consistency with the objectives of the circular economy as they aim to reduce resource input and refuse output, subsequently effectively mitigating environmental impact. Marriott's CSR policy places a major focus on responsible procurement, with the </w:t>
      </w:r>
      <w:proofErr w:type="gramStart"/>
      <w:r w:rsidRPr="00C8742C">
        <w:rPr>
          <w:rFonts w:ascii="Arial" w:hAnsi="Arial" w:cs="Arial"/>
          <w:sz w:val="24"/>
          <w:szCs w:val="24"/>
        </w:rPr>
        <w:t>objective</w:t>
      </w:r>
      <w:proofErr w:type="gramEnd"/>
      <w:r w:rsidRPr="00C8742C">
        <w:rPr>
          <w:rFonts w:ascii="Arial" w:hAnsi="Arial" w:cs="Arial"/>
          <w:sz w:val="24"/>
          <w:szCs w:val="24"/>
        </w:rPr>
        <w:t xml:space="preserve"> of achieving this goal for 95% of its top 10 categories by 2025</w:t>
      </w:r>
      <w:r w:rsidR="00591802" w:rsidRPr="00C8742C">
        <w:rPr>
          <w:rFonts w:ascii="Arial" w:hAnsi="Arial" w:cs="Arial"/>
          <w:sz w:val="24"/>
          <w:szCs w:val="24"/>
        </w:rPr>
        <w:t xml:space="preserve"> (Mariott 360, 2022). </w:t>
      </w:r>
      <w:r w:rsidRPr="00C8742C">
        <w:rPr>
          <w:rFonts w:ascii="Arial" w:hAnsi="Arial" w:cs="Arial"/>
          <w:sz w:val="24"/>
          <w:szCs w:val="24"/>
        </w:rPr>
        <w:t xml:space="preserve">This involves giving precedence to categories such as textiles, distilled water, and animal proteins, which have a substantial environmental impact. In addition, Marriott's dedication is </w:t>
      </w:r>
      <w:proofErr w:type="gramStart"/>
      <w:r w:rsidRPr="00C8742C">
        <w:rPr>
          <w:rFonts w:ascii="Arial" w:hAnsi="Arial" w:cs="Arial"/>
          <w:sz w:val="24"/>
          <w:szCs w:val="24"/>
        </w:rPr>
        <w:t>demonstrated</w:t>
      </w:r>
      <w:proofErr w:type="gramEnd"/>
      <w:r w:rsidRPr="00C8742C">
        <w:rPr>
          <w:rFonts w:ascii="Arial" w:hAnsi="Arial" w:cs="Arial"/>
          <w:sz w:val="24"/>
          <w:szCs w:val="24"/>
        </w:rPr>
        <w:t xml:space="preserve"> through its worldwide procurement of 100% cage-free eggs, which exemplifies a synthesis of environmental and ethical factors in their supply chain management</w:t>
      </w:r>
      <w:r w:rsidR="00591802" w:rsidRPr="00C8742C">
        <w:rPr>
          <w:rFonts w:ascii="Arial" w:hAnsi="Arial" w:cs="Arial"/>
          <w:sz w:val="24"/>
          <w:szCs w:val="24"/>
        </w:rPr>
        <w:t xml:space="preserve"> (Mariott, 2022). </w:t>
      </w:r>
      <w:r w:rsidRPr="00C8742C">
        <w:rPr>
          <w:rFonts w:ascii="Arial" w:hAnsi="Arial" w:cs="Arial"/>
          <w:sz w:val="24"/>
          <w:szCs w:val="24"/>
        </w:rPr>
        <w:t xml:space="preserve">Nevertheless, the viability and longevity of these efforts are reliant on overcoming </w:t>
      </w:r>
      <w:proofErr w:type="gramStart"/>
      <w:r w:rsidRPr="00C8742C">
        <w:rPr>
          <w:rFonts w:ascii="Arial" w:hAnsi="Arial" w:cs="Arial"/>
          <w:sz w:val="24"/>
          <w:szCs w:val="24"/>
        </w:rPr>
        <w:t>a number of</w:t>
      </w:r>
      <w:proofErr w:type="gramEnd"/>
      <w:r w:rsidRPr="00C8742C">
        <w:rPr>
          <w:rFonts w:ascii="Arial" w:hAnsi="Arial" w:cs="Arial"/>
          <w:sz w:val="24"/>
          <w:szCs w:val="24"/>
        </w:rPr>
        <w:t xml:space="preserve"> obstacles. To illustrate, the attainment of such all-encompassing sustainability </w:t>
      </w:r>
      <w:proofErr w:type="gramStart"/>
      <w:r w:rsidRPr="00C8742C">
        <w:rPr>
          <w:rFonts w:ascii="Arial" w:hAnsi="Arial" w:cs="Arial"/>
          <w:sz w:val="24"/>
          <w:szCs w:val="24"/>
        </w:rPr>
        <w:t>objectives</w:t>
      </w:r>
      <w:proofErr w:type="gramEnd"/>
      <w:r w:rsidRPr="00C8742C">
        <w:rPr>
          <w:rFonts w:ascii="Arial" w:hAnsi="Arial" w:cs="Arial"/>
          <w:sz w:val="24"/>
          <w:szCs w:val="24"/>
        </w:rPr>
        <w:t xml:space="preserve"> necessitates strong cooperation with suppliers, partners, and local communities. This can prove to be a challenging endeavour, as various regions have distinct regulations, standards, and levels of commitment. Furthermore, although Marriott's asset-light business model mitigates immediate vulnerability to climate-related risks, it might restrict the company's ability to enforce sustainable practices at all properties, especially those that are not under its direct management</w:t>
      </w:r>
      <w:r w:rsidR="00591802" w:rsidRPr="00C8742C">
        <w:rPr>
          <w:rFonts w:ascii="Arial" w:hAnsi="Arial" w:cs="Arial"/>
          <w:sz w:val="24"/>
          <w:szCs w:val="24"/>
        </w:rPr>
        <w:t xml:space="preserve"> </w:t>
      </w:r>
      <w:r w:rsidR="00591802" w:rsidRPr="00C8742C">
        <w:rPr>
          <w:rFonts w:ascii="Arial" w:hAnsi="Arial" w:cs="Arial"/>
          <w:sz w:val="24"/>
          <w:szCs w:val="24"/>
          <w:shd w:val="clear" w:color="auto" w:fill="FFFFFF"/>
        </w:rPr>
        <w:t xml:space="preserve">(Brun, </w:t>
      </w:r>
      <w:proofErr w:type="spellStart"/>
      <w:r w:rsidR="00591802" w:rsidRPr="00C8742C">
        <w:rPr>
          <w:rFonts w:ascii="Arial" w:hAnsi="Arial" w:cs="Arial"/>
          <w:sz w:val="24"/>
          <w:szCs w:val="24"/>
          <w:shd w:val="clear" w:color="auto" w:fill="FFFFFF"/>
        </w:rPr>
        <w:t>Karaosman</w:t>
      </w:r>
      <w:proofErr w:type="spellEnd"/>
      <w:r w:rsidR="00591802" w:rsidRPr="00C8742C">
        <w:rPr>
          <w:rFonts w:ascii="Arial" w:hAnsi="Arial" w:cs="Arial"/>
          <w:sz w:val="24"/>
          <w:szCs w:val="24"/>
          <w:shd w:val="clear" w:color="auto" w:fill="FFFFFF"/>
        </w:rPr>
        <w:t xml:space="preserve"> and Barresi, 2020)</w:t>
      </w:r>
      <w:r w:rsidR="00591802" w:rsidRPr="00C8742C">
        <w:rPr>
          <w:rFonts w:ascii="Arial" w:hAnsi="Arial" w:cs="Arial"/>
          <w:sz w:val="24"/>
          <w:szCs w:val="24"/>
          <w:shd w:val="clear" w:color="auto" w:fill="FFFFFF"/>
        </w:rPr>
        <w:t>.</w:t>
      </w:r>
      <w:r w:rsidRPr="00C8742C">
        <w:rPr>
          <w:rFonts w:ascii="Arial" w:hAnsi="Arial" w:cs="Arial"/>
          <w:sz w:val="24"/>
          <w:szCs w:val="24"/>
        </w:rPr>
        <w:t xml:space="preserve"> One way to enhance transparency and accountability is by implementing third-party verification of sustainability claims and progress, in addition to more stringent reporting requirements. Marriott could further reduce resource consumption and waste generation by investing in innovative technologies and business models, such as investigating opportunities for circularity in culinary service and facility management and expanding the use of renewable energy sources.</w:t>
      </w:r>
    </w:p>
    <w:p w14:paraId="6016166C" w14:textId="3AA7AA8F" w:rsidR="00511A37" w:rsidRPr="00C8742C" w:rsidRDefault="00630A1C" w:rsidP="00511A37">
      <w:pPr>
        <w:spacing w:line="360" w:lineRule="auto"/>
        <w:jc w:val="both"/>
        <w:rPr>
          <w:rFonts w:ascii="Arial" w:hAnsi="Arial" w:cs="Arial"/>
          <w:sz w:val="24"/>
          <w:szCs w:val="24"/>
        </w:rPr>
      </w:pPr>
      <w:r w:rsidRPr="00C8742C">
        <w:rPr>
          <w:rFonts w:ascii="Arial" w:hAnsi="Arial" w:cs="Arial"/>
          <w:sz w:val="24"/>
          <w:szCs w:val="24"/>
        </w:rPr>
        <w:t xml:space="preserve">As described, Marriott International's CSR strategy incorporates a comprehensive commitment to sustainability, with an emphasis on reducing environmental footprints, </w:t>
      </w:r>
      <w:proofErr w:type="gramStart"/>
      <w:r w:rsidRPr="00C8742C">
        <w:rPr>
          <w:rFonts w:ascii="Arial" w:hAnsi="Arial" w:cs="Arial"/>
          <w:sz w:val="24"/>
          <w:szCs w:val="24"/>
        </w:rPr>
        <w:t>procuring</w:t>
      </w:r>
      <w:proofErr w:type="gramEnd"/>
      <w:r w:rsidRPr="00C8742C">
        <w:rPr>
          <w:rFonts w:ascii="Arial" w:hAnsi="Arial" w:cs="Arial"/>
          <w:sz w:val="24"/>
          <w:szCs w:val="24"/>
        </w:rPr>
        <w:t xml:space="preserve"> responsibly, and increasing community engagement. In contrast, IHG  received recognition for its comprehensive "Journey to Tomorrow" initiative, which exemplifies conscientious business conduct in every aspect. This includes contributing to the communities in which they </w:t>
      </w:r>
      <w:proofErr w:type="gramStart"/>
      <w:r w:rsidRPr="00C8742C">
        <w:rPr>
          <w:rFonts w:ascii="Arial" w:hAnsi="Arial" w:cs="Arial"/>
          <w:sz w:val="24"/>
          <w:szCs w:val="24"/>
        </w:rPr>
        <w:t>operate</w:t>
      </w:r>
      <w:proofErr w:type="gramEnd"/>
      <w:r w:rsidRPr="00C8742C">
        <w:rPr>
          <w:rFonts w:ascii="Arial" w:hAnsi="Arial" w:cs="Arial"/>
          <w:sz w:val="24"/>
          <w:szCs w:val="24"/>
        </w:rPr>
        <w:t>, reducing their environmental impact, and increasing the efficacy of their resource utilisation. IHG's commitment to sustainability and the circular economy is exemplified by their funding support for water.org, an organisation that provides long-lasting water and sanitation solutions, and their collaboration with innovative suppliers to source responsibly</w:t>
      </w:r>
      <w:r w:rsidR="00FE3FC5" w:rsidRPr="00C8742C">
        <w:rPr>
          <w:rFonts w:ascii="Arial" w:hAnsi="Arial" w:cs="Arial"/>
          <w:sz w:val="24"/>
          <w:szCs w:val="24"/>
        </w:rPr>
        <w:t xml:space="preserve"> (Hospitality, 2023).</w:t>
      </w:r>
      <w:r w:rsidRPr="00C8742C">
        <w:rPr>
          <w:rFonts w:ascii="Arial" w:hAnsi="Arial" w:cs="Arial"/>
          <w:sz w:val="24"/>
          <w:szCs w:val="24"/>
        </w:rPr>
        <w:t xml:space="preserve"> Marriott could gain significant knowledge from IHG's innovative supplier engagement strategies and community-oriented initiatives. For example, Marriott's pledge to </w:t>
      </w:r>
      <w:proofErr w:type="gramStart"/>
      <w:r w:rsidRPr="00C8742C">
        <w:rPr>
          <w:rFonts w:ascii="Arial" w:hAnsi="Arial" w:cs="Arial"/>
          <w:sz w:val="24"/>
          <w:szCs w:val="24"/>
        </w:rPr>
        <w:t>procure</w:t>
      </w:r>
      <w:proofErr w:type="gramEnd"/>
      <w:r w:rsidRPr="00C8742C">
        <w:rPr>
          <w:rFonts w:ascii="Arial" w:hAnsi="Arial" w:cs="Arial"/>
          <w:sz w:val="24"/>
          <w:szCs w:val="24"/>
        </w:rPr>
        <w:t xml:space="preserve"> 95% of its top 10 categories in a responsible manner by 2025 could be strengthened by emulating IHG's methodology of collaborating with suppliers who integrate sustainability principles into their entire value chain. This includes the implementation of reforestation initiatives and the use of water-based coatings and low VOC-emitting lacquers, which are in line with the principles of the circular economy as they minimise waste generation and preserve basic materials</w:t>
      </w:r>
      <w:r w:rsidR="00FE3FC5" w:rsidRPr="00C8742C">
        <w:rPr>
          <w:rFonts w:ascii="Arial" w:hAnsi="Arial" w:cs="Arial"/>
          <w:sz w:val="24"/>
          <w:szCs w:val="24"/>
        </w:rPr>
        <w:t xml:space="preserve"> (IHG, 2022).</w:t>
      </w:r>
      <w:r w:rsidRPr="00C8742C">
        <w:rPr>
          <w:rFonts w:ascii="Arial" w:hAnsi="Arial" w:cs="Arial"/>
          <w:sz w:val="24"/>
          <w:szCs w:val="24"/>
        </w:rPr>
        <w:t xml:space="preserve"> In addition, Marriott may find it </w:t>
      </w:r>
      <w:proofErr w:type="gramStart"/>
      <w:r w:rsidRPr="00C8742C">
        <w:rPr>
          <w:rFonts w:ascii="Arial" w:hAnsi="Arial" w:cs="Arial"/>
          <w:sz w:val="24"/>
          <w:szCs w:val="24"/>
        </w:rPr>
        <w:t>advantageous</w:t>
      </w:r>
      <w:proofErr w:type="gramEnd"/>
      <w:r w:rsidRPr="00C8742C">
        <w:rPr>
          <w:rFonts w:ascii="Arial" w:hAnsi="Arial" w:cs="Arial"/>
          <w:sz w:val="24"/>
          <w:szCs w:val="24"/>
        </w:rPr>
        <w:t xml:space="preserve"> to incorporate IHG's sustainability initiatives that prioritise the community into their own strategic framework. Marriott might consider emulating IHG's approach to promoting responsible travel by enhancing their natural surroundings and treating ecosystems in popular tourist destinations with care, which contributes to their commitment to biodiversity conservation. Marriott might </w:t>
      </w:r>
      <w:r w:rsidR="00C8742C" w:rsidRPr="00C8742C">
        <w:rPr>
          <w:rFonts w:ascii="Arial" w:hAnsi="Arial" w:cs="Arial"/>
          <w:sz w:val="24"/>
          <w:szCs w:val="24"/>
        </w:rPr>
        <w:t xml:space="preserve">also </w:t>
      </w:r>
      <w:r w:rsidRPr="00C8742C">
        <w:rPr>
          <w:rFonts w:ascii="Arial" w:hAnsi="Arial" w:cs="Arial"/>
          <w:sz w:val="24"/>
          <w:szCs w:val="24"/>
        </w:rPr>
        <w:t xml:space="preserve">look at supplementing its existing sustainability and social impact </w:t>
      </w:r>
      <w:proofErr w:type="gramStart"/>
      <w:r w:rsidRPr="00C8742C">
        <w:rPr>
          <w:rFonts w:ascii="Arial" w:hAnsi="Arial" w:cs="Arial"/>
          <w:sz w:val="24"/>
          <w:szCs w:val="24"/>
        </w:rPr>
        <w:t>objectives</w:t>
      </w:r>
      <w:proofErr w:type="gramEnd"/>
      <w:r w:rsidRPr="00C8742C">
        <w:rPr>
          <w:rFonts w:ascii="Arial" w:hAnsi="Arial" w:cs="Arial"/>
          <w:sz w:val="24"/>
          <w:szCs w:val="24"/>
        </w:rPr>
        <w:t xml:space="preserve"> with a greater degree of specificity regarding ecosystem restoration and biodiversity conservation, drawing inspiration from the approaches taken by IHG. In summary, although Marriott has </w:t>
      </w:r>
      <w:proofErr w:type="gramStart"/>
      <w:r w:rsidRPr="00C8742C">
        <w:rPr>
          <w:rFonts w:ascii="Arial" w:hAnsi="Arial" w:cs="Arial"/>
          <w:sz w:val="24"/>
          <w:szCs w:val="24"/>
        </w:rPr>
        <w:t>established</w:t>
      </w:r>
      <w:proofErr w:type="gramEnd"/>
      <w:r w:rsidRPr="00C8742C">
        <w:rPr>
          <w:rFonts w:ascii="Arial" w:hAnsi="Arial" w:cs="Arial"/>
          <w:sz w:val="24"/>
          <w:szCs w:val="24"/>
        </w:rPr>
        <w:t xml:space="preserve"> an extensive CSR and sustainability framework, the integration of knowledge gained from IHG's efforts might improve their dedication to the circular economy and sustainability</w:t>
      </w:r>
      <w:r w:rsidR="00C8742C" w:rsidRPr="00C8742C">
        <w:rPr>
          <w:rFonts w:ascii="Arial" w:hAnsi="Arial" w:cs="Arial"/>
          <w:sz w:val="24"/>
          <w:szCs w:val="24"/>
        </w:rPr>
        <w:t xml:space="preserve"> (IHG,2022). </w:t>
      </w:r>
      <w:r w:rsidRPr="00C8742C">
        <w:rPr>
          <w:rFonts w:ascii="Arial" w:hAnsi="Arial" w:cs="Arial"/>
          <w:sz w:val="24"/>
          <w:szCs w:val="24"/>
        </w:rPr>
        <w:t>This may entail increasing their involvement with sustainable suppliers and prioritising community-based initiatives and biodiversity, as a result improving their endeavours in protecting the planet and social responsibility.</w:t>
      </w:r>
    </w:p>
    <w:p w14:paraId="068DA956" w14:textId="3D747355" w:rsidR="008A23F8" w:rsidRPr="00C8742C" w:rsidRDefault="00630A1C" w:rsidP="00511A37">
      <w:pPr>
        <w:spacing w:line="360" w:lineRule="auto"/>
        <w:jc w:val="both"/>
        <w:rPr>
          <w:rFonts w:ascii="Arial" w:hAnsi="Arial" w:cs="Arial"/>
          <w:sz w:val="24"/>
          <w:szCs w:val="24"/>
        </w:rPr>
      </w:pPr>
      <w:r w:rsidRPr="00C8742C">
        <w:rPr>
          <w:rFonts w:ascii="Arial" w:hAnsi="Arial" w:cs="Arial"/>
          <w:sz w:val="24"/>
          <w:szCs w:val="24"/>
        </w:rPr>
        <w:t xml:space="preserve">As a conclusion, the hospitality industry, along with Marriott International, needs to include circular economy principles in its corporate social responsibility strategy if it </w:t>
      </w:r>
      <w:proofErr w:type="gramStart"/>
      <w:r w:rsidRPr="00C8742C">
        <w:rPr>
          <w:rFonts w:ascii="Arial" w:hAnsi="Arial" w:cs="Arial"/>
          <w:sz w:val="24"/>
          <w:szCs w:val="24"/>
        </w:rPr>
        <w:t>desires</w:t>
      </w:r>
      <w:proofErr w:type="gramEnd"/>
      <w:r w:rsidRPr="00C8742C">
        <w:rPr>
          <w:rFonts w:ascii="Arial" w:hAnsi="Arial" w:cs="Arial"/>
          <w:sz w:val="24"/>
          <w:szCs w:val="24"/>
        </w:rPr>
        <w:t xml:space="preserve"> to be sustainable for the environment, socially responsible, and economically viable. Marriott is committed to lowering its environmental impact by setting high goals for reducing carbon and water usage, minimising trash, and responsible buying. This shows that it is in line with the circular economy. Such types of projects not only lessen the damage that businesses </w:t>
      </w:r>
      <w:proofErr w:type="gramStart"/>
      <w:r w:rsidRPr="00C8742C">
        <w:rPr>
          <w:rFonts w:ascii="Arial" w:hAnsi="Arial" w:cs="Arial"/>
          <w:sz w:val="24"/>
          <w:szCs w:val="24"/>
        </w:rPr>
        <w:t>do</w:t>
      </w:r>
      <w:proofErr w:type="gramEnd"/>
      <w:r w:rsidRPr="00C8742C">
        <w:rPr>
          <w:rFonts w:ascii="Arial" w:hAnsi="Arial" w:cs="Arial"/>
          <w:sz w:val="24"/>
          <w:szCs w:val="24"/>
        </w:rPr>
        <w:t xml:space="preserve"> to the environment, but they also meet the growing demand from customers for eco-friendly vacations. Furthermore, the endeavours of Marriott, in conjunction with the knowledge gained from IHG's "Journey to Tomorrow" programme, illustrate the significance of creating supplier participation, community engagement, and biodiversity preservation in the pursuit of sustainability within the hospitality sector. Although there are still obstacles to overcome, including the need for considerable financial investment in sustainable technologies and a cultural transition towards sustainability, the potential advantages of increased customer satisfaction, cost savings, and environmental conservation are </w:t>
      </w:r>
      <w:proofErr w:type="gramStart"/>
      <w:r w:rsidRPr="00C8742C">
        <w:rPr>
          <w:rFonts w:ascii="Arial" w:hAnsi="Arial" w:cs="Arial"/>
          <w:sz w:val="24"/>
          <w:szCs w:val="24"/>
        </w:rPr>
        <w:t>substantial</w:t>
      </w:r>
      <w:proofErr w:type="gramEnd"/>
      <w:r w:rsidRPr="00C8742C">
        <w:rPr>
          <w:rFonts w:ascii="Arial" w:hAnsi="Arial" w:cs="Arial"/>
          <w:sz w:val="24"/>
          <w:szCs w:val="24"/>
        </w:rPr>
        <w:t xml:space="preserve">. Marriott's strategy, which exemplifies a wider trend in the industry, highlights the crucial role of the hospitality sector in promoting sustainability. It proves that by incorporating circular economy and CSR principles, businesses can fortify their operations and make a positive contribution to the overarching </w:t>
      </w:r>
      <w:proofErr w:type="gramStart"/>
      <w:r w:rsidRPr="00C8742C">
        <w:rPr>
          <w:rFonts w:ascii="Arial" w:hAnsi="Arial" w:cs="Arial"/>
          <w:sz w:val="24"/>
          <w:szCs w:val="24"/>
        </w:rPr>
        <w:t>objective</w:t>
      </w:r>
      <w:proofErr w:type="gramEnd"/>
      <w:r w:rsidRPr="00C8742C">
        <w:rPr>
          <w:rFonts w:ascii="Arial" w:hAnsi="Arial" w:cs="Arial"/>
          <w:sz w:val="24"/>
          <w:szCs w:val="24"/>
        </w:rPr>
        <w:t xml:space="preserve"> of sustainable developme</w:t>
      </w:r>
      <w:r w:rsidR="00C8742C" w:rsidRPr="00C8742C">
        <w:rPr>
          <w:rFonts w:ascii="Arial" w:hAnsi="Arial" w:cs="Arial"/>
          <w:sz w:val="24"/>
          <w:szCs w:val="24"/>
        </w:rPr>
        <w:t>nt.</w:t>
      </w:r>
    </w:p>
    <w:p w14:paraId="41077D22" w14:textId="77777777" w:rsidR="008A23F8" w:rsidRDefault="008A23F8" w:rsidP="00511A37">
      <w:pPr>
        <w:spacing w:line="360" w:lineRule="auto"/>
        <w:jc w:val="both"/>
        <w:rPr>
          <w:rFonts w:ascii="Arial" w:hAnsi="Arial" w:cs="Arial"/>
          <w:sz w:val="24"/>
          <w:szCs w:val="24"/>
        </w:rPr>
      </w:pPr>
    </w:p>
    <w:p w14:paraId="3613814D" w14:textId="77777777" w:rsidR="00C8742C" w:rsidRDefault="00C8742C" w:rsidP="00511A37">
      <w:pPr>
        <w:spacing w:line="360" w:lineRule="auto"/>
        <w:jc w:val="both"/>
        <w:rPr>
          <w:rFonts w:ascii="Arial" w:hAnsi="Arial" w:cs="Arial"/>
          <w:sz w:val="24"/>
          <w:szCs w:val="24"/>
        </w:rPr>
      </w:pPr>
    </w:p>
    <w:p w14:paraId="2BDA0226" w14:textId="77777777" w:rsidR="00C8742C" w:rsidRDefault="00C8742C" w:rsidP="00511A37">
      <w:pPr>
        <w:spacing w:line="360" w:lineRule="auto"/>
        <w:jc w:val="both"/>
        <w:rPr>
          <w:rFonts w:ascii="Arial" w:hAnsi="Arial" w:cs="Arial"/>
          <w:sz w:val="24"/>
          <w:szCs w:val="24"/>
        </w:rPr>
      </w:pPr>
    </w:p>
    <w:p w14:paraId="73225ECF" w14:textId="4FFAC3E3" w:rsidR="008A23F8" w:rsidRPr="00C8742C" w:rsidRDefault="008A23F8" w:rsidP="00C8742C">
      <w:pPr>
        <w:spacing w:line="360" w:lineRule="auto"/>
        <w:jc w:val="both"/>
        <w:rPr>
          <w:rFonts w:ascii="Arial" w:hAnsi="Arial" w:cs="Arial"/>
          <w:b/>
          <w:bCs/>
          <w:sz w:val="24"/>
          <w:szCs w:val="24"/>
        </w:rPr>
      </w:pPr>
      <w:r w:rsidRPr="00C8742C">
        <w:rPr>
          <w:rFonts w:ascii="Arial" w:hAnsi="Arial" w:cs="Arial"/>
          <w:b/>
          <w:bCs/>
          <w:sz w:val="24"/>
          <w:szCs w:val="24"/>
        </w:rPr>
        <w:t>References</w:t>
      </w:r>
    </w:p>
    <w:p w14:paraId="592B3DA4" w14:textId="68CF7F7C" w:rsidR="0077033A" w:rsidRPr="00C8742C" w:rsidRDefault="0077033A"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 xml:space="preserve">Aziz, A. (2020). The Power </w:t>
      </w:r>
      <w:proofErr w:type="gramStart"/>
      <w:r w:rsidRPr="00C8742C">
        <w:rPr>
          <w:rFonts w:ascii="Arial" w:hAnsi="Arial" w:cs="Arial"/>
          <w:color w:val="000000"/>
        </w:rPr>
        <w:t>Of</w:t>
      </w:r>
      <w:proofErr w:type="gramEnd"/>
      <w:r w:rsidRPr="00C8742C">
        <w:rPr>
          <w:rFonts w:ascii="Arial" w:hAnsi="Arial" w:cs="Arial"/>
          <w:color w:val="000000"/>
        </w:rPr>
        <w:t xml:space="preserve"> Purpose: The Business Case For Purpose (All The Data You Were Looking For Pt 2). [online] Forbes. Available at: https://www.forbes.com/sites/afdhelaziz/2020/03/07/the-power-of-purpose-the-business-case-for-purpose-all-the-data-you-were-looking-for-pt-2/.</w:t>
      </w:r>
    </w:p>
    <w:p w14:paraId="7C7FA342" w14:textId="77777777" w:rsidR="0077033A" w:rsidRPr="00C8742C" w:rsidRDefault="0077033A" w:rsidP="00C8742C">
      <w:pPr>
        <w:pStyle w:val="NormalWeb"/>
        <w:spacing w:before="0" w:beforeAutospacing="0" w:after="0" w:afterAutospacing="0" w:line="360" w:lineRule="auto"/>
        <w:jc w:val="both"/>
        <w:rPr>
          <w:rFonts w:ascii="Arial" w:hAnsi="Arial" w:cs="Arial"/>
          <w:color w:val="000000"/>
        </w:rPr>
      </w:pPr>
    </w:p>
    <w:p w14:paraId="4D5E7C8E" w14:textId="6AE8B549" w:rsidR="00DD5A42" w:rsidRPr="00C8742C" w:rsidRDefault="00DD5A4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 xml:space="preserve">Ben Youssef, A. and Zeqiri, A. (2022). Hospitality Industry 4.0 and Climate Change. Circular Economy and Sustainability, [online] 2. </w:t>
      </w:r>
      <w:proofErr w:type="spellStart"/>
      <w:r w:rsidRPr="00C8742C">
        <w:rPr>
          <w:rFonts w:ascii="Arial" w:hAnsi="Arial" w:cs="Arial"/>
          <w:color w:val="000000"/>
        </w:rPr>
        <w:t>doi:https</w:t>
      </w:r>
      <w:proofErr w:type="spellEnd"/>
      <w:r w:rsidRPr="00C8742C">
        <w:rPr>
          <w:rFonts w:ascii="Arial" w:hAnsi="Arial" w:cs="Arial"/>
          <w:color w:val="000000"/>
        </w:rPr>
        <w:t>://doi.org/10.1007/s43615-021-00141-x.</w:t>
      </w:r>
    </w:p>
    <w:p w14:paraId="2F46C57F" w14:textId="77777777" w:rsidR="00591802" w:rsidRPr="00C8742C" w:rsidRDefault="00591802" w:rsidP="00C8742C">
      <w:pPr>
        <w:pStyle w:val="NormalWeb"/>
        <w:spacing w:before="0" w:beforeAutospacing="0" w:after="0" w:afterAutospacing="0" w:line="360" w:lineRule="auto"/>
        <w:jc w:val="both"/>
        <w:rPr>
          <w:rFonts w:ascii="Arial" w:hAnsi="Arial" w:cs="Arial"/>
          <w:color w:val="000000"/>
        </w:rPr>
      </w:pPr>
    </w:p>
    <w:p w14:paraId="089964BB" w14:textId="59FD047E" w:rsidR="00591802" w:rsidRPr="00C8742C" w:rsidRDefault="0059180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 xml:space="preserve">Brun, A., </w:t>
      </w:r>
      <w:proofErr w:type="spellStart"/>
      <w:r w:rsidRPr="00C8742C">
        <w:rPr>
          <w:rFonts w:ascii="Arial" w:hAnsi="Arial" w:cs="Arial"/>
          <w:color w:val="000000"/>
        </w:rPr>
        <w:t>Karaosman</w:t>
      </w:r>
      <w:proofErr w:type="spellEnd"/>
      <w:r w:rsidRPr="00C8742C">
        <w:rPr>
          <w:rFonts w:ascii="Arial" w:hAnsi="Arial" w:cs="Arial"/>
          <w:color w:val="000000"/>
        </w:rPr>
        <w:t xml:space="preserve">, H. and Barresi, T. (2020). Supply Chain Collaboration for Transparency. Sustainability, [online] 12(11), p.4429. </w:t>
      </w:r>
      <w:proofErr w:type="spellStart"/>
      <w:r w:rsidRPr="00C8742C">
        <w:rPr>
          <w:rFonts w:ascii="Arial" w:hAnsi="Arial" w:cs="Arial"/>
          <w:color w:val="000000"/>
        </w:rPr>
        <w:t>doi:https</w:t>
      </w:r>
      <w:proofErr w:type="spellEnd"/>
      <w:r w:rsidRPr="00C8742C">
        <w:rPr>
          <w:rFonts w:ascii="Arial" w:hAnsi="Arial" w:cs="Arial"/>
          <w:color w:val="000000"/>
        </w:rPr>
        <w:t>://doi.org/10.3390/su12114429.</w:t>
      </w:r>
    </w:p>
    <w:p w14:paraId="1BC1FE85" w14:textId="77777777" w:rsidR="00DD5A42" w:rsidRPr="00C8742C" w:rsidRDefault="00DD5A42" w:rsidP="00C8742C">
      <w:pPr>
        <w:pStyle w:val="NormalWeb"/>
        <w:spacing w:before="0" w:beforeAutospacing="0" w:after="0" w:afterAutospacing="0" w:line="360" w:lineRule="auto"/>
        <w:jc w:val="both"/>
        <w:rPr>
          <w:rFonts w:ascii="Arial" w:hAnsi="Arial" w:cs="Arial"/>
          <w:color w:val="000000"/>
        </w:rPr>
      </w:pPr>
    </w:p>
    <w:p w14:paraId="5734A0B7" w14:textId="2C13ACB1" w:rsidR="00DD5A42" w:rsidRPr="00C8742C" w:rsidRDefault="00DD5A4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Cambon, A. (2023). Food waste: AI supporting Accor hotels. [online] Accor – Newsroom. Available at: https://press.accor.com/food-waste-ai-supporting-accor-hotels/?lang=en.</w:t>
      </w:r>
    </w:p>
    <w:p w14:paraId="14147EAE" w14:textId="299E4E64" w:rsidR="00C8742C" w:rsidRPr="00C8742C" w:rsidRDefault="00DD5A42" w:rsidP="00C8742C">
      <w:pPr>
        <w:pStyle w:val="NormalWeb"/>
        <w:numPr>
          <w:ilvl w:val="0"/>
          <w:numId w:val="1"/>
        </w:numPr>
        <w:spacing w:line="360" w:lineRule="auto"/>
        <w:jc w:val="both"/>
        <w:rPr>
          <w:rFonts w:ascii="Arial" w:hAnsi="Arial" w:cs="Arial"/>
        </w:rPr>
      </w:pPr>
      <w:r w:rsidRPr="00C8742C">
        <w:rPr>
          <w:rFonts w:ascii="Arial" w:hAnsi="Arial" w:cs="Arial"/>
          <w:color w:val="000000"/>
        </w:rPr>
        <w:t>‌</w:t>
      </w:r>
      <w:r w:rsidR="008A23F8" w:rsidRPr="008A23F8">
        <w:rPr>
          <w:rFonts w:ascii="Arial" w:hAnsi="Arial" w:cs="Arial"/>
        </w:rPr>
        <w:t xml:space="preserve">Castro, C.G., Trevisan, A.H., </w:t>
      </w:r>
      <w:proofErr w:type="spellStart"/>
      <w:r w:rsidR="008A23F8" w:rsidRPr="008A23F8">
        <w:rPr>
          <w:rFonts w:ascii="Arial" w:hAnsi="Arial" w:cs="Arial"/>
        </w:rPr>
        <w:t>Pigosso</w:t>
      </w:r>
      <w:proofErr w:type="spellEnd"/>
      <w:r w:rsidR="008A23F8" w:rsidRPr="008A23F8">
        <w:rPr>
          <w:rFonts w:ascii="Arial" w:hAnsi="Arial" w:cs="Arial"/>
        </w:rPr>
        <w:t xml:space="preserve">, D.C. and Mascarenhas, J. (2022) ‘The rebound effect of circular economy: Definitions, mechanisms and a research agenda’, Journal of cleaner production., 345. Available at: </w:t>
      </w:r>
      <w:hyperlink r:id="rId7" w:history="1">
        <w:r w:rsidR="008A23F8" w:rsidRPr="008A23F8">
          <w:rPr>
            <w:rStyle w:val="Hyperlink"/>
            <w:rFonts w:ascii="Arial" w:hAnsi="Arial" w:cs="Arial"/>
          </w:rPr>
          <w:t>https://doi.org/10.1016/j.jclepro.2022.131136</w:t>
        </w:r>
      </w:hyperlink>
      <w:r w:rsidR="008A23F8" w:rsidRPr="008A23F8">
        <w:rPr>
          <w:rFonts w:ascii="Arial" w:hAnsi="Arial" w:cs="Arial"/>
        </w:rPr>
        <w:t>.</w:t>
      </w:r>
    </w:p>
    <w:p w14:paraId="5A1D263A" w14:textId="2CFD3635" w:rsidR="00DD5A42" w:rsidRPr="00C8742C" w:rsidRDefault="00DD5A4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Girling, R., Gordy, H. and Lanier, P. (2015). The Good Company: Sustainability in Hospitality, Tourism, and Wine. [online] Google Books. Business Expert Press. Available at: https://www.google.co.uk/books/edition/The_Good_Company/-XVjCgAAQBAJ?hl=en&amp;gbpv=1&amp;dq=Marriott+International%27s+decision+to+substitute+minuscule+toiletry+bottles+with+volume+receptacles+is+a+significant+attempt+aimed+at+mitigating+plastic+pollution.+&amp;pg=PT9&amp;printsec=frontcover [Accessed 1</w:t>
      </w:r>
      <w:r w:rsidRPr="00C8742C">
        <w:rPr>
          <w:rFonts w:ascii="Arial" w:hAnsi="Arial" w:cs="Arial"/>
          <w:color w:val="000000"/>
        </w:rPr>
        <w:t>9</w:t>
      </w:r>
      <w:r w:rsidRPr="00C8742C">
        <w:rPr>
          <w:rFonts w:ascii="Arial" w:hAnsi="Arial" w:cs="Arial"/>
          <w:color w:val="000000"/>
        </w:rPr>
        <w:t xml:space="preserve"> </w:t>
      </w:r>
      <w:r w:rsidRPr="00C8742C">
        <w:rPr>
          <w:rFonts w:ascii="Arial" w:hAnsi="Arial" w:cs="Arial"/>
          <w:color w:val="000000"/>
        </w:rPr>
        <w:t>Jan</w:t>
      </w:r>
      <w:r w:rsidRPr="00C8742C">
        <w:rPr>
          <w:rFonts w:ascii="Arial" w:hAnsi="Arial" w:cs="Arial"/>
          <w:color w:val="000000"/>
        </w:rPr>
        <w:t>. 2024].</w:t>
      </w:r>
    </w:p>
    <w:p w14:paraId="22A7DAC8" w14:textId="77777777" w:rsidR="00FE3FC5" w:rsidRPr="00C8742C" w:rsidRDefault="00FE3FC5" w:rsidP="00C8742C">
      <w:pPr>
        <w:pStyle w:val="NormalWeb"/>
        <w:spacing w:before="0" w:beforeAutospacing="0" w:after="0" w:afterAutospacing="0" w:line="360" w:lineRule="auto"/>
        <w:jc w:val="both"/>
        <w:rPr>
          <w:rFonts w:ascii="Arial" w:hAnsi="Arial" w:cs="Arial"/>
          <w:color w:val="000000"/>
        </w:rPr>
      </w:pPr>
    </w:p>
    <w:p w14:paraId="1B8AF9D7" w14:textId="7834CE5B" w:rsidR="00FE3FC5" w:rsidRPr="00C8742C" w:rsidRDefault="00FE3FC5"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Hospitality (</w:t>
      </w:r>
      <w:r w:rsidRPr="00C8742C">
        <w:rPr>
          <w:rFonts w:ascii="Arial" w:hAnsi="Arial" w:cs="Arial"/>
          <w:color w:val="000000"/>
        </w:rPr>
        <w:t>2023</w:t>
      </w:r>
      <w:r w:rsidRPr="00C8742C">
        <w:rPr>
          <w:rFonts w:ascii="Arial" w:hAnsi="Arial" w:cs="Arial"/>
          <w:color w:val="000000"/>
        </w:rPr>
        <w:t xml:space="preserve">). Worldwide Hospitality Awards. [online] Available at: https://hospitality-on.com/en/hospitality-awards/ihg-hotels-resorts/journey-tomorrow-0#:~:text=Journey%20to%20Tomorrow%20is%20IHG [Accessed </w:t>
      </w:r>
      <w:r w:rsidRPr="00C8742C">
        <w:rPr>
          <w:rFonts w:ascii="Arial" w:hAnsi="Arial" w:cs="Arial"/>
          <w:color w:val="000000"/>
        </w:rPr>
        <w:t>20</w:t>
      </w:r>
      <w:r w:rsidRPr="00C8742C">
        <w:rPr>
          <w:rFonts w:ascii="Arial" w:hAnsi="Arial" w:cs="Arial"/>
          <w:color w:val="000000"/>
        </w:rPr>
        <w:t xml:space="preserve"> </w:t>
      </w:r>
      <w:r w:rsidRPr="00C8742C">
        <w:rPr>
          <w:rFonts w:ascii="Arial" w:hAnsi="Arial" w:cs="Arial"/>
          <w:color w:val="000000"/>
        </w:rPr>
        <w:t>Jan</w:t>
      </w:r>
      <w:r w:rsidRPr="00C8742C">
        <w:rPr>
          <w:rFonts w:ascii="Arial" w:hAnsi="Arial" w:cs="Arial"/>
          <w:color w:val="000000"/>
        </w:rPr>
        <w:t>. 2024].</w:t>
      </w:r>
    </w:p>
    <w:p w14:paraId="4B93A6F3" w14:textId="77777777" w:rsidR="00FE3FC5" w:rsidRPr="00C8742C" w:rsidRDefault="00FE3FC5" w:rsidP="00C8742C">
      <w:pPr>
        <w:pStyle w:val="NormalWeb"/>
        <w:spacing w:before="0" w:beforeAutospacing="0" w:after="0" w:afterAutospacing="0" w:line="360" w:lineRule="auto"/>
        <w:jc w:val="both"/>
        <w:rPr>
          <w:rFonts w:ascii="Arial" w:hAnsi="Arial" w:cs="Arial"/>
          <w:color w:val="000000"/>
        </w:rPr>
      </w:pPr>
    </w:p>
    <w:p w14:paraId="72A3DE58" w14:textId="64ABE956" w:rsidR="00C8742C" w:rsidRPr="00C8742C" w:rsidRDefault="00FE3FC5" w:rsidP="00C8742C">
      <w:pPr>
        <w:pStyle w:val="NormalWeb"/>
        <w:numPr>
          <w:ilvl w:val="0"/>
          <w:numId w:val="1"/>
        </w:numPr>
        <w:spacing w:before="0" w:beforeAutospacing="0" w:after="0" w:afterAutospacing="0" w:line="360" w:lineRule="auto"/>
        <w:jc w:val="both"/>
        <w:rPr>
          <w:rFonts w:ascii="Arial" w:hAnsi="Arial" w:cs="Arial"/>
        </w:rPr>
      </w:pPr>
      <w:r w:rsidRPr="00C8742C">
        <w:rPr>
          <w:rFonts w:ascii="Arial" w:hAnsi="Arial" w:cs="Arial"/>
          <w:color w:val="000000"/>
        </w:rPr>
        <w:t xml:space="preserve">IHG (2022). </w:t>
      </w:r>
      <w:r w:rsidR="00C8742C" w:rsidRPr="00C8742C">
        <w:rPr>
          <w:rFonts w:ascii="Arial" w:hAnsi="Arial" w:cs="Arial"/>
          <w:color w:val="000000"/>
        </w:rPr>
        <w:t>True Hospitality for Good</w:t>
      </w:r>
      <w:r w:rsidR="00C8742C" w:rsidRPr="00C8742C">
        <w:rPr>
          <w:rFonts w:ascii="Arial" w:hAnsi="Arial" w:cs="Arial"/>
          <w:color w:val="000000"/>
        </w:rPr>
        <w:t xml:space="preserve">. </w:t>
      </w:r>
      <w:r w:rsidR="00C8742C" w:rsidRPr="00C8742C">
        <w:rPr>
          <w:rFonts w:ascii="Arial" w:hAnsi="Arial" w:cs="Arial"/>
        </w:rPr>
        <w:t>RESPONSIBLE BUSINESS REPORT 2022</w:t>
      </w:r>
      <w:r w:rsidR="00C8742C" w:rsidRPr="00C8742C">
        <w:rPr>
          <w:rFonts w:ascii="Arial" w:hAnsi="Arial" w:cs="Arial"/>
        </w:rPr>
        <w:t xml:space="preserve">. Available at: </w:t>
      </w:r>
      <w:hyperlink r:id="rId8" w:history="1">
        <w:r w:rsidR="00C8742C" w:rsidRPr="00C8742C">
          <w:rPr>
            <w:rStyle w:val="Hyperlink"/>
            <w:rFonts w:ascii="Arial" w:hAnsi="Arial" w:cs="Arial"/>
          </w:rPr>
          <w:t>https://www.ihgplc.com/~/media/Files/I/Ihg-Plc/investors/annual-report/ihg-responsible-business-report-2022.pdf</w:t>
        </w:r>
      </w:hyperlink>
    </w:p>
    <w:p w14:paraId="119231CB" w14:textId="77777777" w:rsidR="008A23F8" w:rsidRPr="00C8742C" w:rsidRDefault="008A23F8" w:rsidP="00C8742C">
      <w:pPr>
        <w:spacing w:after="0" w:line="360" w:lineRule="auto"/>
        <w:jc w:val="both"/>
        <w:rPr>
          <w:rFonts w:ascii="Arial" w:eastAsia="Times New Roman" w:hAnsi="Arial" w:cs="Arial"/>
          <w:kern w:val="0"/>
          <w:sz w:val="24"/>
          <w:szCs w:val="24"/>
          <w:lang w:eastAsia="en-GB"/>
          <w14:ligatures w14:val="none"/>
        </w:rPr>
      </w:pPr>
    </w:p>
    <w:p w14:paraId="28FA21DE" w14:textId="1E8164B4" w:rsidR="008A23F8" w:rsidRPr="00C8742C" w:rsidRDefault="008A23F8" w:rsidP="00C8742C">
      <w:pPr>
        <w:pStyle w:val="ListParagraph"/>
        <w:numPr>
          <w:ilvl w:val="0"/>
          <w:numId w:val="1"/>
        </w:numPr>
        <w:spacing w:line="360" w:lineRule="auto"/>
        <w:jc w:val="both"/>
        <w:rPr>
          <w:rFonts w:ascii="Arial" w:hAnsi="Arial" w:cs="Arial"/>
          <w:sz w:val="24"/>
          <w:szCs w:val="24"/>
        </w:rPr>
      </w:pPr>
      <w:proofErr w:type="spellStart"/>
      <w:r w:rsidRPr="00C8742C">
        <w:rPr>
          <w:rFonts w:ascii="Arial" w:hAnsi="Arial" w:cs="Arial"/>
          <w:sz w:val="24"/>
          <w:szCs w:val="24"/>
        </w:rPr>
        <w:t>Inkson</w:t>
      </w:r>
      <w:proofErr w:type="spellEnd"/>
      <w:r w:rsidRPr="00C8742C">
        <w:rPr>
          <w:rFonts w:ascii="Arial" w:hAnsi="Arial" w:cs="Arial"/>
          <w:sz w:val="24"/>
          <w:szCs w:val="24"/>
        </w:rPr>
        <w:t>, C. and Minnaert, L. (2018) Tourism management : an introduction. 2nd ed. London: SAGE</w:t>
      </w:r>
    </w:p>
    <w:p w14:paraId="511ADA5C" w14:textId="5AEDF97F" w:rsidR="0077033A" w:rsidRPr="00C8742C" w:rsidRDefault="0077033A"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 xml:space="preserve">Kaur, P., Talwar, S., </w:t>
      </w:r>
      <w:proofErr w:type="spellStart"/>
      <w:r w:rsidRPr="00C8742C">
        <w:rPr>
          <w:rFonts w:ascii="Arial" w:hAnsi="Arial" w:cs="Arial"/>
          <w:color w:val="000000"/>
        </w:rPr>
        <w:t>Madanaguli</w:t>
      </w:r>
      <w:proofErr w:type="spellEnd"/>
      <w:r w:rsidRPr="00C8742C">
        <w:rPr>
          <w:rFonts w:ascii="Arial" w:hAnsi="Arial" w:cs="Arial"/>
          <w:color w:val="000000"/>
        </w:rPr>
        <w:t xml:space="preserve">, A., Srivastava, S. and Dhir, A. (2022). Corporate social responsibility (CSR) and hospitality sector: Charting new frontiers for restaurant businesses. Journal of Business Research, [online] 144, pp.1234–1248. </w:t>
      </w:r>
      <w:proofErr w:type="spellStart"/>
      <w:r w:rsidRPr="00C8742C">
        <w:rPr>
          <w:rFonts w:ascii="Arial" w:hAnsi="Arial" w:cs="Arial"/>
          <w:color w:val="000000"/>
        </w:rPr>
        <w:t>doi:https</w:t>
      </w:r>
      <w:proofErr w:type="spellEnd"/>
      <w:r w:rsidRPr="00C8742C">
        <w:rPr>
          <w:rFonts w:ascii="Arial" w:hAnsi="Arial" w:cs="Arial"/>
          <w:color w:val="000000"/>
        </w:rPr>
        <w:t>://doi.org/10.1016/j.jbusres.2022.01.067.</w:t>
      </w:r>
    </w:p>
    <w:p w14:paraId="0F27C44D" w14:textId="77777777" w:rsidR="00591802" w:rsidRPr="00C8742C" w:rsidRDefault="00591802" w:rsidP="00C8742C">
      <w:pPr>
        <w:pStyle w:val="NormalWeb"/>
        <w:spacing w:before="0" w:beforeAutospacing="0" w:after="0" w:afterAutospacing="0" w:line="360" w:lineRule="auto"/>
        <w:jc w:val="both"/>
        <w:rPr>
          <w:rFonts w:ascii="Arial" w:hAnsi="Arial" w:cs="Arial"/>
          <w:color w:val="000000"/>
        </w:rPr>
      </w:pPr>
    </w:p>
    <w:p w14:paraId="165FA88E" w14:textId="42545589" w:rsidR="0077033A" w:rsidRPr="00C8742C" w:rsidRDefault="0059180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 xml:space="preserve">Marriott (2016). Sustain - </w:t>
      </w:r>
      <w:proofErr w:type="spellStart"/>
      <w:r w:rsidRPr="00C8742C">
        <w:rPr>
          <w:rFonts w:ascii="Arial" w:hAnsi="Arial" w:cs="Arial"/>
          <w:color w:val="000000"/>
        </w:rPr>
        <w:t>csr-marriott</w:t>
      </w:r>
      <w:proofErr w:type="spellEnd"/>
      <w:r w:rsidRPr="00C8742C">
        <w:rPr>
          <w:rFonts w:ascii="Arial" w:hAnsi="Arial" w:cs="Arial"/>
          <w:color w:val="000000"/>
        </w:rPr>
        <w:t xml:space="preserve">. [online] </w:t>
      </w:r>
      <w:proofErr w:type="spellStart"/>
      <w:r w:rsidRPr="00C8742C">
        <w:rPr>
          <w:rFonts w:ascii="Arial" w:hAnsi="Arial" w:cs="Arial"/>
          <w:color w:val="000000"/>
        </w:rPr>
        <w:t>csr-marriott</w:t>
      </w:r>
      <w:proofErr w:type="spellEnd"/>
      <w:r w:rsidRPr="00C8742C">
        <w:rPr>
          <w:rFonts w:ascii="Arial" w:hAnsi="Arial" w:cs="Arial"/>
          <w:color w:val="000000"/>
        </w:rPr>
        <w:t xml:space="preserve">. Available at: </w:t>
      </w:r>
      <w:hyperlink r:id="rId9" w:history="1">
        <w:r w:rsidRPr="00C8742C">
          <w:rPr>
            <w:rStyle w:val="Hyperlink"/>
            <w:rFonts w:ascii="Arial" w:hAnsi="Arial" w:cs="Arial"/>
          </w:rPr>
          <w:t>https://serve360.marriott.com/sustain/</w:t>
        </w:r>
      </w:hyperlink>
      <w:r w:rsidRPr="00C8742C">
        <w:rPr>
          <w:rFonts w:ascii="Arial" w:hAnsi="Arial" w:cs="Arial"/>
          <w:color w:val="000000"/>
        </w:rPr>
        <w:t>.</w:t>
      </w:r>
    </w:p>
    <w:p w14:paraId="7976BC7E" w14:textId="77777777" w:rsidR="00591802" w:rsidRPr="00C8742C" w:rsidRDefault="00591802" w:rsidP="00C8742C">
      <w:pPr>
        <w:pStyle w:val="NormalWeb"/>
        <w:spacing w:before="0" w:beforeAutospacing="0" w:after="0" w:afterAutospacing="0" w:line="360" w:lineRule="auto"/>
        <w:jc w:val="both"/>
        <w:rPr>
          <w:rFonts w:ascii="Arial" w:hAnsi="Arial" w:cs="Arial"/>
          <w:color w:val="000000"/>
        </w:rPr>
      </w:pPr>
    </w:p>
    <w:p w14:paraId="0EFCED91" w14:textId="2A704259" w:rsidR="00591802" w:rsidRPr="00C8742C" w:rsidRDefault="0059180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 xml:space="preserve">Mariott (2022). </w:t>
      </w:r>
      <w:r w:rsidRPr="00C8742C">
        <w:rPr>
          <w:rFonts w:ascii="Arial" w:hAnsi="Arial" w:cs="Arial"/>
          <w:color w:val="000000"/>
        </w:rPr>
        <w:t>Cage-Free Eggs at Marriott International</w:t>
      </w:r>
      <w:r w:rsidRPr="00C8742C">
        <w:rPr>
          <w:rFonts w:ascii="Arial" w:hAnsi="Arial" w:cs="Arial"/>
          <w:color w:val="000000"/>
        </w:rPr>
        <w:t xml:space="preserve">. Serve 360. Available at: </w:t>
      </w:r>
      <w:r w:rsidRPr="00C8742C">
        <w:rPr>
          <w:rFonts w:ascii="Arial" w:hAnsi="Arial" w:cs="Arial"/>
          <w:color w:val="000000"/>
        </w:rPr>
        <w:t>https://serve360.marriott.com/wp-content/uploads/2022/12/Marriott_International_Cage-Free_Egg_Statement.pdf</w:t>
      </w:r>
    </w:p>
    <w:p w14:paraId="62262291" w14:textId="77777777" w:rsidR="00591802" w:rsidRPr="00C8742C" w:rsidRDefault="00591802" w:rsidP="00C8742C">
      <w:pPr>
        <w:pStyle w:val="NormalWeb"/>
        <w:spacing w:before="0" w:beforeAutospacing="0" w:after="0" w:afterAutospacing="0" w:line="360" w:lineRule="auto"/>
        <w:jc w:val="both"/>
        <w:rPr>
          <w:rFonts w:ascii="Arial" w:hAnsi="Arial" w:cs="Arial"/>
          <w:color w:val="000000"/>
        </w:rPr>
      </w:pPr>
    </w:p>
    <w:p w14:paraId="3D8A4B2C" w14:textId="64746C72" w:rsidR="00591802" w:rsidRPr="00C8742C" w:rsidRDefault="0059180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 xml:space="preserve">Marriott International (2023). About Marriott International | Corporate Information. [online] Marriott.com. Available at: </w:t>
      </w:r>
      <w:hyperlink r:id="rId10" w:history="1">
        <w:r w:rsidRPr="00C8742C">
          <w:rPr>
            <w:rStyle w:val="Hyperlink"/>
            <w:rFonts w:ascii="Arial" w:hAnsi="Arial" w:cs="Arial"/>
          </w:rPr>
          <w:t>https://www.marriott.com/marriott/aboutmarriott.mi</w:t>
        </w:r>
      </w:hyperlink>
      <w:r w:rsidRPr="00C8742C">
        <w:rPr>
          <w:rFonts w:ascii="Arial" w:hAnsi="Arial" w:cs="Arial"/>
          <w:color w:val="000000"/>
        </w:rPr>
        <w:t>.</w:t>
      </w:r>
    </w:p>
    <w:p w14:paraId="3C7C3C54" w14:textId="77777777" w:rsidR="00591802" w:rsidRPr="00C8742C" w:rsidRDefault="00591802" w:rsidP="00C8742C">
      <w:pPr>
        <w:pStyle w:val="NormalWeb"/>
        <w:spacing w:before="0" w:beforeAutospacing="0" w:after="0" w:afterAutospacing="0" w:line="360" w:lineRule="auto"/>
        <w:jc w:val="both"/>
        <w:rPr>
          <w:rFonts w:ascii="Arial" w:hAnsi="Arial" w:cs="Arial"/>
          <w:color w:val="000000"/>
        </w:rPr>
      </w:pPr>
    </w:p>
    <w:p w14:paraId="7D729CF7" w14:textId="0AEA0A6E" w:rsidR="00591802" w:rsidRPr="00C8742C" w:rsidRDefault="0059180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 xml:space="preserve">Mariott 360 (2022). </w:t>
      </w:r>
      <w:r w:rsidRPr="00C8742C">
        <w:rPr>
          <w:rFonts w:ascii="Arial" w:hAnsi="Arial" w:cs="Arial"/>
          <w:color w:val="000000"/>
        </w:rPr>
        <w:t>Environmental, Social, and Governance Progress 2 2022 Serve 360. [online] Available at: https://serve360.marriott.com/wp-content/uploads/2022/10/Marriott-2022-Serve-360-ESG-Report-accessible_F.pdf.</w:t>
      </w:r>
    </w:p>
    <w:p w14:paraId="29B48F17" w14:textId="77777777" w:rsidR="00591802" w:rsidRPr="00C8742C" w:rsidRDefault="00591802" w:rsidP="00C8742C">
      <w:pPr>
        <w:pStyle w:val="NormalWeb"/>
        <w:spacing w:before="0" w:beforeAutospacing="0" w:after="0" w:afterAutospacing="0" w:line="360" w:lineRule="auto"/>
        <w:jc w:val="both"/>
        <w:rPr>
          <w:rFonts w:ascii="Arial" w:hAnsi="Arial" w:cs="Arial"/>
          <w:color w:val="000000"/>
        </w:rPr>
      </w:pPr>
    </w:p>
    <w:p w14:paraId="390F2815" w14:textId="0600AD1E" w:rsidR="0077033A" w:rsidRPr="00C8742C" w:rsidRDefault="0077033A" w:rsidP="00C8742C">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C8742C">
        <w:rPr>
          <w:rFonts w:ascii="Arial" w:eastAsia="Times New Roman" w:hAnsi="Arial" w:cs="Arial"/>
          <w:kern w:val="0"/>
          <w:sz w:val="24"/>
          <w:szCs w:val="24"/>
          <w:lang w:eastAsia="en-GB"/>
          <w14:ligatures w14:val="none"/>
        </w:rPr>
        <w:t xml:space="preserve">Nurunnabi, M., </w:t>
      </w:r>
      <w:proofErr w:type="spellStart"/>
      <w:r w:rsidRPr="00C8742C">
        <w:rPr>
          <w:rFonts w:ascii="Arial" w:eastAsia="Times New Roman" w:hAnsi="Arial" w:cs="Arial"/>
          <w:kern w:val="0"/>
          <w:sz w:val="24"/>
          <w:szCs w:val="24"/>
          <w:lang w:eastAsia="en-GB"/>
          <w14:ligatures w14:val="none"/>
        </w:rPr>
        <w:t>Alfakhri</w:t>
      </w:r>
      <w:proofErr w:type="spellEnd"/>
      <w:r w:rsidRPr="00C8742C">
        <w:rPr>
          <w:rFonts w:ascii="Arial" w:eastAsia="Times New Roman" w:hAnsi="Arial" w:cs="Arial"/>
          <w:kern w:val="0"/>
          <w:sz w:val="24"/>
          <w:szCs w:val="24"/>
          <w:lang w:eastAsia="en-GB"/>
          <w14:ligatures w14:val="none"/>
        </w:rPr>
        <w:t xml:space="preserve">, Y. and </w:t>
      </w:r>
      <w:proofErr w:type="spellStart"/>
      <w:r w:rsidRPr="00C8742C">
        <w:rPr>
          <w:rFonts w:ascii="Arial" w:eastAsia="Times New Roman" w:hAnsi="Arial" w:cs="Arial"/>
          <w:kern w:val="0"/>
          <w:sz w:val="24"/>
          <w:szCs w:val="24"/>
          <w:lang w:eastAsia="en-GB"/>
          <w14:ligatures w14:val="none"/>
        </w:rPr>
        <w:t>Alfakhri</w:t>
      </w:r>
      <w:proofErr w:type="spellEnd"/>
      <w:r w:rsidRPr="00C8742C">
        <w:rPr>
          <w:rFonts w:ascii="Arial" w:eastAsia="Times New Roman" w:hAnsi="Arial" w:cs="Arial"/>
          <w:kern w:val="0"/>
          <w:sz w:val="24"/>
          <w:szCs w:val="24"/>
          <w:lang w:eastAsia="en-GB"/>
          <w14:ligatures w14:val="none"/>
        </w:rPr>
        <w:t xml:space="preserve">, D.H. (2020) ‘CSR in Saudi Arabia and Carroll’s Pyramid: what is “known” and “unknown”?’, Journal of marketing communications., 26(8), pp. 874–895. Available at: </w:t>
      </w:r>
      <w:hyperlink r:id="rId11" w:history="1">
        <w:r w:rsidRPr="00C8742C">
          <w:rPr>
            <w:rStyle w:val="Hyperlink"/>
            <w:rFonts w:ascii="Arial" w:eastAsia="Times New Roman" w:hAnsi="Arial" w:cs="Arial"/>
            <w:kern w:val="0"/>
            <w:sz w:val="24"/>
            <w:szCs w:val="24"/>
            <w:lang w:eastAsia="en-GB"/>
            <w14:ligatures w14:val="none"/>
          </w:rPr>
          <w:t>https://doi.org/10.1080/13527266.2019.1604560</w:t>
        </w:r>
      </w:hyperlink>
      <w:r w:rsidRPr="00C8742C">
        <w:rPr>
          <w:rFonts w:ascii="Arial" w:eastAsia="Times New Roman" w:hAnsi="Arial" w:cs="Arial"/>
          <w:kern w:val="0"/>
          <w:sz w:val="24"/>
          <w:szCs w:val="24"/>
          <w:lang w:eastAsia="en-GB"/>
          <w14:ligatures w14:val="none"/>
        </w:rPr>
        <w:t>.</w:t>
      </w:r>
    </w:p>
    <w:p w14:paraId="26FDDEE7" w14:textId="77777777" w:rsidR="0077033A" w:rsidRPr="00C8742C" w:rsidRDefault="0077033A" w:rsidP="00C8742C">
      <w:pPr>
        <w:spacing w:after="0" w:line="360" w:lineRule="auto"/>
        <w:jc w:val="both"/>
        <w:rPr>
          <w:rFonts w:ascii="Arial" w:eastAsia="Times New Roman" w:hAnsi="Arial" w:cs="Arial"/>
          <w:kern w:val="0"/>
          <w:sz w:val="24"/>
          <w:szCs w:val="24"/>
          <w:lang w:eastAsia="en-GB"/>
          <w14:ligatures w14:val="none"/>
        </w:rPr>
      </w:pPr>
    </w:p>
    <w:p w14:paraId="0CF40A26" w14:textId="572A7074" w:rsidR="0077033A" w:rsidRPr="00C8742C" w:rsidRDefault="0077033A" w:rsidP="00C8742C">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C8742C">
        <w:rPr>
          <w:rFonts w:ascii="Arial" w:eastAsia="Times New Roman" w:hAnsi="Arial" w:cs="Arial"/>
          <w:kern w:val="0"/>
          <w:sz w:val="24"/>
          <w:szCs w:val="24"/>
          <w:lang w:eastAsia="en-GB"/>
          <w14:ligatures w14:val="none"/>
        </w:rPr>
        <w:t>Punitha (2013) ‘Corporate social responsibility: Adoption of green marketing by hotel industry’, Asian social science., 9(17).</w:t>
      </w:r>
    </w:p>
    <w:p w14:paraId="110AE1C4" w14:textId="77777777" w:rsidR="0077033A" w:rsidRPr="00C8742C" w:rsidRDefault="0077033A" w:rsidP="00C8742C">
      <w:pPr>
        <w:pStyle w:val="NormalWeb"/>
        <w:spacing w:before="0" w:beforeAutospacing="0" w:after="0" w:afterAutospacing="0" w:line="360" w:lineRule="auto"/>
        <w:jc w:val="both"/>
        <w:rPr>
          <w:rFonts w:ascii="Arial" w:hAnsi="Arial" w:cs="Arial"/>
          <w:color w:val="000000"/>
        </w:rPr>
      </w:pPr>
    </w:p>
    <w:p w14:paraId="2C812C61" w14:textId="7BC8CC52" w:rsidR="008A23F8" w:rsidRPr="00C8742C" w:rsidRDefault="008A23F8" w:rsidP="00C8742C">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C8742C">
        <w:rPr>
          <w:rFonts w:ascii="Arial" w:eastAsia="Times New Roman" w:hAnsi="Arial" w:cs="Arial"/>
          <w:kern w:val="0"/>
          <w:sz w:val="24"/>
          <w:szCs w:val="24"/>
          <w:lang w:eastAsia="en-GB"/>
          <w14:ligatures w14:val="none"/>
        </w:rPr>
        <w:t xml:space="preserve">Rodríguez-Antón and Alonso-Almeida (2019) ‘The Circular Economy Strategy in Hospitality: A </w:t>
      </w:r>
      <w:proofErr w:type="spellStart"/>
      <w:r w:rsidRPr="00C8742C">
        <w:rPr>
          <w:rFonts w:ascii="Arial" w:eastAsia="Times New Roman" w:hAnsi="Arial" w:cs="Arial"/>
          <w:kern w:val="0"/>
          <w:sz w:val="24"/>
          <w:szCs w:val="24"/>
          <w:lang w:eastAsia="en-GB"/>
          <w14:ligatures w14:val="none"/>
        </w:rPr>
        <w:t>Multicase</w:t>
      </w:r>
      <w:proofErr w:type="spellEnd"/>
      <w:r w:rsidRPr="00C8742C">
        <w:rPr>
          <w:rFonts w:ascii="Arial" w:eastAsia="Times New Roman" w:hAnsi="Arial" w:cs="Arial"/>
          <w:kern w:val="0"/>
          <w:sz w:val="24"/>
          <w:szCs w:val="24"/>
          <w:lang w:eastAsia="en-GB"/>
          <w14:ligatures w14:val="none"/>
        </w:rPr>
        <w:t xml:space="preserve"> Approach’, Sustainability., 11(20). Available at: </w:t>
      </w:r>
      <w:hyperlink r:id="rId12" w:history="1">
        <w:r w:rsidRPr="00C8742C">
          <w:rPr>
            <w:rStyle w:val="Hyperlink"/>
            <w:rFonts w:ascii="Arial" w:eastAsia="Times New Roman" w:hAnsi="Arial" w:cs="Arial"/>
            <w:kern w:val="0"/>
            <w:sz w:val="24"/>
            <w:szCs w:val="24"/>
            <w:lang w:eastAsia="en-GB"/>
            <w14:ligatures w14:val="none"/>
          </w:rPr>
          <w:t>https://doi.org/10.3390/su11205665</w:t>
        </w:r>
      </w:hyperlink>
      <w:r w:rsidRPr="00C8742C">
        <w:rPr>
          <w:rFonts w:ascii="Arial" w:eastAsia="Times New Roman" w:hAnsi="Arial" w:cs="Arial"/>
          <w:kern w:val="0"/>
          <w:sz w:val="24"/>
          <w:szCs w:val="24"/>
          <w:lang w:eastAsia="en-GB"/>
          <w14:ligatures w14:val="none"/>
        </w:rPr>
        <w:t>.</w:t>
      </w:r>
    </w:p>
    <w:p w14:paraId="5402A3B4" w14:textId="77777777" w:rsidR="00DD5A42" w:rsidRPr="00C8742C" w:rsidRDefault="00DD5A42" w:rsidP="00C8742C">
      <w:pPr>
        <w:spacing w:after="0" w:line="360" w:lineRule="auto"/>
        <w:jc w:val="both"/>
        <w:rPr>
          <w:rFonts w:ascii="Arial" w:eastAsia="Times New Roman" w:hAnsi="Arial" w:cs="Arial"/>
          <w:kern w:val="0"/>
          <w:sz w:val="24"/>
          <w:szCs w:val="24"/>
          <w:lang w:eastAsia="en-GB"/>
          <w14:ligatures w14:val="none"/>
        </w:rPr>
      </w:pPr>
    </w:p>
    <w:p w14:paraId="6753CA96" w14:textId="29A94D43" w:rsidR="00DD5A42" w:rsidRPr="00C8742C" w:rsidRDefault="00DD5A4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Scandic (2023). Sustainability | Scandic Hotels. [online] Scandichotels.com. Available at: https://www.scandichotels.com/explore-scandic/sustainability.</w:t>
      </w:r>
    </w:p>
    <w:p w14:paraId="43BE10E3" w14:textId="77777777" w:rsidR="008A23F8" w:rsidRPr="00C8742C" w:rsidRDefault="008A23F8" w:rsidP="00C8742C">
      <w:pPr>
        <w:spacing w:after="0" w:line="360" w:lineRule="auto"/>
        <w:jc w:val="both"/>
        <w:rPr>
          <w:rFonts w:ascii="Arial" w:eastAsia="Times New Roman" w:hAnsi="Arial" w:cs="Arial"/>
          <w:kern w:val="0"/>
          <w:sz w:val="24"/>
          <w:szCs w:val="24"/>
          <w:lang w:eastAsia="en-GB"/>
          <w14:ligatures w14:val="none"/>
        </w:rPr>
      </w:pPr>
    </w:p>
    <w:p w14:paraId="0DF797D7" w14:textId="713260B8" w:rsidR="008A23F8" w:rsidRPr="00C8742C" w:rsidRDefault="008A23F8" w:rsidP="00C8742C">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C8742C">
        <w:rPr>
          <w:rFonts w:ascii="Arial" w:eastAsia="Times New Roman" w:hAnsi="Arial" w:cs="Arial"/>
          <w:kern w:val="0"/>
          <w:sz w:val="24"/>
          <w:szCs w:val="24"/>
          <w:lang w:eastAsia="en-GB"/>
          <w14:ligatures w14:val="none"/>
        </w:rPr>
        <w:t xml:space="preserve">Sheehy, B. (2015) ‘Defining CSR: Problems and Solutions’, Journal of business ethics., 131(3), pp. 625–648. Available at: </w:t>
      </w:r>
      <w:hyperlink r:id="rId13" w:history="1">
        <w:r w:rsidR="0077033A" w:rsidRPr="00C8742C">
          <w:rPr>
            <w:rStyle w:val="Hyperlink"/>
            <w:rFonts w:ascii="Arial" w:eastAsia="Times New Roman" w:hAnsi="Arial" w:cs="Arial"/>
            <w:kern w:val="0"/>
            <w:sz w:val="24"/>
            <w:szCs w:val="24"/>
            <w:lang w:eastAsia="en-GB"/>
            <w14:ligatures w14:val="none"/>
          </w:rPr>
          <w:t>https://doi.org/10.1007/s10551-014-2281-x</w:t>
        </w:r>
      </w:hyperlink>
      <w:r w:rsidRPr="00C8742C">
        <w:rPr>
          <w:rFonts w:ascii="Arial" w:eastAsia="Times New Roman" w:hAnsi="Arial" w:cs="Arial"/>
          <w:kern w:val="0"/>
          <w:sz w:val="24"/>
          <w:szCs w:val="24"/>
          <w:lang w:eastAsia="en-GB"/>
          <w14:ligatures w14:val="none"/>
        </w:rPr>
        <w:t>.</w:t>
      </w:r>
    </w:p>
    <w:p w14:paraId="6C803B46" w14:textId="77777777" w:rsidR="0077033A" w:rsidRPr="00C8742C" w:rsidRDefault="0077033A" w:rsidP="00C8742C">
      <w:pPr>
        <w:spacing w:after="0" w:line="360" w:lineRule="auto"/>
        <w:jc w:val="both"/>
        <w:rPr>
          <w:rFonts w:ascii="Arial" w:eastAsia="Times New Roman" w:hAnsi="Arial" w:cs="Arial"/>
          <w:kern w:val="0"/>
          <w:sz w:val="24"/>
          <w:szCs w:val="24"/>
          <w:lang w:eastAsia="en-GB"/>
          <w14:ligatures w14:val="none"/>
        </w:rPr>
      </w:pPr>
    </w:p>
    <w:p w14:paraId="714D4936" w14:textId="2BFE0ADA" w:rsidR="0077033A" w:rsidRPr="00C8742C" w:rsidRDefault="0077033A" w:rsidP="00C8742C">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C8742C">
        <w:rPr>
          <w:rFonts w:ascii="Arial" w:hAnsi="Arial" w:cs="Arial"/>
          <w:sz w:val="24"/>
          <w:szCs w:val="24"/>
        </w:rPr>
        <w:t xml:space="preserve">Sloan, P., Legrand, </w:t>
      </w:r>
      <w:proofErr w:type="gramStart"/>
      <w:r w:rsidRPr="00C8742C">
        <w:rPr>
          <w:rFonts w:ascii="Arial" w:hAnsi="Arial" w:cs="Arial"/>
          <w:sz w:val="24"/>
          <w:szCs w:val="24"/>
        </w:rPr>
        <w:t>W.</w:t>
      </w:r>
      <w:proofErr w:type="gramEnd"/>
      <w:r w:rsidRPr="00C8742C">
        <w:rPr>
          <w:rFonts w:ascii="Arial" w:hAnsi="Arial" w:cs="Arial"/>
          <w:sz w:val="24"/>
          <w:szCs w:val="24"/>
        </w:rPr>
        <w:t xml:space="preserve"> and Chen, J.S. (2017) Sustainability in the hospitality industry : principles of sustainable operations. 3rd </w:t>
      </w:r>
      <w:proofErr w:type="spellStart"/>
      <w:r w:rsidRPr="00C8742C">
        <w:rPr>
          <w:rFonts w:ascii="Arial" w:hAnsi="Arial" w:cs="Arial"/>
          <w:sz w:val="24"/>
          <w:szCs w:val="24"/>
        </w:rPr>
        <w:t>edn</w:t>
      </w:r>
      <w:proofErr w:type="spellEnd"/>
      <w:r w:rsidRPr="00C8742C">
        <w:rPr>
          <w:rFonts w:ascii="Arial" w:hAnsi="Arial" w:cs="Arial"/>
          <w:sz w:val="24"/>
          <w:szCs w:val="24"/>
        </w:rPr>
        <w:t>. London: Butterworth-Heinemann.</w:t>
      </w:r>
    </w:p>
    <w:p w14:paraId="5A6165B7" w14:textId="77777777" w:rsidR="008A23F8" w:rsidRPr="008A23F8" w:rsidRDefault="008A23F8" w:rsidP="00C8742C">
      <w:pPr>
        <w:spacing w:after="0" w:line="360" w:lineRule="auto"/>
        <w:jc w:val="both"/>
        <w:rPr>
          <w:rFonts w:ascii="Arial" w:eastAsia="Times New Roman" w:hAnsi="Arial" w:cs="Arial"/>
          <w:kern w:val="0"/>
          <w:sz w:val="24"/>
          <w:szCs w:val="24"/>
          <w:lang w:eastAsia="en-GB"/>
          <w14:ligatures w14:val="none"/>
        </w:rPr>
      </w:pPr>
    </w:p>
    <w:p w14:paraId="68DA3CB8" w14:textId="0225CB2D" w:rsidR="00DD5A42" w:rsidRPr="00C8742C" w:rsidRDefault="00DD5A4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rPr>
        <w:t xml:space="preserve">UN (2021). </w:t>
      </w:r>
      <w:r w:rsidRPr="00C8742C">
        <w:rPr>
          <w:rFonts w:ascii="Arial" w:hAnsi="Arial" w:cs="Arial"/>
          <w:color w:val="000000"/>
        </w:rPr>
        <w:t xml:space="preserve">FOOD WASTE INDEX REPORT 2021. Available at: </w:t>
      </w:r>
      <w:hyperlink r:id="rId14" w:history="1">
        <w:r w:rsidR="0077033A" w:rsidRPr="00C8742C">
          <w:rPr>
            <w:rStyle w:val="Hyperlink"/>
            <w:rFonts w:ascii="Arial" w:hAnsi="Arial" w:cs="Arial"/>
          </w:rPr>
          <w:t>https://wedocs.unep.org/bitstream/handle/20.500.11822/35280/FoodWaste.pdf</w:t>
        </w:r>
      </w:hyperlink>
      <w:r w:rsidRPr="00C8742C">
        <w:rPr>
          <w:rFonts w:ascii="Arial" w:hAnsi="Arial" w:cs="Arial"/>
          <w:color w:val="000000"/>
        </w:rPr>
        <w:t>.</w:t>
      </w:r>
    </w:p>
    <w:p w14:paraId="05BB9E33" w14:textId="77777777" w:rsidR="0077033A" w:rsidRPr="00C8742C" w:rsidRDefault="0077033A" w:rsidP="00C8742C">
      <w:pPr>
        <w:pStyle w:val="NormalWeb"/>
        <w:spacing w:before="0" w:beforeAutospacing="0" w:after="0" w:afterAutospacing="0" w:line="360" w:lineRule="auto"/>
        <w:jc w:val="both"/>
        <w:rPr>
          <w:rFonts w:ascii="Arial" w:hAnsi="Arial" w:cs="Arial"/>
          <w:color w:val="000000"/>
        </w:rPr>
      </w:pPr>
    </w:p>
    <w:p w14:paraId="121A06E3" w14:textId="55104BAE" w:rsidR="0077033A" w:rsidRPr="00C8742C" w:rsidRDefault="00DD5A42" w:rsidP="00C8742C">
      <w:pPr>
        <w:pStyle w:val="NormalWeb"/>
        <w:numPr>
          <w:ilvl w:val="0"/>
          <w:numId w:val="1"/>
        </w:numPr>
        <w:spacing w:before="0" w:beforeAutospacing="0" w:after="0" w:afterAutospacing="0" w:line="360" w:lineRule="auto"/>
        <w:jc w:val="both"/>
        <w:rPr>
          <w:rFonts w:ascii="Arial" w:hAnsi="Arial" w:cs="Arial"/>
          <w:color w:val="000000"/>
        </w:rPr>
      </w:pPr>
      <w:r w:rsidRPr="00C8742C">
        <w:rPr>
          <w:rFonts w:ascii="Arial" w:hAnsi="Arial" w:cs="Arial"/>
          <w:color w:val="000000"/>
        </w:rPr>
        <w:t>‌</w:t>
      </w:r>
      <w:r w:rsidR="0077033A" w:rsidRPr="00C8742C">
        <w:rPr>
          <w:rFonts w:ascii="Arial" w:hAnsi="Arial" w:cs="Arial"/>
          <w:color w:val="000000"/>
        </w:rPr>
        <w:t>White, K., Hardisty, D. and Habib, R. (2019). The Elusive Green Consumer. [online] Harvard Business Review. Available at: https://hbr.org/2019/07/the-elusive-green-consumer.</w:t>
      </w:r>
    </w:p>
    <w:p w14:paraId="0B86E173" w14:textId="77777777" w:rsidR="0077033A" w:rsidRPr="00C8742C" w:rsidRDefault="0077033A" w:rsidP="00C8742C">
      <w:pPr>
        <w:pStyle w:val="NormalWeb"/>
        <w:spacing w:line="360" w:lineRule="auto"/>
        <w:jc w:val="both"/>
        <w:rPr>
          <w:rFonts w:ascii="Arial" w:hAnsi="Arial" w:cs="Arial"/>
          <w:color w:val="000000"/>
        </w:rPr>
      </w:pPr>
      <w:r w:rsidRPr="00C8742C">
        <w:rPr>
          <w:rFonts w:ascii="Arial" w:hAnsi="Arial" w:cs="Arial"/>
          <w:color w:val="000000"/>
        </w:rPr>
        <w:t>‌</w:t>
      </w:r>
    </w:p>
    <w:p w14:paraId="17585948" w14:textId="5083A7FB" w:rsidR="00DD5A42" w:rsidRPr="00C8742C" w:rsidRDefault="00DD5A42" w:rsidP="00C8742C">
      <w:pPr>
        <w:pStyle w:val="NormalWeb"/>
        <w:spacing w:line="360" w:lineRule="auto"/>
        <w:jc w:val="both"/>
        <w:rPr>
          <w:rFonts w:ascii="Arial" w:hAnsi="Arial" w:cs="Arial"/>
          <w:color w:val="000000"/>
        </w:rPr>
      </w:pPr>
    </w:p>
    <w:p w14:paraId="4622922B" w14:textId="3365CAFE" w:rsidR="00AA35D8" w:rsidRPr="00C8742C" w:rsidRDefault="00AA35D8" w:rsidP="00C8742C">
      <w:pPr>
        <w:spacing w:line="360" w:lineRule="auto"/>
        <w:jc w:val="both"/>
        <w:rPr>
          <w:rFonts w:ascii="Arial" w:hAnsi="Arial" w:cs="Arial"/>
          <w:sz w:val="24"/>
          <w:szCs w:val="24"/>
        </w:rPr>
      </w:pPr>
    </w:p>
    <w:p w14:paraId="5473530E" w14:textId="77777777" w:rsidR="00AA35D8" w:rsidRPr="00C8742C" w:rsidRDefault="00AA35D8" w:rsidP="00C8742C">
      <w:pPr>
        <w:spacing w:line="360" w:lineRule="auto"/>
        <w:jc w:val="both"/>
        <w:rPr>
          <w:rFonts w:ascii="Arial" w:hAnsi="Arial" w:cs="Arial"/>
          <w:sz w:val="24"/>
          <w:szCs w:val="24"/>
        </w:rPr>
      </w:pPr>
    </w:p>
    <w:sectPr w:rsidR="00AA35D8" w:rsidRPr="00C8742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1BF1F" w14:textId="77777777" w:rsidR="00277E05" w:rsidRDefault="00277E05" w:rsidP="00A17815">
      <w:pPr>
        <w:spacing w:after="0" w:line="240" w:lineRule="auto"/>
      </w:pPr>
      <w:r>
        <w:separator/>
      </w:r>
    </w:p>
  </w:endnote>
  <w:endnote w:type="continuationSeparator" w:id="0">
    <w:p w14:paraId="62CFBC9C" w14:textId="77777777" w:rsidR="00277E05" w:rsidRDefault="00277E05" w:rsidP="00A17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85549"/>
      <w:docPartObj>
        <w:docPartGallery w:val="Page Numbers (Bottom of Page)"/>
        <w:docPartUnique/>
      </w:docPartObj>
    </w:sdtPr>
    <w:sdtEndPr>
      <w:rPr>
        <w:noProof/>
      </w:rPr>
    </w:sdtEndPr>
    <w:sdtContent>
      <w:p w14:paraId="01FDEEFE" w14:textId="1EA86330" w:rsidR="00A17815" w:rsidRDefault="00A178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E5C007" w14:textId="77777777" w:rsidR="00A17815" w:rsidRDefault="00A178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2FDAC" w14:textId="77777777" w:rsidR="00277E05" w:rsidRDefault="00277E05" w:rsidP="00A17815">
      <w:pPr>
        <w:spacing w:after="0" w:line="240" w:lineRule="auto"/>
      </w:pPr>
      <w:r>
        <w:separator/>
      </w:r>
    </w:p>
  </w:footnote>
  <w:footnote w:type="continuationSeparator" w:id="0">
    <w:p w14:paraId="70F16006" w14:textId="77777777" w:rsidR="00277E05" w:rsidRDefault="00277E05" w:rsidP="00A178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25pt;height:11.25pt" o:bullet="t">
        <v:imagedata r:id="rId1" o:title="mso9AE9"/>
      </v:shape>
    </w:pict>
  </w:numPicBullet>
  <w:abstractNum w:abstractNumId="0" w15:restartNumberingAfterBreak="0">
    <w:nsid w:val="15F0402C"/>
    <w:multiLevelType w:val="hybridMultilevel"/>
    <w:tmpl w:val="450E9FE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5510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220"/>
    <w:rsid w:val="00025220"/>
    <w:rsid w:val="00254A01"/>
    <w:rsid w:val="00277E05"/>
    <w:rsid w:val="003E50C9"/>
    <w:rsid w:val="00511A37"/>
    <w:rsid w:val="00591802"/>
    <w:rsid w:val="00630A1C"/>
    <w:rsid w:val="006F7D97"/>
    <w:rsid w:val="0077033A"/>
    <w:rsid w:val="007B0CC3"/>
    <w:rsid w:val="008A23F8"/>
    <w:rsid w:val="008B4948"/>
    <w:rsid w:val="00A17815"/>
    <w:rsid w:val="00AA35D8"/>
    <w:rsid w:val="00B151A8"/>
    <w:rsid w:val="00C8742C"/>
    <w:rsid w:val="00DD5A42"/>
    <w:rsid w:val="00F0043B"/>
    <w:rsid w:val="00FE3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E5A2D"/>
  <w15:chartTrackingRefBased/>
  <w15:docId w15:val="{3E77AC1D-1653-4BF0-83CE-07FC9AF21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178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815"/>
  </w:style>
  <w:style w:type="paragraph" w:styleId="Footer">
    <w:name w:val="footer"/>
    <w:basedOn w:val="Normal"/>
    <w:link w:val="FooterChar"/>
    <w:uiPriority w:val="99"/>
    <w:unhideWhenUsed/>
    <w:rsid w:val="00A178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815"/>
  </w:style>
  <w:style w:type="character" w:styleId="Hyperlink">
    <w:name w:val="Hyperlink"/>
    <w:basedOn w:val="DefaultParagraphFont"/>
    <w:uiPriority w:val="99"/>
    <w:unhideWhenUsed/>
    <w:rsid w:val="008A23F8"/>
    <w:rPr>
      <w:color w:val="0563C1" w:themeColor="hyperlink"/>
      <w:u w:val="single"/>
    </w:rPr>
  </w:style>
  <w:style w:type="character" w:styleId="UnresolvedMention">
    <w:name w:val="Unresolved Mention"/>
    <w:basedOn w:val="DefaultParagraphFont"/>
    <w:uiPriority w:val="99"/>
    <w:semiHidden/>
    <w:unhideWhenUsed/>
    <w:rsid w:val="008A23F8"/>
    <w:rPr>
      <w:color w:val="605E5C"/>
      <w:shd w:val="clear" w:color="auto" w:fill="E1DFDD"/>
    </w:rPr>
  </w:style>
  <w:style w:type="paragraph" w:styleId="NormalWeb">
    <w:name w:val="Normal (Web)"/>
    <w:basedOn w:val="Normal"/>
    <w:uiPriority w:val="99"/>
    <w:unhideWhenUsed/>
    <w:rsid w:val="00DD5A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874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053075">
      <w:bodyDiv w:val="1"/>
      <w:marLeft w:val="0"/>
      <w:marRight w:val="0"/>
      <w:marTop w:val="0"/>
      <w:marBottom w:val="0"/>
      <w:divBdr>
        <w:top w:val="none" w:sz="0" w:space="0" w:color="auto"/>
        <w:left w:val="none" w:sz="0" w:space="0" w:color="auto"/>
        <w:bottom w:val="none" w:sz="0" w:space="0" w:color="auto"/>
        <w:right w:val="none" w:sz="0" w:space="0" w:color="auto"/>
      </w:divBdr>
    </w:div>
    <w:div w:id="261957663">
      <w:bodyDiv w:val="1"/>
      <w:marLeft w:val="0"/>
      <w:marRight w:val="0"/>
      <w:marTop w:val="0"/>
      <w:marBottom w:val="0"/>
      <w:divBdr>
        <w:top w:val="none" w:sz="0" w:space="0" w:color="auto"/>
        <w:left w:val="none" w:sz="0" w:space="0" w:color="auto"/>
        <w:bottom w:val="none" w:sz="0" w:space="0" w:color="auto"/>
        <w:right w:val="none" w:sz="0" w:space="0" w:color="auto"/>
      </w:divBdr>
      <w:divsChild>
        <w:div w:id="411857661">
          <w:marLeft w:val="0"/>
          <w:marRight w:val="0"/>
          <w:marTop w:val="0"/>
          <w:marBottom w:val="0"/>
          <w:divBdr>
            <w:top w:val="none" w:sz="0" w:space="0" w:color="auto"/>
            <w:left w:val="none" w:sz="0" w:space="0" w:color="auto"/>
            <w:bottom w:val="none" w:sz="0" w:space="0" w:color="auto"/>
            <w:right w:val="none" w:sz="0" w:space="0" w:color="auto"/>
          </w:divBdr>
          <w:divsChild>
            <w:div w:id="93679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577941">
      <w:bodyDiv w:val="1"/>
      <w:marLeft w:val="0"/>
      <w:marRight w:val="0"/>
      <w:marTop w:val="0"/>
      <w:marBottom w:val="0"/>
      <w:divBdr>
        <w:top w:val="none" w:sz="0" w:space="0" w:color="auto"/>
        <w:left w:val="none" w:sz="0" w:space="0" w:color="auto"/>
        <w:bottom w:val="none" w:sz="0" w:space="0" w:color="auto"/>
        <w:right w:val="none" w:sz="0" w:space="0" w:color="auto"/>
      </w:divBdr>
      <w:divsChild>
        <w:div w:id="358553822">
          <w:marLeft w:val="0"/>
          <w:marRight w:val="0"/>
          <w:marTop w:val="0"/>
          <w:marBottom w:val="0"/>
          <w:divBdr>
            <w:top w:val="none" w:sz="0" w:space="0" w:color="auto"/>
            <w:left w:val="none" w:sz="0" w:space="0" w:color="auto"/>
            <w:bottom w:val="none" w:sz="0" w:space="0" w:color="auto"/>
            <w:right w:val="none" w:sz="0" w:space="0" w:color="auto"/>
          </w:divBdr>
          <w:divsChild>
            <w:div w:id="30188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565214">
      <w:bodyDiv w:val="1"/>
      <w:marLeft w:val="0"/>
      <w:marRight w:val="0"/>
      <w:marTop w:val="0"/>
      <w:marBottom w:val="0"/>
      <w:divBdr>
        <w:top w:val="none" w:sz="0" w:space="0" w:color="auto"/>
        <w:left w:val="none" w:sz="0" w:space="0" w:color="auto"/>
        <w:bottom w:val="none" w:sz="0" w:space="0" w:color="auto"/>
        <w:right w:val="none" w:sz="0" w:space="0" w:color="auto"/>
      </w:divBdr>
    </w:div>
    <w:div w:id="486240322">
      <w:bodyDiv w:val="1"/>
      <w:marLeft w:val="0"/>
      <w:marRight w:val="0"/>
      <w:marTop w:val="0"/>
      <w:marBottom w:val="0"/>
      <w:divBdr>
        <w:top w:val="none" w:sz="0" w:space="0" w:color="auto"/>
        <w:left w:val="none" w:sz="0" w:space="0" w:color="auto"/>
        <w:bottom w:val="none" w:sz="0" w:space="0" w:color="auto"/>
        <w:right w:val="none" w:sz="0" w:space="0" w:color="auto"/>
      </w:divBdr>
    </w:div>
    <w:div w:id="493420615">
      <w:bodyDiv w:val="1"/>
      <w:marLeft w:val="0"/>
      <w:marRight w:val="0"/>
      <w:marTop w:val="0"/>
      <w:marBottom w:val="0"/>
      <w:divBdr>
        <w:top w:val="none" w:sz="0" w:space="0" w:color="auto"/>
        <w:left w:val="none" w:sz="0" w:space="0" w:color="auto"/>
        <w:bottom w:val="none" w:sz="0" w:space="0" w:color="auto"/>
        <w:right w:val="none" w:sz="0" w:space="0" w:color="auto"/>
      </w:divBdr>
    </w:div>
    <w:div w:id="603075269">
      <w:bodyDiv w:val="1"/>
      <w:marLeft w:val="0"/>
      <w:marRight w:val="0"/>
      <w:marTop w:val="0"/>
      <w:marBottom w:val="0"/>
      <w:divBdr>
        <w:top w:val="none" w:sz="0" w:space="0" w:color="auto"/>
        <w:left w:val="none" w:sz="0" w:space="0" w:color="auto"/>
        <w:bottom w:val="none" w:sz="0" w:space="0" w:color="auto"/>
        <w:right w:val="none" w:sz="0" w:space="0" w:color="auto"/>
      </w:divBdr>
    </w:div>
    <w:div w:id="846794980">
      <w:bodyDiv w:val="1"/>
      <w:marLeft w:val="0"/>
      <w:marRight w:val="0"/>
      <w:marTop w:val="0"/>
      <w:marBottom w:val="0"/>
      <w:divBdr>
        <w:top w:val="none" w:sz="0" w:space="0" w:color="auto"/>
        <w:left w:val="none" w:sz="0" w:space="0" w:color="auto"/>
        <w:bottom w:val="none" w:sz="0" w:space="0" w:color="auto"/>
        <w:right w:val="none" w:sz="0" w:space="0" w:color="auto"/>
      </w:divBdr>
    </w:div>
    <w:div w:id="869073523">
      <w:bodyDiv w:val="1"/>
      <w:marLeft w:val="0"/>
      <w:marRight w:val="0"/>
      <w:marTop w:val="0"/>
      <w:marBottom w:val="0"/>
      <w:divBdr>
        <w:top w:val="none" w:sz="0" w:space="0" w:color="auto"/>
        <w:left w:val="none" w:sz="0" w:space="0" w:color="auto"/>
        <w:bottom w:val="none" w:sz="0" w:space="0" w:color="auto"/>
        <w:right w:val="none" w:sz="0" w:space="0" w:color="auto"/>
      </w:divBdr>
    </w:div>
    <w:div w:id="1010373790">
      <w:bodyDiv w:val="1"/>
      <w:marLeft w:val="0"/>
      <w:marRight w:val="0"/>
      <w:marTop w:val="0"/>
      <w:marBottom w:val="0"/>
      <w:divBdr>
        <w:top w:val="none" w:sz="0" w:space="0" w:color="auto"/>
        <w:left w:val="none" w:sz="0" w:space="0" w:color="auto"/>
        <w:bottom w:val="none" w:sz="0" w:space="0" w:color="auto"/>
        <w:right w:val="none" w:sz="0" w:space="0" w:color="auto"/>
      </w:divBdr>
    </w:div>
    <w:div w:id="1032343402">
      <w:bodyDiv w:val="1"/>
      <w:marLeft w:val="0"/>
      <w:marRight w:val="0"/>
      <w:marTop w:val="0"/>
      <w:marBottom w:val="0"/>
      <w:divBdr>
        <w:top w:val="none" w:sz="0" w:space="0" w:color="auto"/>
        <w:left w:val="none" w:sz="0" w:space="0" w:color="auto"/>
        <w:bottom w:val="none" w:sz="0" w:space="0" w:color="auto"/>
        <w:right w:val="none" w:sz="0" w:space="0" w:color="auto"/>
      </w:divBdr>
    </w:div>
    <w:div w:id="1109396585">
      <w:bodyDiv w:val="1"/>
      <w:marLeft w:val="0"/>
      <w:marRight w:val="0"/>
      <w:marTop w:val="0"/>
      <w:marBottom w:val="0"/>
      <w:divBdr>
        <w:top w:val="none" w:sz="0" w:space="0" w:color="auto"/>
        <w:left w:val="none" w:sz="0" w:space="0" w:color="auto"/>
        <w:bottom w:val="none" w:sz="0" w:space="0" w:color="auto"/>
        <w:right w:val="none" w:sz="0" w:space="0" w:color="auto"/>
      </w:divBdr>
    </w:div>
    <w:div w:id="1380128196">
      <w:bodyDiv w:val="1"/>
      <w:marLeft w:val="0"/>
      <w:marRight w:val="0"/>
      <w:marTop w:val="0"/>
      <w:marBottom w:val="0"/>
      <w:divBdr>
        <w:top w:val="none" w:sz="0" w:space="0" w:color="auto"/>
        <w:left w:val="none" w:sz="0" w:space="0" w:color="auto"/>
        <w:bottom w:val="none" w:sz="0" w:space="0" w:color="auto"/>
        <w:right w:val="none" w:sz="0" w:space="0" w:color="auto"/>
      </w:divBdr>
      <w:divsChild>
        <w:div w:id="715161554">
          <w:marLeft w:val="0"/>
          <w:marRight w:val="0"/>
          <w:marTop w:val="0"/>
          <w:marBottom w:val="0"/>
          <w:divBdr>
            <w:top w:val="none" w:sz="0" w:space="0" w:color="auto"/>
            <w:left w:val="none" w:sz="0" w:space="0" w:color="auto"/>
            <w:bottom w:val="none" w:sz="0" w:space="0" w:color="auto"/>
            <w:right w:val="none" w:sz="0" w:space="0" w:color="auto"/>
          </w:divBdr>
          <w:divsChild>
            <w:div w:id="77629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680574">
      <w:bodyDiv w:val="1"/>
      <w:marLeft w:val="0"/>
      <w:marRight w:val="0"/>
      <w:marTop w:val="0"/>
      <w:marBottom w:val="0"/>
      <w:divBdr>
        <w:top w:val="none" w:sz="0" w:space="0" w:color="auto"/>
        <w:left w:val="none" w:sz="0" w:space="0" w:color="auto"/>
        <w:bottom w:val="none" w:sz="0" w:space="0" w:color="auto"/>
        <w:right w:val="none" w:sz="0" w:space="0" w:color="auto"/>
      </w:divBdr>
    </w:div>
    <w:div w:id="1633365830">
      <w:bodyDiv w:val="1"/>
      <w:marLeft w:val="0"/>
      <w:marRight w:val="0"/>
      <w:marTop w:val="0"/>
      <w:marBottom w:val="0"/>
      <w:divBdr>
        <w:top w:val="none" w:sz="0" w:space="0" w:color="auto"/>
        <w:left w:val="none" w:sz="0" w:space="0" w:color="auto"/>
        <w:bottom w:val="none" w:sz="0" w:space="0" w:color="auto"/>
        <w:right w:val="none" w:sz="0" w:space="0" w:color="auto"/>
      </w:divBdr>
      <w:divsChild>
        <w:div w:id="570047615">
          <w:marLeft w:val="0"/>
          <w:marRight w:val="0"/>
          <w:marTop w:val="0"/>
          <w:marBottom w:val="0"/>
          <w:divBdr>
            <w:top w:val="none" w:sz="0" w:space="0" w:color="auto"/>
            <w:left w:val="none" w:sz="0" w:space="0" w:color="auto"/>
            <w:bottom w:val="none" w:sz="0" w:space="0" w:color="auto"/>
            <w:right w:val="none" w:sz="0" w:space="0" w:color="auto"/>
          </w:divBdr>
          <w:divsChild>
            <w:div w:id="26157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175096">
      <w:bodyDiv w:val="1"/>
      <w:marLeft w:val="0"/>
      <w:marRight w:val="0"/>
      <w:marTop w:val="0"/>
      <w:marBottom w:val="0"/>
      <w:divBdr>
        <w:top w:val="none" w:sz="0" w:space="0" w:color="auto"/>
        <w:left w:val="none" w:sz="0" w:space="0" w:color="auto"/>
        <w:bottom w:val="none" w:sz="0" w:space="0" w:color="auto"/>
        <w:right w:val="none" w:sz="0" w:space="0" w:color="auto"/>
      </w:divBdr>
      <w:divsChild>
        <w:div w:id="654408155">
          <w:marLeft w:val="0"/>
          <w:marRight w:val="0"/>
          <w:marTop w:val="0"/>
          <w:marBottom w:val="0"/>
          <w:divBdr>
            <w:top w:val="none" w:sz="0" w:space="0" w:color="auto"/>
            <w:left w:val="none" w:sz="0" w:space="0" w:color="auto"/>
            <w:bottom w:val="none" w:sz="0" w:space="0" w:color="auto"/>
            <w:right w:val="none" w:sz="0" w:space="0" w:color="auto"/>
          </w:divBdr>
          <w:divsChild>
            <w:div w:id="1043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575705">
      <w:bodyDiv w:val="1"/>
      <w:marLeft w:val="0"/>
      <w:marRight w:val="0"/>
      <w:marTop w:val="0"/>
      <w:marBottom w:val="0"/>
      <w:divBdr>
        <w:top w:val="none" w:sz="0" w:space="0" w:color="auto"/>
        <w:left w:val="none" w:sz="0" w:space="0" w:color="auto"/>
        <w:bottom w:val="none" w:sz="0" w:space="0" w:color="auto"/>
        <w:right w:val="none" w:sz="0" w:space="0" w:color="auto"/>
      </w:divBdr>
    </w:div>
    <w:div w:id="2036037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media/Files/I/Ihg-Plc/investors/annual-report/ihg-responsible-business-report-2022.pdf" TargetMode="External"/><Relationship Id="rId13" Type="http://schemas.openxmlformats.org/officeDocument/2006/relationships/hyperlink" Target="https://doi.org/10.1007/s10551-014-2281-x" TargetMode="External"/><Relationship Id="rId3" Type="http://schemas.openxmlformats.org/officeDocument/2006/relationships/settings" Target="settings.xml"/><Relationship Id="rId7" Type="http://schemas.openxmlformats.org/officeDocument/2006/relationships/hyperlink" Target="https://doi.org/10.1016/j.jclepro.2022.131136" TargetMode="External"/><Relationship Id="rId12" Type="http://schemas.openxmlformats.org/officeDocument/2006/relationships/hyperlink" Target="https://doi.org/10.3390/su1120566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3527266.2019.160456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arriott.com/marriott/aboutmarriott.mi" TargetMode="External"/><Relationship Id="rId4" Type="http://schemas.openxmlformats.org/officeDocument/2006/relationships/webSettings" Target="webSettings.xml"/><Relationship Id="rId9" Type="http://schemas.openxmlformats.org/officeDocument/2006/relationships/hyperlink" Target="https://serve360.marriott.com/sustain/" TargetMode="External"/><Relationship Id="rId14" Type="http://schemas.openxmlformats.org/officeDocument/2006/relationships/hyperlink" Target="https://wedocs.unep.org/bitstream/handle/20.500.11822/35280/FoodWaste.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11</Pages>
  <Words>3163</Words>
  <Characters>18034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10</cp:revision>
  <dcterms:created xsi:type="dcterms:W3CDTF">2024-01-31T22:47:00Z</dcterms:created>
  <dcterms:modified xsi:type="dcterms:W3CDTF">2024-02-01T13:21:00Z</dcterms:modified>
</cp:coreProperties>
</file>