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33E5" w:rsidRDefault="00A633E5" w:rsidP="00A633E5">
      <w:r>
        <w:rPr>
          <w:rFonts w:ascii="Arial" w:hAnsi="Arial" w:cs="Arial"/>
          <w:b/>
          <w:sz w:val="28"/>
        </w:rPr>
        <w:t xml:space="preserve">                            </w:t>
      </w:r>
      <w:r>
        <w:rPr>
          <w:noProof/>
        </w:rPr>
        <w:drawing>
          <wp:inline distT="0" distB="0" distL="0" distR="0" wp14:anchorId="0D872A11" wp14:editId="1565840E">
            <wp:extent cx="3381375" cy="1352550"/>
            <wp:effectExtent l="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A633E5" w:rsidRDefault="00A633E5" w:rsidP="00A633E5"/>
    <w:p w:rsidR="00A633E5" w:rsidRDefault="00A633E5" w:rsidP="00A633E5">
      <w:pPr>
        <w:jc w:val="center"/>
        <w:rPr>
          <w:rFonts w:ascii="Arial" w:hAnsi="Arial" w:cs="Arial"/>
          <w:b/>
          <w:sz w:val="36"/>
          <w:szCs w:val="32"/>
        </w:rPr>
      </w:pPr>
      <w:r w:rsidRPr="00A633E5">
        <w:rPr>
          <w:rFonts w:ascii="Arial" w:hAnsi="Arial" w:cs="Arial"/>
          <w:b/>
          <w:sz w:val="36"/>
          <w:szCs w:val="32"/>
        </w:rPr>
        <w:t>A Critical Analysis of Airbus’s Operations in the USA</w:t>
      </w:r>
    </w:p>
    <w:p w:rsidR="007162E3" w:rsidRPr="00A633E5" w:rsidRDefault="007162E3" w:rsidP="00A633E5">
      <w:pPr>
        <w:jc w:val="center"/>
        <w:rPr>
          <w:rFonts w:ascii="Arial" w:hAnsi="Arial" w:cs="Arial"/>
          <w:sz w:val="24"/>
        </w:rPr>
      </w:pPr>
    </w:p>
    <w:p w:rsidR="00A633E5" w:rsidRPr="00A83D21" w:rsidRDefault="00A633E5" w:rsidP="00A633E5">
      <w:pPr>
        <w:jc w:val="center"/>
        <w:rPr>
          <w:rFonts w:ascii="Arial" w:hAnsi="Arial" w:cs="Arial"/>
          <w:sz w:val="24"/>
        </w:rPr>
      </w:pPr>
      <w:r w:rsidRPr="00A633E5">
        <w:rPr>
          <w:rFonts w:ascii="Arial" w:hAnsi="Arial" w:cs="Arial"/>
          <w:b/>
          <w:sz w:val="28"/>
        </w:rPr>
        <w:t>Student Name:</w:t>
      </w:r>
      <w:r w:rsidRPr="00A633E5">
        <w:rPr>
          <w:rFonts w:ascii="Arial" w:hAnsi="Arial" w:cs="Arial"/>
          <w:sz w:val="28"/>
        </w:rPr>
        <w:t xml:space="preserve"> </w:t>
      </w:r>
      <w:r w:rsidRPr="00A83D21">
        <w:rPr>
          <w:rFonts w:ascii="Arial" w:hAnsi="Arial" w:cs="Arial"/>
          <w:sz w:val="24"/>
        </w:rPr>
        <w:t>Fabiha Rahman</w:t>
      </w:r>
    </w:p>
    <w:p w:rsidR="00A633E5" w:rsidRPr="00A83D21" w:rsidRDefault="00A633E5" w:rsidP="00A633E5">
      <w:pPr>
        <w:jc w:val="center"/>
        <w:rPr>
          <w:rFonts w:ascii="Arial" w:hAnsi="Arial" w:cs="Arial"/>
          <w:sz w:val="24"/>
        </w:rPr>
      </w:pPr>
      <w:r w:rsidRPr="00A633E5">
        <w:rPr>
          <w:rFonts w:ascii="Arial" w:hAnsi="Arial" w:cs="Arial"/>
          <w:b/>
          <w:sz w:val="28"/>
        </w:rPr>
        <w:t>Student ID:</w:t>
      </w:r>
      <w:r w:rsidRPr="00A633E5">
        <w:rPr>
          <w:rFonts w:ascii="Arial" w:hAnsi="Arial" w:cs="Arial"/>
          <w:sz w:val="28"/>
        </w:rPr>
        <w:t xml:space="preserve"> </w:t>
      </w:r>
      <w:r w:rsidRPr="00A83D21">
        <w:rPr>
          <w:rFonts w:ascii="Arial" w:hAnsi="Arial" w:cs="Arial"/>
          <w:sz w:val="24"/>
        </w:rPr>
        <w:t>2506578</w:t>
      </w:r>
    </w:p>
    <w:p w:rsidR="00A633E5" w:rsidRPr="00A83D21" w:rsidRDefault="00A633E5" w:rsidP="00A633E5">
      <w:pPr>
        <w:jc w:val="center"/>
        <w:rPr>
          <w:rFonts w:ascii="Arial" w:hAnsi="Arial" w:cs="Arial"/>
          <w:sz w:val="24"/>
        </w:rPr>
      </w:pPr>
      <w:r w:rsidRPr="00A633E5">
        <w:rPr>
          <w:rFonts w:ascii="Arial" w:hAnsi="Arial" w:cs="Arial"/>
          <w:b/>
          <w:sz w:val="28"/>
        </w:rPr>
        <w:t>Module Name:</w:t>
      </w:r>
      <w:r w:rsidRPr="00A633E5">
        <w:rPr>
          <w:rFonts w:ascii="Arial" w:hAnsi="Arial" w:cs="Arial"/>
          <w:sz w:val="28"/>
        </w:rPr>
        <w:t xml:space="preserve"> </w:t>
      </w:r>
      <w:r>
        <w:rPr>
          <w:rFonts w:ascii="Arial" w:hAnsi="Arial" w:cs="Arial"/>
          <w:sz w:val="24"/>
        </w:rPr>
        <w:t>Strategic Management</w:t>
      </w:r>
    </w:p>
    <w:p w:rsidR="00A633E5" w:rsidRPr="00A83D21" w:rsidRDefault="00A633E5" w:rsidP="00A633E5">
      <w:pPr>
        <w:jc w:val="center"/>
        <w:rPr>
          <w:rFonts w:ascii="Arial" w:hAnsi="Arial" w:cs="Arial"/>
          <w:sz w:val="24"/>
        </w:rPr>
      </w:pPr>
    </w:p>
    <w:p w:rsidR="00A633E5" w:rsidRPr="00A83D21" w:rsidRDefault="00A633E5" w:rsidP="00A633E5">
      <w:pPr>
        <w:jc w:val="center"/>
        <w:rPr>
          <w:rFonts w:ascii="Arial" w:hAnsi="Arial" w:cs="Arial"/>
          <w:sz w:val="24"/>
        </w:rPr>
      </w:pPr>
      <w:r w:rsidRPr="00A633E5">
        <w:rPr>
          <w:rFonts w:ascii="Arial" w:hAnsi="Arial" w:cs="Arial"/>
          <w:b/>
          <w:sz w:val="28"/>
        </w:rPr>
        <w:t>Module Code:</w:t>
      </w:r>
      <w:r w:rsidRPr="00A633E5">
        <w:rPr>
          <w:rFonts w:ascii="Arial" w:hAnsi="Arial" w:cs="Arial"/>
          <w:sz w:val="28"/>
        </w:rPr>
        <w:t xml:space="preserve"> </w:t>
      </w:r>
      <w:r>
        <w:rPr>
          <w:rFonts w:ascii="Arial" w:hAnsi="Arial" w:cs="Arial"/>
          <w:sz w:val="24"/>
        </w:rPr>
        <w:t>LCMB7003</w:t>
      </w:r>
    </w:p>
    <w:p w:rsidR="00A633E5" w:rsidRPr="00A83D21" w:rsidRDefault="00A633E5" w:rsidP="00A633E5">
      <w:pPr>
        <w:jc w:val="center"/>
        <w:rPr>
          <w:rFonts w:ascii="Arial" w:hAnsi="Arial" w:cs="Arial"/>
          <w:sz w:val="24"/>
        </w:rPr>
      </w:pPr>
    </w:p>
    <w:p w:rsidR="00A633E5" w:rsidRDefault="00A633E5" w:rsidP="00A633E5">
      <w:pPr>
        <w:jc w:val="center"/>
      </w:pPr>
      <w:r w:rsidRPr="00A633E5">
        <w:rPr>
          <w:rFonts w:ascii="Arial" w:hAnsi="Arial" w:cs="Arial"/>
          <w:b/>
          <w:sz w:val="28"/>
        </w:rPr>
        <w:t>Lecturer’s Name:</w:t>
      </w:r>
      <w:r w:rsidRPr="00A633E5">
        <w:rPr>
          <w:rFonts w:ascii="Arial" w:hAnsi="Arial" w:cs="Arial"/>
          <w:sz w:val="28"/>
        </w:rPr>
        <w:t xml:space="preserve"> </w:t>
      </w:r>
      <w:proofErr w:type="spellStart"/>
      <w:r w:rsidRPr="00A633E5">
        <w:rPr>
          <w:rFonts w:ascii="Arial" w:hAnsi="Arial" w:cs="Arial"/>
          <w:color w:val="1D2125"/>
          <w:sz w:val="23"/>
          <w:szCs w:val="23"/>
          <w:shd w:val="clear" w:color="auto" w:fill="FFFFFF"/>
        </w:rPr>
        <w:t>Dr</w:t>
      </w:r>
      <w:proofErr w:type="spellEnd"/>
      <w:r w:rsidRPr="00A633E5">
        <w:rPr>
          <w:rFonts w:ascii="Arial" w:hAnsi="Arial" w:cs="Arial"/>
          <w:color w:val="1D2125"/>
          <w:sz w:val="23"/>
          <w:szCs w:val="23"/>
          <w:shd w:val="clear" w:color="auto" w:fill="FFFFFF"/>
        </w:rPr>
        <w:t xml:space="preserve"> </w:t>
      </w:r>
      <w:r w:rsidRPr="00A633E5">
        <w:rPr>
          <w:rFonts w:ascii="Arial" w:hAnsi="Arial" w:cs="Arial"/>
        </w:rPr>
        <w:t>Hoang Nguyen</w:t>
      </w:r>
      <w:r>
        <w:t xml:space="preserve"> </w:t>
      </w:r>
    </w:p>
    <w:p w:rsidR="00A633E5" w:rsidRDefault="00A633E5" w:rsidP="00A633E5">
      <w:pPr>
        <w:jc w:val="center"/>
      </w:pPr>
    </w:p>
    <w:p w:rsidR="00542379" w:rsidRDefault="00542379" w:rsidP="00A633E5">
      <w:pPr>
        <w:jc w:val="center"/>
      </w:pPr>
      <w:r>
        <w:t>Words Count: 5500</w:t>
      </w:r>
      <w:bookmarkStart w:id="0" w:name="_GoBack"/>
      <w:bookmarkEnd w:id="0"/>
    </w:p>
    <w:p w:rsidR="00A633E5" w:rsidRPr="00A83D21" w:rsidRDefault="00A633E5" w:rsidP="00A633E5">
      <w:pPr>
        <w:jc w:val="center"/>
        <w:rPr>
          <w:rFonts w:ascii="Arial" w:hAnsi="Arial" w:cs="Arial"/>
          <w:sz w:val="24"/>
        </w:rPr>
      </w:pPr>
      <w:r w:rsidRPr="00A633E5">
        <w:rPr>
          <w:rFonts w:ascii="Arial" w:hAnsi="Arial" w:cs="Arial"/>
          <w:b/>
          <w:sz w:val="28"/>
        </w:rPr>
        <w:t>Submission Date:</w:t>
      </w:r>
      <w:r w:rsidRPr="00A633E5">
        <w:rPr>
          <w:sz w:val="28"/>
        </w:rPr>
        <w:t xml:space="preserve"> </w:t>
      </w:r>
      <w:r w:rsidR="00542379">
        <w:t>29</w:t>
      </w:r>
      <w:r w:rsidR="00542379" w:rsidRPr="00542379">
        <w:rPr>
          <w:vertAlign w:val="superscript"/>
        </w:rPr>
        <w:t>th</w:t>
      </w:r>
      <w:r w:rsidR="00542379">
        <w:t xml:space="preserve"> April </w:t>
      </w:r>
      <w:r>
        <w:t>2026</w:t>
      </w:r>
    </w:p>
    <w:p w:rsidR="00FE0DB2" w:rsidRPr="00FE0DB2" w:rsidRDefault="00A633E5" w:rsidP="00FE0DB2">
      <w:pPr>
        <w:jc w:val="both"/>
        <w:rPr>
          <w:rFonts w:ascii="Arial" w:hAnsi="Arial" w:cs="Arial"/>
          <w:b/>
          <w:sz w:val="24"/>
          <w:szCs w:val="24"/>
        </w:rPr>
      </w:pPr>
      <w:r>
        <w:rPr>
          <w:rFonts w:ascii="Arial" w:hAnsi="Arial" w:cs="Arial"/>
          <w:b/>
          <w:sz w:val="24"/>
          <w:szCs w:val="24"/>
        </w:rPr>
        <w:br w:type="page"/>
      </w:r>
      <w:r w:rsidR="00FE0DB2" w:rsidRPr="00FE0DB2">
        <w:rPr>
          <w:rFonts w:ascii="Arial" w:hAnsi="Arial" w:cs="Arial"/>
          <w:b/>
          <w:sz w:val="24"/>
          <w:szCs w:val="24"/>
        </w:rPr>
        <w:lastRenderedPageBreak/>
        <w:t>AI use Acknowledgement</w:t>
      </w:r>
    </w:p>
    <w:p w:rsidR="00FE0DB2" w:rsidRPr="00FE0DB2" w:rsidRDefault="00FE0DB2" w:rsidP="00FE0DB2">
      <w:pPr>
        <w:jc w:val="both"/>
        <w:rPr>
          <w:rFonts w:ascii="Arial" w:hAnsi="Arial" w:cs="Arial"/>
          <w:sz w:val="24"/>
          <w:szCs w:val="24"/>
        </w:rPr>
      </w:pPr>
      <w:r w:rsidRPr="00FE0DB2">
        <w:rPr>
          <w:rFonts w:ascii="Arial" w:hAnsi="Arial" w:cs="Arial"/>
          <w:sz w:val="24"/>
          <w:szCs w:val="24"/>
        </w:rPr>
        <w:t>I acknowledge the use of multiple artificial intelligence</w:t>
      </w:r>
      <w:r w:rsidRPr="00FE0DB2">
        <w:rPr>
          <w:rFonts w:ascii="Cambria Math" w:hAnsi="Cambria Math" w:cs="Cambria Math"/>
          <w:sz w:val="24"/>
          <w:szCs w:val="24"/>
        </w:rPr>
        <w:t>‑</w:t>
      </w:r>
      <w:r w:rsidRPr="00FE0DB2">
        <w:rPr>
          <w:rFonts w:ascii="Arial" w:hAnsi="Arial" w:cs="Arial"/>
          <w:sz w:val="24"/>
          <w:szCs w:val="24"/>
        </w:rPr>
        <w:t xml:space="preserve">assisted tools on various dates between March and April 2026 to support the research, structuring, proofreading, and writing of this assignment. I used the following types of AI tools on multiple topics: </w:t>
      </w:r>
    </w:p>
    <w:p w:rsidR="00FE0DB2" w:rsidRPr="00FE0DB2" w:rsidRDefault="00FE0DB2" w:rsidP="00FE0DB2">
      <w:pPr>
        <w:jc w:val="both"/>
        <w:rPr>
          <w:rFonts w:ascii="Arial" w:hAnsi="Arial" w:cs="Arial"/>
          <w:sz w:val="24"/>
          <w:szCs w:val="24"/>
        </w:rPr>
      </w:pPr>
    </w:p>
    <w:p w:rsidR="00FE0DB2" w:rsidRPr="00FE0DB2" w:rsidRDefault="00FE3791" w:rsidP="00FE0DB2">
      <w:pPr>
        <w:jc w:val="both"/>
        <w:rPr>
          <w:rFonts w:ascii="Arial" w:hAnsi="Arial" w:cs="Arial"/>
          <w:sz w:val="24"/>
          <w:szCs w:val="24"/>
        </w:rPr>
      </w:pPr>
      <w:r>
        <w:rPr>
          <w:rFonts w:ascii="Arial" w:hAnsi="Arial" w:cs="Arial"/>
          <w:b/>
          <w:sz w:val="24"/>
          <w:szCs w:val="24"/>
        </w:rPr>
        <w:t xml:space="preserve">Google </w:t>
      </w:r>
      <w:proofErr w:type="spellStart"/>
      <w:r>
        <w:rPr>
          <w:rFonts w:ascii="Arial" w:hAnsi="Arial" w:cs="Arial"/>
          <w:b/>
          <w:sz w:val="24"/>
          <w:szCs w:val="24"/>
        </w:rPr>
        <w:t>NotebookLM</w:t>
      </w:r>
      <w:proofErr w:type="spellEnd"/>
      <w:r>
        <w:rPr>
          <w:rFonts w:ascii="Arial" w:hAnsi="Arial" w:cs="Arial"/>
          <w:sz w:val="24"/>
          <w:szCs w:val="24"/>
        </w:rPr>
        <w:t xml:space="preserve"> </w:t>
      </w:r>
      <w:hyperlink r:id="rId9" w:history="1">
        <w:r w:rsidRPr="000E3948">
          <w:rPr>
            <w:rStyle w:val="Hyperlink"/>
            <w:rFonts w:ascii="Arial" w:hAnsi="Arial" w:cs="Arial"/>
            <w:sz w:val="24"/>
            <w:szCs w:val="24"/>
          </w:rPr>
          <w:t>https://notebooklm.google/</w:t>
        </w:r>
      </w:hyperlink>
      <w:r>
        <w:rPr>
          <w:rFonts w:ascii="Arial" w:hAnsi="Arial" w:cs="Arial"/>
          <w:sz w:val="24"/>
          <w:szCs w:val="24"/>
        </w:rPr>
        <w:t xml:space="preserve">: </w:t>
      </w:r>
      <w:r w:rsidR="00FD3EAE">
        <w:rPr>
          <w:rFonts w:ascii="Arial" w:hAnsi="Arial" w:cs="Arial"/>
          <w:sz w:val="24"/>
          <w:szCs w:val="24"/>
        </w:rPr>
        <w:t xml:space="preserve"> </w:t>
      </w:r>
      <w:r w:rsidR="00FD3EAE" w:rsidRPr="00FD3EAE">
        <w:rPr>
          <w:rFonts w:ascii="Arial" w:hAnsi="Arial" w:cs="Arial"/>
          <w:sz w:val="24"/>
          <w:szCs w:val="24"/>
        </w:rPr>
        <w:t xml:space="preserve">To </w:t>
      </w:r>
      <w:proofErr w:type="spellStart"/>
      <w:r w:rsidR="00FD3EAE" w:rsidRPr="00FD3EAE">
        <w:rPr>
          <w:rFonts w:ascii="Arial" w:hAnsi="Arial" w:cs="Arial"/>
          <w:sz w:val="24"/>
          <w:szCs w:val="24"/>
        </w:rPr>
        <w:t>summarise</w:t>
      </w:r>
      <w:proofErr w:type="spellEnd"/>
      <w:r w:rsidR="00FD3EAE" w:rsidRPr="00FD3EAE">
        <w:rPr>
          <w:rFonts w:ascii="Arial" w:hAnsi="Arial" w:cs="Arial"/>
          <w:sz w:val="24"/>
          <w:szCs w:val="24"/>
        </w:rPr>
        <w:t xml:space="preserve"> uploaded academic papers, annual reports (Ai</w:t>
      </w:r>
      <w:r w:rsidR="002340F4">
        <w:rPr>
          <w:rFonts w:ascii="Arial" w:hAnsi="Arial" w:cs="Arial"/>
          <w:sz w:val="24"/>
          <w:szCs w:val="24"/>
        </w:rPr>
        <w:t xml:space="preserve">rbus, 2023), industry analyses such as </w:t>
      </w:r>
      <w:proofErr w:type="spellStart"/>
      <w:r w:rsidR="002340F4">
        <w:rPr>
          <w:rFonts w:ascii="Arial" w:hAnsi="Arial" w:cs="Arial"/>
          <w:sz w:val="24"/>
          <w:szCs w:val="24"/>
        </w:rPr>
        <w:t>Leeham</w:t>
      </w:r>
      <w:proofErr w:type="spellEnd"/>
      <w:r w:rsidR="002340F4">
        <w:rPr>
          <w:rFonts w:ascii="Arial" w:hAnsi="Arial" w:cs="Arial"/>
          <w:sz w:val="24"/>
          <w:szCs w:val="24"/>
        </w:rPr>
        <w:t xml:space="preserve"> News</w:t>
      </w:r>
      <w:r w:rsidR="00FD3EAE" w:rsidRPr="00FD3EAE">
        <w:rPr>
          <w:rFonts w:ascii="Arial" w:hAnsi="Arial" w:cs="Arial"/>
          <w:sz w:val="24"/>
          <w:szCs w:val="24"/>
        </w:rPr>
        <w:t>, and framework explanations, and to answer questions based exc</w:t>
      </w:r>
      <w:r w:rsidR="00FD3EAE">
        <w:rPr>
          <w:rFonts w:ascii="Arial" w:hAnsi="Arial" w:cs="Arial"/>
          <w:sz w:val="24"/>
          <w:szCs w:val="24"/>
        </w:rPr>
        <w:t>lusively on my source materials</w:t>
      </w:r>
      <w:r w:rsidR="00FE0DB2" w:rsidRPr="00FE0DB2">
        <w:rPr>
          <w:rFonts w:ascii="Arial" w:hAnsi="Arial" w:cs="Arial"/>
          <w:sz w:val="24"/>
          <w:szCs w:val="24"/>
        </w:rPr>
        <w:t>.</w:t>
      </w:r>
      <w:r w:rsidR="00FD3EAE">
        <w:rPr>
          <w:rFonts w:ascii="Arial" w:hAnsi="Arial" w:cs="Arial"/>
          <w:sz w:val="24"/>
          <w:szCs w:val="24"/>
        </w:rPr>
        <w:t xml:space="preserve"> </w:t>
      </w:r>
      <w:r w:rsidR="00FD3EAE" w:rsidRPr="002340F4">
        <w:rPr>
          <w:rFonts w:ascii="Arial" w:hAnsi="Arial" w:cs="Arial"/>
          <w:b/>
          <w:sz w:val="24"/>
          <w:szCs w:val="24"/>
        </w:rPr>
        <w:t>Example of prompts</w:t>
      </w:r>
      <w:r w:rsidR="00FD3EAE">
        <w:rPr>
          <w:rFonts w:ascii="Arial" w:hAnsi="Arial" w:cs="Arial"/>
          <w:sz w:val="24"/>
          <w:szCs w:val="24"/>
        </w:rPr>
        <w:t xml:space="preserve">: </w:t>
      </w:r>
      <w:r w:rsidR="00FD3EAE" w:rsidRPr="00FD3EAE">
        <w:rPr>
          <w:rFonts w:ascii="Arial" w:hAnsi="Arial" w:cs="Arial"/>
          <w:sz w:val="24"/>
          <w:szCs w:val="24"/>
        </w:rPr>
        <w:t>“Explain the VRIO framework using the specific case of Airbus’s A320neo fuel efficiency technology as an example from my sources.”</w:t>
      </w:r>
    </w:p>
    <w:p w:rsidR="00FE0DB2" w:rsidRPr="00FE0DB2" w:rsidRDefault="00FE0DB2" w:rsidP="00FE0DB2">
      <w:pPr>
        <w:jc w:val="both"/>
        <w:rPr>
          <w:rFonts w:ascii="Arial" w:hAnsi="Arial" w:cs="Arial"/>
          <w:sz w:val="24"/>
          <w:szCs w:val="24"/>
        </w:rPr>
      </w:pPr>
      <w:proofErr w:type="spellStart"/>
      <w:r w:rsidRPr="00FE0DB2">
        <w:rPr>
          <w:rFonts w:ascii="Arial" w:hAnsi="Arial" w:cs="Arial"/>
          <w:b/>
          <w:sz w:val="24"/>
          <w:szCs w:val="24"/>
        </w:rPr>
        <w:t>QuillBot</w:t>
      </w:r>
      <w:proofErr w:type="spellEnd"/>
      <w:r w:rsidR="00FE3791">
        <w:rPr>
          <w:rFonts w:ascii="Arial" w:hAnsi="Arial" w:cs="Arial"/>
          <w:b/>
          <w:sz w:val="24"/>
          <w:szCs w:val="24"/>
        </w:rPr>
        <w:t xml:space="preserve"> </w:t>
      </w:r>
      <w:hyperlink r:id="rId10" w:history="1">
        <w:r w:rsidR="00FE3791" w:rsidRPr="000E3948">
          <w:rPr>
            <w:rStyle w:val="Hyperlink"/>
            <w:rFonts w:ascii="Arial" w:hAnsi="Arial" w:cs="Arial"/>
            <w:b/>
            <w:sz w:val="24"/>
            <w:szCs w:val="24"/>
          </w:rPr>
          <w:t>https://quillbot.com/</w:t>
        </w:r>
      </w:hyperlink>
      <w:r w:rsidR="00FE3791">
        <w:rPr>
          <w:rFonts w:ascii="Arial" w:hAnsi="Arial" w:cs="Arial"/>
          <w:b/>
          <w:sz w:val="24"/>
          <w:szCs w:val="24"/>
        </w:rPr>
        <w:t xml:space="preserve"> </w:t>
      </w:r>
      <w:r w:rsidRPr="00FE0DB2">
        <w:rPr>
          <w:rFonts w:ascii="Arial" w:hAnsi="Arial" w:cs="Arial"/>
          <w:b/>
          <w:sz w:val="24"/>
          <w:szCs w:val="24"/>
        </w:rPr>
        <w:t xml:space="preserve"> &amp; </w:t>
      </w:r>
      <w:proofErr w:type="spellStart"/>
      <w:r w:rsidRPr="00FE0DB2">
        <w:rPr>
          <w:rFonts w:ascii="Arial" w:hAnsi="Arial" w:cs="Arial"/>
          <w:b/>
          <w:sz w:val="24"/>
          <w:szCs w:val="24"/>
        </w:rPr>
        <w:t>Grammarly</w:t>
      </w:r>
      <w:proofErr w:type="spellEnd"/>
      <w:r w:rsidR="00FE3791">
        <w:rPr>
          <w:rFonts w:ascii="Arial" w:hAnsi="Arial" w:cs="Arial"/>
          <w:b/>
          <w:sz w:val="24"/>
          <w:szCs w:val="24"/>
        </w:rPr>
        <w:t xml:space="preserve"> </w:t>
      </w:r>
      <w:hyperlink r:id="rId11" w:history="1">
        <w:r w:rsidR="00FE3791" w:rsidRPr="000E3948">
          <w:rPr>
            <w:rStyle w:val="Hyperlink"/>
            <w:rFonts w:ascii="Arial" w:hAnsi="Arial" w:cs="Arial"/>
            <w:b/>
            <w:sz w:val="24"/>
            <w:szCs w:val="24"/>
          </w:rPr>
          <w:t>https://www.grammarly.com/</w:t>
        </w:r>
      </w:hyperlink>
      <w:r w:rsidR="00FE3791">
        <w:t xml:space="preserve"> </w:t>
      </w:r>
      <w:r w:rsidRPr="00FE0DB2">
        <w:rPr>
          <w:rFonts w:ascii="Arial" w:hAnsi="Arial" w:cs="Arial"/>
          <w:sz w:val="24"/>
          <w:szCs w:val="24"/>
        </w:rPr>
        <w:t xml:space="preserve"> are used for proofreading, grammar checking, and </w:t>
      </w:r>
      <w:r w:rsidR="00503CC3" w:rsidRPr="00FE0DB2">
        <w:rPr>
          <w:rFonts w:ascii="Arial" w:hAnsi="Arial" w:cs="Arial"/>
          <w:sz w:val="24"/>
          <w:szCs w:val="24"/>
        </w:rPr>
        <w:t>formal</w:t>
      </w:r>
      <w:r w:rsidRPr="00FE0DB2">
        <w:rPr>
          <w:rFonts w:ascii="Arial" w:hAnsi="Arial" w:cs="Arial"/>
          <w:sz w:val="24"/>
          <w:szCs w:val="24"/>
        </w:rPr>
        <w:t xml:space="preserve"> </w:t>
      </w:r>
      <w:r w:rsidR="00CB2824" w:rsidRPr="00FE0DB2">
        <w:rPr>
          <w:rFonts w:ascii="Arial" w:hAnsi="Arial" w:cs="Arial"/>
          <w:sz w:val="24"/>
          <w:szCs w:val="24"/>
        </w:rPr>
        <w:t>modification</w:t>
      </w:r>
      <w:r w:rsidRPr="00FE0DB2">
        <w:rPr>
          <w:rFonts w:ascii="Arial" w:hAnsi="Arial" w:cs="Arial"/>
          <w:sz w:val="24"/>
          <w:szCs w:val="24"/>
        </w:rPr>
        <w:t xml:space="preserve"> of the final draft, paraphrasing selected source materials to improve clarity and academic expression.</w:t>
      </w:r>
    </w:p>
    <w:p w:rsidR="00FE0DB2" w:rsidRDefault="00FE3791" w:rsidP="00FD3EAE">
      <w:pPr>
        <w:jc w:val="both"/>
        <w:rPr>
          <w:rFonts w:ascii="Arial" w:hAnsi="Arial" w:cs="Arial"/>
          <w:sz w:val="24"/>
          <w:szCs w:val="24"/>
        </w:rPr>
      </w:pPr>
      <w:r>
        <w:rPr>
          <w:rFonts w:ascii="Arial" w:hAnsi="Arial" w:cs="Arial"/>
          <w:b/>
          <w:sz w:val="24"/>
          <w:szCs w:val="24"/>
        </w:rPr>
        <w:t xml:space="preserve">Semantic Scholar </w:t>
      </w:r>
      <w:hyperlink r:id="rId12" w:history="1">
        <w:r w:rsidRPr="000E3948">
          <w:rPr>
            <w:rStyle w:val="Hyperlink"/>
            <w:rFonts w:ascii="Arial" w:hAnsi="Arial" w:cs="Arial"/>
            <w:b/>
            <w:sz w:val="24"/>
            <w:szCs w:val="24"/>
          </w:rPr>
          <w:t>https://www.semanticscholar.org/</w:t>
        </w:r>
      </w:hyperlink>
      <w:r>
        <w:rPr>
          <w:rFonts w:ascii="Arial" w:hAnsi="Arial" w:cs="Arial"/>
          <w:b/>
          <w:sz w:val="24"/>
          <w:szCs w:val="24"/>
        </w:rPr>
        <w:t>:</w:t>
      </w:r>
      <w:r>
        <w:rPr>
          <w:rFonts w:ascii="Arial" w:hAnsi="Arial" w:cs="Arial"/>
          <w:sz w:val="24"/>
          <w:szCs w:val="24"/>
        </w:rPr>
        <w:t xml:space="preserve"> </w:t>
      </w:r>
      <w:r w:rsidR="00FD3EAE">
        <w:rPr>
          <w:rFonts w:ascii="Arial" w:hAnsi="Arial" w:cs="Arial"/>
          <w:sz w:val="24"/>
          <w:szCs w:val="24"/>
        </w:rPr>
        <w:t xml:space="preserve"> </w:t>
      </w:r>
      <w:r w:rsidR="00FD3EAE" w:rsidRPr="00FD3EAE">
        <w:rPr>
          <w:rFonts w:ascii="Arial" w:hAnsi="Arial" w:cs="Arial"/>
          <w:sz w:val="24"/>
          <w:szCs w:val="24"/>
        </w:rPr>
        <w:t>To locate peer</w:t>
      </w:r>
      <w:r w:rsidR="00FD3EAE" w:rsidRPr="00FD3EAE">
        <w:rPr>
          <w:rFonts w:ascii="Cambria Math" w:hAnsi="Cambria Math" w:cs="Cambria Math"/>
          <w:sz w:val="24"/>
          <w:szCs w:val="24"/>
        </w:rPr>
        <w:t>‑</w:t>
      </w:r>
      <w:r w:rsidR="00FD3EAE" w:rsidRPr="00FD3EAE">
        <w:rPr>
          <w:rFonts w:ascii="Arial" w:hAnsi="Arial" w:cs="Arial"/>
          <w:sz w:val="24"/>
          <w:szCs w:val="24"/>
        </w:rPr>
        <w:t>reviewed studies, literature supp</w:t>
      </w:r>
      <w:r w:rsidR="00FD3EAE">
        <w:rPr>
          <w:rFonts w:ascii="Arial" w:hAnsi="Arial" w:cs="Arial"/>
          <w:sz w:val="24"/>
          <w:szCs w:val="24"/>
        </w:rPr>
        <w:t xml:space="preserve">ort for theoretical frameworks like </w:t>
      </w:r>
      <w:r w:rsidR="00FD3EAE" w:rsidRPr="00FD3EAE">
        <w:rPr>
          <w:rFonts w:ascii="Arial" w:hAnsi="Arial" w:cs="Arial"/>
          <w:sz w:val="24"/>
          <w:szCs w:val="24"/>
        </w:rPr>
        <w:t>Resource</w:t>
      </w:r>
      <w:r w:rsidR="00FD3EAE" w:rsidRPr="00FD3EAE">
        <w:rPr>
          <w:rFonts w:ascii="Cambria Math" w:hAnsi="Cambria Math" w:cs="Cambria Math"/>
          <w:sz w:val="24"/>
          <w:szCs w:val="24"/>
        </w:rPr>
        <w:t>‑</w:t>
      </w:r>
      <w:r w:rsidR="00FD3EAE" w:rsidRPr="00FD3EAE">
        <w:rPr>
          <w:rFonts w:ascii="Arial" w:hAnsi="Arial" w:cs="Arial"/>
          <w:sz w:val="24"/>
          <w:szCs w:val="24"/>
        </w:rPr>
        <w:t>Based View, Balanced Scorecard, Lewin’</w:t>
      </w:r>
      <w:r w:rsidR="00FD3EAE">
        <w:rPr>
          <w:rFonts w:ascii="Arial" w:hAnsi="Arial" w:cs="Arial"/>
          <w:sz w:val="24"/>
          <w:szCs w:val="24"/>
        </w:rPr>
        <w:t xml:space="preserve">s Change Model, </w:t>
      </w:r>
      <w:proofErr w:type="spellStart"/>
      <w:r w:rsidR="00FD3EAE">
        <w:rPr>
          <w:rFonts w:ascii="Arial" w:hAnsi="Arial" w:cs="Arial"/>
          <w:sz w:val="24"/>
          <w:szCs w:val="24"/>
        </w:rPr>
        <w:t>Ansoff</w:t>
      </w:r>
      <w:proofErr w:type="spellEnd"/>
      <w:r w:rsidR="00FD3EAE">
        <w:rPr>
          <w:rFonts w:ascii="Arial" w:hAnsi="Arial" w:cs="Arial"/>
          <w:sz w:val="24"/>
          <w:szCs w:val="24"/>
        </w:rPr>
        <w:t xml:space="preserve"> Matrix</w:t>
      </w:r>
      <w:r w:rsidR="00FD3EAE" w:rsidRPr="00FD3EAE">
        <w:rPr>
          <w:rFonts w:ascii="Arial" w:hAnsi="Arial" w:cs="Arial"/>
          <w:sz w:val="24"/>
          <w:szCs w:val="24"/>
        </w:rPr>
        <w:t>, and evidence</w:t>
      </w:r>
      <w:r w:rsidR="00FD3EAE" w:rsidRPr="00FD3EAE">
        <w:rPr>
          <w:rFonts w:ascii="Cambria Math" w:hAnsi="Cambria Math" w:cs="Cambria Math"/>
          <w:sz w:val="24"/>
          <w:szCs w:val="24"/>
        </w:rPr>
        <w:t>‑</w:t>
      </w:r>
      <w:r w:rsidR="00FD3EAE" w:rsidRPr="00FD3EAE">
        <w:rPr>
          <w:rFonts w:ascii="Arial" w:hAnsi="Arial" w:cs="Arial"/>
          <w:sz w:val="24"/>
          <w:szCs w:val="24"/>
        </w:rPr>
        <w:t>based conclusions regarding competitive advantage and strategic implementation.</w:t>
      </w:r>
      <w:r w:rsidR="00FD3EAE">
        <w:rPr>
          <w:rFonts w:ascii="Arial" w:hAnsi="Arial" w:cs="Arial"/>
          <w:sz w:val="24"/>
          <w:szCs w:val="24"/>
        </w:rPr>
        <w:t xml:space="preserve"> </w:t>
      </w:r>
      <w:r w:rsidR="00FD3EAE" w:rsidRPr="002340F4">
        <w:rPr>
          <w:rFonts w:ascii="Arial" w:hAnsi="Arial" w:cs="Arial"/>
          <w:b/>
          <w:sz w:val="24"/>
          <w:szCs w:val="24"/>
        </w:rPr>
        <w:t>Example of prompt</w:t>
      </w:r>
      <w:r w:rsidR="003119A0" w:rsidRPr="002340F4">
        <w:rPr>
          <w:rFonts w:ascii="Arial" w:hAnsi="Arial" w:cs="Arial"/>
          <w:b/>
          <w:sz w:val="24"/>
          <w:szCs w:val="24"/>
        </w:rPr>
        <w:t>s</w:t>
      </w:r>
      <w:r w:rsidR="00FD3EAE">
        <w:rPr>
          <w:rFonts w:ascii="Arial" w:hAnsi="Arial" w:cs="Arial"/>
          <w:sz w:val="24"/>
          <w:szCs w:val="24"/>
        </w:rPr>
        <w:t xml:space="preserve">: </w:t>
      </w:r>
      <w:r w:rsidR="003119A0">
        <w:rPr>
          <w:rFonts w:ascii="Arial" w:hAnsi="Arial" w:cs="Arial"/>
          <w:sz w:val="24"/>
          <w:szCs w:val="24"/>
        </w:rPr>
        <w:t>‘‘</w:t>
      </w:r>
      <w:r w:rsidR="00FD3EAE" w:rsidRPr="00FD3EAE">
        <w:rPr>
          <w:rFonts w:ascii="Arial" w:hAnsi="Arial" w:cs="Arial"/>
          <w:sz w:val="24"/>
          <w:szCs w:val="24"/>
        </w:rPr>
        <w:t>Find recent peer</w:t>
      </w:r>
      <w:r w:rsidR="00FD3EAE" w:rsidRPr="00FD3EAE">
        <w:rPr>
          <w:rFonts w:ascii="Cambria Math" w:hAnsi="Cambria Math" w:cs="Cambria Math"/>
          <w:sz w:val="24"/>
          <w:szCs w:val="24"/>
        </w:rPr>
        <w:t>‑</w:t>
      </w:r>
      <w:r w:rsidR="00FD3EAE" w:rsidRPr="00FD3EAE">
        <w:rPr>
          <w:rFonts w:ascii="Arial" w:hAnsi="Arial" w:cs="Arial"/>
          <w:sz w:val="24"/>
          <w:szCs w:val="24"/>
        </w:rPr>
        <w:t xml:space="preserve">reviewed papers critiquing the application of Hofstede’s cultural dimensions in multinational corporate </w:t>
      </w:r>
      <w:r w:rsidR="003119A0">
        <w:rPr>
          <w:rFonts w:ascii="Arial" w:hAnsi="Arial" w:cs="Arial"/>
          <w:sz w:val="24"/>
          <w:szCs w:val="24"/>
        </w:rPr>
        <w:t xml:space="preserve">strategy’’. </w:t>
      </w:r>
      <w:r w:rsidR="00FD3EAE" w:rsidRPr="00FD3EAE">
        <w:rPr>
          <w:rFonts w:ascii="Arial" w:hAnsi="Arial" w:cs="Arial"/>
          <w:sz w:val="24"/>
          <w:szCs w:val="24"/>
        </w:rPr>
        <w:t>“What does the literature say about the effectiveness of Lewin’s Unfreeze</w:t>
      </w:r>
      <w:r w:rsidR="00FD3EAE" w:rsidRPr="00FD3EAE">
        <w:rPr>
          <w:rFonts w:ascii="Cambria Math" w:hAnsi="Cambria Math" w:cs="Cambria Math"/>
          <w:sz w:val="24"/>
          <w:szCs w:val="24"/>
        </w:rPr>
        <w:t>‑</w:t>
      </w:r>
      <w:r w:rsidR="00FD3EAE" w:rsidRPr="00FD3EAE">
        <w:rPr>
          <w:rFonts w:ascii="Arial" w:hAnsi="Arial" w:cs="Arial"/>
          <w:sz w:val="24"/>
          <w:szCs w:val="24"/>
        </w:rPr>
        <w:t>Change</w:t>
      </w:r>
      <w:r w:rsidR="00FD3EAE" w:rsidRPr="00FD3EAE">
        <w:rPr>
          <w:rFonts w:ascii="Cambria Math" w:hAnsi="Cambria Math" w:cs="Cambria Math"/>
          <w:sz w:val="24"/>
          <w:szCs w:val="24"/>
        </w:rPr>
        <w:t>‑</w:t>
      </w:r>
      <w:r w:rsidR="00FD3EAE" w:rsidRPr="00FD3EAE">
        <w:rPr>
          <w:rFonts w:ascii="Arial" w:hAnsi="Arial" w:cs="Arial"/>
          <w:sz w:val="24"/>
          <w:szCs w:val="24"/>
        </w:rPr>
        <w:t>Refreeze model in aerospace industry transformations?”</w:t>
      </w:r>
    </w:p>
    <w:p w:rsidR="003119A0" w:rsidRPr="00FE0DB2" w:rsidRDefault="003119A0" w:rsidP="00FD3EAE">
      <w:pPr>
        <w:jc w:val="both"/>
        <w:rPr>
          <w:rFonts w:ascii="Arial" w:hAnsi="Arial" w:cs="Arial"/>
          <w:sz w:val="24"/>
          <w:szCs w:val="24"/>
        </w:rPr>
      </w:pPr>
    </w:p>
    <w:p w:rsidR="00A633E5" w:rsidRDefault="00FE0DB2" w:rsidP="00450E0B">
      <w:pPr>
        <w:jc w:val="both"/>
        <w:rPr>
          <w:rFonts w:ascii="Arial" w:hAnsi="Arial" w:cs="Arial"/>
          <w:b/>
          <w:sz w:val="24"/>
          <w:szCs w:val="24"/>
        </w:rPr>
      </w:pPr>
      <w:r w:rsidRPr="00FE0DB2">
        <w:rPr>
          <w:rFonts w:ascii="Arial" w:hAnsi="Arial" w:cs="Arial"/>
          <w:sz w:val="24"/>
          <w:szCs w:val="24"/>
        </w:rPr>
        <w:t>I confirm that I have not presented any AI-generated text as my own work. All AI</w:t>
      </w:r>
      <w:r w:rsidRPr="00FE0DB2">
        <w:rPr>
          <w:rFonts w:ascii="Cambria Math" w:hAnsi="Cambria Math" w:cs="Cambria Math"/>
          <w:sz w:val="24"/>
          <w:szCs w:val="24"/>
        </w:rPr>
        <w:t>‑</w:t>
      </w:r>
      <w:r w:rsidRPr="00FE0DB2">
        <w:rPr>
          <w:rFonts w:ascii="Arial" w:hAnsi="Arial" w:cs="Arial"/>
          <w:sz w:val="24"/>
          <w:szCs w:val="24"/>
        </w:rPr>
        <w:t>assisted outputs were critically reviewed, adapted, and integrated into my own analysis. I confirm that I have copies of my drafts, notes, and other resources I used before and after the use of AI tools, which I may be asked to provide in evidence.</w:t>
      </w:r>
      <w:r>
        <w:rPr>
          <w:rFonts w:ascii="Arial" w:hAnsi="Arial" w:cs="Arial"/>
          <w:b/>
          <w:sz w:val="24"/>
          <w:szCs w:val="24"/>
        </w:rPr>
        <w:br w:type="page"/>
      </w:r>
    </w:p>
    <w:sdt>
      <w:sdtPr>
        <w:rPr>
          <w:rFonts w:asciiTheme="minorHAnsi" w:eastAsiaTheme="minorHAnsi" w:hAnsiTheme="minorHAnsi" w:cs="Arial"/>
          <w:b w:val="0"/>
          <w:sz w:val="22"/>
          <w:szCs w:val="22"/>
        </w:rPr>
        <w:id w:val="-1542893205"/>
        <w:docPartObj>
          <w:docPartGallery w:val="Table of Contents"/>
          <w:docPartUnique/>
        </w:docPartObj>
      </w:sdtPr>
      <w:sdtEndPr>
        <w:rPr>
          <w:bCs/>
          <w:noProof/>
        </w:rPr>
      </w:sdtEndPr>
      <w:sdtContent>
        <w:p w:rsidR="000F4BA1" w:rsidRPr="000A16E6" w:rsidRDefault="000F4BA1">
          <w:pPr>
            <w:pStyle w:val="TOCHeading"/>
            <w:rPr>
              <w:rFonts w:cs="Arial"/>
            </w:rPr>
          </w:pPr>
          <w:r w:rsidRPr="000A16E6">
            <w:rPr>
              <w:rFonts w:cs="Arial"/>
            </w:rPr>
            <w:t>Contents</w:t>
          </w:r>
        </w:p>
        <w:p w:rsidR="00043D9E" w:rsidRDefault="000F4BA1">
          <w:pPr>
            <w:pStyle w:val="TOC1"/>
            <w:rPr>
              <w:rFonts w:asciiTheme="minorHAnsi" w:eastAsiaTheme="minorEastAsia" w:hAnsiTheme="minorHAnsi" w:cstheme="minorBidi"/>
              <w:b w:val="0"/>
            </w:rPr>
          </w:pPr>
          <w:r w:rsidRPr="000A16E6">
            <w:fldChar w:fldCharType="begin"/>
          </w:r>
          <w:r w:rsidRPr="000A16E6">
            <w:instrText xml:space="preserve"> TOC \o "1-3" \h \z \u </w:instrText>
          </w:r>
          <w:r w:rsidRPr="000A16E6">
            <w:fldChar w:fldCharType="separate"/>
          </w:r>
          <w:hyperlink w:anchor="_Toc228393236" w:history="1">
            <w:r w:rsidR="00043D9E" w:rsidRPr="00513DE4">
              <w:rPr>
                <w:rStyle w:val="Hyperlink"/>
              </w:rPr>
              <w:t>Section 1: Strategic Analysis of Airbus in the USA</w:t>
            </w:r>
            <w:r w:rsidR="00043D9E">
              <w:rPr>
                <w:webHidden/>
              </w:rPr>
              <w:tab/>
            </w:r>
            <w:r w:rsidR="00043D9E">
              <w:rPr>
                <w:webHidden/>
              </w:rPr>
              <w:fldChar w:fldCharType="begin"/>
            </w:r>
            <w:r w:rsidR="00043D9E">
              <w:rPr>
                <w:webHidden/>
              </w:rPr>
              <w:instrText xml:space="preserve"> PAGEREF _Toc228393236 \h </w:instrText>
            </w:r>
            <w:r w:rsidR="00043D9E">
              <w:rPr>
                <w:webHidden/>
              </w:rPr>
            </w:r>
            <w:r w:rsidR="00043D9E">
              <w:rPr>
                <w:webHidden/>
              </w:rPr>
              <w:fldChar w:fldCharType="separate"/>
            </w:r>
            <w:r w:rsidR="00043D9E">
              <w:rPr>
                <w:webHidden/>
              </w:rPr>
              <w:t>3</w:t>
            </w:r>
            <w:r w:rsidR="00043D9E">
              <w:rPr>
                <w:webHidden/>
              </w:rPr>
              <w:fldChar w:fldCharType="end"/>
            </w:r>
          </w:hyperlink>
        </w:p>
        <w:p w:rsidR="00043D9E" w:rsidRDefault="00043D9E">
          <w:pPr>
            <w:pStyle w:val="TOC2"/>
            <w:rPr>
              <w:rFonts w:eastAsiaTheme="minorEastAsia"/>
            </w:rPr>
          </w:pPr>
          <w:hyperlink w:anchor="_Toc228393237" w:history="1">
            <w:r w:rsidRPr="00513DE4">
              <w:rPr>
                <w:rStyle w:val="Hyperlink"/>
              </w:rPr>
              <w:t>1. Introduction</w:t>
            </w:r>
            <w:r>
              <w:rPr>
                <w:webHidden/>
              </w:rPr>
              <w:tab/>
            </w:r>
            <w:r>
              <w:rPr>
                <w:webHidden/>
              </w:rPr>
              <w:fldChar w:fldCharType="begin"/>
            </w:r>
            <w:r>
              <w:rPr>
                <w:webHidden/>
              </w:rPr>
              <w:instrText xml:space="preserve"> PAGEREF _Toc228393237 \h </w:instrText>
            </w:r>
            <w:r>
              <w:rPr>
                <w:webHidden/>
              </w:rPr>
            </w:r>
            <w:r>
              <w:rPr>
                <w:webHidden/>
              </w:rPr>
              <w:fldChar w:fldCharType="separate"/>
            </w:r>
            <w:r>
              <w:rPr>
                <w:webHidden/>
              </w:rPr>
              <w:t>3</w:t>
            </w:r>
            <w:r>
              <w:rPr>
                <w:webHidden/>
              </w:rPr>
              <w:fldChar w:fldCharType="end"/>
            </w:r>
          </w:hyperlink>
        </w:p>
        <w:p w:rsidR="00043D9E" w:rsidRDefault="00043D9E">
          <w:pPr>
            <w:pStyle w:val="TOC2"/>
            <w:rPr>
              <w:rFonts w:eastAsiaTheme="minorEastAsia"/>
            </w:rPr>
          </w:pPr>
          <w:hyperlink w:anchor="_Toc228393238" w:history="1">
            <w:r w:rsidRPr="00513DE4">
              <w:rPr>
                <w:rStyle w:val="Hyperlink"/>
              </w:rPr>
              <w:t>1.1 Organisational Context and Overview</w:t>
            </w:r>
            <w:r>
              <w:rPr>
                <w:webHidden/>
              </w:rPr>
              <w:tab/>
            </w:r>
            <w:r>
              <w:rPr>
                <w:webHidden/>
              </w:rPr>
              <w:fldChar w:fldCharType="begin"/>
            </w:r>
            <w:r>
              <w:rPr>
                <w:webHidden/>
              </w:rPr>
              <w:instrText xml:space="preserve"> PAGEREF _Toc228393238 \h </w:instrText>
            </w:r>
            <w:r>
              <w:rPr>
                <w:webHidden/>
              </w:rPr>
            </w:r>
            <w:r>
              <w:rPr>
                <w:webHidden/>
              </w:rPr>
              <w:fldChar w:fldCharType="separate"/>
            </w:r>
            <w:r>
              <w:rPr>
                <w:webHidden/>
              </w:rPr>
              <w:t>3</w:t>
            </w:r>
            <w:r>
              <w:rPr>
                <w:webHidden/>
              </w:rPr>
              <w:fldChar w:fldCharType="end"/>
            </w:r>
          </w:hyperlink>
        </w:p>
        <w:p w:rsidR="00043D9E" w:rsidRDefault="00043D9E">
          <w:pPr>
            <w:pStyle w:val="TOC3"/>
            <w:tabs>
              <w:tab w:val="right" w:leader="dot" w:pos="9350"/>
            </w:tabs>
            <w:rPr>
              <w:rFonts w:eastAsiaTheme="minorEastAsia"/>
              <w:noProof/>
            </w:rPr>
          </w:pPr>
          <w:hyperlink w:anchor="_Toc228393239" w:history="1">
            <w:r w:rsidRPr="00513DE4">
              <w:rPr>
                <w:rStyle w:val="Hyperlink"/>
                <w:noProof/>
              </w:rPr>
              <w:t>Perceptual Map: Positioning of Airbus in the US Market</w:t>
            </w:r>
            <w:r>
              <w:rPr>
                <w:noProof/>
                <w:webHidden/>
              </w:rPr>
              <w:tab/>
            </w:r>
            <w:r>
              <w:rPr>
                <w:noProof/>
                <w:webHidden/>
              </w:rPr>
              <w:fldChar w:fldCharType="begin"/>
            </w:r>
            <w:r>
              <w:rPr>
                <w:noProof/>
                <w:webHidden/>
              </w:rPr>
              <w:instrText xml:space="preserve"> PAGEREF _Toc228393239 \h </w:instrText>
            </w:r>
            <w:r>
              <w:rPr>
                <w:noProof/>
                <w:webHidden/>
              </w:rPr>
            </w:r>
            <w:r>
              <w:rPr>
                <w:noProof/>
                <w:webHidden/>
              </w:rPr>
              <w:fldChar w:fldCharType="separate"/>
            </w:r>
            <w:r>
              <w:rPr>
                <w:noProof/>
                <w:webHidden/>
              </w:rPr>
              <w:t>3</w:t>
            </w:r>
            <w:r>
              <w:rPr>
                <w:noProof/>
                <w:webHidden/>
              </w:rPr>
              <w:fldChar w:fldCharType="end"/>
            </w:r>
          </w:hyperlink>
        </w:p>
        <w:p w:rsidR="00043D9E" w:rsidRDefault="00043D9E">
          <w:pPr>
            <w:pStyle w:val="TOC2"/>
            <w:rPr>
              <w:rFonts w:eastAsiaTheme="minorEastAsia"/>
            </w:rPr>
          </w:pPr>
          <w:hyperlink w:anchor="_Toc228393240" w:history="1">
            <w:r w:rsidRPr="00513DE4">
              <w:rPr>
                <w:rStyle w:val="Hyperlink"/>
              </w:rPr>
              <w:t>2. External and Internal Environment Analysis</w:t>
            </w:r>
            <w:r>
              <w:rPr>
                <w:webHidden/>
              </w:rPr>
              <w:tab/>
            </w:r>
            <w:r>
              <w:rPr>
                <w:webHidden/>
              </w:rPr>
              <w:fldChar w:fldCharType="begin"/>
            </w:r>
            <w:r>
              <w:rPr>
                <w:webHidden/>
              </w:rPr>
              <w:instrText xml:space="preserve"> PAGEREF _Toc228393240 \h </w:instrText>
            </w:r>
            <w:r>
              <w:rPr>
                <w:webHidden/>
              </w:rPr>
            </w:r>
            <w:r>
              <w:rPr>
                <w:webHidden/>
              </w:rPr>
              <w:fldChar w:fldCharType="separate"/>
            </w:r>
            <w:r>
              <w:rPr>
                <w:webHidden/>
              </w:rPr>
              <w:t>4</w:t>
            </w:r>
            <w:r>
              <w:rPr>
                <w:webHidden/>
              </w:rPr>
              <w:fldChar w:fldCharType="end"/>
            </w:r>
          </w:hyperlink>
        </w:p>
        <w:p w:rsidR="00043D9E" w:rsidRDefault="00043D9E">
          <w:pPr>
            <w:pStyle w:val="TOC2"/>
            <w:rPr>
              <w:rFonts w:eastAsiaTheme="minorEastAsia"/>
            </w:rPr>
          </w:pPr>
          <w:hyperlink w:anchor="_Toc228393241" w:history="1">
            <w:r w:rsidRPr="00513DE4">
              <w:rPr>
                <w:rStyle w:val="Hyperlink"/>
              </w:rPr>
              <w:t>2.1 External Environment (PESTEL)</w:t>
            </w:r>
            <w:r>
              <w:rPr>
                <w:webHidden/>
              </w:rPr>
              <w:tab/>
            </w:r>
            <w:r>
              <w:rPr>
                <w:webHidden/>
              </w:rPr>
              <w:fldChar w:fldCharType="begin"/>
            </w:r>
            <w:r>
              <w:rPr>
                <w:webHidden/>
              </w:rPr>
              <w:instrText xml:space="preserve"> PAGEREF _Toc228393241 \h </w:instrText>
            </w:r>
            <w:r>
              <w:rPr>
                <w:webHidden/>
              </w:rPr>
            </w:r>
            <w:r>
              <w:rPr>
                <w:webHidden/>
              </w:rPr>
              <w:fldChar w:fldCharType="separate"/>
            </w:r>
            <w:r>
              <w:rPr>
                <w:webHidden/>
              </w:rPr>
              <w:t>4</w:t>
            </w:r>
            <w:r>
              <w:rPr>
                <w:webHidden/>
              </w:rPr>
              <w:fldChar w:fldCharType="end"/>
            </w:r>
          </w:hyperlink>
        </w:p>
        <w:p w:rsidR="00043D9E" w:rsidRDefault="00043D9E">
          <w:pPr>
            <w:pStyle w:val="TOC2"/>
            <w:rPr>
              <w:rFonts w:eastAsiaTheme="minorEastAsia"/>
            </w:rPr>
          </w:pPr>
          <w:hyperlink w:anchor="_Toc228393242" w:history="1">
            <w:r w:rsidRPr="00513DE4">
              <w:rPr>
                <w:rStyle w:val="Hyperlink"/>
              </w:rPr>
              <w:t>2.2 Strategic Challenges and Critical Success Factors</w:t>
            </w:r>
            <w:r>
              <w:rPr>
                <w:webHidden/>
              </w:rPr>
              <w:tab/>
            </w:r>
            <w:r>
              <w:rPr>
                <w:webHidden/>
              </w:rPr>
              <w:fldChar w:fldCharType="begin"/>
            </w:r>
            <w:r>
              <w:rPr>
                <w:webHidden/>
              </w:rPr>
              <w:instrText xml:space="preserve"> PAGEREF _Toc228393242 \h </w:instrText>
            </w:r>
            <w:r>
              <w:rPr>
                <w:webHidden/>
              </w:rPr>
            </w:r>
            <w:r>
              <w:rPr>
                <w:webHidden/>
              </w:rPr>
              <w:fldChar w:fldCharType="separate"/>
            </w:r>
            <w:r>
              <w:rPr>
                <w:webHidden/>
              </w:rPr>
              <w:t>6</w:t>
            </w:r>
            <w:r>
              <w:rPr>
                <w:webHidden/>
              </w:rPr>
              <w:fldChar w:fldCharType="end"/>
            </w:r>
          </w:hyperlink>
        </w:p>
        <w:p w:rsidR="00043D9E" w:rsidRDefault="00043D9E">
          <w:pPr>
            <w:pStyle w:val="TOC2"/>
            <w:rPr>
              <w:rFonts w:eastAsiaTheme="minorEastAsia"/>
            </w:rPr>
          </w:pPr>
          <w:hyperlink w:anchor="_Toc228393243" w:history="1">
            <w:r w:rsidRPr="00513DE4">
              <w:rPr>
                <w:rStyle w:val="Hyperlink"/>
              </w:rPr>
              <w:t>2.3 Internal Environment: Resources, Capabilities, and Core Competencies</w:t>
            </w:r>
            <w:r>
              <w:rPr>
                <w:webHidden/>
              </w:rPr>
              <w:tab/>
            </w:r>
            <w:r>
              <w:rPr>
                <w:webHidden/>
              </w:rPr>
              <w:fldChar w:fldCharType="begin"/>
            </w:r>
            <w:r>
              <w:rPr>
                <w:webHidden/>
              </w:rPr>
              <w:instrText xml:space="preserve"> PAGEREF _Toc228393243 \h </w:instrText>
            </w:r>
            <w:r>
              <w:rPr>
                <w:webHidden/>
              </w:rPr>
            </w:r>
            <w:r>
              <w:rPr>
                <w:webHidden/>
              </w:rPr>
              <w:fldChar w:fldCharType="separate"/>
            </w:r>
            <w:r>
              <w:rPr>
                <w:webHidden/>
              </w:rPr>
              <w:t>7</w:t>
            </w:r>
            <w:r>
              <w:rPr>
                <w:webHidden/>
              </w:rPr>
              <w:fldChar w:fldCharType="end"/>
            </w:r>
          </w:hyperlink>
        </w:p>
        <w:p w:rsidR="00043D9E" w:rsidRDefault="00043D9E">
          <w:pPr>
            <w:pStyle w:val="TOC2"/>
            <w:rPr>
              <w:rFonts w:eastAsiaTheme="minorEastAsia"/>
            </w:rPr>
          </w:pPr>
          <w:hyperlink w:anchor="_Toc228393244" w:history="1">
            <w:r w:rsidRPr="00513DE4">
              <w:rPr>
                <w:rStyle w:val="Hyperlink"/>
              </w:rPr>
              <w:t>2.4 Strategic Capability Evaluation (VRIO)</w:t>
            </w:r>
            <w:r>
              <w:rPr>
                <w:webHidden/>
              </w:rPr>
              <w:tab/>
            </w:r>
            <w:r>
              <w:rPr>
                <w:webHidden/>
              </w:rPr>
              <w:fldChar w:fldCharType="begin"/>
            </w:r>
            <w:r>
              <w:rPr>
                <w:webHidden/>
              </w:rPr>
              <w:instrText xml:space="preserve"> PAGEREF _Toc228393244 \h </w:instrText>
            </w:r>
            <w:r>
              <w:rPr>
                <w:webHidden/>
              </w:rPr>
            </w:r>
            <w:r>
              <w:rPr>
                <w:webHidden/>
              </w:rPr>
              <w:fldChar w:fldCharType="separate"/>
            </w:r>
            <w:r>
              <w:rPr>
                <w:webHidden/>
              </w:rPr>
              <w:t>8</w:t>
            </w:r>
            <w:r>
              <w:rPr>
                <w:webHidden/>
              </w:rPr>
              <w:fldChar w:fldCharType="end"/>
            </w:r>
          </w:hyperlink>
        </w:p>
        <w:p w:rsidR="00043D9E" w:rsidRDefault="00043D9E">
          <w:pPr>
            <w:pStyle w:val="TOC2"/>
            <w:rPr>
              <w:rFonts w:eastAsiaTheme="minorEastAsia"/>
            </w:rPr>
          </w:pPr>
          <w:hyperlink w:anchor="_Toc228393245" w:history="1">
            <w:r w:rsidRPr="00513DE4">
              <w:rPr>
                <w:rStyle w:val="Hyperlink"/>
              </w:rPr>
              <w:t>2.5 Internal Strengths and Competitive Advantage</w:t>
            </w:r>
            <w:r>
              <w:rPr>
                <w:webHidden/>
              </w:rPr>
              <w:tab/>
            </w:r>
            <w:r>
              <w:rPr>
                <w:webHidden/>
              </w:rPr>
              <w:fldChar w:fldCharType="begin"/>
            </w:r>
            <w:r>
              <w:rPr>
                <w:webHidden/>
              </w:rPr>
              <w:instrText xml:space="preserve"> PAGEREF _Toc228393245 \h </w:instrText>
            </w:r>
            <w:r>
              <w:rPr>
                <w:webHidden/>
              </w:rPr>
            </w:r>
            <w:r>
              <w:rPr>
                <w:webHidden/>
              </w:rPr>
              <w:fldChar w:fldCharType="separate"/>
            </w:r>
            <w:r>
              <w:rPr>
                <w:webHidden/>
              </w:rPr>
              <w:t>9</w:t>
            </w:r>
            <w:r>
              <w:rPr>
                <w:webHidden/>
              </w:rPr>
              <w:fldChar w:fldCharType="end"/>
            </w:r>
          </w:hyperlink>
        </w:p>
        <w:p w:rsidR="00043D9E" w:rsidRDefault="00043D9E">
          <w:pPr>
            <w:pStyle w:val="TOC3"/>
            <w:tabs>
              <w:tab w:val="right" w:leader="dot" w:pos="9350"/>
            </w:tabs>
            <w:rPr>
              <w:rFonts w:eastAsiaTheme="minorEastAsia"/>
              <w:noProof/>
            </w:rPr>
          </w:pPr>
          <w:hyperlink w:anchor="_Toc228393246" w:history="1">
            <w:r w:rsidRPr="00513DE4">
              <w:rPr>
                <w:rStyle w:val="Hyperlink"/>
                <w:noProof/>
              </w:rPr>
              <w:t>2.5.1 How Airbus’s internal strengths contribute to competitive advantage</w:t>
            </w:r>
            <w:r>
              <w:rPr>
                <w:noProof/>
                <w:webHidden/>
              </w:rPr>
              <w:tab/>
            </w:r>
            <w:r>
              <w:rPr>
                <w:noProof/>
                <w:webHidden/>
              </w:rPr>
              <w:fldChar w:fldCharType="begin"/>
            </w:r>
            <w:r>
              <w:rPr>
                <w:noProof/>
                <w:webHidden/>
              </w:rPr>
              <w:instrText xml:space="preserve"> PAGEREF _Toc228393246 \h </w:instrText>
            </w:r>
            <w:r>
              <w:rPr>
                <w:noProof/>
                <w:webHidden/>
              </w:rPr>
            </w:r>
            <w:r>
              <w:rPr>
                <w:noProof/>
                <w:webHidden/>
              </w:rPr>
              <w:fldChar w:fldCharType="separate"/>
            </w:r>
            <w:r>
              <w:rPr>
                <w:noProof/>
                <w:webHidden/>
              </w:rPr>
              <w:t>9</w:t>
            </w:r>
            <w:r>
              <w:rPr>
                <w:noProof/>
                <w:webHidden/>
              </w:rPr>
              <w:fldChar w:fldCharType="end"/>
            </w:r>
          </w:hyperlink>
        </w:p>
        <w:p w:rsidR="00043D9E" w:rsidRDefault="00043D9E">
          <w:pPr>
            <w:pStyle w:val="TOC2"/>
            <w:rPr>
              <w:rFonts w:eastAsiaTheme="minorEastAsia"/>
            </w:rPr>
          </w:pPr>
          <w:hyperlink w:anchor="_Toc228393247" w:history="1">
            <w:r w:rsidRPr="00513DE4">
              <w:rPr>
                <w:rStyle w:val="Hyperlink"/>
              </w:rPr>
              <w:t>3. CSR and Sustainability Strategy</w:t>
            </w:r>
            <w:r>
              <w:rPr>
                <w:webHidden/>
              </w:rPr>
              <w:tab/>
            </w:r>
            <w:r>
              <w:rPr>
                <w:webHidden/>
              </w:rPr>
              <w:fldChar w:fldCharType="begin"/>
            </w:r>
            <w:r>
              <w:rPr>
                <w:webHidden/>
              </w:rPr>
              <w:instrText xml:space="preserve"> PAGEREF _Toc228393247 \h </w:instrText>
            </w:r>
            <w:r>
              <w:rPr>
                <w:webHidden/>
              </w:rPr>
            </w:r>
            <w:r>
              <w:rPr>
                <w:webHidden/>
              </w:rPr>
              <w:fldChar w:fldCharType="separate"/>
            </w:r>
            <w:r>
              <w:rPr>
                <w:webHidden/>
              </w:rPr>
              <w:t>10</w:t>
            </w:r>
            <w:r>
              <w:rPr>
                <w:webHidden/>
              </w:rPr>
              <w:fldChar w:fldCharType="end"/>
            </w:r>
          </w:hyperlink>
        </w:p>
        <w:p w:rsidR="00043D9E" w:rsidRDefault="00043D9E">
          <w:pPr>
            <w:pStyle w:val="TOC2"/>
            <w:rPr>
              <w:rFonts w:eastAsiaTheme="minorEastAsia"/>
            </w:rPr>
          </w:pPr>
          <w:hyperlink w:anchor="_Toc228393248" w:history="1">
            <w:r w:rsidRPr="00513DE4">
              <w:rPr>
                <w:rStyle w:val="Hyperlink"/>
              </w:rPr>
              <w:t>4. Comprehensive and Holistic View: Balanced Scorecard</w:t>
            </w:r>
            <w:r>
              <w:rPr>
                <w:webHidden/>
              </w:rPr>
              <w:tab/>
            </w:r>
            <w:r>
              <w:rPr>
                <w:webHidden/>
              </w:rPr>
              <w:fldChar w:fldCharType="begin"/>
            </w:r>
            <w:r>
              <w:rPr>
                <w:webHidden/>
              </w:rPr>
              <w:instrText xml:space="preserve"> PAGEREF _Toc228393248 \h </w:instrText>
            </w:r>
            <w:r>
              <w:rPr>
                <w:webHidden/>
              </w:rPr>
            </w:r>
            <w:r>
              <w:rPr>
                <w:webHidden/>
              </w:rPr>
              <w:fldChar w:fldCharType="separate"/>
            </w:r>
            <w:r>
              <w:rPr>
                <w:webHidden/>
              </w:rPr>
              <w:t>11</w:t>
            </w:r>
            <w:r>
              <w:rPr>
                <w:webHidden/>
              </w:rPr>
              <w:fldChar w:fldCharType="end"/>
            </w:r>
          </w:hyperlink>
        </w:p>
        <w:p w:rsidR="00043D9E" w:rsidRDefault="00043D9E">
          <w:pPr>
            <w:pStyle w:val="TOC2"/>
            <w:rPr>
              <w:rFonts w:eastAsiaTheme="minorEastAsia"/>
            </w:rPr>
          </w:pPr>
          <w:hyperlink w:anchor="_Toc228393249" w:history="1">
            <w:r w:rsidRPr="00513DE4">
              <w:rPr>
                <w:rStyle w:val="Hyperlink"/>
              </w:rPr>
              <w:t>5. Strategic Choices and Implementation</w:t>
            </w:r>
            <w:r>
              <w:rPr>
                <w:webHidden/>
              </w:rPr>
              <w:tab/>
            </w:r>
            <w:r>
              <w:rPr>
                <w:webHidden/>
              </w:rPr>
              <w:fldChar w:fldCharType="begin"/>
            </w:r>
            <w:r>
              <w:rPr>
                <w:webHidden/>
              </w:rPr>
              <w:instrText xml:space="preserve"> PAGEREF _Toc228393249 \h </w:instrText>
            </w:r>
            <w:r>
              <w:rPr>
                <w:webHidden/>
              </w:rPr>
            </w:r>
            <w:r>
              <w:rPr>
                <w:webHidden/>
              </w:rPr>
              <w:fldChar w:fldCharType="separate"/>
            </w:r>
            <w:r>
              <w:rPr>
                <w:webHidden/>
              </w:rPr>
              <w:t>13</w:t>
            </w:r>
            <w:r>
              <w:rPr>
                <w:webHidden/>
              </w:rPr>
              <w:fldChar w:fldCharType="end"/>
            </w:r>
          </w:hyperlink>
        </w:p>
        <w:p w:rsidR="00043D9E" w:rsidRDefault="00043D9E">
          <w:pPr>
            <w:pStyle w:val="TOC3"/>
            <w:tabs>
              <w:tab w:val="right" w:leader="dot" w:pos="9350"/>
            </w:tabs>
            <w:rPr>
              <w:rFonts w:eastAsiaTheme="minorEastAsia"/>
              <w:noProof/>
            </w:rPr>
          </w:pPr>
          <w:hyperlink w:anchor="_Toc228393250" w:history="1">
            <w:r w:rsidRPr="00513DE4">
              <w:rPr>
                <w:rStyle w:val="Hyperlink"/>
                <w:noProof/>
              </w:rPr>
              <w:t>5.1 Evaluation of Business</w:t>
            </w:r>
            <w:r w:rsidRPr="00513DE4">
              <w:rPr>
                <w:rStyle w:val="Hyperlink"/>
                <w:rFonts w:ascii="Cambria Math" w:hAnsi="Cambria Math" w:cs="Cambria Math"/>
                <w:noProof/>
              </w:rPr>
              <w:t>‑</w:t>
            </w:r>
            <w:r w:rsidRPr="00513DE4">
              <w:rPr>
                <w:rStyle w:val="Hyperlink"/>
                <w:noProof/>
              </w:rPr>
              <w:t>Level Strategic Choices</w:t>
            </w:r>
            <w:r>
              <w:rPr>
                <w:noProof/>
                <w:webHidden/>
              </w:rPr>
              <w:tab/>
            </w:r>
            <w:r>
              <w:rPr>
                <w:noProof/>
                <w:webHidden/>
              </w:rPr>
              <w:fldChar w:fldCharType="begin"/>
            </w:r>
            <w:r>
              <w:rPr>
                <w:noProof/>
                <w:webHidden/>
              </w:rPr>
              <w:instrText xml:space="preserve"> PAGEREF _Toc228393250 \h </w:instrText>
            </w:r>
            <w:r>
              <w:rPr>
                <w:noProof/>
                <w:webHidden/>
              </w:rPr>
            </w:r>
            <w:r>
              <w:rPr>
                <w:noProof/>
                <w:webHidden/>
              </w:rPr>
              <w:fldChar w:fldCharType="separate"/>
            </w:r>
            <w:r>
              <w:rPr>
                <w:noProof/>
                <w:webHidden/>
              </w:rPr>
              <w:t>13</w:t>
            </w:r>
            <w:r>
              <w:rPr>
                <w:noProof/>
                <w:webHidden/>
              </w:rPr>
              <w:fldChar w:fldCharType="end"/>
            </w:r>
          </w:hyperlink>
        </w:p>
        <w:p w:rsidR="00043D9E" w:rsidRDefault="00043D9E">
          <w:pPr>
            <w:pStyle w:val="TOC3"/>
            <w:tabs>
              <w:tab w:val="right" w:leader="dot" w:pos="9350"/>
            </w:tabs>
            <w:rPr>
              <w:rFonts w:eastAsiaTheme="minorEastAsia"/>
              <w:noProof/>
            </w:rPr>
          </w:pPr>
          <w:hyperlink w:anchor="_Toc228393251" w:history="1">
            <w:r w:rsidRPr="00513DE4">
              <w:rPr>
                <w:rStyle w:val="Hyperlink"/>
                <w:noProof/>
              </w:rPr>
              <w:t>5.2 Evaluation of Corporate</w:t>
            </w:r>
            <w:r w:rsidRPr="00513DE4">
              <w:rPr>
                <w:rStyle w:val="Hyperlink"/>
                <w:rFonts w:ascii="Cambria Math" w:hAnsi="Cambria Math" w:cs="Cambria Math"/>
                <w:noProof/>
              </w:rPr>
              <w:t>‑</w:t>
            </w:r>
            <w:r w:rsidRPr="00513DE4">
              <w:rPr>
                <w:rStyle w:val="Hyperlink"/>
                <w:noProof/>
              </w:rPr>
              <w:t>Level Strategic Choices</w:t>
            </w:r>
            <w:r>
              <w:rPr>
                <w:noProof/>
                <w:webHidden/>
              </w:rPr>
              <w:tab/>
            </w:r>
            <w:r>
              <w:rPr>
                <w:noProof/>
                <w:webHidden/>
              </w:rPr>
              <w:fldChar w:fldCharType="begin"/>
            </w:r>
            <w:r>
              <w:rPr>
                <w:noProof/>
                <w:webHidden/>
              </w:rPr>
              <w:instrText xml:space="preserve"> PAGEREF _Toc228393251 \h </w:instrText>
            </w:r>
            <w:r>
              <w:rPr>
                <w:noProof/>
                <w:webHidden/>
              </w:rPr>
            </w:r>
            <w:r>
              <w:rPr>
                <w:noProof/>
                <w:webHidden/>
              </w:rPr>
              <w:fldChar w:fldCharType="separate"/>
            </w:r>
            <w:r>
              <w:rPr>
                <w:noProof/>
                <w:webHidden/>
              </w:rPr>
              <w:t>14</w:t>
            </w:r>
            <w:r>
              <w:rPr>
                <w:noProof/>
                <w:webHidden/>
              </w:rPr>
              <w:fldChar w:fldCharType="end"/>
            </w:r>
          </w:hyperlink>
        </w:p>
        <w:p w:rsidR="00043D9E" w:rsidRDefault="00043D9E">
          <w:pPr>
            <w:pStyle w:val="TOC3"/>
            <w:tabs>
              <w:tab w:val="right" w:leader="dot" w:pos="9350"/>
            </w:tabs>
            <w:rPr>
              <w:rFonts w:eastAsiaTheme="minorEastAsia"/>
              <w:noProof/>
            </w:rPr>
          </w:pPr>
          <w:hyperlink w:anchor="_Toc228393252" w:history="1">
            <w:r w:rsidRPr="00513DE4">
              <w:rPr>
                <w:rStyle w:val="Hyperlink"/>
                <w:noProof/>
              </w:rPr>
              <w:t>5.3 Critical Assessment of Change Management – Lewin’s Freeze Model</w:t>
            </w:r>
            <w:r>
              <w:rPr>
                <w:noProof/>
                <w:webHidden/>
              </w:rPr>
              <w:tab/>
            </w:r>
            <w:r>
              <w:rPr>
                <w:noProof/>
                <w:webHidden/>
              </w:rPr>
              <w:fldChar w:fldCharType="begin"/>
            </w:r>
            <w:r>
              <w:rPr>
                <w:noProof/>
                <w:webHidden/>
              </w:rPr>
              <w:instrText xml:space="preserve"> PAGEREF _Toc228393252 \h </w:instrText>
            </w:r>
            <w:r>
              <w:rPr>
                <w:noProof/>
                <w:webHidden/>
              </w:rPr>
            </w:r>
            <w:r>
              <w:rPr>
                <w:noProof/>
                <w:webHidden/>
              </w:rPr>
              <w:fldChar w:fldCharType="separate"/>
            </w:r>
            <w:r>
              <w:rPr>
                <w:noProof/>
                <w:webHidden/>
              </w:rPr>
              <w:t>14</w:t>
            </w:r>
            <w:r>
              <w:rPr>
                <w:noProof/>
                <w:webHidden/>
              </w:rPr>
              <w:fldChar w:fldCharType="end"/>
            </w:r>
          </w:hyperlink>
        </w:p>
        <w:p w:rsidR="00043D9E" w:rsidRDefault="00043D9E">
          <w:pPr>
            <w:pStyle w:val="TOC3"/>
            <w:tabs>
              <w:tab w:val="right" w:leader="dot" w:pos="9350"/>
            </w:tabs>
            <w:rPr>
              <w:rFonts w:eastAsiaTheme="minorEastAsia"/>
              <w:noProof/>
            </w:rPr>
          </w:pPr>
          <w:hyperlink w:anchor="_Toc228393253" w:history="1">
            <w:r w:rsidRPr="00513DE4">
              <w:rPr>
                <w:rStyle w:val="Hyperlink"/>
                <w:noProof/>
              </w:rPr>
              <w:t>5.4 Critical Assessment of Impact on Strategic Implementation:</w:t>
            </w:r>
            <w:r>
              <w:rPr>
                <w:noProof/>
                <w:webHidden/>
              </w:rPr>
              <w:tab/>
            </w:r>
            <w:r>
              <w:rPr>
                <w:noProof/>
                <w:webHidden/>
              </w:rPr>
              <w:fldChar w:fldCharType="begin"/>
            </w:r>
            <w:r>
              <w:rPr>
                <w:noProof/>
                <w:webHidden/>
              </w:rPr>
              <w:instrText xml:space="preserve"> PAGEREF _Toc228393253 \h </w:instrText>
            </w:r>
            <w:r>
              <w:rPr>
                <w:noProof/>
                <w:webHidden/>
              </w:rPr>
            </w:r>
            <w:r>
              <w:rPr>
                <w:noProof/>
                <w:webHidden/>
              </w:rPr>
              <w:fldChar w:fldCharType="separate"/>
            </w:r>
            <w:r>
              <w:rPr>
                <w:noProof/>
                <w:webHidden/>
              </w:rPr>
              <w:t>15</w:t>
            </w:r>
            <w:r>
              <w:rPr>
                <w:noProof/>
                <w:webHidden/>
              </w:rPr>
              <w:fldChar w:fldCharType="end"/>
            </w:r>
          </w:hyperlink>
        </w:p>
        <w:p w:rsidR="00043D9E" w:rsidRDefault="00043D9E">
          <w:pPr>
            <w:pStyle w:val="TOC2"/>
            <w:rPr>
              <w:rFonts w:eastAsiaTheme="minorEastAsia"/>
            </w:rPr>
          </w:pPr>
          <w:hyperlink w:anchor="_Toc228393254" w:history="1">
            <w:r w:rsidRPr="00513DE4">
              <w:rPr>
                <w:rStyle w:val="Hyperlink"/>
              </w:rPr>
              <w:t>6. Strategic Evaluation and Recommendations – Ansoff Matrix Analysis</w:t>
            </w:r>
            <w:r>
              <w:rPr>
                <w:webHidden/>
              </w:rPr>
              <w:tab/>
            </w:r>
            <w:r>
              <w:rPr>
                <w:webHidden/>
              </w:rPr>
              <w:fldChar w:fldCharType="begin"/>
            </w:r>
            <w:r>
              <w:rPr>
                <w:webHidden/>
              </w:rPr>
              <w:instrText xml:space="preserve"> PAGEREF _Toc228393254 \h </w:instrText>
            </w:r>
            <w:r>
              <w:rPr>
                <w:webHidden/>
              </w:rPr>
            </w:r>
            <w:r>
              <w:rPr>
                <w:webHidden/>
              </w:rPr>
              <w:fldChar w:fldCharType="separate"/>
            </w:r>
            <w:r>
              <w:rPr>
                <w:webHidden/>
              </w:rPr>
              <w:t>15</w:t>
            </w:r>
            <w:r>
              <w:rPr>
                <w:webHidden/>
              </w:rPr>
              <w:fldChar w:fldCharType="end"/>
            </w:r>
          </w:hyperlink>
        </w:p>
        <w:p w:rsidR="00043D9E" w:rsidRDefault="00043D9E">
          <w:pPr>
            <w:pStyle w:val="TOC3"/>
            <w:tabs>
              <w:tab w:val="right" w:leader="dot" w:pos="9350"/>
            </w:tabs>
            <w:rPr>
              <w:rFonts w:eastAsiaTheme="minorEastAsia"/>
              <w:noProof/>
            </w:rPr>
          </w:pPr>
          <w:hyperlink w:anchor="_Toc228393255" w:history="1">
            <w:r w:rsidRPr="00513DE4">
              <w:rPr>
                <w:rStyle w:val="Hyperlink"/>
                <w:noProof/>
              </w:rPr>
              <w:t>6.1 Evaluation of Airbus USA’s Current Strategy Using Ansoff Matrix</w:t>
            </w:r>
            <w:r>
              <w:rPr>
                <w:noProof/>
                <w:webHidden/>
              </w:rPr>
              <w:tab/>
            </w:r>
            <w:r>
              <w:rPr>
                <w:noProof/>
                <w:webHidden/>
              </w:rPr>
              <w:fldChar w:fldCharType="begin"/>
            </w:r>
            <w:r>
              <w:rPr>
                <w:noProof/>
                <w:webHidden/>
              </w:rPr>
              <w:instrText xml:space="preserve"> PAGEREF _Toc228393255 \h </w:instrText>
            </w:r>
            <w:r>
              <w:rPr>
                <w:noProof/>
                <w:webHidden/>
              </w:rPr>
            </w:r>
            <w:r>
              <w:rPr>
                <w:noProof/>
                <w:webHidden/>
              </w:rPr>
              <w:fldChar w:fldCharType="separate"/>
            </w:r>
            <w:r>
              <w:rPr>
                <w:noProof/>
                <w:webHidden/>
              </w:rPr>
              <w:t>16</w:t>
            </w:r>
            <w:r>
              <w:rPr>
                <w:noProof/>
                <w:webHidden/>
              </w:rPr>
              <w:fldChar w:fldCharType="end"/>
            </w:r>
          </w:hyperlink>
        </w:p>
        <w:p w:rsidR="00043D9E" w:rsidRDefault="00043D9E">
          <w:pPr>
            <w:pStyle w:val="TOC3"/>
            <w:tabs>
              <w:tab w:val="right" w:leader="dot" w:pos="9350"/>
            </w:tabs>
            <w:rPr>
              <w:rFonts w:eastAsiaTheme="minorEastAsia"/>
              <w:noProof/>
            </w:rPr>
          </w:pPr>
          <w:hyperlink w:anchor="_Toc228393256" w:history="1">
            <w:r w:rsidRPr="00513DE4">
              <w:rPr>
                <w:rStyle w:val="Hyperlink"/>
                <w:noProof/>
              </w:rPr>
              <w:t>6.2 Recommendation:</w:t>
            </w:r>
            <w:r>
              <w:rPr>
                <w:noProof/>
                <w:webHidden/>
              </w:rPr>
              <w:tab/>
            </w:r>
            <w:r>
              <w:rPr>
                <w:noProof/>
                <w:webHidden/>
              </w:rPr>
              <w:fldChar w:fldCharType="begin"/>
            </w:r>
            <w:r>
              <w:rPr>
                <w:noProof/>
                <w:webHidden/>
              </w:rPr>
              <w:instrText xml:space="preserve"> PAGEREF _Toc228393256 \h </w:instrText>
            </w:r>
            <w:r>
              <w:rPr>
                <w:noProof/>
                <w:webHidden/>
              </w:rPr>
            </w:r>
            <w:r>
              <w:rPr>
                <w:noProof/>
                <w:webHidden/>
              </w:rPr>
              <w:fldChar w:fldCharType="separate"/>
            </w:r>
            <w:r>
              <w:rPr>
                <w:noProof/>
                <w:webHidden/>
              </w:rPr>
              <w:t>16</w:t>
            </w:r>
            <w:r>
              <w:rPr>
                <w:noProof/>
                <w:webHidden/>
              </w:rPr>
              <w:fldChar w:fldCharType="end"/>
            </w:r>
          </w:hyperlink>
        </w:p>
        <w:p w:rsidR="00043D9E" w:rsidRDefault="00043D9E">
          <w:pPr>
            <w:pStyle w:val="TOC3"/>
            <w:tabs>
              <w:tab w:val="right" w:leader="dot" w:pos="9350"/>
            </w:tabs>
            <w:rPr>
              <w:rFonts w:eastAsiaTheme="minorEastAsia"/>
              <w:noProof/>
            </w:rPr>
          </w:pPr>
          <w:hyperlink w:anchor="_Toc228393257" w:history="1">
            <w:r w:rsidRPr="00513DE4">
              <w:rPr>
                <w:rStyle w:val="Hyperlink"/>
                <w:noProof/>
              </w:rPr>
              <w:t>6.3 Justification with theory and real-world examples:</w:t>
            </w:r>
            <w:r>
              <w:rPr>
                <w:noProof/>
                <w:webHidden/>
              </w:rPr>
              <w:tab/>
            </w:r>
            <w:r>
              <w:rPr>
                <w:noProof/>
                <w:webHidden/>
              </w:rPr>
              <w:fldChar w:fldCharType="begin"/>
            </w:r>
            <w:r>
              <w:rPr>
                <w:noProof/>
                <w:webHidden/>
              </w:rPr>
              <w:instrText xml:space="preserve"> PAGEREF _Toc228393257 \h </w:instrText>
            </w:r>
            <w:r>
              <w:rPr>
                <w:noProof/>
                <w:webHidden/>
              </w:rPr>
            </w:r>
            <w:r>
              <w:rPr>
                <w:noProof/>
                <w:webHidden/>
              </w:rPr>
              <w:fldChar w:fldCharType="separate"/>
            </w:r>
            <w:r>
              <w:rPr>
                <w:noProof/>
                <w:webHidden/>
              </w:rPr>
              <w:t>17</w:t>
            </w:r>
            <w:r>
              <w:rPr>
                <w:noProof/>
                <w:webHidden/>
              </w:rPr>
              <w:fldChar w:fldCharType="end"/>
            </w:r>
          </w:hyperlink>
        </w:p>
        <w:p w:rsidR="00043D9E" w:rsidRDefault="00043D9E">
          <w:pPr>
            <w:pStyle w:val="TOC1"/>
            <w:rPr>
              <w:rFonts w:asciiTheme="minorHAnsi" w:eastAsiaTheme="minorEastAsia" w:hAnsiTheme="minorHAnsi" w:cstheme="minorBidi"/>
              <w:b w:val="0"/>
            </w:rPr>
          </w:pPr>
          <w:hyperlink w:anchor="_Toc228393258" w:history="1">
            <w:r w:rsidRPr="00513DE4">
              <w:rPr>
                <w:rStyle w:val="Hyperlink"/>
              </w:rPr>
              <w:t>Section 2: Reflective Account Using Gibbs’ Reflective Cycle</w:t>
            </w:r>
            <w:r>
              <w:rPr>
                <w:webHidden/>
              </w:rPr>
              <w:tab/>
            </w:r>
            <w:r>
              <w:rPr>
                <w:webHidden/>
              </w:rPr>
              <w:fldChar w:fldCharType="begin"/>
            </w:r>
            <w:r>
              <w:rPr>
                <w:webHidden/>
              </w:rPr>
              <w:instrText xml:space="preserve"> PAGEREF _Toc228393258 \h </w:instrText>
            </w:r>
            <w:r>
              <w:rPr>
                <w:webHidden/>
              </w:rPr>
            </w:r>
            <w:r>
              <w:rPr>
                <w:webHidden/>
              </w:rPr>
              <w:fldChar w:fldCharType="separate"/>
            </w:r>
            <w:r>
              <w:rPr>
                <w:webHidden/>
              </w:rPr>
              <w:t>18</w:t>
            </w:r>
            <w:r>
              <w:rPr>
                <w:webHidden/>
              </w:rPr>
              <w:fldChar w:fldCharType="end"/>
            </w:r>
          </w:hyperlink>
        </w:p>
        <w:p w:rsidR="00043D9E" w:rsidRDefault="00043D9E">
          <w:pPr>
            <w:pStyle w:val="TOC2"/>
            <w:rPr>
              <w:rFonts w:eastAsiaTheme="minorEastAsia"/>
            </w:rPr>
          </w:pPr>
          <w:hyperlink w:anchor="_Toc228393259" w:history="1">
            <w:r w:rsidRPr="00513DE4">
              <w:rPr>
                <w:rStyle w:val="Hyperlink"/>
              </w:rPr>
              <w:t>1. Description</w:t>
            </w:r>
            <w:r>
              <w:rPr>
                <w:webHidden/>
              </w:rPr>
              <w:tab/>
            </w:r>
            <w:r>
              <w:rPr>
                <w:webHidden/>
              </w:rPr>
              <w:fldChar w:fldCharType="begin"/>
            </w:r>
            <w:r>
              <w:rPr>
                <w:webHidden/>
              </w:rPr>
              <w:instrText xml:space="preserve"> PAGEREF _Toc228393259 \h </w:instrText>
            </w:r>
            <w:r>
              <w:rPr>
                <w:webHidden/>
              </w:rPr>
            </w:r>
            <w:r>
              <w:rPr>
                <w:webHidden/>
              </w:rPr>
              <w:fldChar w:fldCharType="separate"/>
            </w:r>
            <w:r>
              <w:rPr>
                <w:webHidden/>
              </w:rPr>
              <w:t>18</w:t>
            </w:r>
            <w:r>
              <w:rPr>
                <w:webHidden/>
              </w:rPr>
              <w:fldChar w:fldCharType="end"/>
            </w:r>
          </w:hyperlink>
        </w:p>
        <w:p w:rsidR="00043D9E" w:rsidRDefault="00043D9E">
          <w:pPr>
            <w:pStyle w:val="TOC2"/>
            <w:rPr>
              <w:rFonts w:eastAsiaTheme="minorEastAsia"/>
            </w:rPr>
          </w:pPr>
          <w:hyperlink w:anchor="_Toc228393260" w:history="1">
            <w:r w:rsidRPr="00513DE4">
              <w:rPr>
                <w:rStyle w:val="Hyperlink"/>
              </w:rPr>
              <w:t>2. Feelings</w:t>
            </w:r>
            <w:r>
              <w:rPr>
                <w:webHidden/>
              </w:rPr>
              <w:tab/>
            </w:r>
            <w:r>
              <w:rPr>
                <w:webHidden/>
              </w:rPr>
              <w:fldChar w:fldCharType="begin"/>
            </w:r>
            <w:r>
              <w:rPr>
                <w:webHidden/>
              </w:rPr>
              <w:instrText xml:space="preserve"> PAGEREF _Toc228393260 \h </w:instrText>
            </w:r>
            <w:r>
              <w:rPr>
                <w:webHidden/>
              </w:rPr>
            </w:r>
            <w:r>
              <w:rPr>
                <w:webHidden/>
              </w:rPr>
              <w:fldChar w:fldCharType="separate"/>
            </w:r>
            <w:r>
              <w:rPr>
                <w:webHidden/>
              </w:rPr>
              <w:t>19</w:t>
            </w:r>
            <w:r>
              <w:rPr>
                <w:webHidden/>
              </w:rPr>
              <w:fldChar w:fldCharType="end"/>
            </w:r>
          </w:hyperlink>
        </w:p>
        <w:p w:rsidR="00043D9E" w:rsidRDefault="00043D9E">
          <w:pPr>
            <w:pStyle w:val="TOC2"/>
            <w:rPr>
              <w:rFonts w:eastAsiaTheme="minorEastAsia"/>
            </w:rPr>
          </w:pPr>
          <w:hyperlink w:anchor="_Toc228393261" w:history="1">
            <w:r w:rsidRPr="00513DE4">
              <w:rPr>
                <w:rStyle w:val="Hyperlink"/>
              </w:rPr>
              <w:t>3. Evaluation (What went well and what went poorly)</w:t>
            </w:r>
            <w:r>
              <w:rPr>
                <w:webHidden/>
              </w:rPr>
              <w:tab/>
            </w:r>
            <w:r>
              <w:rPr>
                <w:webHidden/>
              </w:rPr>
              <w:fldChar w:fldCharType="begin"/>
            </w:r>
            <w:r>
              <w:rPr>
                <w:webHidden/>
              </w:rPr>
              <w:instrText xml:space="preserve"> PAGEREF _Toc228393261 \h </w:instrText>
            </w:r>
            <w:r>
              <w:rPr>
                <w:webHidden/>
              </w:rPr>
            </w:r>
            <w:r>
              <w:rPr>
                <w:webHidden/>
              </w:rPr>
              <w:fldChar w:fldCharType="separate"/>
            </w:r>
            <w:r>
              <w:rPr>
                <w:webHidden/>
              </w:rPr>
              <w:t>19</w:t>
            </w:r>
            <w:r>
              <w:rPr>
                <w:webHidden/>
              </w:rPr>
              <w:fldChar w:fldCharType="end"/>
            </w:r>
          </w:hyperlink>
        </w:p>
        <w:p w:rsidR="00043D9E" w:rsidRDefault="00043D9E">
          <w:pPr>
            <w:pStyle w:val="TOC2"/>
            <w:rPr>
              <w:rFonts w:eastAsiaTheme="minorEastAsia"/>
            </w:rPr>
          </w:pPr>
          <w:hyperlink w:anchor="_Toc228393262" w:history="1">
            <w:r w:rsidRPr="00513DE4">
              <w:rPr>
                <w:rStyle w:val="Hyperlink"/>
              </w:rPr>
              <w:t>4. Analysis</w:t>
            </w:r>
            <w:r>
              <w:rPr>
                <w:webHidden/>
              </w:rPr>
              <w:tab/>
            </w:r>
            <w:r>
              <w:rPr>
                <w:webHidden/>
              </w:rPr>
              <w:fldChar w:fldCharType="begin"/>
            </w:r>
            <w:r>
              <w:rPr>
                <w:webHidden/>
              </w:rPr>
              <w:instrText xml:space="preserve"> PAGEREF _Toc228393262 \h </w:instrText>
            </w:r>
            <w:r>
              <w:rPr>
                <w:webHidden/>
              </w:rPr>
            </w:r>
            <w:r>
              <w:rPr>
                <w:webHidden/>
              </w:rPr>
              <w:fldChar w:fldCharType="separate"/>
            </w:r>
            <w:r>
              <w:rPr>
                <w:webHidden/>
              </w:rPr>
              <w:t>20</w:t>
            </w:r>
            <w:r>
              <w:rPr>
                <w:webHidden/>
              </w:rPr>
              <w:fldChar w:fldCharType="end"/>
            </w:r>
          </w:hyperlink>
        </w:p>
        <w:p w:rsidR="00043D9E" w:rsidRDefault="00043D9E">
          <w:pPr>
            <w:pStyle w:val="TOC2"/>
            <w:rPr>
              <w:rFonts w:eastAsiaTheme="minorEastAsia"/>
            </w:rPr>
          </w:pPr>
          <w:hyperlink w:anchor="_Toc228393263" w:history="1">
            <w:r w:rsidRPr="00513DE4">
              <w:rPr>
                <w:rStyle w:val="Hyperlink"/>
              </w:rPr>
              <w:t>5. Conclusion (What else could I have done?)</w:t>
            </w:r>
            <w:r>
              <w:rPr>
                <w:webHidden/>
              </w:rPr>
              <w:tab/>
            </w:r>
            <w:r>
              <w:rPr>
                <w:webHidden/>
              </w:rPr>
              <w:fldChar w:fldCharType="begin"/>
            </w:r>
            <w:r>
              <w:rPr>
                <w:webHidden/>
              </w:rPr>
              <w:instrText xml:space="preserve"> PAGEREF _Toc228393263 \h </w:instrText>
            </w:r>
            <w:r>
              <w:rPr>
                <w:webHidden/>
              </w:rPr>
            </w:r>
            <w:r>
              <w:rPr>
                <w:webHidden/>
              </w:rPr>
              <w:fldChar w:fldCharType="separate"/>
            </w:r>
            <w:r>
              <w:rPr>
                <w:webHidden/>
              </w:rPr>
              <w:t>20</w:t>
            </w:r>
            <w:r>
              <w:rPr>
                <w:webHidden/>
              </w:rPr>
              <w:fldChar w:fldCharType="end"/>
            </w:r>
          </w:hyperlink>
        </w:p>
        <w:p w:rsidR="00043D9E" w:rsidRDefault="00043D9E">
          <w:pPr>
            <w:pStyle w:val="TOC2"/>
            <w:rPr>
              <w:rFonts w:eastAsiaTheme="minorEastAsia"/>
            </w:rPr>
          </w:pPr>
          <w:hyperlink w:anchor="_Toc228393264" w:history="1">
            <w:r w:rsidRPr="00513DE4">
              <w:rPr>
                <w:rStyle w:val="Hyperlink"/>
              </w:rPr>
              <w:t>6. Action Plan (What will I do differently?)</w:t>
            </w:r>
            <w:r>
              <w:rPr>
                <w:webHidden/>
              </w:rPr>
              <w:tab/>
            </w:r>
            <w:r>
              <w:rPr>
                <w:webHidden/>
              </w:rPr>
              <w:fldChar w:fldCharType="begin"/>
            </w:r>
            <w:r>
              <w:rPr>
                <w:webHidden/>
              </w:rPr>
              <w:instrText xml:space="preserve"> PAGEREF _Toc228393264 \h </w:instrText>
            </w:r>
            <w:r>
              <w:rPr>
                <w:webHidden/>
              </w:rPr>
            </w:r>
            <w:r>
              <w:rPr>
                <w:webHidden/>
              </w:rPr>
              <w:fldChar w:fldCharType="separate"/>
            </w:r>
            <w:r>
              <w:rPr>
                <w:webHidden/>
              </w:rPr>
              <w:t>20</w:t>
            </w:r>
            <w:r>
              <w:rPr>
                <w:webHidden/>
              </w:rPr>
              <w:fldChar w:fldCharType="end"/>
            </w:r>
          </w:hyperlink>
        </w:p>
        <w:p w:rsidR="00043D9E" w:rsidRDefault="00043D9E">
          <w:pPr>
            <w:pStyle w:val="TOC1"/>
            <w:rPr>
              <w:rFonts w:asciiTheme="minorHAnsi" w:eastAsiaTheme="minorEastAsia" w:hAnsiTheme="minorHAnsi" w:cstheme="minorBidi"/>
              <w:b w:val="0"/>
            </w:rPr>
          </w:pPr>
          <w:hyperlink w:anchor="_Toc228393265" w:history="1">
            <w:r w:rsidRPr="00513DE4">
              <w:rPr>
                <w:rStyle w:val="Hyperlink"/>
              </w:rPr>
              <w:t>Conclusion</w:t>
            </w:r>
            <w:r>
              <w:rPr>
                <w:webHidden/>
              </w:rPr>
              <w:tab/>
            </w:r>
            <w:r>
              <w:rPr>
                <w:webHidden/>
              </w:rPr>
              <w:fldChar w:fldCharType="begin"/>
            </w:r>
            <w:r>
              <w:rPr>
                <w:webHidden/>
              </w:rPr>
              <w:instrText xml:space="preserve"> PAGEREF _Toc228393265 \h </w:instrText>
            </w:r>
            <w:r>
              <w:rPr>
                <w:webHidden/>
              </w:rPr>
            </w:r>
            <w:r>
              <w:rPr>
                <w:webHidden/>
              </w:rPr>
              <w:fldChar w:fldCharType="separate"/>
            </w:r>
            <w:r>
              <w:rPr>
                <w:webHidden/>
              </w:rPr>
              <w:t>21</w:t>
            </w:r>
            <w:r>
              <w:rPr>
                <w:webHidden/>
              </w:rPr>
              <w:fldChar w:fldCharType="end"/>
            </w:r>
          </w:hyperlink>
        </w:p>
        <w:p w:rsidR="00043D9E" w:rsidRDefault="00043D9E">
          <w:pPr>
            <w:pStyle w:val="TOC1"/>
            <w:rPr>
              <w:rFonts w:asciiTheme="minorHAnsi" w:eastAsiaTheme="minorEastAsia" w:hAnsiTheme="minorHAnsi" w:cstheme="minorBidi"/>
              <w:b w:val="0"/>
            </w:rPr>
          </w:pPr>
          <w:hyperlink w:anchor="_Toc228393266" w:history="1">
            <w:r w:rsidRPr="00513DE4">
              <w:rPr>
                <w:rStyle w:val="Hyperlink"/>
              </w:rPr>
              <w:t>References</w:t>
            </w:r>
            <w:r>
              <w:rPr>
                <w:webHidden/>
              </w:rPr>
              <w:tab/>
            </w:r>
            <w:r>
              <w:rPr>
                <w:webHidden/>
              </w:rPr>
              <w:fldChar w:fldCharType="begin"/>
            </w:r>
            <w:r>
              <w:rPr>
                <w:webHidden/>
              </w:rPr>
              <w:instrText xml:space="preserve"> PAGEREF _Toc228393266 \h </w:instrText>
            </w:r>
            <w:r>
              <w:rPr>
                <w:webHidden/>
              </w:rPr>
            </w:r>
            <w:r>
              <w:rPr>
                <w:webHidden/>
              </w:rPr>
              <w:fldChar w:fldCharType="separate"/>
            </w:r>
            <w:r>
              <w:rPr>
                <w:webHidden/>
              </w:rPr>
              <w:t>22</w:t>
            </w:r>
            <w:r>
              <w:rPr>
                <w:webHidden/>
              </w:rPr>
              <w:fldChar w:fldCharType="end"/>
            </w:r>
          </w:hyperlink>
        </w:p>
        <w:p w:rsidR="000F4BA1" w:rsidRPr="000A16E6" w:rsidRDefault="000F4BA1">
          <w:pPr>
            <w:rPr>
              <w:rFonts w:ascii="Arial" w:hAnsi="Arial" w:cs="Arial"/>
            </w:rPr>
          </w:pPr>
          <w:r w:rsidRPr="000A16E6">
            <w:rPr>
              <w:rFonts w:ascii="Arial" w:hAnsi="Arial" w:cs="Arial"/>
              <w:b/>
              <w:bCs/>
              <w:noProof/>
            </w:rPr>
            <w:fldChar w:fldCharType="end"/>
          </w:r>
        </w:p>
      </w:sdtContent>
    </w:sdt>
    <w:p w:rsidR="00853875" w:rsidRPr="009C3BD7" w:rsidRDefault="00A633E5" w:rsidP="009C3BD7">
      <w:pPr>
        <w:pStyle w:val="Heading1"/>
        <w:rPr>
          <w:rFonts w:cs="Arial"/>
          <w:sz w:val="24"/>
          <w:szCs w:val="24"/>
        </w:rPr>
      </w:pPr>
      <w:r>
        <w:rPr>
          <w:rFonts w:cs="Arial"/>
          <w:sz w:val="24"/>
          <w:szCs w:val="24"/>
        </w:rPr>
        <w:br w:type="page"/>
      </w:r>
      <w:bookmarkStart w:id="1" w:name="_Toc228393236"/>
      <w:r w:rsidR="00D533A3" w:rsidRPr="000F4BA1">
        <w:lastRenderedPageBreak/>
        <w:t>Section 1: Strategic Analysis of Airbus in the USA</w:t>
      </w:r>
      <w:bookmarkEnd w:id="1"/>
    </w:p>
    <w:p w:rsidR="000F4BA1" w:rsidRDefault="000F4BA1" w:rsidP="00450E0B">
      <w:pPr>
        <w:jc w:val="both"/>
        <w:rPr>
          <w:rFonts w:ascii="Arial" w:hAnsi="Arial" w:cs="Arial"/>
          <w:b/>
          <w:sz w:val="24"/>
          <w:szCs w:val="24"/>
        </w:rPr>
      </w:pPr>
    </w:p>
    <w:p w:rsidR="00853875" w:rsidRPr="00FB18A2" w:rsidRDefault="00D533A3" w:rsidP="000F4BA1">
      <w:pPr>
        <w:pStyle w:val="Heading2"/>
        <w:rPr>
          <w:b w:val="0"/>
        </w:rPr>
      </w:pPr>
      <w:bookmarkStart w:id="2" w:name="_Toc228393237"/>
      <w:r>
        <w:t xml:space="preserve">1. </w:t>
      </w:r>
      <w:r w:rsidR="00FB18A2">
        <w:t>Introduction</w:t>
      </w:r>
      <w:bookmarkEnd w:id="2"/>
    </w:p>
    <w:p w:rsidR="000F4BA1" w:rsidRDefault="000F4BA1" w:rsidP="00450E0B">
      <w:pPr>
        <w:jc w:val="both"/>
        <w:rPr>
          <w:rFonts w:ascii="Arial" w:hAnsi="Arial" w:cs="Arial"/>
          <w:sz w:val="24"/>
          <w:szCs w:val="24"/>
        </w:rPr>
      </w:pPr>
    </w:p>
    <w:p w:rsidR="00DB6806" w:rsidRPr="00853875" w:rsidRDefault="00DB6806" w:rsidP="00450E0B">
      <w:pPr>
        <w:jc w:val="both"/>
        <w:rPr>
          <w:rFonts w:ascii="Arial" w:hAnsi="Arial" w:cs="Arial"/>
          <w:b/>
          <w:sz w:val="24"/>
          <w:szCs w:val="24"/>
        </w:rPr>
      </w:pPr>
      <w:r w:rsidRPr="00DB6806">
        <w:rPr>
          <w:rFonts w:ascii="Arial" w:hAnsi="Arial" w:cs="Arial"/>
          <w:sz w:val="24"/>
          <w:szCs w:val="24"/>
        </w:rPr>
        <w:t xml:space="preserve">A critical analysis of the strategic management practices of Airbus SE is provided in this report, with a specific focus being placed on its industrial and commercial operations in the United States. The relationship between Airbus’s internal capabilities and the external pressures of the US aerospace market is </w:t>
      </w:r>
      <w:proofErr w:type="spellStart"/>
      <w:r w:rsidRPr="00DB6806">
        <w:rPr>
          <w:rFonts w:ascii="Arial" w:hAnsi="Arial" w:cs="Arial"/>
          <w:sz w:val="24"/>
          <w:szCs w:val="24"/>
        </w:rPr>
        <w:t>synthesised</w:t>
      </w:r>
      <w:proofErr w:type="spellEnd"/>
      <w:r w:rsidRPr="00DB6806">
        <w:rPr>
          <w:rFonts w:ascii="Arial" w:hAnsi="Arial" w:cs="Arial"/>
          <w:sz w:val="24"/>
          <w:szCs w:val="24"/>
        </w:rPr>
        <w:t>, and the manner in which sustainable competitive advantage is pursued within a duopolistic and volatile environment is evaluated (Johnson et al., 2020; Barney, 1991). Established strategic frameworks, including PESTEL</w:t>
      </w:r>
      <w:r w:rsidR="00AA6DA2">
        <w:rPr>
          <w:rFonts w:ascii="Arial" w:hAnsi="Arial" w:cs="Arial"/>
          <w:sz w:val="24"/>
          <w:szCs w:val="24"/>
        </w:rPr>
        <w:t>, VRIO, the Balanced Scorecard,</w:t>
      </w:r>
      <w:r w:rsidRPr="00DB6806">
        <w:rPr>
          <w:rFonts w:ascii="Arial" w:hAnsi="Arial" w:cs="Arial"/>
          <w:sz w:val="24"/>
          <w:szCs w:val="24"/>
        </w:rPr>
        <w:t xml:space="preserve"> and </w:t>
      </w:r>
      <w:proofErr w:type="spellStart"/>
      <w:r w:rsidRPr="00DB6806">
        <w:rPr>
          <w:rFonts w:ascii="Arial" w:hAnsi="Arial" w:cs="Arial"/>
          <w:sz w:val="24"/>
          <w:szCs w:val="24"/>
        </w:rPr>
        <w:t>Ansoff’s</w:t>
      </w:r>
      <w:proofErr w:type="spellEnd"/>
      <w:r w:rsidRPr="00DB6806">
        <w:rPr>
          <w:rFonts w:ascii="Arial" w:hAnsi="Arial" w:cs="Arial"/>
          <w:sz w:val="24"/>
          <w:szCs w:val="24"/>
        </w:rPr>
        <w:t xml:space="preserve"> Matrix, are applied to structure the analysis (Kaplan and Norton,1996; </w:t>
      </w:r>
      <w:proofErr w:type="spellStart"/>
      <w:r w:rsidRPr="00DB6806">
        <w:rPr>
          <w:rFonts w:ascii="Arial" w:hAnsi="Arial" w:cs="Arial"/>
          <w:sz w:val="24"/>
          <w:szCs w:val="24"/>
        </w:rPr>
        <w:t>Ansoff</w:t>
      </w:r>
      <w:proofErr w:type="spellEnd"/>
      <w:r w:rsidRPr="00DB6806">
        <w:rPr>
          <w:rFonts w:ascii="Arial" w:hAnsi="Arial" w:cs="Arial"/>
          <w:sz w:val="24"/>
          <w:szCs w:val="24"/>
        </w:rPr>
        <w:t>, 1957). Airbus’s corporate social responsibility (CSR) alignment, strategic choices, change management processes, and implementation effectiveness are also critically examined. The report is concluded with a reflective account in which learning outcomes are evaluated through the application of Gibbs’ Reflective Cycle (Gibbs, 1988).</w:t>
      </w:r>
      <w:r w:rsidR="000711CA">
        <w:rPr>
          <w:rFonts w:ascii="Arial" w:hAnsi="Arial" w:cs="Arial"/>
          <w:noProof/>
          <w:sz w:val="24"/>
          <w:szCs w:val="24"/>
        </w:rPr>
        <w:t xml:space="preserve"> </w:t>
      </w:r>
    </w:p>
    <w:p w:rsidR="00853875" w:rsidRPr="00D533A3" w:rsidRDefault="00853875" w:rsidP="000F4BA1">
      <w:pPr>
        <w:pStyle w:val="Heading2"/>
      </w:pPr>
      <w:bookmarkStart w:id="3" w:name="_Toc228393238"/>
      <w:r w:rsidRPr="00853875">
        <w:t>1.</w:t>
      </w:r>
      <w:r w:rsidR="00D533A3">
        <w:t>1</w:t>
      </w:r>
      <w:r w:rsidRPr="00853875">
        <w:t xml:space="preserve"> </w:t>
      </w:r>
      <w:proofErr w:type="spellStart"/>
      <w:r w:rsidRPr="00853875">
        <w:t>Organisational</w:t>
      </w:r>
      <w:proofErr w:type="spellEnd"/>
      <w:r w:rsidRPr="00853875">
        <w:t xml:space="preserve"> Context and Overview</w:t>
      </w:r>
      <w:bookmarkEnd w:id="3"/>
    </w:p>
    <w:p w:rsidR="000F4BA1" w:rsidRDefault="000F4BA1" w:rsidP="00450E0B">
      <w:pPr>
        <w:jc w:val="both"/>
        <w:rPr>
          <w:rFonts w:ascii="Arial" w:hAnsi="Arial" w:cs="Arial"/>
          <w:sz w:val="24"/>
          <w:szCs w:val="24"/>
        </w:rPr>
      </w:pPr>
    </w:p>
    <w:p w:rsidR="00853875" w:rsidRPr="00853875" w:rsidRDefault="000711CA" w:rsidP="00450E0B">
      <w:pPr>
        <w:jc w:val="both"/>
        <w:rPr>
          <w:rFonts w:ascii="Arial" w:hAnsi="Arial" w:cs="Arial"/>
          <w:b/>
          <w:sz w:val="24"/>
          <w:szCs w:val="24"/>
        </w:rPr>
      </w:pPr>
      <w:r w:rsidRPr="000711CA">
        <w:rPr>
          <w:rFonts w:ascii="Arial" w:hAnsi="Arial" w:cs="Arial"/>
          <w:sz w:val="24"/>
          <w:szCs w:val="24"/>
        </w:rPr>
        <w:t xml:space="preserve">Airbus was established in 1970 as a European consortium to challenge the dominance of American aerospace manufacturers, particularly Boeing, and has since been developed into a global leader in commercial aircraft, </w:t>
      </w:r>
      <w:proofErr w:type="spellStart"/>
      <w:r w:rsidRPr="000711CA">
        <w:rPr>
          <w:rFonts w:ascii="Arial" w:hAnsi="Arial" w:cs="Arial"/>
          <w:sz w:val="24"/>
          <w:szCs w:val="24"/>
        </w:rPr>
        <w:t>defence</w:t>
      </w:r>
      <w:proofErr w:type="spellEnd"/>
      <w:r w:rsidRPr="000711CA">
        <w:rPr>
          <w:rFonts w:ascii="Arial" w:hAnsi="Arial" w:cs="Arial"/>
          <w:sz w:val="24"/>
          <w:szCs w:val="24"/>
        </w:rPr>
        <w:t xml:space="preserve">, and </w:t>
      </w:r>
      <w:r w:rsidR="00320EDE">
        <w:rPr>
          <w:rFonts w:ascii="Arial" w:hAnsi="Arial" w:cs="Arial"/>
          <w:sz w:val="24"/>
          <w:szCs w:val="24"/>
        </w:rPr>
        <w:t xml:space="preserve">space industries (Airbus, 2023; </w:t>
      </w:r>
      <w:r w:rsidRPr="000711CA">
        <w:rPr>
          <w:rFonts w:ascii="Arial" w:hAnsi="Arial" w:cs="Arial"/>
          <w:sz w:val="24"/>
          <w:szCs w:val="24"/>
        </w:rPr>
        <w:t xml:space="preserve">Hayward, 1986). A value-driven business model has been adopted, in which advanced manufacturing capabilities are integrated with lifecycle service provision to enhance competitiveness (Johnson et al., 2020). In the United States, a Final Assembly Line (FAL) was opened in Mobile, Alabama, in 2015 to support </w:t>
      </w:r>
      <w:proofErr w:type="spellStart"/>
      <w:r w:rsidRPr="000711CA">
        <w:rPr>
          <w:rFonts w:ascii="Arial" w:hAnsi="Arial" w:cs="Arial"/>
          <w:sz w:val="24"/>
          <w:szCs w:val="24"/>
        </w:rPr>
        <w:t>localised</w:t>
      </w:r>
      <w:proofErr w:type="spellEnd"/>
      <w:r w:rsidRPr="000711CA">
        <w:rPr>
          <w:rFonts w:ascii="Arial" w:hAnsi="Arial" w:cs="Arial"/>
          <w:sz w:val="24"/>
          <w:szCs w:val="24"/>
        </w:rPr>
        <w:t xml:space="preserve"> production and reduce exposure to trade and currency risks (Airbus, 2023). The US aerospace market is </w:t>
      </w:r>
      <w:proofErr w:type="spellStart"/>
      <w:r w:rsidRPr="000711CA">
        <w:rPr>
          <w:rFonts w:ascii="Arial" w:hAnsi="Arial" w:cs="Arial"/>
          <w:sz w:val="24"/>
          <w:szCs w:val="24"/>
        </w:rPr>
        <w:t>characterised</w:t>
      </w:r>
      <w:proofErr w:type="spellEnd"/>
      <w:r w:rsidRPr="000711CA">
        <w:rPr>
          <w:rFonts w:ascii="Arial" w:hAnsi="Arial" w:cs="Arial"/>
          <w:sz w:val="24"/>
          <w:szCs w:val="24"/>
        </w:rPr>
        <w:t xml:space="preserve"> by high regulation and duopolistic competition, within which Airbus’s market share has been steadily expanded (</w:t>
      </w:r>
      <w:proofErr w:type="spellStart"/>
      <w:r w:rsidRPr="000711CA">
        <w:rPr>
          <w:rFonts w:ascii="Arial" w:hAnsi="Arial" w:cs="Arial"/>
          <w:sz w:val="24"/>
          <w:szCs w:val="24"/>
        </w:rPr>
        <w:t>Leeham</w:t>
      </w:r>
      <w:proofErr w:type="spellEnd"/>
      <w:r w:rsidRPr="000711CA">
        <w:rPr>
          <w:rFonts w:ascii="Arial" w:hAnsi="Arial" w:cs="Arial"/>
          <w:sz w:val="24"/>
          <w:szCs w:val="24"/>
        </w:rPr>
        <w:t xml:space="preserve"> News, 2025)</w:t>
      </w:r>
      <w:r>
        <w:rPr>
          <w:rFonts w:ascii="Arial" w:hAnsi="Arial" w:cs="Arial"/>
          <w:sz w:val="24"/>
          <w:szCs w:val="24"/>
        </w:rPr>
        <w:t xml:space="preserve">. </w:t>
      </w:r>
    </w:p>
    <w:p w:rsidR="00853875" w:rsidRPr="00853875" w:rsidRDefault="00853875" w:rsidP="000F4BA1">
      <w:pPr>
        <w:pStyle w:val="Heading3"/>
        <w:rPr>
          <w:b w:val="0"/>
        </w:rPr>
      </w:pPr>
      <w:bookmarkStart w:id="4" w:name="_Toc228393239"/>
      <w:r w:rsidRPr="00853875">
        <w:t>Perceptual Map: Positioning of Airbus in the US Market</w:t>
      </w:r>
      <w:bookmarkEnd w:id="4"/>
    </w:p>
    <w:p w:rsidR="00853875" w:rsidRPr="00853875" w:rsidRDefault="00B20773" w:rsidP="00450E0B">
      <w:pPr>
        <w:jc w:val="both"/>
        <w:rPr>
          <w:rFonts w:ascii="Arial" w:hAnsi="Arial" w:cs="Arial"/>
          <w:sz w:val="24"/>
          <w:szCs w:val="24"/>
        </w:rPr>
      </w:pPr>
      <w:r w:rsidRPr="00B20773">
        <w:rPr>
          <w:rFonts w:ascii="Arial" w:hAnsi="Arial" w:cs="Arial"/>
          <w:noProof/>
          <w:sz w:val="24"/>
          <w:szCs w:val="24"/>
        </w:rPr>
        <w:t>A perceptual map constructed along the a</w:t>
      </w:r>
      <w:r w:rsidR="00283948">
        <w:rPr>
          <w:rFonts w:ascii="Arial" w:hAnsi="Arial" w:cs="Arial"/>
          <w:noProof/>
          <w:sz w:val="24"/>
          <w:szCs w:val="24"/>
        </w:rPr>
        <w:t xml:space="preserve">xes of Technological Innovation or </w:t>
      </w:r>
      <w:r w:rsidRPr="00B20773">
        <w:rPr>
          <w:rFonts w:ascii="Arial" w:hAnsi="Arial" w:cs="Arial"/>
          <w:noProof/>
          <w:sz w:val="24"/>
          <w:szCs w:val="24"/>
        </w:rPr>
        <w:t>Sust</w:t>
      </w:r>
      <w:r w:rsidR="00283948">
        <w:rPr>
          <w:rFonts w:ascii="Arial" w:hAnsi="Arial" w:cs="Arial"/>
          <w:noProof/>
          <w:sz w:val="24"/>
          <w:szCs w:val="24"/>
        </w:rPr>
        <w:t xml:space="preserve">ainability and Operational Cost or </w:t>
      </w:r>
      <w:r w:rsidRPr="00B20773">
        <w:rPr>
          <w:rFonts w:ascii="Arial" w:hAnsi="Arial" w:cs="Arial"/>
          <w:noProof/>
          <w:sz w:val="24"/>
          <w:szCs w:val="24"/>
        </w:rPr>
        <w:t>Reliability is used to position Airbus US</w:t>
      </w:r>
      <w:r w:rsidR="00283948">
        <w:rPr>
          <w:rFonts w:ascii="Arial" w:hAnsi="Arial" w:cs="Arial"/>
          <w:noProof/>
          <w:sz w:val="24"/>
          <w:szCs w:val="24"/>
        </w:rPr>
        <w:t xml:space="preserve">A within the “High Innovation or </w:t>
      </w:r>
      <w:r w:rsidRPr="00B20773">
        <w:rPr>
          <w:rFonts w:ascii="Arial" w:hAnsi="Arial" w:cs="Arial"/>
          <w:noProof/>
          <w:sz w:val="24"/>
          <w:szCs w:val="24"/>
        </w:rPr>
        <w:t>High Sustainability” quadrant, supported by the fuel efficiency advantages of the A320neo aircraft (Airbus, 2023; Johnson et al., 2020). Boeing is positioned within the “High Reliabili</w:t>
      </w:r>
      <w:r w:rsidR="00283948">
        <w:rPr>
          <w:rFonts w:ascii="Arial" w:hAnsi="Arial" w:cs="Arial"/>
          <w:noProof/>
          <w:sz w:val="24"/>
          <w:szCs w:val="24"/>
        </w:rPr>
        <w:t>ty or</w:t>
      </w:r>
      <w:r w:rsidRPr="00B20773">
        <w:rPr>
          <w:rFonts w:ascii="Arial" w:hAnsi="Arial" w:cs="Arial"/>
          <w:noProof/>
          <w:sz w:val="24"/>
          <w:szCs w:val="24"/>
        </w:rPr>
        <w:t xml:space="preserve"> High Established Presence” quadrant, although its innovation perception has been weakened by recent quality an</w:t>
      </w:r>
      <w:r w:rsidR="00CF202B">
        <w:rPr>
          <w:rFonts w:ascii="Arial" w:hAnsi="Arial" w:cs="Arial"/>
          <w:noProof/>
          <w:sz w:val="24"/>
          <w:szCs w:val="24"/>
        </w:rPr>
        <w:t xml:space="preserve">d safety concerns </w:t>
      </w:r>
      <w:r w:rsidR="00450E0B" w:rsidRPr="00CF202B">
        <w:rPr>
          <w:rFonts w:ascii="Arial" w:hAnsi="Arial" w:cs="Arial"/>
          <w:noProof/>
          <w:sz w:val="24"/>
          <w:szCs w:val="24"/>
        </w:rPr>
        <w:t>(</w:t>
      </w:r>
      <w:r w:rsidR="00450E0B">
        <w:rPr>
          <w:rFonts w:ascii="Arial" w:hAnsi="Arial" w:cs="Arial"/>
          <w:noProof/>
          <w:sz w:val="24"/>
          <w:szCs w:val="24"/>
        </w:rPr>
        <w:t xml:space="preserve"> Leeham </w:t>
      </w:r>
      <w:r w:rsidR="00450E0B" w:rsidRPr="00CF202B">
        <w:rPr>
          <w:rFonts w:ascii="Arial" w:hAnsi="Arial" w:cs="Arial"/>
          <w:noProof/>
          <w:sz w:val="24"/>
          <w:szCs w:val="24"/>
        </w:rPr>
        <w:t>News, 2025)</w:t>
      </w:r>
      <w:r w:rsidRPr="00B20773">
        <w:rPr>
          <w:rFonts w:ascii="Arial" w:hAnsi="Arial" w:cs="Arial"/>
          <w:noProof/>
          <w:sz w:val="24"/>
          <w:szCs w:val="24"/>
        </w:rPr>
        <w:t xml:space="preserve">. This positioning confirms a differentiation strategy while revealing a potential </w:t>
      </w:r>
      <w:r w:rsidR="00283948" w:rsidRPr="00B20773">
        <w:rPr>
          <w:rFonts w:ascii="Arial" w:hAnsi="Arial" w:cs="Arial"/>
          <w:noProof/>
          <w:sz w:val="24"/>
          <w:szCs w:val="24"/>
        </w:rPr>
        <w:t>weakness</w:t>
      </w:r>
      <w:r w:rsidRPr="00B20773">
        <w:rPr>
          <w:rFonts w:ascii="Arial" w:hAnsi="Arial" w:cs="Arial"/>
          <w:noProof/>
          <w:sz w:val="24"/>
          <w:szCs w:val="24"/>
        </w:rPr>
        <w:t xml:space="preserve"> associated with reliance on a single performance attribute</w:t>
      </w:r>
      <w:r w:rsidR="00283948">
        <w:rPr>
          <w:rFonts w:ascii="Arial" w:hAnsi="Arial" w:cs="Arial"/>
          <w:noProof/>
          <w:sz w:val="24"/>
          <w:szCs w:val="24"/>
        </w:rPr>
        <w:t xml:space="preserve"> (</w:t>
      </w:r>
      <w:r w:rsidR="00283948" w:rsidRPr="00B20773">
        <w:rPr>
          <w:rFonts w:ascii="Arial" w:hAnsi="Arial" w:cs="Arial"/>
          <w:noProof/>
          <w:sz w:val="24"/>
          <w:szCs w:val="24"/>
        </w:rPr>
        <w:t>Johnson et al., 2020</w:t>
      </w:r>
      <w:r w:rsidR="00283948">
        <w:rPr>
          <w:rFonts w:ascii="Arial" w:hAnsi="Arial" w:cs="Arial"/>
          <w:noProof/>
          <w:sz w:val="24"/>
          <w:szCs w:val="24"/>
        </w:rPr>
        <w:t>)</w:t>
      </w:r>
      <w:r w:rsidRPr="00B20773">
        <w:rPr>
          <w:rFonts w:ascii="Arial" w:hAnsi="Arial" w:cs="Arial"/>
          <w:noProof/>
          <w:sz w:val="24"/>
          <w:szCs w:val="24"/>
        </w:rPr>
        <w:t>.</w:t>
      </w:r>
    </w:p>
    <w:p w:rsidR="00853875" w:rsidRPr="00853875" w:rsidRDefault="00853875" w:rsidP="00450E0B">
      <w:pPr>
        <w:jc w:val="both"/>
        <w:rPr>
          <w:rFonts w:ascii="Arial" w:hAnsi="Arial" w:cs="Arial"/>
          <w:sz w:val="24"/>
          <w:szCs w:val="24"/>
        </w:rPr>
      </w:pPr>
    </w:p>
    <w:p w:rsidR="00853875" w:rsidRPr="00853875" w:rsidRDefault="00853875" w:rsidP="00853875">
      <w:pPr>
        <w:rPr>
          <w:rFonts w:ascii="Arial" w:hAnsi="Arial" w:cs="Arial"/>
          <w:sz w:val="24"/>
          <w:szCs w:val="24"/>
        </w:rPr>
      </w:pPr>
    </w:p>
    <w:p w:rsidR="00853875" w:rsidRDefault="00B20773" w:rsidP="00853875">
      <w:pPr>
        <w:rPr>
          <w:rFonts w:ascii="Arial" w:hAnsi="Arial" w:cs="Arial"/>
          <w:sz w:val="24"/>
          <w:szCs w:val="24"/>
        </w:rPr>
      </w:pPr>
      <w:r w:rsidRPr="00853875">
        <w:rPr>
          <w:rFonts w:ascii="Arial" w:hAnsi="Arial" w:cs="Arial"/>
          <w:noProof/>
          <w:sz w:val="24"/>
          <w:szCs w:val="24"/>
        </w:rPr>
        <w:drawing>
          <wp:anchor distT="0" distB="0" distL="114300" distR="114300" simplePos="0" relativeHeight="251658240" behindDoc="0" locked="0" layoutInCell="1" allowOverlap="1" wp14:anchorId="3574035E" wp14:editId="3EB1F4DB">
            <wp:simplePos x="0" y="0"/>
            <wp:positionH relativeFrom="margin">
              <wp:posOffset>581340</wp:posOffset>
            </wp:positionH>
            <wp:positionV relativeFrom="paragraph">
              <wp:posOffset>-540274</wp:posOffset>
            </wp:positionV>
            <wp:extent cx="4487222" cy="2885843"/>
            <wp:effectExtent l="0" t="0" r="8890" b="0"/>
            <wp:wrapNone/>
            <wp:docPr id="1" name="Picture 1" descr="C:\Users\fabih\Downloads\Airbus Perceptual Map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Airbus Perceptual Map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02674" cy="289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3875" w:rsidRPr="00853875">
        <w:rPr>
          <w:rFonts w:ascii="Arial" w:hAnsi="Arial" w:cs="Arial"/>
          <w:sz w:val="24"/>
          <w:szCs w:val="24"/>
        </w:rPr>
        <w:t xml:space="preserve"> </w:t>
      </w: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Pr="00853875" w:rsidRDefault="00853875" w:rsidP="00853875">
      <w:pPr>
        <w:jc w:val="center"/>
        <w:rPr>
          <w:rFonts w:ascii="Arial" w:hAnsi="Arial" w:cs="Arial"/>
          <w:i/>
          <w:sz w:val="24"/>
          <w:szCs w:val="24"/>
        </w:rPr>
      </w:pPr>
      <w:r w:rsidRPr="00853875">
        <w:rPr>
          <w:rFonts w:ascii="Arial" w:hAnsi="Arial" w:cs="Arial"/>
          <w:i/>
          <w:sz w:val="16"/>
          <w:szCs w:val="24"/>
        </w:rPr>
        <w:t>Fig: 01 Airbus Market Perceptual Map for USA Commercial Airspace</w:t>
      </w:r>
      <w:r w:rsidR="00DE281D">
        <w:rPr>
          <w:rFonts w:ascii="Arial" w:hAnsi="Arial" w:cs="Arial"/>
          <w:i/>
          <w:sz w:val="16"/>
          <w:szCs w:val="24"/>
        </w:rPr>
        <w:t xml:space="preserve"> (Self Analyzed)</w:t>
      </w:r>
    </w:p>
    <w:p w:rsidR="00853875" w:rsidRPr="00853875" w:rsidRDefault="00853875" w:rsidP="00853875">
      <w:pPr>
        <w:rPr>
          <w:rFonts w:ascii="Arial" w:hAnsi="Arial" w:cs="Arial"/>
          <w:b/>
          <w:sz w:val="24"/>
          <w:szCs w:val="24"/>
        </w:rPr>
      </w:pPr>
    </w:p>
    <w:p w:rsidR="00853875" w:rsidRPr="00853875" w:rsidRDefault="00853875" w:rsidP="000F4BA1">
      <w:pPr>
        <w:pStyle w:val="Heading2"/>
      </w:pPr>
      <w:bookmarkStart w:id="5" w:name="_Toc228393240"/>
      <w:r w:rsidRPr="00853875">
        <w:t>2. External and Internal Environment Analysis</w:t>
      </w:r>
      <w:bookmarkEnd w:id="5"/>
    </w:p>
    <w:p w:rsidR="003A6B80" w:rsidRDefault="003A6B80" w:rsidP="00450E0B">
      <w:pPr>
        <w:jc w:val="both"/>
        <w:rPr>
          <w:rFonts w:ascii="Arial" w:hAnsi="Arial" w:cs="Arial"/>
          <w:sz w:val="24"/>
          <w:szCs w:val="24"/>
        </w:rPr>
      </w:pPr>
      <w:r w:rsidRPr="003A6B80">
        <w:rPr>
          <w:rFonts w:ascii="Arial" w:hAnsi="Arial" w:cs="Arial"/>
          <w:sz w:val="24"/>
          <w:szCs w:val="24"/>
        </w:rPr>
        <w:t xml:space="preserve">External environmental factors influencing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strategy are examined through the PESTEL framework </w:t>
      </w:r>
      <w:r w:rsidRPr="003A6B80">
        <w:rPr>
          <w:rFonts w:ascii="Arial" w:hAnsi="Arial" w:cs="Arial"/>
          <w:noProof/>
          <w:sz w:val="24"/>
          <w:szCs w:val="24"/>
        </w:rPr>
        <w:t>(</w:t>
      </w:r>
      <w:r w:rsidRPr="003A6B80">
        <w:rPr>
          <w:rFonts w:ascii="Arial" w:hAnsi="Arial" w:cs="Arial"/>
          <w:sz w:val="24"/>
          <w:szCs w:val="24"/>
        </w:rPr>
        <w:t xml:space="preserve">Kotler, 2024). Internal resources, capabilities, and core competencies are assessed using the VRIO model to identify strategic challenges, critical success factors, and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strengths (Barney, 1991).</w:t>
      </w:r>
    </w:p>
    <w:p w:rsidR="00853875" w:rsidRPr="003A6B80" w:rsidRDefault="00853875" w:rsidP="000F4BA1">
      <w:pPr>
        <w:pStyle w:val="Heading2"/>
      </w:pPr>
      <w:bookmarkStart w:id="6" w:name="_Toc228393241"/>
      <w:r w:rsidRPr="00853875">
        <w:t>2.1 External Environment (PESTEL)</w:t>
      </w:r>
      <w:bookmarkEnd w:id="6"/>
    </w:p>
    <w:p w:rsidR="00853875" w:rsidRPr="00853875" w:rsidRDefault="003A6B80" w:rsidP="00450E0B">
      <w:pPr>
        <w:jc w:val="both"/>
        <w:rPr>
          <w:rFonts w:ascii="Arial" w:hAnsi="Arial" w:cs="Arial"/>
          <w:sz w:val="24"/>
          <w:szCs w:val="24"/>
        </w:rPr>
      </w:pPr>
      <w:r w:rsidRPr="003A6B80">
        <w:rPr>
          <w:rFonts w:ascii="Arial" w:hAnsi="Arial" w:cs="Arial"/>
          <w:sz w:val="24"/>
          <w:szCs w:val="24"/>
        </w:rPr>
        <w:t xml:space="preserve">External environmental factors are defined as uncontrollable macro forces that influence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strategy, performance, risk exposure, and long-term competitiveness (Johnson et al., 2020)</w:t>
      </w:r>
    </w:p>
    <w:p w:rsidR="00853875" w:rsidRPr="00853875" w:rsidRDefault="00853875" w:rsidP="00450E0B">
      <w:pPr>
        <w:jc w:val="both"/>
        <w:rPr>
          <w:rFonts w:ascii="Arial" w:hAnsi="Arial" w:cs="Arial"/>
          <w:sz w:val="24"/>
          <w:szCs w:val="24"/>
        </w:rPr>
      </w:pPr>
      <w:r w:rsidRPr="00F74C5E">
        <w:rPr>
          <w:rFonts w:ascii="Arial" w:hAnsi="Arial" w:cs="Arial"/>
          <w:b/>
          <w:sz w:val="24"/>
          <w:szCs w:val="24"/>
        </w:rPr>
        <w:t>Political:</w:t>
      </w:r>
      <w:r w:rsidRPr="00853875">
        <w:rPr>
          <w:rFonts w:ascii="Arial" w:hAnsi="Arial" w:cs="Arial"/>
          <w:sz w:val="24"/>
          <w:szCs w:val="24"/>
        </w:rPr>
        <w:t xml:space="preserve"> </w:t>
      </w:r>
      <w:r w:rsidR="00F74C5E" w:rsidRPr="00F74C5E">
        <w:rPr>
          <w:rFonts w:ascii="Arial" w:hAnsi="Arial" w:cs="Arial"/>
          <w:sz w:val="24"/>
          <w:szCs w:val="24"/>
        </w:rPr>
        <w:t>Political factors are defined as government policies, trade relations, and regulatory priorities influencing business operat</w:t>
      </w:r>
      <w:r w:rsidR="00F74C5E">
        <w:rPr>
          <w:rFonts w:ascii="Arial" w:hAnsi="Arial" w:cs="Arial"/>
          <w:sz w:val="24"/>
          <w:szCs w:val="24"/>
        </w:rPr>
        <w:t xml:space="preserve">ions and market access </w:t>
      </w:r>
      <w:r w:rsidR="00F74C5E">
        <w:rPr>
          <w:rFonts w:ascii="Arial" w:hAnsi="Arial" w:cs="Arial"/>
          <w:noProof/>
          <w:sz w:val="24"/>
          <w:szCs w:val="24"/>
        </w:rPr>
        <w:t>(Porter &amp; M.E.</w:t>
      </w:r>
      <w:r w:rsidR="00F74C5E" w:rsidRPr="00F74C5E">
        <w:rPr>
          <w:rFonts w:ascii="Arial" w:hAnsi="Arial" w:cs="Arial"/>
          <w:noProof/>
          <w:sz w:val="24"/>
          <w:szCs w:val="24"/>
        </w:rPr>
        <w:t>, 2023)</w:t>
      </w:r>
      <w:r w:rsidR="00F74C5E" w:rsidRPr="00F74C5E">
        <w:rPr>
          <w:rFonts w:ascii="Arial" w:hAnsi="Arial" w:cs="Arial"/>
          <w:sz w:val="24"/>
          <w:szCs w:val="24"/>
        </w:rPr>
        <w:t xml:space="preserve">. In the United States, “Buy American” policies and potential tariffs are perceived as threats to Airbus. However, the Mobile, Alabama facility has been leveraged to strengthen domestic stakeholder legitimacy and influence </w:t>
      </w:r>
      <w:proofErr w:type="spellStart"/>
      <w:r w:rsidR="00F74C5E" w:rsidRPr="00F74C5E">
        <w:rPr>
          <w:rFonts w:ascii="Arial" w:hAnsi="Arial" w:cs="Arial"/>
          <w:sz w:val="24"/>
          <w:szCs w:val="24"/>
        </w:rPr>
        <w:t>defence</w:t>
      </w:r>
      <w:proofErr w:type="spellEnd"/>
      <w:r w:rsidR="00F74C5E" w:rsidRPr="00F74C5E">
        <w:rPr>
          <w:rFonts w:ascii="Arial" w:hAnsi="Arial" w:cs="Arial"/>
          <w:sz w:val="24"/>
          <w:szCs w:val="24"/>
        </w:rPr>
        <w:t xml:space="preserve"> procurement opportunities</w:t>
      </w:r>
      <w:r w:rsidR="00BB0B09">
        <w:rPr>
          <w:rFonts w:ascii="Arial" w:hAnsi="Arial" w:cs="Arial"/>
          <w:noProof/>
          <w:sz w:val="24"/>
          <w:szCs w:val="24"/>
        </w:rPr>
        <w:t xml:space="preserve"> </w:t>
      </w:r>
      <w:r w:rsidR="00BB0B09" w:rsidRPr="00BB0B09">
        <w:rPr>
          <w:rFonts w:ascii="Arial" w:hAnsi="Arial" w:cs="Arial"/>
          <w:noProof/>
          <w:sz w:val="24"/>
          <w:szCs w:val="24"/>
        </w:rPr>
        <w:t>(Kittilaksanawong, 2017)</w:t>
      </w:r>
      <w:r w:rsidR="00F74C5E" w:rsidRPr="00F74C5E">
        <w:rPr>
          <w:rFonts w:ascii="Arial" w:hAnsi="Arial" w:cs="Arial"/>
          <w:sz w:val="24"/>
          <w:szCs w:val="24"/>
        </w:rPr>
        <w:t>.</w:t>
      </w:r>
    </w:p>
    <w:p w:rsidR="00853875" w:rsidRDefault="00853875" w:rsidP="00450E0B">
      <w:pPr>
        <w:jc w:val="both"/>
        <w:rPr>
          <w:rFonts w:ascii="Arial" w:hAnsi="Arial" w:cs="Arial"/>
          <w:sz w:val="24"/>
          <w:szCs w:val="24"/>
        </w:rPr>
      </w:pPr>
      <w:r w:rsidRPr="00014358">
        <w:rPr>
          <w:rFonts w:ascii="Arial" w:hAnsi="Arial" w:cs="Arial"/>
          <w:b/>
          <w:sz w:val="24"/>
          <w:szCs w:val="24"/>
        </w:rPr>
        <w:t>Economic:</w:t>
      </w:r>
      <w:r w:rsidRPr="00853875">
        <w:rPr>
          <w:rFonts w:ascii="Arial" w:hAnsi="Arial" w:cs="Arial"/>
          <w:sz w:val="24"/>
          <w:szCs w:val="24"/>
        </w:rPr>
        <w:t xml:space="preserve"> </w:t>
      </w:r>
      <w:r w:rsidR="00014358" w:rsidRPr="00014358">
        <w:rPr>
          <w:rFonts w:ascii="Arial" w:hAnsi="Arial" w:cs="Arial"/>
          <w:sz w:val="24"/>
          <w:szCs w:val="24"/>
        </w:rPr>
        <w:t xml:space="preserve">Economic factors are defined as financial conditions, exchange rates, inflation levels, and market cycles affecting </w:t>
      </w:r>
      <w:proofErr w:type="spellStart"/>
      <w:r w:rsidR="00014358" w:rsidRPr="00014358">
        <w:rPr>
          <w:rFonts w:ascii="Arial" w:hAnsi="Arial" w:cs="Arial"/>
          <w:sz w:val="24"/>
          <w:szCs w:val="24"/>
        </w:rPr>
        <w:t>organisational</w:t>
      </w:r>
      <w:proofErr w:type="spellEnd"/>
      <w:r w:rsidR="00014358" w:rsidRPr="00014358">
        <w:rPr>
          <w:rFonts w:ascii="Arial" w:hAnsi="Arial" w:cs="Arial"/>
          <w:sz w:val="24"/>
          <w:szCs w:val="24"/>
        </w:rPr>
        <w:t xml:space="preserve"> profitabi</w:t>
      </w:r>
      <w:r w:rsidR="00014358">
        <w:rPr>
          <w:rFonts w:ascii="Arial" w:hAnsi="Arial" w:cs="Arial"/>
          <w:sz w:val="24"/>
          <w:szCs w:val="24"/>
        </w:rPr>
        <w:t xml:space="preserve">lity and investment decisions </w:t>
      </w:r>
      <w:r w:rsidR="00014358" w:rsidRPr="00014358">
        <w:rPr>
          <w:rFonts w:ascii="Arial" w:hAnsi="Arial" w:cs="Arial"/>
          <w:noProof/>
          <w:sz w:val="24"/>
          <w:szCs w:val="24"/>
        </w:rPr>
        <w:t>(Basmar</w:t>
      </w:r>
      <w:r w:rsidR="00014358">
        <w:rPr>
          <w:rFonts w:ascii="Arial" w:hAnsi="Arial" w:cs="Arial"/>
          <w:noProof/>
          <w:sz w:val="24"/>
          <w:szCs w:val="24"/>
        </w:rPr>
        <w:t xml:space="preserve"> et.al</w:t>
      </w:r>
      <w:r w:rsidR="00014358" w:rsidRPr="00014358">
        <w:rPr>
          <w:rFonts w:ascii="Arial" w:hAnsi="Arial" w:cs="Arial"/>
          <w:noProof/>
          <w:sz w:val="24"/>
          <w:szCs w:val="24"/>
        </w:rPr>
        <w:t>, 2026)</w:t>
      </w:r>
      <w:r w:rsidR="00014358" w:rsidRPr="00014358">
        <w:rPr>
          <w:rFonts w:ascii="Arial" w:hAnsi="Arial" w:cs="Arial"/>
          <w:sz w:val="24"/>
          <w:szCs w:val="24"/>
        </w:rPr>
        <w:t xml:space="preserve">. Currency volatility is </w:t>
      </w:r>
      <w:proofErr w:type="spellStart"/>
      <w:r w:rsidR="00014358" w:rsidRPr="00014358">
        <w:rPr>
          <w:rFonts w:ascii="Arial" w:hAnsi="Arial" w:cs="Arial"/>
          <w:sz w:val="24"/>
          <w:szCs w:val="24"/>
        </w:rPr>
        <w:t>recognised</w:t>
      </w:r>
      <w:proofErr w:type="spellEnd"/>
      <w:r w:rsidR="00014358" w:rsidRPr="00014358">
        <w:rPr>
          <w:rFonts w:ascii="Arial" w:hAnsi="Arial" w:cs="Arial"/>
          <w:sz w:val="24"/>
          <w:szCs w:val="24"/>
        </w:rPr>
        <w:t xml:space="preserve"> as a persistent risk for Airbus operations. A natural hedge has been created through alignment of US dollar revenues and costs, although continued reliance on European suppliers maintains residual exposure to exchange-rate fluctuations</w:t>
      </w:r>
      <w:r w:rsidR="0038215B">
        <w:rPr>
          <w:rFonts w:ascii="Arial" w:hAnsi="Arial" w:cs="Arial"/>
          <w:sz w:val="24"/>
          <w:szCs w:val="24"/>
        </w:rPr>
        <w:t xml:space="preserve"> (Airbus, 2023)</w:t>
      </w:r>
      <w:r w:rsidR="00014358">
        <w:rPr>
          <w:rFonts w:ascii="Arial" w:hAnsi="Arial" w:cs="Arial"/>
          <w:sz w:val="24"/>
          <w:szCs w:val="24"/>
        </w:rPr>
        <w:t>.</w:t>
      </w:r>
    </w:p>
    <w:p w:rsidR="0038215B" w:rsidRPr="00853875" w:rsidRDefault="0038215B" w:rsidP="00853875">
      <w:pPr>
        <w:rPr>
          <w:rFonts w:ascii="Arial" w:hAnsi="Arial" w:cs="Arial"/>
          <w:sz w:val="24"/>
          <w:szCs w:val="24"/>
        </w:rPr>
      </w:pPr>
    </w:p>
    <w:p w:rsidR="00853875" w:rsidRDefault="004B4C5F" w:rsidP="00450E0B">
      <w:pPr>
        <w:jc w:val="both"/>
        <w:rPr>
          <w:rFonts w:ascii="Arial" w:hAnsi="Arial" w:cs="Arial"/>
          <w:sz w:val="24"/>
          <w:szCs w:val="24"/>
        </w:rPr>
      </w:pPr>
      <w:r>
        <w:rPr>
          <w:rFonts w:ascii="Arial" w:hAnsi="Arial" w:cs="Arial"/>
          <w:b/>
          <w:sz w:val="24"/>
          <w:szCs w:val="24"/>
        </w:rPr>
        <w:lastRenderedPageBreak/>
        <w:t>Social</w:t>
      </w:r>
      <w:r w:rsidR="00750243">
        <w:rPr>
          <w:rFonts w:ascii="Arial" w:hAnsi="Arial" w:cs="Arial"/>
          <w:b/>
          <w:sz w:val="24"/>
          <w:szCs w:val="24"/>
        </w:rPr>
        <w:t xml:space="preserve"> &amp; Cultural</w:t>
      </w:r>
      <w:r w:rsidR="00853875" w:rsidRPr="004B4C5F">
        <w:rPr>
          <w:rFonts w:ascii="Arial" w:hAnsi="Arial" w:cs="Arial"/>
          <w:b/>
          <w:sz w:val="24"/>
          <w:szCs w:val="24"/>
        </w:rPr>
        <w:t>:</w:t>
      </w:r>
      <w:r w:rsidR="00853875" w:rsidRPr="00853875">
        <w:rPr>
          <w:rFonts w:ascii="Arial" w:hAnsi="Arial" w:cs="Arial"/>
          <w:sz w:val="24"/>
          <w:szCs w:val="24"/>
        </w:rPr>
        <w:t xml:space="preserve"> </w:t>
      </w:r>
      <w:r w:rsidRPr="004B4C5F">
        <w:rPr>
          <w:rFonts w:ascii="Arial" w:hAnsi="Arial" w:cs="Arial"/>
          <w:sz w:val="24"/>
          <w:szCs w:val="24"/>
        </w:rPr>
        <w:t xml:space="preserve">Social factors are defined as cultural values, workforce expectations, and demographic patterns shaping </w:t>
      </w:r>
      <w:proofErr w:type="spellStart"/>
      <w:r w:rsidRPr="004B4C5F">
        <w:rPr>
          <w:rFonts w:ascii="Arial" w:hAnsi="Arial" w:cs="Arial"/>
          <w:sz w:val="24"/>
          <w:szCs w:val="24"/>
        </w:rPr>
        <w:t>organisational</w:t>
      </w:r>
      <w:proofErr w:type="spellEnd"/>
      <w:r w:rsidRPr="004B4C5F">
        <w:rPr>
          <w:rFonts w:ascii="Arial" w:hAnsi="Arial" w:cs="Arial"/>
          <w:sz w:val="24"/>
          <w:szCs w:val="24"/>
        </w:rPr>
        <w:t xml:space="preserve"> </w:t>
      </w:r>
      <w:proofErr w:type="spellStart"/>
      <w:r w:rsidRPr="004B4C5F">
        <w:rPr>
          <w:rFonts w:ascii="Arial" w:hAnsi="Arial" w:cs="Arial"/>
          <w:sz w:val="24"/>
          <w:szCs w:val="24"/>
        </w:rPr>
        <w:t>behaviour</w:t>
      </w:r>
      <w:proofErr w:type="spellEnd"/>
      <w:r w:rsidRPr="004B4C5F">
        <w:rPr>
          <w:rFonts w:ascii="Arial" w:hAnsi="Arial" w:cs="Arial"/>
          <w:sz w:val="24"/>
          <w:szCs w:val="24"/>
        </w:rPr>
        <w:t xml:space="preserve"> and </w:t>
      </w:r>
      <w:proofErr w:type="spellStart"/>
      <w:r w:rsidRPr="004B4C5F">
        <w:rPr>
          <w:rFonts w:ascii="Arial" w:hAnsi="Arial" w:cs="Arial"/>
          <w:sz w:val="24"/>
          <w:szCs w:val="24"/>
        </w:rPr>
        <w:t>labour</w:t>
      </w:r>
      <w:proofErr w:type="spellEnd"/>
      <w:r w:rsidRPr="004B4C5F">
        <w:rPr>
          <w:rFonts w:ascii="Arial" w:hAnsi="Arial" w:cs="Arial"/>
          <w:sz w:val="24"/>
          <w:szCs w:val="24"/>
        </w:rPr>
        <w:t xml:space="preserve"> relations (Hofstede, 2011). High individualism within the United States requires performance-based management practices. Strategic tension is created by differences in time orientation between US stakeholders and European headquarters, potentially generating </w:t>
      </w:r>
      <w:proofErr w:type="spellStart"/>
      <w:r w:rsidRPr="004B4C5F">
        <w:rPr>
          <w:rFonts w:ascii="Arial" w:hAnsi="Arial" w:cs="Arial"/>
          <w:sz w:val="24"/>
          <w:szCs w:val="24"/>
        </w:rPr>
        <w:t>labour</w:t>
      </w:r>
      <w:proofErr w:type="spellEnd"/>
      <w:r w:rsidRPr="004B4C5F">
        <w:rPr>
          <w:rFonts w:ascii="Arial" w:hAnsi="Arial" w:cs="Arial"/>
          <w:sz w:val="24"/>
          <w:szCs w:val="24"/>
        </w:rPr>
        <w:t xml:space="preserve"> friction and slower implementation of long-term innovation initiatives</w:t>
      </w:r>
      <w:r w:rsidR="0038215B">
        <w:rPr>
          <w:rFonts w:ascii="Arial" w:hAnsi="Arial" w:cs="Arial"/>
          <w:sz w:val="24"/>
          <w:szCs w:val="24"/>
        </w:rPr>
        <w:t xml:space="preserve"> </w:t>
      </w:r>
      <w:r w:rsidR="0038215B" w:rsidRPr="004B4C5F">
        <w:rPr>
          <w:rFonts w:ascii="Arial" w:hAnsi="Arial" w:cs="Arial"/>
          <w:sz w:val="24"/>
          <w:szCs w:val="24"/>
        </w:rPr>
        <w:t xml:space="preserve">(Hofstede, 2011). </w:t>
      </w:r>
    </w:p>
    <w:p w:rsidR="00CC2053" w:rsidRPr="00853875" w:rsidRDefault="00CC2053" w:rsidP="00853875">
      <w:pPr>
        <w:rPr>
          <w:rFonts w:ascii="Arial" w:hAnsi="Arial" w:cs="Arial"/>
          <w:sz w:val="24"/>
          <w:szCs w:val="24"/>
        </w:rPr>
      </w:pPr>
      <w:r w:rsidRPr="00CC2053">
        <w:rPr>
          <w:rFonts w:ascii="Arial" w:hAnsi="Arial" w:cs="Arial"/>
          <w:noProof/>
          <w:sz w:val="24"/>
          <w:szCs w:val="24"/>
        </w:rPr>
        <w:drawing>
          <wp:anchor distT="0" distB="0" distL="114300" distR="114300" simplePos="0" relativeHeight="251659264" behindDoc="0" locked="0" layoutInCell="1" allowOverlap="1" wp14:anchorId="4C0B48E1" wp14:editId="67F7B8FA">
            <wp:simplePos x="0" y="0"/>
            <wp:positionH relativeFrom="margin">
              <wp:posOffset>30278</wp:posOffset>
            </wp:positionH>
            <wp:positionV relativeFrom="paragraph">
              <wp:posOffset>53504</wp:posOffset>
            </wp:positionV>
            <wp:extent cx="5316843" cy="2698184"/>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27387" cy="2703535"/>
                    </a:xfrm>
                    <a:prstGeom prst="rect">
                      <a:avLst/>
                    </a:prstGeom>
                  </pic:spPr>
                </pic:pic>
              </a:graphicData>
            </a:graphic>
            <wp14:sizeRelH relativeFrom="margin">
              <wp14:pctWidth>0</wp14:pctWidth>
            </wp14:sizeRelH>
            <wp14:sizeRelV relativeFrom="margin">
              <wp14:pctHeight>0</wp14:pctHeight>
            </wp14:sizeRelV>
          </wp:anchor>
        </w:drawing>
      </w: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095FFD">
      <w:pPr>
        <w:jc w:val="center"/>
        <w:rPr>
          <w:rFonts w:ascii="Arial" w:hAnsi="Arial" w:cs="Arial"/>
          <w:sz w:val="24"/>
          <w:szCs w:val="24"/>
        </w:rPr>
      </w:pPr>
    </w:p>
    <w:p w:rsidR="00CC2053" w:rsidRPr="00CC2053" w:rsidRDefault="00CC2053" w:rsidP="00095FFD">
      <w:pPr>
        <w:jc w:val="center"/>
        <w:rPr>
          <w:rFonts w:ascii="Arial" w:hAnsi="Arial" w:cs="Arial"/>
          <w:i/>
          <w:sz w:val="16"/>
          <w:szCs w:val="24"/>
        </w:rPr>
      </w:pPr>
      <w:r w:rsidRPr="00CC2053">
        <w:rPr>
          <w:rFonts w:ascii="Arial" w:hAnsi="Arial" w:cs="Arial"/>
          <w:i/>
          <w:sz w:val="16"/>
          <w:szCs w:val="24"/>
        </w:rPr>
        <w:t>Fig: 02 Cultural Dimension analysis for USA &amp; France</w:t>
      </w:r>
      <w:r w:rsidR="00750243">
        <w:rPr>
          <w:rFonts w:ascii="Arial" w:hAnsi="Arial" w:cs="Arial"/>
          <w:i/>
          <w:sz w:val="16"/>
          <w:szCs w:val="24"/>
        </w:rPr>
        <w:t xml:space="preserve"> (Hofstede, 2011)</w:t>
      </w:r>
    </w:p>
    <w:p w:rsidR="00CC2053" w:rsidRDefault="00CC2053" w:rsidP="00853875">
      <w:pPr>
        <w:rPr>
          <w:rFonts w:ascii="Arial" w:hAnsi="Arial" w:cs="Arial"/>
          <w:sz w:val="24"/>
          <w:szCs w:val="24"/>
        </w:rPr>
      </w:pPr>
    </w:p>
    <w:p w:rsidR="00CC2053" w:rsidRDefault="00750243" w:rsidP="00847092">
      <w:pPr>
        <w:jc w:val="both"/>
        <w:rPr>
          <w:rFonts w:ascii="Arial" w:hAnsi="Arial" w:cs="Arial"/>
          <w:sz w:val="24"/>
          <w:szCs w:val="24"/>
        </w:rPr>
      </w:pPr>
      <w:r w:rsidRPr="00750243">
        <w:rPr>
          <w:rFonts w:ascii="Arial" w:hAnsi="Arial" w:cs="Arial"/>
          <w:sz w:val="24"/>
          <w:szCs w:val="24"/>
        </w:rPr>
        <w:t>The chart is used to compare Hofstede’s cultural dimensions between France and the United States. Highe</w:t>
      </w:r>
      <w:r w:rsidR="00847092">
        <w:rPr>
          <w:rFonts w:ascii="Arial" w:hAnsi="Arial" w:cs="Arial"/>
          <w:sz w:val="24"/>
          <w:szCs w:val="24"/>
        </w:rPr>
        <w:t>r scores are recorded in the United States for Individualism (74 vs. 60</w:t>
      </w:r>
      <w:r w:rsidRPr="00750243">
        <w:rPr>
          <w:rFonts w:ascii="Arial" w:hAnsi="Arial" w:cs="Arial"/>
          <w:sz w:val="24"/>
          <w:szCs w:val="24"/>
        </w:rPr>
        <w:t>), Motivation towards Achievement (62 vs. 43), and Indulgence (68 vs. 48), reflecting a more competitive and reward-oriented cultural orientation. In contrast, higher scores are observed in France for Power Distance (68 vs. 40) and Uncertainty Avoidance (86 vs. 46), indicating stronger acceptance of hierarchical authority and structured environments. A relatively similar pattern is identified in Long-Term Orientation (60 vs. 50). These cultural differences are considered to contribute to strategic tensions in Airbus’s US operations, particularly in balancing short-term and long-term planning and individual versus collective decision-making processes (Hofstede, 2011)</w:t>
      </w:r>
    </w:p>
    <w:p w:rsidR="00847092" w:rsidRDefault="00853875" w:rsidP="00450E0B">
      <w:pPr>
        <w:jc w:val="both"/>
        <w:rPr>
          <w:rFonts w:ascii="Arial" w:hAnsi="Arial" w:cs="Arial"/>
          <w:sz w:val="24"/>
          <w:szCs w:val="24"/>
        </w:rPr>
      </w:pPr>
      <w:r w:rsidRPr="00847092">
        <w:rPr>
          <w:rFonts w:ascii="Arial" w:hAnsi="Arial" w:cs="Arial"/>
          <w:b/>
          <w:sz w:val="24"/>
          <w:szCs w:val="24"/>
        </w:rPr>
        <w:t>Technological:</w:t>
      </w:r>
      <w:r w:rsidRPr="00853875">
        <w:rPr>
          <w:rFonts w:ascii="Arial" w:hAnsi="Arial" w:cs="Arial"/>
          <w:sz w:val="24"/>
          <w:szCs w:val="24"/>
        </w:rPr>
        <w:t xml:space="preserve"> </w:t>
      </w:r>
      <w:r w:rsidR="00847092" w:rsidRPr="00847092">
        <w:rPr>
          <w:rFonts w:ascii="Arial" w:hAnsi="Arial" w:cs="Arial"/>
          <w:sz w:val="24"/>
          <w:szCs w:val="24"/>
        </w:rPr>
        <w:t>Technological factors are defined as advancements in innovation, automation, and digital systems influencing productivity and competitive advantage (Schwab, 2017). Access to Industry 4.0 technologies, digital twins, and artificial intelligence has been provided by the US innovation ecosystem. Nevertheless, the risk of technological leapfrogging by competitors such as Boeing and emerging aerospace entrants continues to represent a significant strategic uncertainty</w:t>
      </w:r>
      <w:r w:rsidR="00095FFD">
        <w:rPr>
          <w:rFonts w:ascii="Arial" w:hAnsi="Arial" w:cs="Arial"/>
          <w:noProof/>
          <w:sz w:val="24"/>
          <w:szCs w:val="24"/>
        </w:rPr>
        <w:t xml:space="preserve"> </w:t>
      </w:r>
      <w:r w:rsidR="00095FFD" w:rsidRPr="00095FFD">
        <w:rPr>
          <w:rFonts w:ascii="Arial" w:hAnsi="Arial" w:cs="Arial"/>
          <w:noProof/>
          <w:sz w:val="24"/>
          <w:szCs w:val="24"/>
        </w:rPr>
        <w:t>(Bughin</w:t>
      </w:r>
      <w:r w:rsidR="00095FFD">
        <w:rPr>
          <w:rFonts w:ascii="Arial" w:hAnsi="Arial" w:cs="Arial"/>
          <w:noProof/>
          <w:sz w:val="24"/>
          <w:szCs w:val="24"/>
        </w:rPr>
        <w:t xml:space="preserve"> et.al</w:t>
      </w:r>
      <w:r w:rsidR="00095FFD" w:rsidRPr="00095FFD">
        <w:rPr>
          <w:rFonts w:ascii="Arial" w:hAnsi="Arial" w:cs="Arial"/>
          <w:noProof/>
          <w:sz w:val="24"/>
          <w:szCs w:val="24"/>
        </w:rPr>
        <w:t>, 2018 )</w:t>
      </w:r>
      <w:r w:rsidR="00847092" w:rsidRPr="00847092">
        <w:rPr>
          <w:rFonts w:ascii="Arial" w:hAnsi="Arial" w:cs="Arial"/>
          <w:sz w:val="24"/>
          <w:szCs w:val="24"/>
        </w:rPr>
        <w:t>.</w:t>
      </w:r>
    </w:p>
    <w:p w:rsidR="00853875" w:rsidRPr="00853875" w:rsidRDefault="00853875" w:rsidP="00DC1DA8">
      <w:pPr>
        <w:jc w:val="both"/>
        <w:rPr>
          <w:rFonts w:ascii="Arial" w:hAnsi="Arial" w:cs="Arial"/>
          <w:sz w:val="24"/>
          <w:szCs w:val="24"/>
        </w:rPr>
      </w:pPr>
      <w:r w:rsidRPr="00C66FD5">
        <w:rPr>
          <w:rFonts w:ascii="Arial" w:hAnsi="Arial" w:cs="Arial"/>
          <w:b/>
          <w:sz w:val="24"/>
          <w:szCs w:val="24"/>
        </w:rPr>
        <w:lastRenderedPageBreak/>
        <w:t>Environmental:</w:t>
      </w:r>
      <w:r w:rsidRPr="00853875">
        <w:rPr>
          <w:rFonts w:ascii="Arial" w:hAnsi="Arial" w:cs="Arial"/>
          <w:sz w:val="24"/>
          <w:szCs w:val="24"/>
        </w:rPr>
        <w:t xml:space="preserve"> </w:t>
      </w:r>
      <w:r w:rsidR="00C66FD5" w:rsidRPr="00C66FD5">
        <w:rPr>
          <w:rFonts w:ascii="Arial" w:hAnsi="Arial" w:cs="Arial"/>
          <w:sz w:val="24"/>
          <w:szCs w:val="24"/>
        </w:rPr>
        <w:t>Environmental factors are defined as sustainability regulations, climate policies, and ecological expectations shaping corporate environmental performance and compliance requirements (Grant, 2022). Subsidies for Sustainable Aviation Fuel under the Inflation Reduction Act have created investment incentives for cleaner aviation technologies. However, competitive parity is maintained because similar sustainability commitments have also been announced by Boeing and other industry participants.</w:t>
      </w:r>
      <w:r w:rsidR="00446F02">
        <w:rPr>
          <w:rFonts w:ascii="Arial" w:hAnsi="Arial" w:cs="Arial"/>
          <w:noProof/>
          <w:sz w:val="24"/>
          <w:szCs w:val="24"/>
        </w:rPr>
        <w:t xml:space="preserve"> </w:t>
      </w:r>
      <w:r w:rsidR="00446F02" w:rsidRPr="003F7677">
        <w:rPr>
          <w:rFonts w:ascii="Arial" w:hAnsi="Arial" w:cs="Arial"/>
          <w:noProof/>
          <w:sz w:val="24"/>
          <w:szCs w:val="24"/>
        </w:rPr>
        <w:t>(</w:t>
      </w:r>
      <w:r w:rsidR="00446F02" w:rsidRPr="00446F02">
        <w:rPr>
          <w:rFonts w:ascii="Arial" w:hAnsi="Arial" w:cs="Arial"/>
          <w:noProof/>
          <w:sz w:val="24"/>
          <w:szCs w:val="24"/>
        </w:rPr>
        <w:t>U.S. Department of Energy</w:t>
      </w:r>
      <w:r w:rsidR="00446F02" w:rsidRPr="003F7677">
        <w:rPr>
          <w:rFonts w:ascii="Arial" w:hAnsi="Arial" w:cs="Arial"/>
          <w:noProof/>
          <w:sz w:val="24"/>
          <w:szCs w:val="24"/>
        </w:rPr>
        <w:t>, 2023)</w:t>
      </w:r>
      <w:r w:rsidR="00C66FD5">
        <w:rPr>
          <w:rFonts w:ascii="Arial" w:hAnsi="Arial" w:cs="Arial"/>
          <w:noProof/>
          <w:sz w:val="24"/>
          <w:szCs w:val="24"/>
        </w:rPr>
        <w:t xml:space="preserve"> </w:t>
      </w:r>
    </w:p>
    <w:p w:rsidR="000C1169" w:rsidRDefault="00853875" w:rsidP="00302EDB">
      <w:pPr>
        <w:jc w:val="both"/>
        <w:rPr>
          <w:rFonts w:ascii="Arial" w:hAnsi="Arial" w:cs="Arial"/>
          <w:sz w:val="24"/>
          <w:szCs w:val="24"/>
        </w:rPr>
      </w:pPr>
      <w:r w:rsidRPr="00C66FD5">
        <w:rPr>
          <w:rFonts w:ascii="Arial" w:hAnsi="Arial" w:cs="Arial"/>
          <w:b/>
          <w:sz w:val="24"/>
          <w:szCs w:val="24"/>
        </w:rPr>
        <w:t>Legal:</w:t>
      </w:r>
      <w:r w:rsidRPr="00853875">
        <w:rPr>
          <w:rFonts w:ascii="Arial" w:hAnsi="Arial" w:cs="Arial"/>
          <w:sz w:val="24"/>
          <w:szCs w:val="24"/>
        </w:rPr>
        <w:t xml:space="preserve"> </w:t>
      </w:r>
      <w:r w:rsidR="00C66FD5" w:rsidRPr="00C66FD5">
        <w:rPr>
          <w:rFonts w:ascii="Arial" w:hAnsi="Arial" w:cs="Arial"/>
          <w:sz w:val="24"/>
          <w:szCs w:val="24"/>
        </w:rPr>
        <w:t xml:space="preserve">Legal factors are defined as laws, certification standards, and regulatory frameworks governing operational safety and compliance obligations </w:t>
      </w:r>
      <w:r w:rsidR="00BE58BB" w:rsidRPr="00014358">
        <w:rPr>
          <w:rFonts w:ascii="Arial" w:hAnsi="Arial" w:cs="Arial"/>
          <w:noProof/>
          <w:sz w:val="24"/>
          <w:szCs w:val="24"/>
        </w:rPr>
        <w:t>(Basmar</w:t>
      </w:r>
      <w:r w:rsidR="00BE58BB">
        <w:rPr>
          <w:rFonts w:ascii="Arial" w:hAnsi="Arial" w:cs="Arial"/>
          <w:noProof/>
          <w:sz w:val="24"/>
          <w:szCs w:val="24"/>
        </w:rPr>
        <w:t xml:space="preserve"> et.al</w:t>
      </w:r>
      <w:r w:rsidR="00BE58BB" w:rsidRPr="00014358">
        <w:rPr>
          <w:rFonts w:ascii="Arial" w:hAnsi="Arial" w:cs="Arial"/>
          <w:noProof/>
          <w:sz w:val="24"/>
          <w:szCs w:val="24"/>
        </w:rPr>
        <w:t>, 2026)</w:t>
      </w:r>
      <w:r w:rsidR="00C66FD5" w:rsidRPr="00C66FD5">
        <w:rPr>
          <w:rFonts w:ascii="Arial" w:hAnsi="Arial" w:cs="Arial"/>
          <w:sz w:val="24"/>
          <w:szCs w:val="24"/>
        </w:rPr>
        <w:t>. Divergence between Federal Aviation Administration and European Union Aviation Safety Agency certification requirements has increased compliance complexity for Airbus. This structural condition is considered disadvantageous, as domestic competitors such as Boeing operate primarily within a single regulatory jurisdiction</w:t>
      </w:r>
      <w:r w:rsidR="00DC1DA8">
        <w:rPr>
          <w:rFonts w:ascii="Arial" w:hAnsi="Arial" w:cs="Arial"/>
          <w:noProof/>
          <w:sz w:val="24"/>
          <w:szCs w:val="24"/>
        </w:rPr>
        <w:t xml:space="preserve"> </w:t>
      </w:r>
      <w:r w:rsidR="00DC1DA8" w:rsidRPr="00DC1DA8">
        <w:rPr>
          <w:rFonts w:ascii="Arial" w:hAnsi="Arial" w:cs="Arial"/>
          <w:noProof/>
          <w:sz w:val="24"/>
          <w:szCs w:val="24"/>
        </w:rPr>
        <w:t>(Górski</w:t>
      </w:r>
      <w:r w:rsidR="00DC1DA8">
        <w:rPr>
          <w:rFonts w:ascii="Arial" w:hAnsi="Arial" w:cs="Arial"/>
          <w:noProof/>
          <w:sz w:val="24"/>
          <w:szCs w:val="24"/>
        </w:rPr>
        <w:t xml:space="preserve"> et.al</w:t>
      </w:r>
      <w:r w:rsidR="00DC1DA8" w:rsidRPr="00DC1DA8">
        <w:rPr>
          <w:rFonts w:ascii="Arial" w:hAnsi="Arial" w:cs="Arial"/>
          <w:noProof/>
          <w:sz w:val="24"/>
          <w:szCs w:val="24"/>
        </w:rPr>
        <w:t>, 2025)</w:t>
      </w:r>
      <w:r w:rsidR="00C66FD5">
        <w:rPr>
          <w:rFonts w:ascii="Arial" w:hAnsi="Arial" w:cs="Arial"/>
          <w:sz w:val="24"/>
          <w:szCs w:val="24"/>
        </w:rPr>
        <w:t>.</w:t>
      </w:r>
    </w:p>
    <w:p w:rsidR="00302EDB" w:rsidRDefault="00302EDB" w:rsidP="00302EDB">
      <w:pPr>
        <w:pStyle w:val="Heading2"/>
      </w:pPr>
    </w:p>
    <w:p w:rsidR="00853875" w:rsidRPr="005656B0" w:rsidRDefault="00853875" w:rsidP="00302EDB">
      <w:pPr>
        <w:pStyle w:val="Heading2"/>
      </w:pPr>
      <w:bookmarkStart w:id="7" w:name="_Toc228393242"/>
      <w:r w:rsidRPr="00DC1DA8">
        <w:t>2.2 Strategic Challenges and Critical Success Factors</w:t>
      </w:r>
      <w:bookmarkEnd w:id="7"/>
    </w:p>
    <w:p w:rsidR="00BB182E" w:rsidRPr="00BB182E" w:rsidRDefault="00BB182E" w:rsidP="005656B0">
      <w:pPr>
        <w:jc w:val="both"/>
        <w:rPr>
          <w:rFonts w:ascii="Arial" w:hAnsi="Arial" w:cs="Arial"/>
          <w:sz w:val="24"/>
          <w:szCs w:val="24"/>
        </w:rPr>
      </w:pPr>
      <w:r w:rsidRPr="00BB182E">
        <w:rPr>
          <w:rFonts w:ascii="Arial" w:hAnsi="Arial" w:cs="Arial"/>
          <w:sz w:val="24"/>
          <w:szCs w:val="24"/>
        </w:rPr>
        <w:t xml:space="preserve">Strategic challenges are defined as obstacles to the achievement of </w:t>
      </w:r>
      <w:proofErr w:type="spellStart"/>
      <w:r w:rsidRPr="00BB182E">
        <w:rPr>
          <w:rFonts w:ascii="Arial" w:hAnsi="Arial" w:cs="Arial"/>
          <w:sz w:val="24"/>
          <w:szCs w:val="24"/>
        </w:rPr>
        <w:t>organisational</w:t>
      </w:r>
      <w:proofErr w:type="spellEnd"/>
      <w:r w:rsidRPr="00BB182E">
        <w:rPr>
          <w:rFonts w:ascii="Arial" w:hAnsi="Arial" w:cs="Arial"/>
          <w:sz w:val="24"/>
          <w:szCs w:val="24"/>
        </w:rPr>
        <w:t xml:space="preserve"> vision. For Airbus USA, three key challenges are identified:</w:t>
      </w:r>
    </w:p>
    <w:p w:rsidR="00BB182E" w:rsidRPr="00BB182E" w:rsidRDefault="00BB182E" w:rsidP="005656B0">
      <w:pPr>
        <w:jc w:val="both"/>
        <w:rPr>
          <w:rFonts w:ascii="Arial" w:hAnsi="Arial" w:cs="Arial"/>
          <w:sz w:val="24"/>
          <w:szCs w:val="24"/>
        </w:rPr>
      </w:pPr>
      <w:r w:rsidRPr="00BB182E">
        <w:rPr>
          <w:rFonts w:ascii="Arial" w:hAnsi="Arial" w:cs="Arial"/>
          <w:b/>
          <w:sz w:val="24"/>
          <w:szCs w:val="24"/>
        </w:rPr>
        <w:t>Geopolitical trade protectionism:</w:t>
      </w:r>
      <w:r w:rsidRPr="00BB182E">
        <w:rPr>
          <w:rFonts w:ascii="Arial" w:hAnsi="Arial" w:cs="Arial"/>
          <w:sz w:val="24"/>
          <w:szCs w:val="24"/>
        </w:rPr>
        <w:t xml:space="preserve"> Disruptions to supply chains are caused by Section 301 investigations and the imposition of potential tariffs, which have been widely associated with escalating trade tensions between the United States and </w:t>
      </w:r>
      <w:r>
        <w:rPr>
          <w:rFonts w:ascii="Arial" w:hAnsi="Arial" w:cs="Arial"/>
          <w:sz w:val="24"/>
          <w:szCs w:val="24"/>
        </w:rPr>
        <w:t>the European Union (</w:t>
      </w:r>
      <w:proofErr w:type="spellStart"/>
      <w:r>
        <w:rPr>
          <w:rFonts w:ascii="Arial" w:hAnsi="Arial" w:cs="Arial"/>
          <w:noProof/>
          <w:sz w:val="24"/>
          <w:szCs w:val="24"/>
        </w:rPr>
        <w:t>Koopman</w:t>
      </w:r>
      <w:proofErr w:type="spellEnd"/>
      <w:r>
        <w:rPr>
          <w:rFonts w:ascii="Arial" w:hAnsi="Arial" w:cs="Arial"/>
          <w:noProof/>
          <w:sz w:val="24"/>
          <w:szCs w:val="24"/>
        </w:rPr>
        <w:t xml:space="preserve">, 2025). </w:t>
      </w:r>
      <w:r w:rsidRPr="00BB182E">
        <w:rPr>
          <w:rFonts w:ascii="Arial" w:hAnsi="Arial" w:cs="Arial"/>
          <w:sz w:val="24"/>
          <w:szCs w:val="24"/>
        </w:rPr>
        <w:t>The aerospace sector has been particularly affected, as cross-border component flows are subjected to regulatory and tariff uncertainties (</w:t>
      </w:r>
      <w:proofErr w:type="spellStart"/>
      <w:r>
        <w:rPr>
          <w:rFonts w:ascii="Arial" w:hAnsi="Arial" w:cs="Arial"/>
          <w:noProof/>
          <w:sz w:val="24"/>
          <w:szCs w:val="24"/>
        </w:rPr>
        <w:t>Koopman</w:t>
      </w:r>
      <w:proofErr w:type="spellEnd"/>
      <w:r>
        <w:rPr>
          <w:rFonts w:ascii="Arial" w:hAnsi="Arial" w:cs="Arial"/>
          <w:noProof/>
          <w:sz w:val="24"/>
          <w:szCs w:val="24"/>
        </w:rPr>
        <w:t>, 2025)</w:t>
      </w:r>
    </w:p>
    <w:p w:rsidR="00BB182E" w:rsidRPr="00BB182E" w:rsidRDefault="00BB182E" w:rsidP="005656B0">
      <w:pPr>
        <w:jc w:val="both"/>
        <w:rPr>
          <w:rFonts w:ascii="Arial" w:hAnsi="Arial" w:cs="Arial"/>
          <w:sz w:val="24"/>
          <w:szCs w:val="24"/>
        </w:rPr>
      </w:pPr>
      <w:r w:rsidRPr="00BB182E">
        <w:rPr>
          <w:rFonts w:ascii="Arial" w:hAnsi="Arial" w:cs="Arial"/>
          <w:b/>
          <w:sz w:val="24"/>
          <w:szCs w:val="24"/>
        </w:rPr>
        <w:t>Supply chain fragility:</w:t>
      </w:r>
      <w:r w:rsidRPr="00BB182E">
        <w:rPr>
          <w:rFonts w:ascii="Arial" w:hAnsi="Arial" w:cs="Arial"/>
          <w:sz w:val="24"/>
          <w:szCs w:val="24"/>
        </w:rPr>
        <w:t xml:space="preserve"> Constraints within Tier-2 and Tier-3 suppliers in the United States have been exacerbated by post-pandemic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shortages and inflationary pressures, resulting in delays and cost escalations across aerospace manufact</w:t>
      </w:r>
      <w:r w:rsidR="000734CE">
        <w:rPr>
          <w:rFonts w:ascii="Arial" w:hAnsi="Arial" w:cs="Arial"/>
          <w:sz w:val="24"/>
          <w:szCs w:val="24"/>
        </w:rPr>
        <w:t>uring networks (</w:t>
      </w:r>
      <w:r>
        <w:rPr>
          <w:rFonts w:ascii="Arial" w:hAnsi="Arial" w:cs="Arial"/>
          <w:noProof/>
          <w:sz w:val="24"/>
          <w:szCs w:val="24"/>
        </w:rPr>
        <w:t>Ivanov</w:t>
      </w:r>
      <w:r w:rsidR="000734CE">
        <w:rPr>
          <w:rFonts w:ascii="Arial" w:hAnsi="Arial" w:cs="Arial"/>
          <w:noProof/>
          <w:sz w:val="24"/>
          <w:szCs w:val="24"/>
        </w:rPr>
        <w:t xml:space="preserve"> </w:t>
      </w:r>
      <w:r w:rsidR="000734CE" w:rsidRPr="00BB182E">
        <w:rPr>
          <w:rFonts w:ascii="Arial" w:hAnsi="Arial" w:cs="Arial"/>
          <w:sz w:val="24"/>
          <w:szCs w:val="24"/>
        </w:rPr>
        <w:t xml:space="preserve">&amp; </w:t>
      </w:r>
      <w:proofErr w:type="spellStart"/>
      <w:r w:rsidR="000734CE" w:rsidRPr="00BB182E">
        <w:rPr>
          <w:rFonts w:ascii="Arial" w:hAnsi="Arial" w:cs="Arial"/>
          <w:sz w:val="24"/>
          <w:szCs w:val="24"/>
        </w:rPr>
        <w:t>Dolgui</w:t>
      </w:r>
      <w:proofErr w:type="spellEnd"/>
      <w:r>
        <w:rPr>
          <w:rFonts w:ascii="Arial" w:hAnsi="Arial" w:cs="Arial"/>
          <w:noProof/>
          <w:sz w:val="24"/>
          <w:szCs w:val="24"/>
        </w:rPr>
        <w:t>, 2020; Sheffi, 2022</w:t>
      </w:r>
      <w:r w:rsidRPr="00BB182E">
        <w:rPr>
          <w:rFonts w:ascii="Arial" w:hAnsi="Arial" w:cs="Arial"/>
          <w:sz w:val="24"/>
          <w:szCs w:val="24"/>
        </w:rPr>
        <w:t xml:space="preserve">). These vulnerabilities have been observed to persist in complex, globally integrated supply chains such as those operated by Airbus </w:t>
      </w:r>
      <w:r w:rsidR="000734CE">
        <w:rPr>
          <w:rFonts w:ascii="Arial" w:hAnsi="Arial" w:cs="Arial"/>
          <w:sz w:val="24"/>
          <w:szCs w:val="24"/>
        </w:rPr>
        <w:t>(</w:t>
      </w:r>
      <w:r w:rsidRPr="00BB182E">
        <w:rPr>
          <w:rFonts w:ascii="Arial" w:hAnsi="Arial" w:cs="Arial"/>
          <w:sz w:val="24"/>
          <w:szCs w:val="24"/>
        </w:rPr>
        <w:t xml:space="preserve">Ivanov </w:t>
      </w:r>
      <w:r w:rsidR="000734CE">
        <w:rPr>
          <w:rFonts w:ascii="Arial" w:hAnsi="Arial" w:cs="Arial"/>
          <w:sz w:val="24"/>
          <w:szCs w:val="24"/>
        </w:rPr>
        <w:t xml:space="preserve">&amp; </w:t>
      </w:r>
      <w:proofErr w:type="spellStart"/>
      <w:r w:rsidR="000734CE">
        <w:rPr>
          <w:rFonts w:ascii="Arial" w:hAnsi="Arial" w:cs="Arial"/>
          <w:sz w:val="24"/>
          <w:szCs w:val="24"/>
        </w:rPr>
        <w:t>Dolgui</w:t>
      </w:r>
      <w:proofErr w:type="spellEnd"/>
      <w:r w:rsidR="000734CE">
        <w:rPr>
          <w:rFonts w:ascii="Arial" w:hAnsi="Arial" w:cs="Arial"/>
          <w:sz w:val="24"/>
          <w:szCs w:val="24"/>
        </w:rPr>
        <w:t>, 2020</w:t>
      </w:r>
      <w:r w:rsidRPr="00BB182E">
        <w:rPr>
          <w:rFonts w:ascii="Arial" w:hAnsi="Arial" w:cs="Arial"/>
          <w:sz w:val="24"/>
          <w:szCs w:val="24"/>
        </w:rPr>
        <w:t>).</w:t>
      </w:r>
    </w:p>
    <w:p w:rsidR="00450E0B" w:rsidRPr="00853875" w:rsidRDefault="00BB182E" w:rsidP="005656B0">
      <w:pPr>
        <w:jc w:val="both"/>
        <w:rPr>
          <w:rFonts w:ascii="Arial" w:hAnsi="Arial" w:cs="Arial"/>
          <w:sz w:val="24"/>
          <w:szCs w:val="24"/>
        </w:rPr>
      </w:pPr>
      <w:proofErr w:type="spellStart"/>
      <w:r w:rsidRPr="00BB182E">
        <w:rPr>
          <w:rFonts w:ascii="Arial" w:hAnsi="Arial" w:cs="Arial"/>
          <w:b/>
          <w:sz w:val="24"/>
          <w:szCs w:val="24"/>
        </w:rPr>
        <w:t>Labour</w:t>
      </w:r>
      <w:proofErr w:type="spellEnd"/>
      <w:r w:rsidRPr="00BB182E">
        <w:rPr>
          <w:rFonts w:ascii="Arial" w:hAnsi="Arial" w:cs="Arial"/>
          <w:b/>
          <w:sz w:val="24"/>
          <w:szCs w:val="24"/>
        </w:rPr>
        <w:t xml:space="preserve"> relations:</w:t>
      </w:r>
      <w:r w:rsidRPr="00BB182E">
        <w:rPr>
          <w:rFonts w:ascii="Arial" w:hAnsi="Arial" w:cs="Arial"/>
          <w:sz w:val="24"/>
          <w:szCs w:val="24"/>
        </w:rPr>
        <w:t xml:space="preserve"> Ethical and operational tensions are created by the requirement to maintain a non-</w:t>
      </w:r>
      <w:proofErr w:type="spellStart"/>
      <w:r w:rsidRPr="00BB182E">
        <w:rPr>
          <w:rFonts w:ascii="Arial" w:hAnsi="Arial" w:cs="Arial"/>
          <w:sz w:val="24"/>
          <w:szCs w:val="24"/>
        </w:rPr>
        <w:t>unionised</w:t>
      </w:r>
      <w:proofErr w:type="spellEnd"/>
      <w:r w:rsidRPr="00BB182E">
        <w:rPr>
          <w:rFonts w:ascii="Arial" w:hAnsi="Arial" w:cs="Arial"/>
          <w:sz w:val="24"/>
          <w:szCs w:val="24"/>
        </w:rPr>
        <w:t xml:space="preserve"> workforce in Alabama while adherence to European corporate social responsibility standards is expected, reflecting differences in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institutional frameworks between the United States and Europe </w:t>
      </w:r>
      <w:proofErr w:type="gramStart"/>
      <w:r w:rsidRPr="00BB182E">
        <w:rPr>
          <w:rFonts w:ascii="Arial" w:hAnsi="Arial" w:cs="Arial"/>
          <w:sz w:val="24"/>
          <w:szCs w:val="24"/>
        </w:rPr>
        <w:t>(</w:t>
      </w:r>
      <w:r w:rsidR="00EC5525">
        <w:rPr>
          <w:rFonts w:ascii="Arial" w:hAnsi="Arial" w:cs="Arial"/>
          <w:sz w:val="24"/>
          <w:szCs w:val="24"/>
        </w:rPr>
        <w:t xml:space="preserve"> </w:t>
      </w:r>
      <w:r w:rsidR="00EC5525">
        <w:rPr>
          <w:rFonts w:ascii="Arial" w:hAnsi="Arial" w:cs="Arial"/>
          <w:noProof/>
          <w:sz w:val="24"/>
          <w:szCs w:val="24"/>
        </w:rPr>
        <w:t>Ruck</w:t>
      </w:r>
      <w:proofErr w:type="gramEnd"/>
      <w:r w:rsidR="008437E4">
        <w:rPr>
          <w:rFonts w:ascii="Arial" w:hAnsi="Arial" w:cs="Arial"/>
          <w:noProof/>
          <w:sz w:val="24"/>
          <w:szCs w:val="24"/>
        </w:rPr>
        <w:t xml:space="preserve"> &amp; J</w:t>
      </w:r>
      <w:r w:rsidR="00EC5525">
        <w:rPr>
          <w:rFonts w:ascii="Arial" w:hAnsi="Arial" w:cs="Arial"/>
          <w:noProof/>
          <w:sz w:val="24"/>
          <w:szCs w:val="24"/>
        </w:rPr>
        <w:t>, 2026</w:t>
      </w:r>
      <w:r w:rsidR="008437E4">
        <w:rPr>
          <w:rFonts w:ascii="Arial" w:hAnsi="Arial" w:cs="Arial"/>
          <w:sz w:val="24"/>
          <w:szCs w:val="24"/>
        </w:rPr>
        <w:t xml:space="preserve">; </w:t>
      </w:r>
      <w:r w:rsidR="008437E4">
        <w:rPr>
          <w:rFonts w:ascii="Arial" w:hAnsi="Arial" w:cs="Arial"/>
          <w:noProof/>
          <w:sz w:val="24"/>
          <w:szCs w:val="24"/>
        </w:rPr>
        <w:t>Locke, 2013</w:t>
      </w:r>
      <w:r w:rsidRPr="00BB182E">
        <w:rPr>
          <w:rFonts w:ascii="Arial" w:hAnsi="Arial" w:cs="Arial"/>
          <w:sz w:val="24"/>
          <w:szCs w:val="24"/>
        </w:rPr>
        <w:t xml:space="preserve">). These tensions are further intensified by stakeholder scrutiny regarding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practices </w:t>
      </w:r>
      <w:r w:rsidR="008437E4">
        <w:rPr>
          <w:rFonts w:ascii="Arial" w:hAnsi="Arial" w:cs="Arial"/>
          <w:sz w:val="24"/>
          <w:szCs w:val="24"/>
        </w:rPr>
        <w:t>in multinational enterprises (</w:t>
      </w:r>
      <w:r w:rsidR="008437E4">
        <w:rPr>
          <w:rFonts w:ascii="Arial" w:hAnsi="Arial" w:cs="Arial"/>
          <w:noProof/>
          <w:sz w:val="24"/>
          <w:szCs w:val="24"/>
        </w:rPr>
        <w:t>Ruck &amp; J, 2026</w:t>
      </w:r>
      <w:r w:rsidRPr="00BB182E">
        <w:rPr>
          <w:rFonts w:ascii="Arial" w:hAnsi="Arial" w:cs="Arial"/>
          <w:sz w:val="24"/>
          <w:szCs w:val="24"/>
        </w:rPr>
        <w:t>).</w:t>
      </w:r>
    </w:p>
    <w:p w:rsidR="00BB182E" w:rsidRPr="00BB182E" w:rsidRDefault="00BB182E" w:rsidP="005656B0">
      <w:pPr>
        <w:jc w:val="both"/>
        <w:rPr>
          <w:rFonts w:ascii="Arial" w:hAnsi="Arial" w:cs="Arial"/>
          <w:sz w:val="24"/>
          <w:szCs w:val="24"/>
        </w:rPr>
      </w:pPr>
      <w:r w:rsidRPr="00BB182E">
        <w:rPr>
          <w:rFonts w:ascii="Arial" w:hAnsi="Arial" w:cs="Arial"/>
          <w:sz w:val="24"/>
          <w:szCs w:val="24"/>
        </w:rPr>
        <w:t>Critical Success Factors (CSFs) are defined as areas in which high performance is essential for the attai</w:t>
      </w:r>
      <w:r>
        <w:rPr>
          <w:rFonts w:ascii="Arial" w:hAnsi="Arial" w:cs="Arial"/>
          <w:sz w:val="24"/>
          <w:szCs w:val="24"/>
        </w:rPr>
        <w:t>nment of competitive advantage:</w:t>
      </w:r>
    </w:p>
    <w:p w:rsidR="00BB182E" w:rsidRPr="00BB182E" w:rsidRDefault="00BB182E" w:rsidP="005656B0">
      <w:pPr>
        <w:jc w:val="both"/>
        <w:rPr>
          <w:rFonts w:ascii="Arial" w:hAnsi="Arial" w:cs="Arial"/>
          <w:sz w:val="24"/>
          <w:szCs w:val="24"/>
        </w:rPr>
      </w:pPr>
      <w:r w:rsidRPr="00BB182E">
        <w:rPr>
          <w:rFonts w:ascii="Arial" w:hAnsi="Arial" w:cs="Arial"/>
          <w:b/>
          <w:sz w:val="24"/>
          <w:szCs w:val="24"/>
        </w:rPr>
        <w:lastRenderedPageBreak/>
        <w:t>Industrial ramp-up efficiency:</w:t>
      </w:r>
      <w:r w:rsidRPr="00BB182E">
        <w:rPr>
          <w:rFonts w:ascii="Arial" w:hAnsi="Arial" w:cs="Arial"/>
          <w:sz w:val="24"/>
          <w:szCs w:val="24"/>
        </w:rPr>
        <w:t xml:space="preserve"> The achievement of “Rate 75” A320 production in Mobile is considered essential for addressing backlog pressures and meeting global demand, with production scalability being identified as a key determinant of competitiveness in the </w:t>
      </w:r>
      <w:r w:rsidR="008437E4">
        <w:rPr>
          <w:rFonts w:ascii="Arial" w:hAnsi="Arial" w:cs="Arial"/>
          <w:sz w:val="24"/>
          <w:szCs w:val="24"/>
        </w:rPr>
        <w:t xml:space="preserve">aerospace industry (Airbus, 2023; </w:t>
      </w:r>
      <w:r w:rsidR="008437E4">
        <w:rPr>
          <w:rFonts w:ascii="Arial" w:hAnsi="Arial" w:cs="Arial"/>
          <w:noProof/>
          <w:sz w:val="24"/>
          <w:szCs w:val="24"/>
        </w:rPr>
        <w:t>Arista et.al, 2022</w:t>
      </w:r>
      <w:r w:rsidRPr="00BB182E">
        <w:rPr>
          <w:rFonts w:ascii="Arial" w:hAnsi="Arial" w:cs="Arial"/>
          <w:sz w:val="24"/>
          <w:szCs w:val="24"/>
        </w:rPr>
        <w:t>). Efficient ramp-up capabilities have been linked to operational resilience and delivery reliability (</w:t>
      </w:r>
      <w:r w:rsidR="00F87BA2">
        <w:rPr>
          <w:rFonts w:ascii="Arial" w:hAnsi="Arial" w:cs="Arial"/>
          <w:noProof/>
          <w:sz w:val="24"/>
          <w:szCs w:val="24"/>
        </w:rPr>
        <w:t>Arista et.al, 2022</w:t>
      </w:r>
      <w:r w:rsidRPr="00BB182E">
        <w:rPr>
          <w:rFonts w:ascii="Arial" w:hAnsi="Arial" w:cs="Arial"/>
          <w:sz w:val="24"/>
          <w:szCs w:val="24"/>
        </w:rPr>
        <w:t>).</w:t>
      </w:r>
    </w:p>
    <w:p w:rsidR="00BB182E" w:rsidRPr="00BB182E" w:rsidRDefault="00BB182E" w:rsidP="005656B0">
      <w:pPr>
        <w:jc w:val="both"/>
        <w:rPr>
          <w:rFonts w:ascii="Arial" w:hAnsi="Arial" w:cs="Arial"/>
          <w:sz w:val="24"/>
          <w:szCs w:val="24"/>
        </w:rPr>
      </w:pPr>
      <w:r w:rsidRPr="00BB182E">
        <w:rPr>
          <w:rFonts w:ascii="Arial" w:hAnsi="Arial" w:cs="Arial"/>
          <w:b/>
          <w:sz w:val="24"/>
          <w:szCs w:val="24"/>
        </w:rPr>
        <w:t>Technological superiority:</w:t>
      </w:r>
      <w:r w:rsidRPr="00BB182E">
        <w:rPr>
          <w:rFonts w:ascii="Arial" w:hAnsi="Arial" w:cs="Arial"/>
          <w:sz w:val="24"/>
          <w:szCs w:val="24"/>
        </w:rPr>
        <w:t xml:space="preserve"> Sustained advantages in fuel efficiency and maintenance costs are regarded as critical, as airlines increasingly </w:t>
      </w:r>
      <w:proofErr w:type="spellStart"/>
      <w:r w:rsidRPr="00BB182E">
        <w:rPr>
          <w:rFonts w:ascii="Arial" w:hAnsi="Arial" w:cs="Arial"/>
          <w:sz w:val="24"/>
          <w:szCs w:val="24"/>
        </w:rPr>
        <w:t>prioritise</w:t>
      </w:r>
      <w:proofErr w:type="spellEnd"/>
      <w:r w:rsidRPr="00BB182E">
        <w:rPr>
          <w:rFonts w:ascii="Arial" w:hAnsi="Arial" w:cs="Arial"/>
          <w:sz w:val="24"/>
          <w:szCs w:val="24"/>
        </w:rPr>
        <w:t xml:space="preserve"> total lifecycle cost and environmental performance when selecting aircraft (</w:t>
      </w:r>
      <w:proofErr w:type="spellStart"/>
      <w:r w:rsidR="00F87BA2" w:rsidRPr="00F87BA2">
        <w:rPr>
          <w:rFonts w:ascii="Arial" w:hAnsi="Arial" w:cs="Arial"/>
          <w:noProof/>
          <w:sz w:val="24"/>
          <w:szCs w:val="24"/>
        </w:rPr>
        <w:t>Dua</w:t>
      </w:r>
      <w:proofErr w:type="spellEnd"/>
      <w:r w:rsidR="00F87BA2">
        <w:rPr>
          <w:rFonts w:ascii="Arial" w:hAnsi="Arial" w:cs="Arial"/>
          <w:noProof/>
          <w:sz w:val="24"/>
          <w:szCs w:val="24"/>
        </w:rPr>
        <w:t xml:space="preserve"> et.al</w:t>
      </w:r>
      <w:r w:rsidR="00F87BA2" w:rsidRPr="00F87BA2">
        <w:rPr>
          <w:rFonts w:ascii="Arial" w:hAnsi="Arial" w:cs="Arial"/>
          <w:noProof/>
          <w:sz w:val="24"/>
          <w:szCs w:val="24"/>
        </w:rPr>
        <w:t>, 2024)</w:t>
      </w:r>
      <w:r w:rsidRPr="00BB182E">
        <w:rPr>
          <w:rFonts w:ascii="Arial" w:hAnsi="Arial" w:cs="Arial"/>
          <w:sz w:val="24"/>
          <w:szCs w:val="24"/>
        </w:rPr>
        <w:t xml:space="preserve">. Continuous innovation in aircraft design and materials has been </w:t>
      </w:r>
      <w:proofErr w:type="spellStart"/>
      <w:r w:rsidRPr="00BB182E">
        <w:rPr>
          <w:rFonts w:ascii="Arial" w:hAnsi="Arial" w:cs="Arial"/>
          <w:sz w:val="24"/>
          <w:szCs w:val="24"/>
        </w:rPr>
        <w:t>emphasised</w:t>
      </w:r>
      <w:proofErr w:type="spellEnd"/>
      <w:r w:rsidRPr="00BB182E">
        <w:rPr>
          <w:rFonts w:ascii="Arial" w:hAnsi="Arial" w:cs="Arial"/>
          <w:sz w:val="24"/>
          <w:szCs w:val="24"/>
        </w:rPr>
        <w:t xml:space="preserve"> as a central competitive factor in the global aerospac</w:t>
      </w:r>
      <w:r w:rsidR="00F87BA2">
        <w:rPr>
          <w:rFonts w:ascii="Arial" w:hAnsi="Arial" w:cs="Arial"/>
          <w:sz w:val="24"/>
          <w:szCs w:val="24"/>
        </w:rPr>
        <w:t>e market (</w:t>
      </w:r>
      <w:proofErr w:type="spellStart"/>
      <w:r w:rsidR="00F87BA2" w:rsidRPr="00F87BA2">
        <w:rPr>
          <w:rFonts w:ascii="Arial" w:hAnsi="Arial" w:cs="Arial"/>
          <w:noProof/>
          <w:sz w:val="24"/>
          <w:szCs w:val="24"/>
        </w:rPr>
        <w:t>Dua</w:t>
      </w:r>
      <w:proofErr w:type="spellEnd"/>
      <w:r w:rsidR="00F87BA2">
        <w:rPr>
          <w:rFonts w:ascii="Arial" w:hAnsi="Arial" w:cs="Arial"/>
          <w:noProof/>
          <w:sz w:val="24"/>
          <w:szCs w:val="24"/>
        </w:rPr>
        <w:t xml:space="preserve"> et.al</w:t>
      </w:r>
      <w:r w:rsidR="00AA2EFC">
        <w:rPr>
          <w:rFonts w:ascii="Arial" w:hAnsi="Arial" w:cs="Arial"/>
          <w:noProof/>
          <w:sz w:val="24"/>
          <w:szCs w:val="24"/>
        </w:rPr>
        <w:t>, 2024</w:t>
      </w:r>
      <w:r w:rsidR="00AA2EFC">
        <w:rPr>
          <w:rFonts w:ascii="Arial" w:hAnsi="Arial" w:cs="Arial"/>
          <w:sz w:val="24"/>
          <w:szCs w:val="24"/>
        </w:rPr>
        <w:t xml:space="preserve">; </w:t>
      </w:r>
      <w:proofErr w:type="spellStart"/>
      <w:r w:rsidR="00AA2EFC">
        <w:rPr>
          <w:rFonts w:ascii="Arial" w:hAnsi="Arial" w:cs="Arial"/>
          <w:sz w:val="24"/>
          <w:szCs w:val="24"/>
        </w:rPr>
        <w:t>Schäfer</w:t>
      </w:r>
      <w:proofErr w:type="spellEnd"/>
      <w:r w:rsidR="00AA2EFC">
        <w:rPr>
          <w:rFonts w:ascii="Arial" w:hAnsi="Arial" w:cs="Arial"/>
          <w:sz w:val="24"/>
          <w:szCs w:val="24"/>
        </w:rPr>
        <w:t xml:space="preserve"> et al., 2019). </w:t>
      </w:r>
    </w:p>
    <w:p w:rsidR="008D65BA" w:rsidRDefault="00BB182E" w:rsidP="005656B0">
      <w:pPr>
        <w:jc w:val="both"/>
        <w:rPr>
          <w:rFonts w:ascii="Arial" w:hAnsi="Arial" w:cs="Arial"/>
          <w:sz w:val="24"/>
          <w:szCs w:val="24"/>
        </w:rPr>
      </w:pPr>
      <w:r w:rsidRPr="00BB182E">
        <w:rPr>
          <w:rFonts w:ascii="Arial" w:hAnsi="Arial" w:cs="Arial"/>
          <w:b/>
          <w:sz w:val="24"/>
          <w:szCs w:val="24"/>
        </w:rPr>
        <w:t>Stakeholder management:</w:t>
      </w:r>
      <w:r w:rsidRPr="00BB182E">
        <w:rPr>
          <w:rFonts w:ascii="Arial" w:hAnsi="Arial" w:cs="Arial"/>
          <w:sz w:val="24"/>
          <w:szCs w:val="24"/>
        </w:rPr>
        <w:t xml:space="preserve"> The development of political capital in Washington DC is viewed as essential for countering the historical dominance of Boeing, particularly within the context of government procurement, subs</w:t>
      </w:r>
      <w:r w:rsidR="008D65BA">
        <w:rPr>
          <w:rFonts w:ascii="Arial" w:hAnsi="Arial" w:cs="Arial"/>
          <w:sz w:val="24"/>
          <w:szCs w:val="24"/>
        </w:rPr>
        <w:t xml:space="preserve">idies, and regulatory influence </w:t>
      </w:r>
      <w:r w:rsidR="008D65BA" w:rsidRPr="008D65BA">
        <w:rPr>
          <w:rFonts w:ascii="Arial" w:hAnsi="Arial" w:cs="Arial"/>
          <w:noProof/>
          <w:sz w:val="24"/>
          <w:szCs w:val="24"/>
        </w:rPr>
        <w:t>(Alden</w:t>
      </w:r>
      <w:r w:rsidR="008D65BA">
        <w:rPr>
          <w:rFonts w:ascii="Arial" w:hAnsi="Arial" w:cs="Arial"/>
          <w:noProof/>
          <w:sz w:val="24"/>
          <w:szCs w:val="24"/>
        </w:rPr>
        <w:t xml:space="preserve"> et.al</w:t>
      </w:r>
      <w:r w:rsidR="008D65BA" w:rsidRPr="008D65BA">
        <w:rPr>
          <w:rFonts w:ascii="Arial" w:hAnsi="Arial" w:cs="Arial"/>
          <w:noProof/>
          <w:sz w:val="24"/>
          <w:szCs w:val="24"/>
        </w:rPr>
        <w:t>, 2022)</w:t>
      </w:r>
      <w:r w:rsidRPr="00BB182E">
        <w:rPr>
          <w:rFonts w:ascii="Arial" w:hAnsi="Arial" w:cs="Arial"/>
          <w:sz w:val="24"/>
          <w:szCs w:val="24"/>
        </w:rPr>
        <w:t xml:space="preserve">. Effective engagement with policymakers and regulators has been identified as a critical determinant of success in highly regulated industries such as aerospace </w:t>
      </w:r>
      <w:r w:rsidR="008D65BA" w:rsidRPr="008D65BA">
        <w:rPr>
          <w:rFonts w:ascii="Arial" w:hAnsi="Arial" w:cs="Arial"/>
          <w:noProof/>
          <w:sz w:val="24"/>
          <w:szCs w:val="24"/>
        </w:rPr>
        <w:t>(Alden</w:t>
      </w:r>
      <w:r w:rsidR="008D65BA">
        <w:rPr>
          <w:rFonts w:ascii="Arial" w:hAnsi="Arial" w:cs="Arial"/>
          <w:noProof/>
          <w:sz w:val="24"/>
          <w:szCs w:val="24"/>
        </w:rPr>
        <w:t xml:space="preserve"> et.al</w:t>
      </w:r>
      <w:r w:rsidR="008D65BA" w:rsidRPr="008D65BA">
        <w:rPr>
          <w:rFonts w:ascii="Arial" w:hAnsi="Arial" w:cs="Arial"/>
          <w:noProof/>
          <w:sz w:val="24"/>
          <w:szCs w:val="24"/>
        </w:rPr>
        <w:t>, 2022)</w:t>
      </w:r>
      <w:r w:rsidR="008D65BA">
        <w:rPr>
          <w:rFonts w:ascii="Arial" w:hAnsi="Arial" w:cs="Arial"/>
          <w:noProof/>
          <w:sz w:val="24"/>
          <w:szCs w:val="24"/>
        </w:rPr>
        <w:t>.</w:t>
      </w:r>
    </w:p>
    <w:p w:rsidR="008D65BA" w:rsidRDefault="008D65BA" w:rsidP="00BB182E">
      <w:pPr>
        <w:rPr>
          <w:rFonts w:ascii="Arial" w:hAnsi="Arial" w:cs="Arial"/>
          <w:sz w:val="24"/>
          <w:szCs w:val="24"/>
        </w:rPr>
      </w:pPr>
    </w:p>
    <w:p w:rsidR="00853875" w:rsidRPr="00302EDB" w:rsidRDefault="00853875" w:rsidP="00302EDB">
      <w:pPr>
        <w:pStyle w:val="Heading2"/>
        <w:rPr>
          <w:sz w:val="24"/>
        </w:rPr>
      </w:pPr>
      <w:bookmarkStart w:id="8" w:name="_Toc228393243"/>
      <w:r w:rsidRPr="00302EDB">
        <w:rPr>
          <w:sz w:val="24"/>
        </w:rPr>
        <w:t>2.3 Internal Environment: Resources, Capabilities, and Core Competencies</w:t>
      </w:r>
      <w:bookmarkEnd w:id="8"/>
    </w:p>
    <w:p w:rsidR="00302EDB" w:rsidRDefault="00302EDB" w:rsidP="00CF7A7D">
      <w:pPr>
        <w:jc w:val="both"/>
        <w:rPr>
          <w:rFonts w:ascii="Arial" w:hAnsi="Arial" w:cs="Arial"/>
          <w:sz w:val="24"/>
          <w:szCs w:val="24"/>
        </w:rPr>
      </w:pPr>
    </w:p>
    <w:p w:rsidR="008335A8" w:rsidRPr="008335A8" w:rsidRDefault="008335A8" w:rsidP="00CF7A7D">
      <w:pPr>
        <w:jc w:val="both"/>
        <w:rPr>
          <w:rFonts w:ascii="Arial" w:hAnsi="Arial" w:cs="Arial"/>
          <w:sz w:val="24"/>
          <w:szCs w:val="24"/>
        </w:rPr>
      </w:pPr>
      <w:r w:rsidRPr="008335A8">
        <w:rPr>
          <w:rFonts w:ascii="Arial" w:hAnsi="Arial" w:cs="Arial"/>
          <w:sz w:val="24"/>
          <w:szCs w:val="24"/>
        </w:rPr>
        <w:t>Tangible and intangible resources are distinguished within the resource-based view of the firm. Tangible resources are defined as physical and measurable assets that can be observed and quantified, such as facilities, equipment, and infrastructure. In contrast, intangible resources are defined as non-physical assets that are embedded within the organization, including brand reputation, intellectual property, and organizational culture (Barney, 1991;</w:t>
      </w:r>
      <w:r>
        <w:rPr>
          <w:rFonts w:ascii="Arial" w:hAnsi="Arial" w:cs="Arial"/>
          <w:sz w:val="24"/>
          <w:szCs w:val="24"/>
        </w:rPr>
        <w:t xml:space="preserve"> Grant, 2022).</w:t>
      </w:r>
    </w:p>
    <w:p w:rsidR="008335A8" w:rsidRPr="008335A8" w:rsidRDefault="008335A8" w:rsidP="00CF7A7D">
      <w:pPr>
        <w:jc w:val="both"/>
        <w:rPr>
          <w:rFonts w:ascii="Arial" w:hAnsi="Arial" w:cs="Arial"/>
          <w:sz w:val="24"/>
          <w:szCs w:val="24"/>
        </w:rPr>
      </w:pPr>
      <w:r w:rsidRPr="008335A8">
        <w:rPr>
          <w:rFonts w:ascii="Arial" w:hAnsi="Arial" w:cs="Arial"/>
          <w:sz w:val="24"/>
          <w:szCs w:val="24"/>
        </w:rPr>
        <w:t xml:space="preserve">Tangible resources are represented by the Mobile Final Assembly Line (FAL), the Wichita engineering </w:t>
      </w:r>
      <w:proofErr w:type="spellStart"/>
      <w:r w:rsidRPr="008335A8">
        <w:rPr>
          <w:rFonts w:ascii="Arial" w:hAnsi="Arial" w:cs="Arial"/>
          <w:sz w:val="24"/>
          <w:szCs w:val="24"/>
        </w:rPr>
        <w:t>centre</w:t>
      </w:r>
      <w:proofErr w:type="spellEnd"/>
      <w:r w:rsidRPr="008335A8">
        <w:rPr>
          <w:rFonts w:ascii="Arial" w:hAnsi="Arial" w:cs="Arial"/>
          <w:sz w:val="24"/>
          <w:szCs w:val="24"/>
        </w:rPr>
        <w:t xml:space="preserve">, and the Beluga transport fleet, through which production capacity, engineering support, and logistics efficiency are enabled. These assets are considered critical in facilitating geographically dispersed manufacturing and timely aircraft delivery </w:t>
      </w:r>
      <w:r w:rsidR="00B769CC" w:rsidRPr="008335A8">
        <w:rPr>
          <w:rFonts w:ascii="Arial" w:hAnsi="Arial" w:cs="Arial"/>
          <w:sz w:val="24"/>
          <w:szCs w:val="24"/>
        </w:rPr>
        <w:t>(</w:t>
      </w:r>
      <w:r w:rsidR="00B769CC">
        <w:rPr>
          <w:rFonts w:ascii="Arial" w:hAnsi="Arial" w:cs="Arial"/>
          <w:noProof/>
          <w:sz w:val="24"/>
          <w:szCs w:val="24"/>
        </w:rPr>
        <w:t>Lee</w:t>
      </w:r>
      <w:r w:rsidR="00056494">
        <w:rPr>
          <w:rFonts w:ascii="Arial" w:hAnsi="Arial" w:cs="Arial"/>
          <w:noProof/>
          <w:sz w:val="24"/>
          <w:szCs w:val="24"/>
        </w:rPr>
        <w:t xml:space="preserve"> et.al, 2026</w:t>
      </w:r>
      <w:r>
        <w:rPr>
          <w:rFonts w:ascii="Arial" w:hAnsi="Arial" w:cs="Arial"/>
          <w:sz w:val="24"/>
          <w:szCs w:val="24"/>
        </w:rPr>
        <w:t>; Johnson et al., 2020).</w:t>
      </w:r>
    </w:p>
    <w:p w:rsidR="008335A8" w:rsidRPr="008335A8" w:rsidRDefault="008335A8" w:rsidP="00CF7A7D">
      <w:pPr>
        <w:jc w:val="both"/>
        <w:rPr>
          <w:rFonts w:ascii="Arial" w:hAnsi="Arial" w:cs="Arial"/>
          <w:sz w:val="24"/>
          <w:szCs w:val="24"/>
        </w:rPr>
      </w:pPr>
      <w:r w:rsidRPr="008335A8">
        <w:rPr>
          <w:rFonts w:ascii="Arial" w:hAnsi="Arial" w:cs="Arial"/>
          <w:sz w:val="24"/>
          <w:szCs w:val="24"/>
        </w:rPr>
        <w:t>Intangible resources are reflected in the Airbus brand, an extensive portfolio of over 37,000 patents, and a culture of cross-border collaboration, through which innovation and global coordination are strengthened. Such resources are regarded as valuable and difficult to imitate, thereby contributing to sustained competitiv</w:t>
      </w:r>
      <w:r w:rsidR="00B769CC">
        <w:rPr>
          <w:rFonts w:ascii="Arial" w:hAnsi="Arial" w:cs="Arial"/>
          <w:sz w:val="24"/>
          <w:szCs w:val="24"/>
        </w:rPr>
        <w:t>e advantage (Barney, 1991)</w:t>
      </w:r>
      <w:r>
        <w:rPr>
          <w:rFonts w:ascii="Arial" w:hAnsi="Arial" w:cs="Arial"/>
          <w:sz w:val="24"/>
          <w:szCs w:val="24"/>
        </w:rPr>
        <w:t>.</w:t>
      </w:r>
    </w:p>
    <w:p w:rsidR="008335A8" w:rsidRPr="008335A8" w:rsidRDefault="008335A8" w:rsidP="00CF7A7D">
      <w:pPr>
        <w:jc w:val="both"/>
        <w:rPr>
          <w:rFonts w:ascii="Arial" w:hAnsi="Arial" w:cs="Arial"/>
          <w:sz w:val="24"/>
          <w:szCs w:val="24"/>
        </w:rPr>
      </w:pPr>
      <w:r w:rsidRPr="003D68AD">
        <w:rPr>
          <w:rFonts w:ascii="Arial" w:hAnsi="Arial" w:cs="Arial"/>
          <w:sz w:val="24"/>
          <w:szCs w:val="24"/>
        </w:rPr>
        <w:t>Capabilities are demonstrated in systems integration, digital manufacturing, and customer support, through which complex aerospace products are designed, produced, and maintained. These capabilities are considered essential in coordinating multiple subsystems and ensuring lifecycle service quality (</w:t>
      </w:r>
      <w:proofErr w:type="spellStart"/>
      <w:r w:rsidRPr="003D68AD">
        <w:rPr>
          <w:rFonts w:ascii="Arial" w:hAnsi="Arial" w:cs="Arial"/>
          <w:sz w:val="24"/>
          <w:szCs w:val="24"/>
        </w:rPr>
        <w:t>Hobday</w:t>
      </w:r>
      <w:proofErr w:type="spellEnd"/>
      <w:r w:rsidRPr="003D68AD">
        <w:rPr>
          <w:rFonts w:ascii="Arial" w:hAnsi="Arial" w:cs="Arial"/>
          <w:sz w:val="24"/>
          <w:szCs w:val="24"/>
        </w:rPr>
        <w:t xml:space="preserve">, 1998; </w:t>
      </w:r>
      <w:r w:rsidR="003D68AD" w:rsidRPr="003D68AD">
        <w:rPr>
          <w:rFonts w:ascii="Arial" w:hAnsi="Arial" w:cs="Arial"/>
          <w:noProof/>
          <w:sz w:val="24"/>
          <w:szCs w:val="24"/>
        </w:rPr>
        <w:t>Teece, 2018)</w:t>
      </w:r>
      <w:r w:rsidR="003D68AD">
        <w:rPr>
          <w:rFonts w:ascii="Arial" w:hAnsi="Arial" w:cs="Arial"/>
          <w:sz w:val="24"/>
          <w:szCs w:val="24"/>
        </w:rPr>
        <w:t>.</w:t>
      </w:r>
      <w:r w:rsidR="003D68AD">
        <w:rPr>
          <w:rFonts w:ascii="Arial" w:hAnsi="Arial" w:cs="Arial"/>
          <w:noProof/>
          <w:sz w:val="24"/>
          <w:szCs w:val="24"/>
        </w:rPr>
        <w:t xml:space="preserve"> </w:t>
      </w:r>
    </w:p>
    <w:p w:rsidR="008335A8" w:rsidRPr="00853875" w:rsidRDefault="008335A8" w:rsidP="00C76A76">
      <w:pPr>
        <w:jc w:val="both"/>
        <w:rPr>
          <w:rFonts w:ascii="Arial" w:hAnsi="Arial" w:cs="Arial"/>
          <w:sz w:val="24"/>
          <w:szCs w:val="24"/>
        </w:rPr>
      </w:pPr>
      <w:r w:rsidRPr="008335A8">
        <w:rPr>
          <w:rFonts w:ascii="Arial" w:hAnsi="Arial" w:cs="Arial"/>
          <w:sz w:val="24"/>
          <w:szCs w:val="24"/>
        </w:rPr>
        <w:lastRenderedPageBreak/>
        <w:t>Two core competencies are identified. First, a hybrid local–global production model is utilized, through which efficiency and market responsiveness are balanced across international operations. Second, fuel-efficient propulsion technology is developed, through which environmental performance and cost efficiency are enhanced. These competencies are viewed as strategically significant, as they enable differentiation and long-term competitiveness within the aerospace industry (</w:t>
      </w:r>
      <w:proofErr w:type="spellStart"/>
      <w:r w:rsidRPr="008335A8">
        <w:rPr>
          <w:rFonts w:ascii="Arial" w:hAnsi="Arial" w:cs="Arial"/>
          <w:sz w:val="24"/>
          <w:szCs w:val="24"/>
        </w:rPr>
        <w:t>Teece</w:t>
      </w:r>
      <w:proofErr w:type="spellEnd"/>
      <w:r w:rsidRPr="008335A8">
        <w:rPr>
          <w:rFonts w:ascii="Arial" w:hAnsi="Arial" w:cs="Arial"/>
          <w:sz w:val="24"/>
          <w:szCs w:val="24"/>
        </w:rPr>
        <w:t>, 2018).</w:t>
      </w:r>
    </w:p>
    <w:p w:rsidR="00853875" w:rsidRPr="0048301F" w:rsidRDefault="00853875" w:rsidP="00302EDB">
      <w:pPr>
        <w:pStyle w:val="Heading2"/>
      </w:pPr>
      <w:bookmarkStart w:id="9" w:name="_Toc228393244"/>
      <w:r w:rsidRPr="0048301F">
        <w:t>2.4 Strategic Capability Evaluation (VRIO)</w:t>
      </w:r>
      <w:bookmarkEnd w:id="9"/>
    </w:p>
    <w:p w:rsidR="0048301F" w:rsidRPr="00853875" w:rsidRDefault="00C76A76" w:rsidP="000952B6">
      <w:pPr>
        <w:jc w:val="both"/>
        <w:rPr>
          <w:rFonts w:ascii="Arial" w:hAnsi="Arial" w:cs="Arial"/>
          <w:sz w:val="24"/>
          <w:szCs w:val="24"/>
        </w:rPr>
      </w:pPr>
      <w:r w:rsidRPr="00C76A76">
        <w:rPr>
          <w:rFonts w:ascii="Arial" w:hAnsi="Arial" w:cs="Arial"/>
          <w:sz w:val="24"/>
          <w:szCs w:val="24"/>
        </w:rPr>
        <w:t xml:space="preserve">Strategic challenges are defined as critical internal and external issues by which </w:t>
      </w:r>
      <w:proofErr w:type="spellStart"/>
      <w:r w:rsidRPr="00C76A76">
        <w:rPr>
          <w:rFonts w:ascii="Arial" w:hAnsi="Arial" w:cs="Arial"/>
          <w:sz w:val="24"/>
          <w:szCs w:val="24"/>
        </w:rPr>
        <w:t>organisational</w:t>
      </w:r>
      <w:proofErr w:type="spellEnd"/>
      <w:r w:rsidRPr="00C76A76">
        <w:rPr>
          <w:rFonts w:ascii="Arial" w:hAnsi="Arial" w:cs="Arial"/>
          <w:sz w:val="24"/>
          <w:szCs w:val="24"/>
        </w:rPr>
        <w:t xml:space="preserve"> performance, competitiveness, and long-term sustainability are threatened, requiring adaptive decision-making, resource reconfiguration, and continuous strategic alignment within dynamic business environments</w:t>
      </w:r>
      <w:r>
        <w:rPr>
          <w:rFonts w:ascii="Arial" w:hAnsi="Arial" w:cs="Arial"/>
          <w:sz w:val="24"/>
          <w:szCs w:val="24"/>
        </w:rPr>
        <w:t xml:space="preserve"> </w:t>
      </w:r>
      <w:r w:rsidRPr="00C76A76">
        <w:rPr>
          <w:rFonts w:ascii="Arial" w:hAnsi="Arial" w:cs="Arial"/>
          <w:sz w:val="24"/>
          <w:szCs w:val="24"/>
        </w:rPr>
        <w:t>(Johnson et al., 2020).</w:t>
      </w:r>
      <w:r>
        <w:rPr>
          <w:rFonts w:ascii="Arial" w:hAnsi="Arial" w:cs="Arial"/>
          <w:sz w:val="24"/>
          <w:szCs w:val="24"/>
        </w:rPr>
        <w:t xml:space="preserve"> </w:t>
      </w:r>
      <w:r w:rsidR="0048301F" w:rsidRPr="0048301F">
        <w:rPr>
          <w:rFonts w:ascii="Arial" w:hAnsi="Arial" w:cs="Arial"/>
          <w:sz w:val="24"/>
          <w:szCs w:val="24"/>
        </w:rPr>
        <w:t xml:space="preserve">Strategic capability evaluation is conducted through the VRIO framework to determine whether </w:t>
      </w:r>
      <w:proofErr w:type="spellStart"/>
      <w:r w:rsidR="0048301F" w:rsidRPr="0048301F">
        <w:rPr>
          <w:rFonts w:ascii="Arial" w:hAnsi="Arial" w:cs="Arial"/>
          <w:sz w:val="24"/>
          <w:szCs w:val="24"/>
        </w:rPr>
        <w:t>organisational</w:t>
      </w:r>
      <w:proofErr w:type="spellEnd"/>
      <w:r w:rsidR="0048301F" w:rsidRPr="0048301F">
        <w:rPr>
          <w:rFonts w:ascii="Arial" w:hAnsi="Arial" w:cs="Arial"/>
          <w:sz w:val="24"/>
          <w:szCs w:val="24"/>
        </w:rPr>
        <w:t xml:space="preserve"> resources and capabilities provide sustained competitive advantage. The dimensions of Value, Rarity, Imitability, and </w:t>
      </w:r>
      <w:proofErr w:type="spellStart"/>
      <w:r w:rsidR="0048301F" w:rsidRPr="0048301F">
        <w:rPr>
          <w:rFonts w:ascii="Arial" w:hAnsi="Arial" w:cs="Arial"/>
          <w:sz w:val="24"/>
          <w:szCs w:val="24"/>
        </w:rPr>
        <w:t>Organisation</w:t>
      </w:r>
      <w:proofErr w:type="spellEnd"/>
      <w:r w:rsidR="0048301F" w:rsidRPr="0048301F">
        <w:rPr>
          <w:rFonts w:ascii="Arial" w:hAnsi="Arial" w:cs="Arial"/>
          <w:sz w:val="24"/>
          <w:szCs w:val="24"/>
        </w:rPr>
        <w:t xml:space="preserve"> are examined to assess competitive positioning. In this report, the VRIO model is applied to Airbus USA’s Mobile Final Assembly Line (FAL), A320neo fuel efficiency, </w:t>
      </w:r>
      <w:proofErr w:type="spellStart"/>
      <w:r w:rsidR="0048301F" w:rsidRPr="0048301F">
        <w:rPr>
          <w:rFonts w:ascii="Arial" w:hAnsi="Arial" w:cs="Arial"/>
          <w:sz w:val="24"/>
          <w:szCs w:val="24"/>
        </w:rPr>
        <w:t>defence</w:t>
      </w:r>
      <w:proofErr w:type="spellEnd"/>
      <w:r w:rsidR="0048301F" w:rsidRPr="0048301F">
        <w:rPr>
          <w:rFonts w:ascii="Arial" w:hAnsi="Arial" w:cs="Arial"/>
          <w:sz w:val="24"/>
          <w:szCs w:val="24"/>
        </w:rPr>
        <w:t xml:space="preserve"> partnerships, and hydrogen research and development initiatives, through which resources generating temporary or sustained competitive advantage are identified</w:t>
      </w:r>
      <w:r w:rsidR="0048301F">
        <w:rPr>
          <w:rFonts w:ascii="Arial" w:hAnsi="Arial" w:cs="Arial"/>
          <w:sz w:val="24"/>
          <w:szCs w:val="24"/>
        </w:rPr>
        <w:t xml:space="preserve"> (</w:t>
      </w:r>
      <w:r w:rsidR="0048301F" w:rsidRPr="00853875">
        <w:rPr>
          <w:rFonts w:ascii="Arial" w:hAnsi="Arial" w:cs="Arial"/>
          <w:sz w:val="24"/>
          <w:szCs w:val="24"/>
        </w:rPr>
        <w:t>Barney, 1991</w:t>
      </w:r>
      <w:r w:rsidR="0048301F">
        <w:rPr>
          <w:rFonts w:ascii="Arial" w:hAnsi="Arial" w:cs="Arial"/>
          <w:sz w:val="24"/>
          <w:szCs w:val="24"/>
        </w:rPr>
        <w:t>).</w:t>
      </w:r>
    </w:p>
    <w:p w:rsidR="000952B6" w:rsidRPr="000952B6" w:rsidRDefault="000952B6" w:rsidP="00853875">
      <w:pPr>
        <w:rPr>
          <w:noProof/>
        </w:rPr>
      </w:pPr>
      <w:r w:rsidRPr="000952B6">
        <w:rPr>
          <w:noProof/>
        </w:rPr>
        <w:drawing>
          <wp:inline distT="0" distB="0" distL="0" distR="0" wp14:anchorId="25803579" wp14:editId="429036F4">
            <wp:extent cx="5943600" cy="1980409"/>
            <wp:effectExtent l="0" t="0" r="0" b="1270"/>
            <wp:docPr id="10" name="Picture 10" descr="C:\Users\fabih\Downloads\VRIO for airbus.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VRIO for airbus.0.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1980409"/>
                    </a:xfrm>
                    <a:prstGeom prst="rect">
                      <a:avLst/>
                    </a:prstGeom>
                    <a:noFill/>
                    <a:ln>
                      <a:noFill/>
                    </a:ln>
                  </pic:spPr>
                </pic:pic>
              </a:graphicData>
            </a:graphic>
          </wp:inline>
        </w:drawing>
      </w:r>
    </w:p>
    <w:p w:rsidR="006D4B40" w:rsidRPr="00AB6384" w:rsidRDefault="005E5294" w:rsidP="00AB6384">
      <w:pPr>
        <w:jc w:val="center"/>
        <w:rPr>
          <w:rFonts w:ascii="Arial" w:hAnsi="Arial" w:cs="Arial"/>
          <w:i/>
          <w:sz w:val="16"/>
          <w:szCs w:val="24"/>
        </w:rPr>
      </w:pPr>
      <w:r>
        <w:rPr>
          <w:rFonts w:ascii="Arial" w:hAnsi="Arial" w:cs="Arial"/>
          <w:i/>
          <w:sz w:val="16"/>
          <w:szCs w:val="24"/>
        </w:rPr>
        <w:t>Fig: 03</w:t>
      </w:r>
      <w:r w:rsidR="008E7759" w:rsidRPr="008E7759">
        <w:rPr>
          <w:rFonts w:ascii="Arial" w:hAnsi="Arial" w:cs="Arial"/>
          <w:i/>
          <w:sz w:val="16"/>
          <w:szCs w:val="24"/>
        </w:rPr>
        <w:t xml:space="preserve"> VRIO Framework analysis of Airbus in the USA</w:t>
      </w:r>
      <w:r>
        <w:rPr>
          <w:rFonts w:ascii="Arial" w:hAnsi="Arial" w:cs="Arial"/>
          <w:i/>
          <w:sz w:val="16"/>
          <w:szCs w:val="24"/>
        </w:rPr>
        <w:t xml:space="preserve"> (</w:t>
      </w:r>
      <w:r w:rsidRPr="005E5294">
        <w:rPr>
          <w:rFonts w:ascii="Arial" w:hAnsi="Arial" w:cs="Arial"/>
          <w:i/>
          <w:sz w:val="16"/>
          <w:szCs w:val="24"/>
        </w:rPr>
        <w:t>Barney, 1991</w:t>
      </w:r>
      <w:r w:rsidR="000952B6">
        <w:rPr>
          <w:rFonts w:ascii="Arial" w:hAnsi="Arial" w:cs="Arial"/>
          <w:i/>
          <w:sz w:val="16"/>
          <w:szCs w:val="24"/>
        </w:rPr>
        <w:t xml:space="preserve">- </w:t>
      </w:r>
      <w:r w:rsidR="00AB6384">
        <w:rPr>
          <w:rFonts w:ascii="Arial" w:hAnsi="Arial" w:cs="Arial"/>
          <w:i/>
          <w:sz w:val="16"/>
          <w:szCs w:val="24"/>
        </w:rPr>
        <w:t>Self Analyzed)</w:t>
      </w:r>
    </w:p>
    <w:p w:rsidR="008E7759" w:rsidRDefault="008E7759" w:rsidP="005E5294">
      <w:pPr>
        <w:jc w:val="both"/>
        <w:rPr>
          <w:rFonts w:ascii="Arial" w:hAnsi="Arial" w:cs="Arial"/>
          <w:sz w:val="24"/>
          <w:szCs w:val="24"/>
        </w:rPr>
      </w:pPr>
      <w:r w:rsidRPr="008E7759">
        <w:rPr>
          <w:rFonts w:ascii="Arial" w:hAnsi="Arial" w:cs="Arial"/>
          <w:sz w:val="24"/>
          <w:szCs w:val="24"/>
        </w:rPr>
        <w:t>A strategic capability assessment is conducted using the VRIO framework, through which it is evaluated whether the key resources and capabilities of Airbus USA generate sustained competitive advantage. The Mobile, Alabama Final Assembly Line and Hydrogen (</w:t>
      </w:r>
      <w:proofErr w:type="spellStart"/>
      <w:r w:rsidRPr="008E7759">
        <w:rPr>
          <w:rFonts w:ascii="Arial" w:hAnsi="Arial" w:cs="Arial"/>
          <w:sz w:val="24"/>
          <w:szCs w:val="24"/>
        </w:rPr>
        <w:t>ZEROe</w:t>
      </w:r>
      <w:proofErr w:type="spellEnd"/>
      <w:r w:rsidRPr="008E7759">
        <w:rPr>
          <w:rFonts w:ascii="Arial" w:hAnsi="Arial" w:cs="Arial"/>
          <w:sz w:val="24"/>
          <w:szCs w:val="24"/>
        </w:rPr>
        <w:t>) research and development initiatives are identified as sources of sustained advantage, as high value, rarity, and difficulty of imitation are exhibited by these assets and activities (Barney, 1991;</w:t>
      </w:r>
      <w:r w:rsidR="005E5294">
        <w:rPr>
          <w:rFonts w:ascii="Arial" w:hAnsi="Arial" w:cs="Arial"/>
          <w:noProof/>
          <w:sz w:val="24"/>
          <w:szCs w:val="24"/>
        </w:rPr>
        <w:t xml:space="preserve"> </w:t>
      </w:r>
      <w:r w:rsidR="005E5294" w:rsidRPr="005E5294">
        <w:rPr>
          <w:rFonts w:ascii="Arial" w:hAnsi="Arial" w:cs="Arial"/>
          <w:noProof/>
          <w:sz w:val="24"/>
          <w:szCs w:val="24"/>
        </w:rPr>
        <w:t>Lacaze</w:t>
      </w:r>
      <w:r w:rsidR="005E5294">
        <w:rPr>
          <w:rFonts w:ascii="Arial" w:hAnsi="Arial" w:cs="Arial"/>
          <w:noProof/>
          <w:sz w:val="24"/>
          <w:szCs w:val="24"/>
        </w:rPr>
        <w:t xml:space="preserve"> et.al, 2025</w:t>
      </w:r>
      <w:r>
        <w:rPr>
          <w:rFonts w:ascii="Arial" w:hAnsi="Arial" w:cs="Arial"/>
          <w:sz w:val="24"/>
          <w:szCs w:val="24"/>
        </w:rPr>
        <w:t>).</w:t>
      </w:r>
      <w:r w:rsidR="005E5294">
        <w:rPr>
          <w:rFonts w:ascii="Arial" w:hAnsi="Arial" w:cs="Arial"/>
          <w:sz w:val="24"/>
          <w:szCs w:val="24"/>
        </w:rPr>
        <w:t xml:space="preserve"> </w:t>
      </w:r>
      <w:r w:rsidRPr="008E7759">
        <w:rPr>
          <w:rFonts w:ascii="Arial" w:hAnsi="Arial" w:cs="Arial"/>
          <w:sz w:val="24"/>
          <w:szCs w:val="24"/>
        </w:rPr>
        <w:t xml:space="preserve">In contrast, A320neo fuel efficiency is considered to provide only a temporary advantage, as such technological improvements are likely to be replicated by competitors over time (Grant, 2019; </w:t>
      </w:r>
      <w:proofErr w:type="spellStart"/>
      <w:r w:rsidRPr="008E7759">
        <w:rPr>
          <w:rFonts w:ascii="Arial" w:hAnsi="Arial" w:cs="Arial"/>
          <w:sz w:val="24"/>
          <w:szCs w:val="24"/>
        </w:rPr>
        <w:t>Teece</w:t>
      </w:r>
      <w:proofErr w:type="spellEnd"/>
      <w:r w:rsidRPr="008E7759">
        <w:rPr>
          <w:rFonts w:ascii="Arial" w:hAnsi="Arial" w:cs="Arial"/>
          <w:sz w:val="24"/>
          <w:szCs w:val="24"/>
        </w:rPr>
        <w:t xml:space="preserve">, 2018). Furthermore, US </w:t>
      </w:r>
      <w:proofErr w:type="spellStart"/>
      <w:r w:rsidRPr="008E7759">
        <w:rPr>
          <w:rFonts w:ascii="Arial" w:hAnsi="Arial" w:cs="Arial"/>
          <w:sz w:val="24"/>
          <w:szCs w:val="24"/>
        </w:rPr>
        <w:t>defence</w:t>
      </w:r>
      <w:proofErr w:type="spellEnd"/>
      <w:r w:rsidRPr="008E7759">
        <w:rPr>
          <w:rFonts w:ascii="Arial" w:hAnsi="Arial" w:cs="Arial"/>
          <w:sz w:val="24"/>
          <w:szCs w:val="24"/>
        </w:rPr>
        <w:t xml:space="preserve"> partnerships are associated with competitive parity, as similar collaborative relationships are maintained by industry rivals, including Boeing, thereby limiting differentiation (Johnson et al., 2020; Hill et al., 2014).</w:t>
      </w:r>
    </w:p>
    <w:p w:rsidR="00853875" w:rsidRPr="0084496B" w:rsidRDefault="00853875" w:rsidP="00302EDB">
      <w:pPr>
        <w:pStyle w:val="Heading2"/>
      </w:pPr>
      <w:bookmarkStart w:id="10" w:name="_Toc228393245"/>
      <w:r w:rsidRPr="00C90A00">
        <w:lastRenderedPageBreak/>
        <w:t>2.5 Internal Strengths and Competitive Advantage</w:t>
      </w:r>
      <w:bookmarkEnd w:id="10"/>
    </w:p>
    <w:p w:rsidR="0084496B" w:rsidRDefault="00C76A76" w:rsidP="00853875">
      <w:pPr>
        <w:rPr>
          <w:rFonts w:ascii="Arial" w:hAnsi="Arial" w:cs="Arial"/>
          <w:sz w:val="24"/>
          <w:szCs w:val="24"/>
        </w:rPr>
      </w:pPr>
      <w:r w:rsidRPr="00C76A76">
        <w:rPr>
          <w:rFonts w:ascii="Arial" w:hAnsi="Arial" w:cs="Arial"/>
          <w:sz w:val="24"/>
          <w:szCs w:val="24"/>
        </w:rPr>
        <w:t>Internal strengths are defined as distinctive resources, capabilities, and competencies by which competitive advantage is achieved. These strengths are derived from tangible assets and intangible assets that enable opportunities to be exploite</w:t>
      </w:r>
      <w:r>
        <w:rPr>
          <w:rFonts w:ascii="Arial" w:hAnsi="Arial" w:cs="Arial"/>
          <w:sz w:val="24"/>
          <w:szCs w:val="24"/>
        </w:rPr>
        <w:t xml:space="preserve">d and threats to be neutralized </w:t>
      </w:r>
      <w:r w:rsidRPr="00C90A00">
        <w:rPr>
          <w:rFonts w:ascii="Arial" w:hAnsi="Arial" w:cs="Arial"/>
          <w:sz w:val="24"/>
          <w:szCs w:val="24"/>
        </w:rPr>
        <w:t>(Barney, 1991)</w:t>
      </w:r>
      <w:r>
        <w:rPr>
          <w:rFonts w:ascii="Arial" w:hAnsi="Arial" w:cs="Arial"/>
          <w:sz w:val="24"/>
          <w:szCs w:val="24"/>
        </w:rPr>
        <w:t xml:space="preserve">. </w:t>
      </w:r>
    </w:p>
    <w:p w:rsidR="000C1169" w:rsidRDefault="000C1169" w:rsidP="00302EDB">
      <w:pPr>
        <w:pStyle w:val="Heading3"/>
      </w:pPr>
      <w:bookmarkStart w:id="11" w:name="_Toc228393246"/>
      <w:r>
        <w:t xml:space="preserve">2.5.1 </w:t>
      </w:r>
      <w:r w:rsidRPr="000C1169">
        <w:t>How Airbus’s internal strengths contribute to competitive advantage</w:t>
      </w:r>
      <w:bookmarkEnd w:id="11"/>
    </w:p>
    <w:p w:rsidR="00450E0B" w:rsidRPr="00450E0B" w:rsidRDefault="00450E0B" w:rsidP="00450E0B">
      <w:pPr>
        <w:jc w:val="both"/>
        <w:rPr>
          <w:rFonts w:ascii="Arial" w:hAnsi="Arial" w:cs="Arial"/>
          <w:sz w:val="24"/>
          <w:szCs w:val="24"/>
        </w:rPr>
      </w:pPr>
      <w:r>
        <w:rPr>
          <w:rFonts w:ascii="Arial" w:hAnsi="Arial" w:cs="Arial"/>
          <w:sz w:val="24"/>
          <w:szCs w:val="24"/>
        </w:rPr>
        <w:t xml:space="preserve">A </w:t>
      </w:r>
      <w:r w:rsidRPr="00450E0B">
        <w:rPr>
          <w:rFonts w:ascii="Arial" w:hAnsi="Arial" w:cs="Arial"/>
          <w:sz w:val="24"/>
          <w:szCs w:val="24"/>
        </w:rPr>
        <w:t>competitive advantage is achieved by Airbus through the Mobile Final Assembly Line and fuel-efficient innovation. Advantages are generated through operational efficiency and technological capabilities; however, limitations such as relatively weak political influence and diminishing fuel-efficiency benefits are also identified. As a result, a competitive position that is strong yet partial and potentially vulnerable is established (Barney, 1991)</w:t>
      </w:r>
      <w:r>
        <w:rPr>
          <w:rFonts w:ascii="Arial" w:hAnsi="Arial" w:cs="Arial"/>
          <w:sz w:val="24"/>
          <w:szCs w:val="24"/>
        </w:rPr>
        <w:t>.</w:t>
      </w:r>
    </w:p>
    <w:p w:rsidR="00450E0B" w:rsidRDefault="00450E0B" w:rsidP="00853875">
      <w:pPr>
        <w:rPr>
          <w:rFonts w:ascii="Arial" w:hAnsi="Arial" w:cs="Arial"/>
          <w:b/>
          <w:sz w:val="24"/>
          <w:szCs w:val="24"/>
        </w:rPr>
      </w:pPr>
      <w:r>
        <w:rPr>
          <w:rFonts w:ascii="Arial" w:hAnsi="Arial" w:cs="Arial"/>
          <w:b/>
          <w:noProof/>
          <w:sz w:val="24"/>
          <w:szCs w:val="24"/>
        </w:rPr>
        <w:drawing>
          <wp:anchor distT="0" distB="0" distL="114300" distR="114300" simplePos="0" relativeHeight="251661312" behindDoc="0" locked="0" layoutInCell="1" allowOverlap="1" wp14:anchorId="3198F9DF" wp14:editId="54B6A193">
            <wp:simplePos x="0" y="0"/>
            <wp:positionH relativeFrom="margin">
              <wp:posOffset>278559</wp:posOffset>
            </wp:positionH>
            <wp:positionV relativeFrom="paragraph">
              <wp:posOffset>166214</wp:posOffset>
            </wp:positionV>
            <wp:extent cx="5443666" cy="3160822"/>
            <wp:effectExtent l="0" t="0" r="508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irbus .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72784" cy="3177729"/>
                    </a:xfrm>
                    <a:prstGeom prst="rect">
                      <a:avLst/>
                    </a:prstGeom>
                  </pic:spPr>
                </pic:pic>
              </a:graphicData>
            </a:graphic>
            <wp14:sizeRelH relativeFrom="margin">
              <wp14:pctWidth>0</wp14:pctWidth>
            </wp14:sizeRelH>
            <wp14:sizeRelV relativeFrom="margin">
              <wp14:pctHeight>0</wp14:pctHeight>
            </wp14:sizeRelV>
          </wp:anchor>
        </w:drawing>
      </w:r>
    </w:p>
    <w:p w:rsidR="00450E0B" w:rsidRDefault="00450E0B" w:rsidP="00853875">
      <w:pPr>
        <w:rPr>
          <w:rFonts w:ascii="Arial" w:hAnsi="Arial" w:cs="Arial"/>
          <w:b/>
          <w:sz w:val="24"/>
          <w:szCs w:val="24"/>
        </w:rPr>
      </w:pPr>
    </w:p>
    <w:p w:rsidR="00450E0B" w:rsidRDefault="00450E0B" w:rsidP="00853875">
      <w:pPr>
        <w:rPr>
          <w:rFonts w:ascii="Arial" w:hAnsi="Arial" w:cs="Arial"/>
          <w:b/>
          <w:sz w:val="24"/>
          <w:szCs w:val="24"/>
        </w:rPr>
      </w:pPr>
    </w:p>
    <w:p w:rsidR="00450E0B" w:rsidRDefault="00450E0B" w:rsidP="00853875">
      <w:pPr>
        <w:rPr>
          <w:rFonts w:ascii="Arial" w:hAnsi="Arial" w:cs="Arial"/>
          <w:b/>
          <w:sz w:val="24"/>
          <w:szCs w:val="24"/>
        </w:rPr>
      </w:pPr>
    </w:p>
    <w:p w:rsidR="00450E0B" w:rsidRPr="000C1169" w:rsidRDefault="00450E0B" w:rsidP="00853875">
      <w:pPr>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Pr="00450E0B" w:rsidRDefault="00450E0B" w:rsidP="00450E0B">
      <w:pPr>
        <w:jc w:val="center"/>
        <w:rPr>
          <w:rFonts w:ascii="Arial" w:hAnsi="Arial" w:cs="Arial"/>
          <w:i/>
          <w:sz w:val="16"/>
          <w:szCs w:val="24"/>
        </w:rPr>
      </w:pPr>
      <w:r w:rsidRPr="00450E0B">
        <w:rPr>
          <w:rFonts w:ascii="Arial" w:hAnsi="Arial" w:cs="Arial"/>
          <w:i/>
          <w:sz w:val="16"/>
          <w:szCs w:val="24"/>
        </w:rPr>
        <w:t>Fig: 04 Competitive Advantage Analysis of Airbus</w:t>
      </w:r>
    </w:p>
    <w:p w:rsidR="00800104" w:rsidRDefault="00800104" w:rsidP="00977AF0">
      <w:pPr>
        <w:jc w:val="both"/>
        <w:rPr>
          <w:rFonts w:ascii="Arial" w:hAnsi="Arial" w:cs="Arial"/>
          <w:b/>
          <w:sz w:val="24"/>
          <w:szCs w:val="24"/>
        </w:rPr>
      </w:pPr>
    </w:p>
    <w:p w:rsidR="000C1169" w:rsidRDefault="000C1169" w:rsidP="00977AF0">
      <w:pPr>
        <w:jc w:val="both"/>
        <w:rPr>
          <w:rFonts w:ascii="Arial" w:hAnsi="Arial" w:cs="Arial"/>
          <w:sz w:val="24"/>
          <w:szCs w:val="24"/>
        </w:rPr>
      </w:pPr>
      <w:proofErr w:type="spellStart"/>
      <w:r w:rsidRPr="000C1169">
        <w:rPr>
          <w:rFonts w:ascii="Arial" w:hAnsi="Arial" w:cs="Arial"/>
          <w:b/>
          <w:sz w:val="24"/>
          <w:szCs w:val="24"/>
        </w:rPr>
        <w:t>Localised</w:t>
      </w:r>
      <w:proofErr w:type="spellEnd"/>
      <w:r w:rsidRPr="000C1169">
        <w:rPr>
          <w:rFonts w:ascii="Arial" w:hAnsi="Arial" w:cs="Arial"/>
          <w:b/>
          <w:sz w:val="24"/>
          <w:szCs w:val="24"/>
        </w:rPr>
        <w:t xml:space="preserve"> Mobile FAL:</w:t>
      </w:r>
      <w:r>
        <w:rPr>
          <w:rFonts w:ascii="Arial" w:hAnsi="Arial" w:cs="Arial"/>
          <w:sz w:val="24"/>
          <w:szCs w:val="24"/>
        </w:rPr>
        <w:t xml:space="preserve"> </w:t>
      </w:r>
      <w:r w:rsidRPr="000C1169">
        <w:rPr>
          <w:rFonts w:ascii="Arial" w:hAnsi="Arial" w:cs="Arial"/>
          <w:sz w:val="24"/>
          <w:szCs w:val="24"/>
        </w:rPr>
        <w:t xml:space="preserve">Airbus’s Mobile Final Assembly Line (FAL) is </w:t>
      </w:r>
      <w:proofErr w:type="spellStart"/>
      <w:r w:rsidRPr="000C1169">
        <w:rPr>
          <w:rFonts w:ascii="Arial" w:hAnsi="Arial" w:cs="Arial"/>
          <w:sz w:val="24"/>
          <w:szCs w:val="24"/>
        </w:rPr>
        <w:t>recognised</w:t>
      </w:r>
      <w:proofErr w:type="spellEnd"/>
      <w:r w:rsidRPr="000C1169">
        <w:rPr>
          <w:rFonts w:ascii="Arial" w:hAnsi="Arial" w:cs="Arial"/>
          <w:sz w:val="24"/>
          <w:szCs w:val="24"/>
        </w:rPr>
        <w:t xml:space="preserve"> as a tangible strength that is confirmed through VRIO analysis, as currency risks are hedged and production lead times are reduced. Airbus is thereby transformed from a European exporter into a domestic stakeholder within the United States, through which exposure to protectionist policies such as “Buy American” provisions is partially mitigated. A sustained competitive advantage is created because replication of a foreign–domestic hybrid production model is considered difficult for competitors</w:t>
      </w:r>
      <w:r>
        <w:rPr>
          <w:rFonts w:ascii="Arial" w:hAnsi="Arial" w:cs="Arial"/>
          <w:noProof/>
          <w:sz w:val="24"/>
          <w:szCs w:val="24"/>
        </w:rPr>
        <w:t xml:space="preserve"> </w:t>
      </w:r>
      <w:r w:rsidRPr="000C1169">
        <w:rPr>
          <w:rFonts w:ascii="Arial" w:hAnsi="Arial" w:cs="Arial"/>
          <w:noProof/>
          <w:sz w:val="24"/>
          <w:szCs w:val="24"/>
        </w:rPr>
        <w:t>(Jiang</w:t>
      </w:r>
      <w:r>
        <w:rPr>
          <w:rFonts w:ascii="Arial" w:hAnsi="Arial" w:cs="Arial"/>
          <w:noProof/>
          <w:sz w:val="24"/>
          <w:szCs w:val="24"/>
        </w:rPr>
        <w:t xml:space="preserve"> et.al</w:t>
      </w:r>
      <w:r w:rsidRPr="000C1169">
        <w:rPr>
          <w:rFonts w:ascii="Arial" w:hAnsi="Arial" w:cs="Arial"/>
          <w:noProof/>
          <w:sz w:val="24"/>
          <w:szCs w:val="24"/>
        </w:rPr>
        <w:t>, 2021)</w:t>
      </w:r>
      <w:r w:rsidRPr="000C1169">
        <w:rPr>
          <w:rFonts w:ascii="Arial" w:hAnsi="Arial" w:cs="Arial"/>
          <w:sz w:val="24"/>
          <w:szCs w:val="24"/>
        </w:rPr>
        <w:t>. However, this advantage is regarded as conditional, as escalation in transatlantic trade conflict could weaken local legitimacy and increase political risk exposure (Barney, 1991).</w:t>
      </w:r>
    </w:p>
    <w:p w:rsidR="00977AF0" w:rsidRPr="00977AF0" w:rsidRDefault="000C1169" w:rsidP="00977AF0">
      <w:pPr>
        <w:jc w:val="both"/>
        <w:rPr>
          <w:rFonts w:ascii="Arial" w:hAnsi="Arial" w:cs="Arial"/>
          <w:sz w:val="24"/>
          <w:szCs w:val="24"/>
        </w:rPr>
      </w:pPr>
      <w:r w:rsidRPr="000C1169">
        <w:rPr>
          <w:rFonts w:ascii="Arial" w:hAnsi="Arial" w:cs="Arial"/>
          <w:b/>
          <w:sz w:val="24"/>
          <w:szCs w:val="24"/>
        </w:rPr>
        <w:lastRenderedPageBreak/>
        <w:t>Fuel-efficient technol</w:t>
      </w:r>
      <w:r>
        <w:rPr>
          <w:rFonts w:ascii="Arial" w:hAnsi="Arial" w:cs="Arial"/>
          <w:b/>
          <w:sz w:val="24"/>
          <w:szCs w:val="24"/>
        </w:rPr>
        <w:t xml:space="preserve">ogy and hybrid innovation model: </w:t>
      </w:r>
      <w:r w:rsidRPr="000C1169">
        <w:rPr>
          <w:rFonts w:ascii="Arial" w:hAnsi="Arial" w:cs="Arial"/>
          <w:sz w:val="24"/>
          <w:szCs w:val="24"/>
        </w:rPr>
        <w:t xml:space="preserve">The A320neo’s fuel-efficient technology is identified as valuable and relatively rare, although moderate imitability is </w:t>
      </w:r>
      <w:proofErr w:type="spellStart"/>
      <w:r w:rsidRPr="000C1169">
        <w:rPr>
          <w:rFonts w:ascii="Arial" w:hAnsi="Arial" w:cs="Arial"/>
          <w:sz w:val="24"/>
          <w:szCs w:val="24"/>
        </w:rPr>
        <w:t>recognised</w:t>
      </w:r>
      <w:proofErr w:type="spellEnd"/>
      <w:r w:rsidRPr="000C1169">
        <w:rPr>
          <w:rFonts w:ascii="Arial" w:hAnsi="Arial" w:cs="Arial"/>
          <w:sz w:val="24"/>
          <w:szCs w:val="24"/>
        </w:rPr>
        <w:t xml:space="preserve"> due to technological convergence within the aerospace industry. A temporary competitive advantage is generated and influenced by fuel price cycles. Simultaneously, Airbus’s hydrogen-based innovation initiatives are considered complex, yet implementation effectiveness is constrained by </w:t>
      </w:r>
      <w:proofErr w:type="spellStart"/>
      <w:r w:rsidRPr="000C1169">
        <w:rPr>
          <w:rFonts w:ascii="Arial" w:hAnsi="Arial" w:cs="Arial"/>
          <w:sz w:val="24"/>
          <w:szCs w:val="24"/>
        </w:rPr>
        <w:t>organisational</w:t>
      </w:r>
      <w:proofErr w:type="spellEnd"/>
      <w:r w:rsidRPr="000C1169">
        <w:rPr>
          <w:rFonts w:ascii="Arial" w:hAnsi="Arial" w:cs="Arial"/>
          <w:sz w:val="24"/>
          <w:szCs w:val="24"/>
        </w:rPr>
        <w:t xml:space="preserve"> and cultural differences</w:t>
      </w:r>
      <w:r>
        <w:rPr>
          <w:rFonts w:ascii="Arial" w:hAnsi="Arial" w:cs="Arial"/>
          <w:sz w:val="24"/>
          <w:szCs w:val="24"/>
        </w:rPr>
        <w:t xml:space="preserve"> </w:t>
      </w:r>
      <w:r w:rsidRPr="000C1169">
        <w:rPr>
          <w:rFonts w:ascii="Arial" w:hAnsi="Arial" w:cs="Arial"/>
          <w:sz w:val="24"/>
          <w:szCs w:val="24"/>
        </w:rPr>
        <w:t>(Grant, 2022; Johnson et al., 2020).</w:t>
      </w:r>
    </w:p>
    <w:p w:rsidR="00977AF0" w:rsidRPr="00977AF0" w:rsidRDefault="00977AF0" w:rsidP="00977AF0">
      <w:pPr>
        <w:jc w:val="both"/>
        <w:rPr>
          <w:rFonts w:ascii="Arial" w:hAnsi="Arial" w:cs="Arial"/>
          <w:b/>
          <w:sz w:val="24"/>
          <w:szCs w:val="24"/>
        </w:rPr>
      </w:pPr>
      <w:r w:rsidRPr="00977AF0">
        <w:rPr>
          <w:rFonts w:ascii="Arial" w:hAnsi="Arial" w:cs="Arial"/>
          <w:b/>
          <w:sz w:val="24"/>
          <w:szCs w:val="24"/>
        </w:rPr>
        <w:t>Synthesis and Critical Conclusion</w:t>
      </w:r>
      <w:r>
        <w:rPr>
          <w:rFonts w:ascii="Arial" w:hAnsi="Arial" w:cs="Arial"/>
          <w:b/>
          <w:sz w:val="24"/>
          <w:szCs w:val="24"/>
        </w:rPr>
        <w:t xml:space="preserve">: </w:t>
      </w:r>
      <w:r w:rsidRPr="00977AF0">
        <w:rPr>
          <w:rFonts w:ascii="Arial" w:hAnsi="Arial" w:cs="Arial"/>
          <w:sz w:val="24"/>
          <w:szCs w:val="24"/>
        </w:rPr>
        <w:t>Airbus’s internal strengths are interpreted as sources of competitive advantage, although consistent performance outcomes are not always achieved. The Mobile FAL is considered operationally robust, while fuel-efficiency advantages are gradually diminishing and hydrogen innovation remains experimental. A strategic limitation is identified in comparatively weaker political influence within Washington, leaving competitive a</w:t>
      </w:r>
      <w:r>
        <w:rPr>
          <w:rFonts w:ascii="Arial" w:hAnsi="Arial" w:cs="Arial"/>
          <w:sz w:val="24"/>
          <w:szCs w:val="24"/>
        </w:rPr>
        <w:t xml:space="preserve">dvantage partial and vulnerable </w:t>
      </w:r>
      <w:r w:rsidRPr="00977AF0">
        <w:rPr>
          <w:rFonts w:ascii="Arial" w:hAnsi="Arial" w:cs="Arial"/>
          <w:sz w:val="24"/>
          <w:szCs w:val="24"/>
        </w:rPr>
        <w:t>(Jiang et.al, 2021; Johnson et al., 2020)</w:t>
      </w:r>
      <w:r>
        <w:rPr>
          <w:rFonts w:ascii="Arial" w:hAnsi="Arial" w:cs="Arial"/>
          <w:sz w:val="24"/>
          <w:szCs w:val="24"/>
        </w:rPr>
        <w:t>.</w:t>
      </w:r>
    </w:p>
    <w:p w:rsidR="00853875" w:rsidRDefault="00853875" w:rsidP="00302EDB">
      <w:pPr>
        <w:pStyle w:val="Heading2"/>
      </w:pPr>
      <w:bookmarkStart w:id="12" w:name="_Toc228393247"/>
      <w:r w:rsidRPr="008E4723">
        <w:t>3. CSR and Sustainability Strategy</w:t>
      </w:r>
      <w:bookmarkEnd w:id="12"/>
    </w:p>
    <w:p w:rsidR="00853875" w:rsidRDefault="008E4723" w:rsidP="00CA561D">
      <w:pPr>
        <w:jc w:val="both"/>
        <w:rPr>
          <w:rFonts w:ascii="Arial" w:hAnsi="Arial" w:cs="Arial"/>
          <w:noProof/>
          <w:sz w:val="24"/>
          <w:szCs w:val="24"/>
        </w:rPr>
      </w:pPr>
      <w:r w:rsidRPr="008E4723">
        <w:rPr>
          <w:rFonts w:ascii="Arial" w:hAnsi="Arial" w:cs="Arial"/>
          <w:sz w:val="24"/>
          <w:szCs w:val="24"/>
        </w:rPr>
        <w:t xml:space="preserve">Corporate Social Responsibility (CSR) is defined as the voluntary integration of social, environmental, and ethical considerations into </w:t>
      </w:r>
      <w:proofErr w:type="spellStart"/>
      <w:r w:rsidRPr="008E4723">
        <w:rPr>
          <w:rFonts w:ascii="Arial" w:hAnsi="Arial" w:cs="Arial"/>
          <w:sz w:val="24"/>
          <w:szCs w:val="24"/>
        </w:rPr>
        <w:t>organisational</w:t>
      </w:r>
      <w:proofErr w:type="spellEnd"/>
      <w:r w:rsidRPr="008E4723">
        <w:rPr>
          <w:rFonts w:ascii="Arial" w:hAnsi="Arial" w:cs="Arial"/>
          <w:sz w:val="24"/>
          <w:szCs w:val="24"/>
        </w:rPr>
        <w:t xml:space="preserve"> strategy and stakehol</w:t>
      </w:r>
      <w:r>
        <w:rPr>
          <w:rFonts w:ascii="Arial" w:hAnsi="Arial" w:cs="Arial"/>
          <w:sz w:val="24"/>
          <w:szCs w:val="24"/>
        </w:rPr>
        <w:t xml:space="preserve">der relationships </w:t>
      </w:r>
      <w:r>
        <w:rPr>
          <w:rFonts w:ascii="Arial" w:hAnsi="Arial" w:cs="Arial"/>
          <w:noProof/>
          <w:sz w:val="24"/>
          <w:szCs w:val="24"/>
        </w:rPr>
        <w:t>(Caroll et al., 2</w:t>
      </w:r>
      <w:r w:rsidRPr="008E4723">
        <w:rPr>
          <w:rFonts w:ascii="Arial" w:hAnsi="Arial" w:cs="Arial"/>
          <w:noProof/>
          <w:sz w:val="24"/>
          <w:szCs w:val="24"/>
        </w:rPr>
        <w:t>025)</w:t>
      </w:r>
      <w:r>
        <w:rPr>
          <w:rFonts w:ascii="Arial" w:hAnsi="Arial" w:cs="Arial"/>
          <w:sz w:val="24"/>
          <w:szCs w:val="24"/>
        </w:rPr>
        <w:t>.</w:t>
      </w:r>
      <w:r w:rsidRPr="008E4723">
        <w:rPr>
          <w:rFonts w:ascii="Arial" w:hAnsi="Arial" w:cs="Arial"/>
          <w:sz w:val="24"/>
          <w:szCs w:val="24"/>
        </w:rPr>
        <w:t xml:space="preserve"> In the aviation industry, CSR has been increasingly repositioned from a philanthropic activity to a strategic necessity for long-term sustainability and legitimacy. Airbus’s “Path to Zero” initiative is focused on </w:t>
      </w:r>
      <w:proofErr w:type="spellStart"/>
      <w:r w:rsidRPr="008E4723">
        <w:rPr>
          <w:rFonts w:ascii="Arial" w:hAnsi="Arial" w:cs="Arial"/>
          <w:sz w:val="24"/>
          <w:szCs w:val="24"/>
        </w:rPr>
        <w:t>decarbonisation</w:t>
      </w:r>
      <w:proofErr w:type="spellEnd"/>
      <w:r w:rsidRPr="008E4723">
        <w:rPr>
          <w:rFonts w:ascii="Arial" w:hAnsi="Arial" w:cs="Arial"/>
          <w:sz w:val="24"/>
          <w:szCs w:val="24"/>
        </w:rPr>
        <w:t>, social responsibility, and industrial safety objectives. In the United States, alignment with business strategy is achieved through the positioning of Airbus as a comparatively environmentally responsible option for ESG-conscious investors and airline customers, thereby strengthening corporate reputation and competitive differentiation within the global aerospace sector (</w:t>
      </w:r>
      <w:r w:rsidR="0049273B">
        <w:rPr>
          <w:rFonts w:ascii="Arial" w:hAnsi="Arial" w:cs="Arial"/>
          <w:sz w:val="24"/>
          <w:szCs w:val="24"/>
        </w:rPr>
        <w:t xml:space="preserve">Porter &amp; </w:t>
      </w:r>
      <w:r w:rsidR="0049273B" w:rsidRPr="0049273B">
        <w:rPr>
          <w:rFonts w:ascii="Arial" w:hAnsi="Arial" w:cs="Arial"/>
          <w:noProof/>
          <w:sz w:val="24"/>
          <w:szCs w:val="24"/>
        </w:rPr>
        <w:t>Kramer, 2007)</w:t>
      </w:r>
      <w:r w:rsidR="00C15970">
        <w:rPr>
          <w:rFonts w:ascii="Arial" w:hAnsi="Arial" w:cs="Arial"/>
          <w:noProof/>
          <w:sz w:val="24"/>
          <w:szCs w:val="24"/>
        </w:rPr>
        <w:t>.</w:t>
      </w:r>
    </w:p>
    <w:p w:rsidR="00CA561D" w:rsidRPr="00CA561D" w:rsidRDefault="00CA561D" w:rsidP="00CA561D">
      <w:pPr>
        <w:jc w:val="both"/>
        <w:rPr>
          <w:rFonts w:ascii="Arial" w:hAnsi="Arial" w:cs="Arial"/>
          <w:sz w:val="24"/>
          <w:szCs w:val="24"/>
        </w:rPr>
      </w:pPr>
      <w:r w:rsidRPr="00CA561D">
        <w:rPr>
          <w:rFonts w:ascii="Arial" w:hAnsi="Arial" w:cs="Arial"/>
          <w:sz w:val="24"/>
          <w:szCs w:val="24"/>
        </w:rPr>
        <w:t>Airbus’s CSR strategy, defined through the “Path to Zero” initiative, is structured around de</w:t>
      </w:r>
      <w:r>
        <w:rPr>
          <w:rFonts w:ascii="Arial" w:hAnsi="Arial" w:cs="Arial"/>
          <w:sz w:val="24"/>
          <w:szCs w:val="24"/>
        </w:rPr>
        <w:t>-</w:t>
      </w:r>
      <w:proofErr w:type="spellStart"/>
      <w:r w:rsidRPr="00CA561D">
        <w:rPr>
          <w:rFonts w:ascii="Arial" w:hAnsi="Arial" w:cs="Arial"/>
          <w:sz w:val="24"/>
          <w:szCs w:val="24"/>
        </w:rPr>
        <w:t>carbonisation</w:t>
      </w:r>
      <w:proofErr w:type="spellEnd"/>
      <w:r w:rsidRPr="00CA561D">
        <w:rPr>
          <w:rFonts w:ascii="Arial" w:hAnsi="Arial" w:cs="Arial"/>
          <w:sz w:val="24"/>
          <w:szCs w:val="24"/>
        </w:rPr>
        <w:t>, social responsibility, and industrial safety, through which alignment with business objectives is intended to be achieved. Within the United States, CSR is positioned as a mechanism for competitive differentiation and stakeholder value creation</w:t>
      </w:r>
      <w:r>
        <w:rPr>
          <w:rFonts w:ascii="Arial" w:hAnsi="Arial" w:cs="Arial"/>
          <w:sz w:val="24"/>
          <w:szCs w:val="24"/>
        </w:rPr>
        <w:t xml:space="preserve"> (Porter &amp; Kramer, 2007)</w:t>
      </w:r>
      <w:r w:rsidRPr="00CA561D">
        <w:rPr>
          <w:rFonts w:ascii="Arial" w:hAnsi="Arial" w:cs="Arial"/>
          <w:sz w:val="24"/>
          <w:szCs w:val="24"/>
        </w:rPr>
        <w:t>. This strategic alignment is supported by the integration of sustainability into corporate strategy, whereby reputational and market advantages are strengthened (Carroll et al., 2025).</w:t>
      </w:r>
    </w:p>
    <w:p w:rsidR="00CA561D" w:rsidRPr="00CA561D" w:rsidRDefault="00CA561D" w:rsidP="00CA561D">
      <w:pPr>
        <w:jc w:val="both"/>
        <w:rPr>
          <w:rFonts w:ascii="Arial" w:hAnsi="Arial" w:cs="Arial"/>
          <w:sz w:val="24"/>
          <w:szCs w:val="24"/>
        </w:rPr>
      </w:pPr>
      <w:r w:rsidRPr="00CA561D">
        <w:rPr>
          <w:rFonts w:ascii="Arial" w:hAnsi="Arial" w:cs="Arial"/>
          <w:sz w:val="24"/>
          <w:szCs w:val="24"/>
        </w:rPr>
        <w:t xml:space="preserve">Alignment with business objectives is demonstrated through the development of Sustainable Aviation Fuel (SAF)-capable aircraft and responsiveness to regulatory incentives such as the Inflation Reduction Act. A competitive advantage is thereby created, as environmentally conscious airlines are attracted and Scope 3 emission targets are supported. CSR is thus </w:t>
      </w:r>
      <w:proofErr w:type="spellStart"/>
      <w:r w:rsidRPr="00CA561D">
        <w:rPr>
          <w:rFonts w:ascii="Arial" w:hAnsi="Arial" w:cs="Arial"/>
          <w:sz w:val="24"/>
          <w:szCs w:val="24"/>
        </w:rPr>
        <w:t>utilised</w:t>
      </w:r>
      <w:proofErr w:type="spellEnd"/>
      <w:r w:rsidRPr="00CA561D">
        <w:rPr>
          <w:rFonts w:ascii="Arial" w:hAnsi="Arial" w:cs="Arial"/>
          <w:sz w:val="24"/>
          <w:szCs w:val="24"/>
        </w:rPr>
        <w:t xml:space="preserve"> as a differentiation tool within a duopolistic market structure, enhancing market positioning relative to competitors (Johnson et al., 2020; U.S. Department of Energy, 2023).</w:t>
      </w:r>
    </w:p>
    <w:p w:rsidR="00B8029D" w:rsidRDefault="00CA561D" w:rsidP="00B8029D">
      <w:pPr>
        <w:jc w:val="both"/>
        <w:rPr>
          <w:rFonts w:ascii="Arial" w:hAnsi="Arial" w:cs="Arial"/>
          <w:sz w:val="24"/>
          <w:szCs w:val="24"/>
        </w:rPr>
      </w:pPr>
      <w:r w:rsidRPr="00CA561D">
        <w:rPr>
          <w:rFonts w:ascii="Arial" w:hAnsi="Arial" w:cs="Arial"/>
          <w:sz w:val="24"/>
          <w:szCs w:val="24"/>
        </w:rPr>
        <w:lastRenderedPageBreak/>
        <w:t>However, a critical disconnect is identified, as CSR commitments are not fully embedded within operational practices. The maintenance of a non-</w:t>
      </w:r>
      <w:proofErr w:type="spellStart"/>
      <w:r w:rsidRPr="00CA561D">
        <w:rPr>
          <w:rFonts w:ascii="Arial" w:hAnsi="Arial" w:cs="Arial"/>
          <w:sz w:val="24"/>
          <w:szCs w:val="24"/>
        </w:rPr>
        <w:t>unionised</w:t>
      </w:r>
      <w:proofErr w:type="spellEnd"/>
      <w:r w:rsidRPr="00CA561D">
        <w:rPr>
          <w:rFonts w:ascii="Arial" w:hAnsi="Arial" w:cs="Arial"/>
          <w:sz w:val="24"/>
          <w:szCs w:val="24"/>
        </w:rPr>
        <w:t xml:space="preserve"> workforce in Alabama is perceived to contradict European </w:t>
      </w:r>
      <w:proofErr w:type="spellStart"/>
      <w:r w:rsidRPr="00CA561D">
        <w:rPr>
          <w:rFonts w:ascii="Arial" w:hAnsi="Arial" w:cs="Arial"/>
          <w:sz w:val="24"/>
          <w:szCs w:val="24"/>
        </w:rPr>
        <w:t>labour</w:t>
      </w:r>
      <w:proofErr w:type="spellEnd"/>
      <w:r w:rsidRPr="00CA561D">
        <w:rPr>
          <w:rFonts w:ascii="Arial" w:hAnsi="Arial" w:cs="Arial"/>
          <w:sz w:val="24"/>
          <w:szCs w:val="24"/>
        </w:rPr>
        <w:t xml:space="preserve"> standards, while hydrogen innovation remains technologically uncertain and symbolically </w:t>
      </w:r>
      <w:proofErr w:type="spellStart"/>
      <w:r w:rsidRPr="00CA561D">
        <w:rPr>
          <w:rFonts w:ascii="Arial" w:hAnsi="Arial" w:cs="Arial"/>
          <w:sz w:val="24"/>
          <w:szCs w:val="24"/>
        </w:rPr>
        <w:t>emphasised</w:t>
      </w:r>
      <w:proofErr w:type="spellEnd"/>
      <w:r w:rsidRPr="00CA561D">
        <w:rPr>
          <w:rFonts w:ascii="Arial" w:hAnsi="Arial" w:cs="Arial"/>
          <w:sz w:val="24"/>
          <w:szCs w:val="24"/>
        </w:rPr>
        <w:t>. Consequently, CSR is interpreted as only partially aligned, as cultural and strategic inconsistencies limit its effectiveness and risk perceptions of greenwashing (Hofstede, 2011; Grant, 2022).</w:t>
      </w:r>
    </w:p>
    <w:p w:rsidR="000952B6" w:rsidRDefault="000952B6" w:rsidP="00B8029D">
      <w:pPr>
        <w:jc w:val="both"/>
        <w:rPr>
          <w:rFonts w:ascii="Arial" w:hAnsi="Arial" w:cs="Arial"/>
          <w:sz w:val="24"/>
          <w:szCs w:val="24"/>
        </w:rPr>
      </w:pPr>
    </w:p>
    <w:p w:rsidR="00853875" w:rsidRPr="00B8029D" w:rsidRDefault="00853875" w:rsidP="00302EDB">
      <w:pPr>
        <w:pStyle w:val="Heading2"/>
      </w:pPr>
      <w:bookmarkStart w:id="13" w:name="_Toc228393248"/>
      <w:r w:rsidRPr="00B8029D">
        <w:t>4. Comprehensive and Holistic View: Balanced Scorecard</w:t>
      </w:r>
      <w:bookmarkEnd w:id="13"/>
    </w:p>
    <w:p w:rsidR="00153A98" w:rsidRPr="00153A98" w:rsidRDefault="00153A98" w:rsidP="00A055D1">
      <w:pPr>
        <w:jc w:val="both"/>
        <w:rPr>
          <w:rFonts w:ascii="Arial" w:hAnsi="Arial" w:cs="Arial"/>
          <w:sz w:val="24"/>
          <w:szCs w:val="24"/>
        </w:rPr>
      </w:pPr>
      <w:r w:rsidRPr="00153A98">
        <w:rPr>
          <w:rFonts w:ascii="Arial" w:hAnsi="Arial" w:cs="Arial"/>
          <w:sz w:val="24"/>
          <w:szCs w:val="24"/>
        </w:rPr>
        <w:t xml:space="preserve">The Balanced Scorecard (BSC) is defined as a strategic performance management framework through which an </w:t>
      </w:r>
      <w:proofErr w:type="spellStart"/>
      <w:r w:rsidRPr="00153A98">
        <w:rPr>
          <w:rFonts w:ascii="Arial" w:hAnsi="Arial" w:cs="Arial"/>
          <w:sz w:val="24"/>
          <w:szCs w:val="24"/>
        </w:rPr>
        <w:t>organisation’s</w:t>
      </w:r>
      <w:proofErr w:type="spellEnd"/>
      <w:r w:rsidRPr="00153A98">
        <w:rPr>
          <w:rFonts w:ascii="Arial" w:hAnsi="Arial" w:cs="Arial"/>
          <w:sz w:val="24"/>
          <w:szCs w:val="24"/>
        </w:rPr>
        <w:t xml:space="preserve"> mission and strategy are translated into a coherent set of measurable objectives across four perspectives: Financial, Customer, Internal Business Processes, and Learning and Growth</w:t>
      </w:r>
      <w:r>
        <w:rPr>
          <w:rFonts w:ascii="Arial" w:hAnsi="Arial" w:cs="Arial"/>
          <w:sz w:val="24"/>
          <w:szCs w:val="24"/>
        </w:rPr>
        <w:t xml:space="preserve"> </w:t>
      </w:r>
      <w:r w:rsidRPr="00153A98">
        <w:rPr>
          <w:rFonts w:ascii="Arial" w:hAnsi="Arial" w:cs="Arial"/>
          <w:sz w:val="24"/>
          <w:szCs w:val="24"/>
        </w:rPr>
        <w:t>(Kaplan &amp; Norton, 1996).</w:t>
      </w:r>
    </w:p>
    <w:p w:rsidR="00A3511C" w:rsidRDefault="00153A98" w:rsidP="00C05956">
      <w:pPr>
        <w:jc w:val="both"/>
        <w:rPr>
          <w:rFonts w:ascii="Arial" w:hAnsi="Arial" w:cs="Arial"/>
          <w:sz w:val="24"/>
          <w:szCs w:val="24"/>
        </w:rPr>
      </w:pPr>
      <w:r w:rsidRPr="00153A98">
        <w:rPr>
          <w:rFonts w:ascii="Arial" w:hAnsi="Arial" w:cs="Arial"/>
          <w:sz w:val="24"/>
          <w:szCs w:val="24"/>
        </w:rPr>
        <w:t xml:space="preserve">A holistic view of </w:t>
      </w:r>
      <w:proofErr w:type="spellStart"/>
      <w:r w:rsidRPr="00153A98">
        <w:rPr>
          <w:rFonts w:ascii="Arial" w:hAnsi="Arial" w:cs="Arial"/>
          <w:sz w:val="24"/>
          <w:szCs w:val="24"/>
        </w:rPr>
        <w:t>organisational</w:t>
      </w:r>
      <w:proofErr w:type="spellEnd"/>
      <w:r w:rsidRPr="00153A98">
        <w:rPr>
          <w:rFonts w:ascii="Arial" w:hAnsi="Arial" w:cs="Arial"/>
          <w:sz w:val="24"/>
          <w:szCs w:val="24"/>
        </w:rPr>
        <w:t xml:space="preserve"> performance is provided by the BSC, as short-term operational outcomes are balanced with long-term value drivers, thereby overcoming the limitations associated with trad</w:t>
      </w:r>
      <w:r>
        <w:rPr>
          <w:rFonts w:ascii="Arial" w:hAnsi="Arial" w:cs="Arial"/>
          <w:sz w:val="24"/>
          <w:szCs w:val="24"/>
        </w:rPr>
        <w:t xml:space="preserve">itional financial-only metrics </w:t>
      </w:r>
      <w:r w:rsidRPr="00153A98">
        <w:rPr>
          <w:rFonts w:ascii="Arial" w:hAnsi="Arial" w:cs="Arial"/>
          <w:sz w:val="24"/>
          <w:szCs w:val="24"/>
        </w:rPr>
        <w:t xml:space="preserve">(Johnson et al., 2020). Strategic alignment is facilitated, as departmental actions are linked to corporate objectives, </w:t>
      </w:r>
      <w:proofErr w:type="spellStart"/>
      <w:r w:rsidRPr="00153A98">
        <w:rPr>
          <w:rFonts w:ascii="Arial" w:hAnsi="Arial" w:cs="Arial"/>
          <w:sz w:val="24"/>
          <w:szCs w:val="24"/>
        </w:rPr>
        <w:t>organisational</w:t>
      </w:r>
      <w:proofErr w:type="spellEnd"/>
      <w:r w:rsidRPr="00153A98">
        <w:rPr>
          <w:rFonts w:ascii="Arial" w:hAnsi="Arial" w:cs="Arial"/>
          <w:sz w:val="24"/>
          <w:szCs w:val="24"/>
        </w:rPr>
        <w:t xml:space="preserve"> priorities are communicated, and corrective actions are enabled through the use of integrated key performance indicators (KPIs) (Kaplan &amp; Norton, 1996).</w:t>
      </w:r>
    </w:p>
    <w:p w:rsidR="00153A98" w:rsidRDefault="002365C2" w:rsidP="00C05956">
      <w:pPr>
        <w:jc w:val="both"/>
        <w:rPr>
          <w:rFonts w:ascii="Arial" w:hAnsi="Arial" w:cs="Arial"/>
          <w:sz w:val="24"/>
          <w:szCs w:val="24"/>
        </w:rPr>
      </w:pPr>
      <w:r w:rsidRPr="002365C2">
        <w:rPr>
          <w:rFonts w:ascii="Arial" w:hAnsi="Arial" w:cs="Arial"/>
          <w:sz w:val="24"/>
          <w:szCs w:val="24"/>
        </w:rPr>
        <w:t xml:space="preserve">Scorecard framework, including Financial performance, Customer value delivery, Internal Business Processes efficiency, and Learning and Growth capability development (Kaplan and Norton, 1996). Within each perspective, clear strategic objectives, measurable key performance indicators (KPIs), realistic performance targets, and actionable initiatives are required to ensure alignment with </w:t>
      </w:r>
      <w:proofErr w:type="spellStart"/>
      <w:r w:rsidRPr="002365C2">
        <w:rPr>
          <w:rFonts w:ascii="Arial" w:hAnsi="Arial" w:cs="Arial"/>
          <w:sz w:val="24"/>
          <w:szCs w:val="24"/>
        </w:rPr>
        <w:t>organisational</w:t>
      </w:r>
      <w:proofErr w:type="spellEnd"/>
      <w:r w:rsidRPr="002365C2">
        <w:rPr>
          <w:rFonts w:ascii="Arial" w:hAnsi="Arial" w:cs="Arial"/>
          <w:sz w:val="24"/>
          <w:szCs w:val="24"/>
        </w:rPr>
        <w:t xml:space="preserve"> mission and long-term strategy. In this analysis, the framework is applied to Airbus USA to evaluate how each perspective supports or constrains the achievement of differentiation, </w:t>
      </w:r>
      <w:proofErr w:type="spellStart"/>
      <w:r w:rsidRPr="002365C2">
        <w:rPr>
          <w:rFonts w:ascii="Arial" w:hAnsi="Arial" w:cs="Arial"/>
          <w:sz w:val="24"/>
          <w:szCs w:val="24"/>
        </w:rPr>
        <w:t>localisation</w:t>
      </w:r>
      <w:proofErr w:type="spellEnd"/>
      <w:r w:rsidRPr="002365C2">
        <w:rPr>
          <w:rFonts w:ascii="Arial" w:hAnsi="Arial" w:cs="Arial"/>
          <w:sz w:val="24"/>
          <w:szCs w:val="24"/>
        </w:rPr>
        <w:t>, and sustainable competitive advantage within the United States aerospace</w:t>
      </w:r>
      <w:r w:rsidR="001349C7">
        <w:rPr>
          <w:rFonts w:ascii="Arial" w:hAnsi="Arial" w:cs="Arial"/>
          <w:sz w:val="24"/>
          <w:szCs w:val="24"/>
        </w:rPr>
        <w:t xml:space="preserve"> market (Kaplan and Norton, 1996</w:t>
      </w:r>
      <w:r w:rsidRPr="002365C2">
        <w:rPr>
          <w:rFonts w:ascii="Arial" w:hAnsi="Arial" w:cs="Arial"/>
          <w:sz w:val="24"/>
          <w:szCs w:val="24"/>
        </w:rPr>
        <w:t>).</w:t>
      </w: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153A98" w:rsidRDefault="00153A98" w:rsidP="00C05956">
      <w:pPr>
        <w:jc w:val="both"/>
        <w:rPr>
          <w:rFonts w:ascii="Arial" w:hAnsi="Arial" w:cs="Arial"/>
          <w:sz w:val="24"/>
          <w:szCs w:val="24"/>
        </w:rPr>
      </w:pPr>
    </w:p>
    <w:p w:rsidR="00A47B8D" w:rsidRDefault="000952B6" w:rsidP="00C05956">
      <w:pPr>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7D615BC4" wp14:editId="1B0A6677">
            <wp:simplePos x="0" y="0"/>
            <wp:positionH relativeFrom="column">
              <wp:posOffset>-61216</wp:posOffset>
            </wp:positionH>
            <wp:positionV relativeFrom="paragraph">
              <wp:posOffset>-696707</wp:posOffset>
            </wp:positionV>
            <wp:extent cx="5942899" cy="3643200"/>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rategic performance evaluati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2899" cy="3643200"/>
                    </a:xfrm>
                    <a:prstGeom prst="rect">
                      <a:avLst/>
                    </a:prstGeom>
                  </pic:spPr>
                </pic:pic>
              </a:graphicData>
            </a:graphic>
            <wp14:sizeRelV relativeFrom="margin">
              <wp14:pctHeight>0</wp14:pctHeight>
            </wp14:sizeRelV>
          </wp:anchor>
        </w:drawing>
      </w: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055D1" w:rsidRDefault="00A055D1" w:rsidP="00853875">
      <w:pPr>
        <w:rPr>
          <w:rFonts w:ascii="Arial" w:hAnsi="Arial" w:cs="Arial"/>
          <w:sz w:val="24"/>
          <w:szCs w:val="24"/>
        </w:rPr>
      </w:pPr>
    </w:p>
    <w:p w:rsidR="00A47B8D" w:rsidRDefault="00A47B8D" w:rsidP="00A055D1">
      <w:pPr>
        <w:jc w:val="center"/>
        <w:rPr>
          <w:rFonts w:ascii="Arial" w:hAnsi="Arial" w:cs="Arial"/>
          <w:i/>
          <w:sz w:val="16"/>
          <w:szCs w:val="24"/>
        </w:rPr>
      </w:pPr>
    </w:p>
    <w:p w:rsidR="00A47B8D" w:rsidRDefault="00A47B8D" w:rsidP="00A055D1">
      <w:pPr>
        <w:jc w:val="center"/>
        <w:rPr>
          <w:rFonts w:ascii="Arial" w:hAnsi="Arial" w:cs="Arial"/>
          <w:i/>
          <w:sz w:val="16"/>
          <w:szCs w:val="24"/>
        </w:rPr>
      </w:pPr>
    </w:p>
    <w:p w:rsidR="00A47B8D" w:rsidRDefault="00A47B8D" w:rsidP="00A055D1">
      <w:pPr>
        <w:jc w:val="center"/>
        <w:rPr>
          <w:rFonts w:ascii="Arial" w:hAnsi="Arial" w:cs="Arial"/>
          <w:i/>
          <w:sz w:val="16"/>
          <w:szCs w:val="24"/>
        </w:rPr>
      </w:pPr>
    </w:p>
    <w:p w:rsidR="00A055D1" w:rsidRPr="00A055D1" w:rsidRDefault="00A055D1" w:rsidP="00A055D1">
      <w:pPr>
        <w:jc w:val="center"/>
        <w:rPr>
          <w:rFonts w:ascii="Arial" w:hAnsi="Arial" w:cs="Arial"/>
          <w:i/>
          <w:sz w:val="16"/>
          <w:szCs w:val="24"/>
        </w:rPr>
      </w:pPr>
      <w:r w:rsidRPr="00A055D1">
        <w:rPr>
          <w:rFonts w:ascii="Arial" w:hAnsi="Arial" w:cs="Arial"/>
          <w:i/>
          <w:sz w:val="16"/>
          <w:szCs w:val="24"/>
        </w:rPr>
        <w:t>Fig: 05 Balanced Scorecard (BSC) evaluation</w:t>
      </w:r>
      <w:r>
        <w:rPr>
          <w:rFonts w:ascii="Arial" w:hAnsi="Arial" w:cs="Arial"/>
          <w:i/>
          <w:sz w:val="16"/>
          <w:szCs w:val="24"/>
        </w:rPr>
        <w:t xml:space="preserve"> </w:t>
      </w:r>
      <w:r w:rsidRPr="00A055D1">
        <w:rPr>
          <w:rFonts w:ascii="Arial" w:hAnsi="Arial" w:cs="Arial"/>
          <w:i/>
          <w:sz w:val="16"/>
          <w:szCs w:val="24"/>
        </w:rPr>
        <w:t>(Kaplan &amp; Nor</w:t>
      </w:r>
      <w:r>
        <w:rPr>
          <w:rFonts w:ascii="Arial" w:hAnsi="Arial" w:cs="Arial"/>
          <w:i/>
          <w:sz w:val="16"/>
          <w:szCs w:val="24"/>
        </w:rPr>
        <w:t>ton, 1996) &amp; Self-Analyzed</w:t>
      </w:r>
    </w:p>
    <w:p w:rsidR="00A055D1" w:rsidRPr="00A055D1" w:rsidRDefault="00A055D1" w:rsidP="00A055D1">
      <w:pPr>
        <w:jc w:val="center"/>
        <w:rPr>
          <w:rFonts w:ascii="Arial" w:hAnsi="Arial" w:cs="Arial"/>
          <w:i/>
          <w:sz w:val="16"/>
          <w:szCs w:val="24"/>
        </w:rPr>
      </w:pPr>
    </w:p>
    <w:p w:rsidR="00A055D1" w:rsidRPr="00A055D1" w:rsidRDefault="00A055D1" w:rsidP="00462135">
      <w:pPr>
        <w:jc w:val="both"/>
        <w:rPr>
          <w:rFonts w:ascii="Arial" w:hAnsi="Arial" w:cs="Arial"/>
          <w:sz w:val="24"/>
          <w:szCs w:val="24"/>
        </w:rPr>
      </w:pPr>
      <w:r w:rsidRPr="00A055D1">
        <w:rPr>
          <w:rFonts w:ascii="Arial" w:hAnsi="Arial" w:cs="Arial"/>
          <w:sz w:val="24"/>
          <w:szCs w:val="24"/>
        </w:rPr>
        <w:t>Overall performance across the four Balanced Scorecard perspectives is evaluated as mixed. Financial performance is assessed as a partial pass, as margins have improved but the &gt;12% target has not been achieved. Customer performance is classified as a pass, with Net Promoter Score levels above 70 indicating strengthened loyalty. However, internal business processes are evaluated as a fail, as “Rate 75” production targets remain behind schedule at approximately 60 units rather than the targeted 75. Similarly, learning and growth performance is assessed as a fail, as green technology certification levels of 40–50% remain significantly below the 90% target. Overall, two passes (including one partial) and two failures are identified (Kaplan &amp; Norto</w:t>
      </w:r>
      <w:r>
        <w:rPr>
          <w:rFonts w:ascii="Arial" w:hAnsi="Arial" w:cs="Arial"/>
          <w:sz w:val="24"/>
          <w:szCs w:val="24"/>
        </w:rPr>
        <w:t>n, 1996; Johnson et al., 2020).</w:t>
      </w:r>
    </w:p>
    <w:p w:rsidR="00A055D1" w:rsidRPr="00A055D1" w:rsidRDefault="00A055D1" w:rsidP="00462135">
      <w:pPr>
        <w:jc w:val="both"/>
        <w:rPr>
          <w:rFonts w:ascii="Arial" w:hAnsi="Arial" w:cs="Arial"/>
          <w:sz w:val="24"/>
          <w:szCs w:val="24"/>
        </w:rPr>
      </w:pPr>
      <w:r w:rsidRPr="00A055D1">
        <w:rPr>
          <w:rFonts w:ascii="Arial" w:hAnsi="Arial" w:cs="Arial"/>
          <w:sz w:val="24"/>
          <w:szCs w:val="24"/>
        </w:rPr>
        <w:t xml:space="preserve">A judgement of partial strategic success is therefore reached. Market positioning is considered effective, with US market share approaching 50%, while operational performance is identified as underperforming. It is suggested that differentiation and </w:t>
      </w:r>
      <w:proofErr w:type="spellStart"/>
      <w:r w:rsidRPr="00A055D1">
        <w:rPr>
          <w:rFonts w:ascii="Arial" w:hAnsi="Arial" w:cs="Arial"/>
          <w:sz w:val="24"/>
          <w:szCs w:val="24"/>
        </w:rPr>
        <w:t>localisation</w:t>
      </w:r>
      <w:proofErr w:type="spellEnd"/>
      <w:r w:rsidRPr="00A055D1">
        <w:rPr>
          <w:rFonts w:ascii="Arial" w:hAnsi="Arial" w:cs="Arial"/>
          <w:sz w:val="24"/>
          <w:szCs w:val="24"/>
        </w:rPr>
        <w:t xml:space="preserve"> strategies implemented by Airbus have enhanced customer loyalty; however, operational effectiveness has been constrained by supply chain fragility, </w:t>
      </w:r>
      <w:proofErr w:type="spellStart"/>
      <w:r w:rsidRPr="00A055D1">
        <w:rPr>
          <w:rFonts w:ascii="Arial" w:hAnsi="Arial" w:cs="Arial"/>
          <w:sz w:val="24"/>
          <w:szCs w:val="24"/>
        </w:rPr>
        <w:t>labour</w:t>
      </w:r>
      <w:proofErr w:type="spellEnd"/>
      <w:r w:rsidRPr="00A055D1">
        <w:rPr>
          <w:rFonts w:ascii="Arial" w:hAnsi="Arial" w:cs="Arial"/>
          <w:sz w:val="24"/>
          <w:szCs w:val="24"/>
        </w:rPr>
        <w:t xml:space="preserve"> shortages, and insufficient workforce upskilling. Without improvements in internal processes and learning and growth, current gains are unlikely to be sustained (</w:t>
      </w:r>
      <w:proofErr w:type="spellStart"/>
      <w:r w:rsidRPr="00A055D1">
        <w:rPr>
          <w:rFonts w:ascii="Arial" w:hAnsi="Arial" w:cs="Arial"/>
          <w:sz w:val="24"/>
          <w:szCs w:val="24"/>
        </w:rPr>
        <w:t>Teece</w:t>
      </w:r>
      <w:proofErr w:type="spellEnd"/>
      <w:r w:rsidRPr="00A055D1">
        <w:rPr>
          <w:rFonts w:ascii="Arial" w:hAnsi="Arial" w:cs="Arial"/>
          <w:sz w:val="24"/>
          <w:szCs w:val="24"/>
        </w:rPr>
        <w:t xml:space="preserve">, 2018; </w:t>
      </w:r>
      <w:proofErr w:type="spellStart"/>
      <w:r w:rsidRPr="00A055D1">
        <w:rPr>
          <w:rFonts w:ascii="Arial" w:hAnsi="Arial" w:cs="Arial"/>
          <w:sz w:val="24"/>
          <w:szCs w:val="24"/>
        </w:rPr>
        <w:t>Sheffi</w:t>
      </w:r>
      <w:proofErr w:type="spellEnd"/>
      <w:r w:rsidRPr="00A055D1">
        <w:rPr>
          <w:rFonts w:ascii="Arial" w:hAnsi="Arial" w:cs="Arial"/>
          <w:sz w:val="24"/>
          <w:szCs w:val="24"/>
        </w:rPr>
        <w:t>, 2022).</w:t>
      </w:r>
    </w:p>
    <w:p w:rsidR="00A055D1" w:rsidRDefault="00A055D1" w:rsidP="00462135">
      <w:pPr>
        <w:jc w:val="both"/>
        <w:rPr>
          <w:rFonts w:ascii="Arial" w:hAnsi="Arial" w:cs="Arial"/>
          <w:sz w:val="24"/>
          <w:szCs w:val="24"/>
        </w:rPr>
      </w:pPr>
      <w:r w:rsidRPr="00A055D1">
        <w:rPr>
          <w:rFonts w:ascii="Arial" w:hAnsi="Arial" w:cs="Arial"/>
          <w:sz w:val="24"/>
          <w:szCs w:val="24"/>
        </w:rPr>
        <w:t xml:space="preserve">Major strategic changes are therefore recommended. Vertical integration of key US suppliers and the creation of a supply chain command </w:t>
      </w:r>
      <w:proofErr w:type="spellStart"/>
      <w:r w:rsidRPr="00A055D1">
        <w:rPr>
          <w:rFonts w:ascii="Arial" w:hAnsi="Arial" w:cs="Arial"/>
          <w:sz w:val="24"/>
          <w:szCs w:val="24"/>
        </w:rPr>
        <w:t>centre</w:t>
      </w:r>
      <w:proofErr w:type="spellEnd"/>
      <w:r w:rsidRPr="00A055D1">
        <w:rPr>
          <w:rFonts w:ascii="Arial" w:hAnsi="Arial" w:cs="Arial"/>
          <w:sz w:val="24"/>
          <w:szCs w:val="24"/>
        </w:rPr>
        <w:t xml:space="preserve"> in Mobile are proposed. Workforce development should be accelerated through mandatory green certification targets and a dual training academy. Additionally, the appointment of a US-based Chief </w:t>
      </w:r>
      <w:r w:rsidRPr="00A055D1">
        <w:rPr>
          <w:rFonts w:ascii="Arial" w:hAnsi="Arial" w:cs="Arial"/>
          <w:sz w:val="24"/>
          <w:szCs w:val="24"/>
        </w:rPr>
        <w:lastRenderedPageBreak/>
        <w:t xml:space="preserve">Operating Officer is recommended to balance strategic priorities. Without such changes, competitive advantage is likely to erode over time (Kaplan &amp; Norton, 1996; </w:t>
      </w:r>
      <w:proofErr w:type="spellStart"/>
      <w:r w:rsidRPr="00A055D1">
        <w:rPr>
          <w:rFonts w:ascii="Arial" w:hAnsi="Arial" w:cs="Arial"/>
          <w:sz w:val="24"/>
          <w:szCs w:val="24"/>
        </w:rPr>
        <w:t>Teece</w:t>
      </w:r>
      <w:proofErr w:type="spellEnd"/>
      <w:r w:rsidRPr="00A055D1">
        <w:rPr>
          <w:rFonts w:ascii="Arial" w:hAnsi="Arial" w:cs="Arial"/>
          <w:sz w:val="24"/>
          <w:szCs w:val="24"/>
        </w:rPr>
        <w:t>, 2018).</w:t>
      </w:r>
    </w:p>
    <w:p w:rsidR="00C05956" w:rsidRDefault="00C05956" w:rsidP="00302EDB">
      <w:pPr>
        <w:pStyle w:val="Heading2"/>
      </w:pPr>
    </w:p>
    <w:p w:rsidR="006D5735" w:rsidRPr="00C05956" w:rsidRDefault="00853875" w:rsidP="00302EDB">
      <w:pPr>
        <w:pStyle w:val="Heading2"/>
      </w:pPr>
      <w:bookmarkStart w:id="14" w:name="_Toc228393249"/>
      <w:r w:rsidRPr="00C05956">
        <w:t>5. Strategic Choices and Implementation</w:t>
      </w:r>
      <w:bookmarkEnd w:id="14"/>
    </w:p>
    <w:p w:rsidR="00C05956" w:rsidRDefault="00C05956" w:rsidP="00987CBB">
      <w:pPr>
        <w:jc w:val="both"/>
        <w:rPr>
          <w:rFonts w:ascii="Arial" w:hAnsi="Arial" w:cs="Arial"/>
          <w:sz w:val="24"/>
          <w:szCs w:val="24"/>
        </w:rPr>
      </w:pPr>
      <w:r w:rsidRPr="00C05956">
        <w:rPr>
          <w:rFonts w:ascii="Arial" w:hAnsi="Arial" w:cs="Arial"/>
          <w:sz w:val="24"/>
          <w:szCs w:val="24"/>
        </w:rPr>
        <w:t xml:space="preserve">Strategic choice is defined as the selection of the most appropriate course of action through which long-term </w:t>
      </w:r>
      <w:proofErr w:type="spellStart"/>
      <w:r w:rsidRPr="00C05956">
        <w:rPr>
          <w:rFonts w:ascii="Arial" w:hAnsi="Arial" w:cs="Arial"/>
          <w:sz w:val="24"/>
          <w:szCs w:val="24"/>
        </w:rPr>
        <w:t>organisational</w:t>
      </w:r>
      <w:proofErr w:type="spellEnd"/>
      <w:r w:rsidRPr="00C05956">
        <w:rPr>
          <w:rFonts w:ascii="Arial" w:hAnsi="Arial" w:cs="Arial"/>
          <w:sz w:val="24"/>
          <w:szCs w:val="24"/>
        </w:rPr>
        <w:t xml:space="preserve"> objectives are achieved among alternative strategies (Johnson et al., 2020). Effective change management processes are required to ensure that strategic decisions are translated into operational outcomes. The transition from a European exporter to a </w:t>
      </w:r>
      <w:proofErr w:type="spellStart"/>
      <w:r w:rsidRPr="00C05956">
        <w:rPr>
          <w:rFonts w:ascii="Arial" w:hAnsi="Arial" w:cs="Arial"/>
          <w:sz w:val="24"/>
          <w:szCs w:val="24"/>
        </w:rPr>
        <w:t>localised</w:t>
      </w:r>
      <w:proofErr w:type="spellEnd"/>
      <w:r w:rsidRPr="00C05956">
        <w:rPr>
          <w:rFonts w:ascii="Arial" w:hAnsi="Arial" w:cs="Arial"/>
          <w:sz w:val="24"/>
          <w:szCs w:val="24"/>
        </w:rPr>
        <w:t xml:space="preserve"> US manufacturer is critically evaluated using Lewin’s Unfreeze–Change–Refreeze model (Lewin, 1947).</w:t>
      </w:r>
    </w:p>
    <w:p w:rsidR="00CF458F" w:rsidRDefault="00302EDB" w:rsidP="00302EDB">
      <w:pPr>
        <w:pStyle w:val="Heading3"/>
      </w:pPr>
      <w:bookmarkStart w:id="15" w:name="_Toc228393250"/>
      <w:r>
        <w:t>5.1</w:t>
      </w:r>
      <w:r w:rsidR="00CF458F" w:rsidRPr="00CF458F">
        <w:t xml:space="preserve"> Evaluation of Business</w:t>
      </w:r>
      <w:r w:rsidR="00CF458F" w:rsidRPr="00CF458F">
        <w:rPr>
          <w:rFonts w:ascii="Cambria Math" w:hAnsi="Cambria Math" w:cs="Cambria Math"/>
        </w:rPr>
        <w:t>‑</w:t>
      </w:r>
      <w:r w:rsidR="00CF458F" w:rsidRPr="00CF458F">
        <w:t>Level Strategic Choices</w:t>
      </w:r>
      <w:bookmarkEnd w:id="15"/>
    </w:p>
    <w:p w:rsidR="00C653BE" w:rsidRPr="00C653BE" w:rsidRDefault="00C653BE" w:rsidP="00C653BE">
      <w:pPr>
        <w:jc w:val="both"/>
        <w:rPr>
          <w:rFonts w:ascii="Arial" w:hAnsi="Arial" w:cs="Arial"/>
          <w:sz w:val="24"/>
          <w:szCs w:val="24"/>
        </w:rPr>
      </w:pPr>
      <w:r w:rsidRPr="00C653BE">
        <w:rPr>
          <w:rFonts w:ascii="Arial" w:hAnsi="Arial" w:cs="Arial"/>
          <w:sz w:val="24"/>
          <w:szCs w:val="24"/>
        </w:rPr>
        <w:t xml:space="preserve">Evaluation of business-level strategic choices is conducted through comparison of cost leadership and differentiation within the United States aerospace industry. Cost leadership is considered largely unfeasible due to high </w:t>
      </w:r>
      <w:proofErr w:type="spellStart"/>
      <w:r w:rsidRPr="00C653BE">
        <w:rPr>
          <w:rFonts w:ascii="Arial" w:hAnsi="Arial" w:cs="Arial"/>
          <w:sz w:val="24"/>
          <w:szCs w:val="24"/>
        </w:rPr>
        <w:t>labour</w:t>
      </w:r>
      <w:proofErr w:type="spellEnd"/>
      <w:r w:rsidRPr="00C653BE">
        <w:rPr>
          <w:rFonts w:ascii="Arial" w:hAnsi="Arial" w:cs="Arial"/>
          <w:sz w:val="24"/>
          <w:szCs w:val="24"/>
        </w:rPr>
        <w:t xml:space="preserve"> and regulatory costs (Porter, 1985; Grant, 2022). Differentiation is therefore determined to be the recommended strategy, as alignment is established with customer priorities and lo</w:t>
      </w:r>
      <w:r>
        <w:rPr>
          <w:rFonts w:ascii="Arial" w:hAnsi="Arial" w:cs="Arial"/>
          <w:sz w:val="24"/>
          <w:szCs w:val="24"/>
        </w:rPr>
        <w:t xml:space="preserve">ng-term competitive positioning </w:t>
      </w:r>
      <w:r w:rsidRPr="00C653BE">
        <w:rPr>
          <w:rFonts w:ascii="Arial" w:hAnsi="Arial" w:cs="Arial"/>
          <w:sz w:val="24"/>
          <w:szCs w:val="24"/>
        </w:rPr>
        <w:t>(Johnson et al., 2020)</w:t>
      </w:r>
      <w:r>
        <w:rPr>
          <w:rFonts w:ascii="Arial" w:hAnsi="Arial" w:cs="Arial"/>
          <w:sz w:val="24"/>
          <w:szCs w:val="24"/>
        </w:rPr>
        <w:t>.</w:t>
      </w:r>
    </w:p>
    <w:p w:rsidR="00C653BE" w:rsidRPr="00C653BE" w:rsidRDefault="00CF458F" w:rsidP="00C653BE">
      <w:pPr>
        <w:jc w:val="both"/>
        <w:rPr>
          <w:rFonts w:ascii="Arial" w:hAnsi="Arial" w:cs="Arial"/>
          <w:sz w:val="24"/>
          <w:szCs w:val="24"/>
        </w:rPr>
      </w:pPr>
      <w:r w:rsidRPr="00CF458F">
        <w:rPr>
          <w:rFonts w:ascii="Arial" w:hAnsi="Arial" w:cs="Arial"/>
          <w:sz w:val="24"/>
          <w:szCs w:val="24"/>
        </w:rPr>
        <w:t xml:space="preserve">At the business level, </w:t>
      </w:r>
      <w:r w:rsidRPr="00B4599E">
        <w:rPr>
          <w:rFonts w:ascii="Arial" w:hAnsi="Arial" w:cs="Arial"/>
          <w:b/>
          <w:sz w:val="24"/>
          <w:szCs w:val="24"/>
        </w:rPr>
        <w:t>cost leadership</w:t>
      </w:r>
      <w:r w:rsidRPr="00CF458F">
        <w:rPr>
          <w:rFonts w:ascii="Arial" w:hAnsi="Arial" w:cs="Arial"/>
          <w:sz w:val="24"/>
          <w:szCs w:val="24"/>
        </w:rPr>
        <w:t xml:space="preserve"> is defined as the achievement of the lowest operational cost through which lower market prices are offered to customers (Porter, 1985). Within the United States aerospace industry, this strategy is considered largely unfeasible due to high </w:t>
      </w:r>
      <w:proofErr w:type="spellStart"/>
      <w:r w:rsidRPr="00CF458F">
        <w:rPr>
          <w:rFonts w:ascii="Arial" w:hAnsi="Arial" w:cs="Arial"/>
          <w:sz w:val="24"/>
          <w:szCs w:val="24"/>
        </w:rPr>
        <w:t>labour</w:t>
      </w:r>
      <w:proofErr w:type="spellEnd"/>
      <w:r w:rsidRPr="00CF458F">
        <w:rPr>
          <w:rFonts w:ascii="Arial" w:hAnsi="Arial" w:cs="Arial"/>
          <w:sz w:val="24"/>
          <w:szCs w:val="24"/>
        </w:rPr>
        <w:t xml:space="preserve"> expenses, stringent Federal Aviation Administration safety regulations, and the elevated cost of </w:t>
      </w:r>
      <w:proofErr w:type="spellStart"/>
      <w:r w:rsidRPr="00CF458F">
        <w:rPr>
          <w:rFonts w:ascii="Arial" w:hAnsi="Arial" w:cs="Arial"/>
          <w:sz w:val="24"/>
          <w:szCs w:val="24"/>
        </w:rPr>
        <w:t>specialised</w:t>
      </w:r>
      <w:proofErr w:type="spellEnd"/>
      <w:r w:rsidRPr="00CF458F">
        <w:rPr>
          <w:rFonts w:ascii="Arial" w:hAnsi="Arial" w:cs="Arial"/>
          <w:sz w:val="24"/>
          <w:szCs w:val="24"/>
        </w:rPr>
        <w:t xml:space="preserve"> raw materials. Any attempt to pursue cost leadership would likely result in unacceptable compromises in product quality or operational safety, which are strictly regulated within the</w:t>
      </w:r>
      <w:r>
        <w:rPr>
          <w:rFonts w:ascii="Arial" w:hAnsi="Arial" w:cs="Arial"/>
          <w:sz w:val="24"/>
          <w:szCs w:val="24"/>
        </w:rPr>
        <w:t xml:space="preserve"> aviation sector (Grant, 2022).</w:t>
      </w:r>
    </w:p>
    <w:p w:rsidR="00CF458F" w:rsidRDefault="00CF458F" w:rsidP="00C653BE">
      <w:pPr>
        <w:jc w:val="both"/>
        <w:rPr>
          <w:rFonts w:ascii="Arial" w:hAnsi="Arial" w:cs="Arial"/>
          <w:sz w:val="24"/>
          <w:szCs w:val="24"/>
        </w:rPr>
      </w:pPr>
      <w:r w:rsidRPr="00B4599E">
        <w:rPr>
          <w:rFonts w:ascii="Arial" w:hAnsi="Arial" w:cs="Arial"/>
          <w:b/>
          <w:sz w:val="24"/>
          <w:szCs w:val="24"/>
        </w:rPr>
        <w:t>Differentiation</w:t>
      </w:r>
      <w:r w:rsidRPr="00CF458F">
        <w:rPr>
          <w:rFonts w:ascii="Arial" w:hAnsi="Arial" w:cs="Arial"/>
          <w:sz w:val="24"/>
          <w:szCs w:val="24"/>
        </w:rPr>
        <w:t xml:space="preserve"> is defined as the provision of unique and valued product features through which premium pricing is justified and customer loyalty is strengthened (Porter, 1985). For Airbus, differentiation is achieved through advanced fuel-efficient aircraft technology, quieter engine performance, enhanced cabin design under the “Airspace” concept, and an expanding reputation for environmental sustainability. These features are perceived to enhance customer value and operational efficiency for airline operators, particularly through reductions in fuel consumption and improved passenger experience (Johnson et al., 2020).</w:t>
      </w:r>
    </w:p>
    <w:p w:rsidR="00CF458F" w:rsidRPr="00CF458F" w:rsidRDefault="00CF458F" w:rsidP="00C653BE">
      <w:pPr>
        <w:jc w:val="both"/>
        <w:rPr>
          <w:rFonts w:ascii="Arial" w:hAnsi="Arial" w:cs="Arial"/>
          <w:b/>
          <w:sz w:val="24"/>
          <w:szCs w:val="24"/>
        </w:rPr>
      </w:pPr>
      <w:r w:rsidRPr="00CF458F">
        <w:rPr>
          <w:rFonts w:ascii="Arial" w:hAnsi="Arial" w:cs="Arial"/>
          <w:b/>
          <w:sz w:val="24"/>
          <w:szCs w:val="24"/>
        </w:rPr>
        <w:t>Evaluation</w:t>
      </w:r>
    </w:p>
    <w:p w:rsidR="00CF458F" w:rsidRDefault="00C653BE" w:rsidP="00043D9E">
      <w:pPr>
        <w:jc w:val="both"/>
        <w:rPr>
          <w:rFonts w:ascii="Arial" w:hAnsi="Arial" w:cs="Arial"/>
          <w:sz w:val="24"/>
          <w:szCs w:val="24"/>
        </w:rPr>
      </w:pPr>
      <w:r w:rsidRPr="00C653BE">
        <w:rPr>
          <w:rFonts w:ascii="Arial" w:hAnsi="Arial" w:cs="Arial"/>
          <w:sz w:val="24"/>
          <w:szCs w:val="24"/>
        </w:rPr>
        <w:t xml:space="preserve">Upon evaluation, </w:t>
      </w:r>
      <w:r w:rsidRPr="00B4599E">
        <w:rPr>
          <w:rFonts w:ascii="Arial" w:hAnsi="Arial" w:cs="Arial"/>
          <w:b/>
          <w:sz w:val="24"/>
          <w:szCs w:val="24"/>
        </w:rPr>
        <w:t xml:space="preserve">differentiation </w:t>
      </w:r>
      <w:r w:rsidRPr="00C653BE">
        <w:rPr>
          <w:rFonts w:ascii="Arial" w:hAnsi="Arial" w:cs="Arial"/>
          <w:sz w:val="24"/>
          <w:szCs w:val="24"/>
        </w:rPr>
        <w:t>is determined to be the most appropriate strategic choice for Airbus USA, as alignment is achieved with customer priorities and brand positioning in innovation and sustainability is preserved (Porter, 1985). In contrast, pursuit of cost leadership is likely to weaken technological advantage and intensify price-based competition, thereby reinforcing differentiation as the preferred long-term strategy (Grant, 2022).</w:t>
      </w:r>
    </w:p>
    <w:p w:rsidR="00C653BE" w:rsidRPr="00C653BE" w:rsidRDefault="00302EDB" w:rsidP="00302EDB">
      <w:pPr>
        <w:pStyle w:val="Heading3"/>
      </w:pPr>
      <w:bookmarkStart w:id="16" w:name="_Toc228393251"/>
      <w:r>
        <w:lastRenderedPageBreak/>
        <w:t xml:space="preserve">5.2 </w:t>
      </w:r>
      <w:r w:rsidR="00C653BE" w:rsidRPr="00C653BE">
        <w:t>Evaluation of Corporate</w:t>
      </w:r>
      <w:r w:rsidR="00C653BE" w:rsidRPr="00C653BE">
        <w:rPr>
          <w:rFonts w:ascii="Cambria Math" w:hAnsi="Cambria Math" w:cs="Cambria Math"/>
        </w:rPr>
        <w:t>‑</w:t>
      </w:r>
      <w:r w:rsidR="00C653BE" w:rsidRPr="00C653BE">
        <w:t>Level Strategic Choices</w:t>
      </w:r>
      <w:bookmarkEnd w:id="16"/>
    </w:p>
    <w:p w:rsidR="00C653BE" w:rsidRPr="00C653BE" w:rsidRDefault="00C653BE" w:rsidP="002C5D1C">
      <w:pPr>
        <w:jc w:val="both"/>
        <w:rPr>
          <w:rFonts w:ascii="Arial" w:hAnsi="Arial" w:cs="Arial"/>
          <w:sz w:val="24"/>
          <w:szCs w:val="24"/>
        </w:rPr>
      </w:pPr>
      <w:r w:rsidRPr="00C653BE">
        <w:rPr>
          <w:rFonts w:ascii="Arial" w:hAnsi="Arial" w:cs="Arial"/>
          <w:sz w:val="24"/>
          <w:szCs w:val="24"/>
        </w:rPr>
        <w:t xml:space="preserve">At the </w:t>
      </w:r>
      <w:r w:rsidRPr="001566E9">
        <w:rPr>
          <w:rFonts w:ascii="Arial" w:hAnsi="Arial" w:cs="Arial"/>
          <w:b/>
          <w:sz w:val="24"/>
          <w:szCs w:val="24"/>
        </w:rPr>
        <w:t>corporate level</w:t>
      </w:r>
      <w:r w:rsidRPr="00C653BE">
        <w:rPr>
          <w:rFonts w:ascii="Arial" w:hAnsi="Arial" w:cs="Arial"/>
          <w:sz w:val="24"/>
          <w:szCs w:val="24"/>
        </w:rPr>
        <w:t xml:space="preserve">, strategic options are evaluated through which </w:t>
      </w:r>
      <w:proofErr w:type="spellStart"/>
      <w:r w:rsidRPr="00C653BE">
        <w:rPr>
          <w:rFonts w:ascii="Arial" w:hAnsi="Arial" w:cs="Arial"/>
          <w:sz w:val="24"/>
          <w:szCs w:val="24"/>
        </w:rPr>
        <w:t>organisational</w:t>
      </w:r>
      <w:proofErr w:type="spellEnd"/>
      <w:r w:rsidRPr="00C653BE">
        <w:rPr>
          <w:rFonts w:ascii="Arial" w:hAnsi="Arial" w:cs="Arial"/>
          <w:sz w:val="24"/>
          <w:szCs w:val="24"/>
        </w:rPr>
        <w:t xml:space="preserve"> scope and business portfolio decisions are determined, including </w:t>
      </w:r>
      <w:r w:rsidRPr="001566E9">
        <w:rPr>
          <w:rFonts w:ascii="Arial" w:hAnsi="Arial" w:cs="Arial"/>
          <w:sz w:val="24"/>
          <w:szCs w:val="24"/>
        </w:rPr>
        <w:t>diversification</w:t>
      </w:r>
      <w:r w:rsidRPr="00C653BE">
        <w:rPr>
          <w:rFonts w:ascii="Arial" w:hAnsi="Arial" w:cs="Arial"/>
          <w:sz w:val="24"/>
          <w:szCs w:val="24"/>
        </w:rPr>
        <w:t xml:space="preserve"> and international expansion (Johnson et al., 2020). </w:t>
      </w:r>
      <w:r w:rsidRPr="001566E9">
        <w:rPr>
          <w:rFonts w:ascii="Arial" w:hAnsi="Arial" w:cs="Arial"/>
          <w:b/>
          <w:sz w:val="24"/>
          <w:szCs w:val="24"/>
        </w:rPr>
        <w:t xml:space="preserve">Diversification </w:t>
      </w:r>
      <w:r w:rsidRPr="00C653BE">
        <w:rPr>
          <w:rFonts w:ascii="Arial" w:hAnsi="Arial" w:cs="Arial"/>
          <w:sz w:val="24"/>
          <w:szCs w:val="24"/>
        </w:rPr>
        <w:t>into unrelated industries is generally considered high risk, as managerial focus and aerospace-specific competencies may be diluted, thereby reducing overall strategic coherence and long-</w:t>
      </w:r>
      <w:r>
        <w:rPr>
          <w:rFonts w:ascii="Arial" w:hAnsi="Arial" w:cs="Arial"/>
          <w:sz w:val="24"/>
          <w:szCs w:val="24"/>
        </w:rPr>
        <w:t>term performance (Grant, 2022).</w:t>
      </w:r>
    </w:p>
    <w:p w:rsidR="00C653BE" w:rsidRPr="00C653BE" w:rsidRDefault="00C653BE" w:rsidP="002C5D1C">
      <w:pPr>
        <w:jc w:val="both"/>
        <w:rPr>
          <w:rFonts w:ascii="Arial" w:hAnsi="Arial" w:cs="Arial"/>
          <w:sz w:val="24"/>
          <w:szCs w:val="24"/>
        </w:rPr>
      </w:pPr>
      <w:r w:rsidRPr="001566E9">
        <w:rPr>
          <w:rFonts w:ascii="Arial" w:hAnsi="Arial" w:cs="Arial"/>
          <w:b/>
          <w:sz w:val="24"/>
          <w:szCs w:val="24"/>
        </w:rPr>
        <w:t>International expansion</w:t>
      </w:r>
      <w:r w:rsidRPr="00C653BE">
        <w:rPr>
          <w:rFonts w:ascii="Arial" w:hAnsi="Arial" w:cs="Arial"/>
          <w:sz w:val="24"/>
          <w:szCs w:val="24"/>
        </w:rPr>
        <w:t xml:space="preserve"> through </w:t>
      </w:r>
      <w:proofErr w:type="spellStart"/>
      <w:r w:rsidRPr="00C653BE">
        <w:rPr>
          <w:rFonts w:ascii="Arial" w:hAnsi="Arial" w:cs="Arial"/>
          <w:sz w:val="24"/>
          <w:szCs w:val="24"/>
        </w:rPr>
        <w:t>localisation</w:t>
      </w:r>
      <w:proofErr w:type="spellEnd"/>
      <w:r w:rsidRPr="00C653BE">
        <w:rPr>
          <w:rFonts w:ascii="Arial" w:hAnsi="Arial" w:cs="Arial"/>
          <w:sz w:val="24"/>
          <w:szCs w:val="24"/>
        </w:rPr>
        <w:t xml:space="preserve"> is pursued through which deeper operational presence in the United States is developed via local production, </w:t>
      </w:r>
      <w:proofErr w:type="spellStart"/>
      <w:r w:rsidRPr="00C653BE">
        <w:rPr>
          <w:rFonts w:ascii="Arial" w:hAnsi="Arial" w:cs="Arial"/>
          <w:sz w:val="24"/>
          <w:szCs w:val="24"/>
        </w:rPr>
        <w:t>defence</w:t>
      </w:r>
      <w:proofErr w:type="spellEnd"/>
      <w:r w:rsidRPr="00C653BE">
        <w:rPr>
          <w:rFonts w:ascii="Arial" w:hAnsi="Arial" w:cs="Arial"/>
          <w:sz w:val="24"/>
          <w:szCs w:val="24"/>
        </w:rPr>
        <w:t xml:space="preserve"> partnerships, and research and development collaboration, as already demonstrated through the Mobile Final Assembly Line (Airbus, 2023). Through this approach, exposure to currency volatility and trade barriers is reduced while political legitimacy within the host market is s</w:t>
      </w:r>
      <w:r w:rsidR="002C5D1C">
        <w:rPr>
          <w:rFonts w:ascii="Arial" w:hAnsi="Arial" w:cs="Arial"/>
          <w:sz w:val="24"/>
          <w:szCs w:val="24"/>
        </w:rPr>
        <w:t xml:space="preserve">trengthened </w:t>
      </w:r>
      <w:r w:rsidR="002C5D1C" w:rsidRPr="002C5D1C">
        <w:rPr>
          <w:rFonts w:ascii="Arial" w:hAnsi="Arial" w:cs="Arial"/>
          <w:noProof/>
          <w:sz w:val="24"/>
          <w:szCs w:val="24"/>
        </w:rPr>
        <w:t>(Hill, 2008)</w:t>
      </w:r>
      <w:r w:rsidR="002C5D1C">
        <w:rPr>
          <w:rFonts w:ascii="Arial" w:hAnsi="Arial" w:cs="Arial"/>
          <w:sz w:val="24"/>
          <w:szCs w:val="24"/>
        </w:rPr>
        <w:t>.</w:t>
      </w:r>
    </w:p>
    <w:p w:rsidR="00C653BE" w:rsidRDefault="00C653BE" w:rsidP="002C5D1C">
      <w:pPr>
        <w:jc w:val="both"/>
        <w:rPr>
          <w:rFonts w:ascii="Arial" w:hAnsi="Arial" w:cs="Arial"/>
          <w:sz w:val="24"/>
          <w:szCs w:val="24"/>
        </w:rPr>
      </w:pPr>
      <w:r w:rsidRPr="00C653BE">
        <w:rPr>
          <w:rFonts w:ascii="Arial" w:hAnsi="Arial" w:cs="Arial"/>
          <w:sz w:val="24"/>
          <w:szCs w:val="24"/>
        </w:rPr>
        <w:t xml:space="preserve">Upon evaluation, international expansion in the form of a multi-domestic strategy is recommended at the corporate level, as alignment is achieved with regulatory environments and stakeholder expectations. In contrast, diversification into unrelated sectors is discouraged due to strategic dilution. Therefore, international expansion is determined to be the most appropriate corporate-level strategy for Airbus USA (Johnson et al., 2020; </w:t>
      </w:r>
      <w:r w:rsidR="002C5D1C" w:rsidRPr="002C5D1C">
        <w:rPr>
          <w:rFonts w:ascii="Arial" w:hAnsi="Arial" w:cs="Arial"/>
          <w:noProof/>
          <w:sz w:val="24"/>
          <w:szCs w:val="24"/>
        </w:rPr>
        <w:t>Hill, 2008)</w:t>
      </w:r>
      <w:r w:rsidRPr="00C653BE">
        <w:rPr>
          <w:rFonts w:ascii="Arial" w:hAnsi="Arial" w:cs="Arial"/>
          <w:sz w:val="24"/>
          <w:szCs w:val="24"/>
        </w:rPr>
        <w:t>.</w:t>
      </w:r>
    </w:p>
    <w:p w:rsidR="00853875" w:rsidRDefault="00302EDB" w:rsidP="00302EDB">
      <w:pPr>
        <w:pStyle w:val="Heading3"/>
      </w:pPr>
      <w:bookmarkStart w:id="17" w:name="_Toc228393252"/>
      <w:r>
        <w:t>5.3</w:t>
      </w:r>
      <w:r w:rsidR="002C5D1C" w:rsidRPr="002C5D1C">
        <w:t xml:space="preserve"> Critical Assessment of Change Management – Lewin’s Freeze Model</w:t>
      </w:r>
      <w:bookmarkEnd w:id="17"/>
      <w:r w:rsidR="00853875" w:rsidRPr="002C5D1C">
        <w:t xml:space="preserve"> </w:t>
      </w:r>
    </w:p>
    <w:p w:rsidR="002C5D1C" w:rsidRDefault="002C5D1C" w:rsidP="00273A83">
      <w:pPr>
        <w:jc w:val="both"/>
        <w:rPr>
          <w:rFonts w:ascii="Arial" w:hAnsi="Arial" w:cs="Arial"/>
          <w:sz w:val="24"/>
          <w:szCs w:val="24"/>
        </w:rPr>
      </w:pPr>
      <w:r w:rsidRPr="002C5D1C">
        <w:rPr>
          <w:rFonts w:ascii="Arial" w:hAnsi="Arial" w:cs="Arial"/>
          <w:sz w:val="24"/>
          <w:szCs w:val="24"/>
        </w:rPr>
        <w:t xml:space="preserve">Airbus’s shift from a European exporter to a </w:t>
      </w:r>
      <w:proofErr w:type="spellStart"/>
      <w:r w:rsidRPr="002C5D1C">
        <w:rPr>
          <w:rFonts w:ascii="Arial" w:hAnsi="Arial" w:cs="Arial"/>
          <w:sz w:val="24"/>
          <w:szCs w:val="24"/>
        </w:rPr>
        <w:t>localised</w:t>
      </w:r>
      <w:proofErr w:type="spellEnd"/>
      <w:r w:rsidRPr="002C5D1C">
        <w:rPr>
          <w:rFonts w:ascii="Arial" w:hAnsi="Arial" w:cs="Arial"/>
          <w:sz w:val="24"/>
          <w:szCs w:val="24"/>
        </w:rPr>
        <w:t xml:space="preserve"> US manufacturer is </w:t>
      </w:r>
      <w:proofErr w:type="spellStart"/>
      <w:r w:rsidRPr="002C5D1C">
        <w:rPr>
          <w:rFonts w:ascii="Arial" w:hAnsi="Arial" w:cs="Arial"/>
          <w:sz w:val="24"/>
          <w:szCs w:val="24"/>
        </w:rPr>
        <w:t>characterised</w:t>
      </w:r>
      <w:proofErr w:type="spellEnd"/>
      <w:r w:rsidRPr="002C5D1C">
        <w:rPr>
          <w:rFonts w:ascii="Arial" w:hAnsi="Arial" w:cs="Arial"/>
          <w:sz w:val="24"/>
          <w:szCs w:val="24"/>
        </w:rPr>
        <w:t xml:space="preserve"> as a fundamental strategic transformation. Organizational Change Management is applied as an analytical lens, and three-stage model of Unfreeze–Change–Refreeze is </w:t>
      </w:r>
      <w:proofErr w:type="spellStart"/>
      <w:r w:rsidRPr="002C5D1C">
        <w:rPr>
          <w:rFonts w:ascii="Arial" w:hAnsi="Arial" w:cs="Arial"/>
          <w:sz w:val="24"/>
          <w:szCs w:val="24"/>
        </w:rPr>
        <w:t>utilise</w:t>
      </w:r>
      <w:r w:rsidR="00273A83">
        <w:rPr>
          <w:rFonts w:ascii="Arial" w:hAnsi="Arial" w:cs="Arial"/>
          <w:sz w:val="24"/>
          <w:szCs w:val="24"/>
        </w:rPr>
        <w:t>d</w:t>
      </w:r>
      <w:proofErr w:type="spellEnd"/>
      <w:r w:rsidR="00273A83">
        <w:rPr>
          <w:rFonts w:ascii="Arial" w:hAnsi="Arial" w:cs="Arial"/>
          <w:sz w:val="24"/>
          <w:szCs w:val="24"/>
        </w:rPr>
        <w:t xml:space="preserve"> to interpret this transition (Kurt Lewin,1947).</w:t>
      </w:r>
    </w:p>
    <w:p w:rsidR="002C5D1C" w:rsidRPr="00273A83" w:rsidRDefault="002C5D1C" w:rsidP="00273A83">
      <w:pPr>
        <w:jc w:val="both"/>
        <w:rPr>
          <w:rFonts w:ascii="Arial" w:hAnsi="Arial" w:cs="Arial"/>
          <w:b/>
          <w:sz w:val="24"/>
          <w:szCs w:val="24"/>
        </w:rPr>
      </w:pPr>
      <w:r w:rsidRPr="00273A83">
        <w:rPr>
          <w:rFonts w:ascii="Arial" w:hAnsi="Arial" w:cs="Arial"/>
          <w:b/>
          <w:sz w:val="24"/>
          <w:szCs w:val="24"/>
        </w:rPr>
        <w:t>Unfreezing:</w:t>
      </w:r>
    </w:p>
    <w:p w:rsidR="002C5D1C" w:rsidRPr="002C5D1C" w:rsidRDefault="002C5D1C" w:rsidP="00273A83">
      <w:pPr>
        <w:jc w:val="both"/>
        <w:rPr>
          <w:rFonts w:ascii="Arial" w:hAnsi="Arial" w:cs="Arial"/>
          <w:sz w:val="24"/>
          <w:szCs w:val="24"/>
        </w:rPr>
      </w:pPr>
      <w:r w:rsidRPr="002C5D1C">
        <w:rPr>
          <w:rFonts w:ascii="Arial" w:hAnsi="Arial" w:cs="Arial"/>
          <w:sz w:val="24"/>
          <w:szCs w:val="24"/>
        </w:rPr>
        <w:t xml:space="preserve">It is </w:t>
      </w:r>
      <w:proofErr w:type="spellStart"/>
      <w:r w:rsidRPr="002C5D1C">
        <w:rPr>
          <w:rFonts w:ascii="Arial" w:hAnsi="Arial" w:cs="Arial"/>
          <w:sz w:val="24"/>
          <w:szCs w:val="24"/>
        </w:rPr>
        <w:t>recogn</w:t>
      </w:r>
      <w:r w:rsidR="00273A83">
        <w:rPr>
          <w:rFonts w:ascii="Arial" w:hAnsi="Arial" w:cs="Arial"/>
          <w:sz w:val="24"/>
          <w:szCs w:val="24"/>
        </w:rPr>
        <w:t>ised</w:t>
      </w:r>
      <w:proofErr w:type="spellEnd"/>
      <w:r w:rsidR="00273A83">
        <w:rPr>
          <w:rFonts w:ascii="Arial" w:hAnsi="Arial" w:cs="Arial"/>
          <w:sz w:val="24"/>
          <w:szCs w:val="24"/>
        </w:rPr>
        <w:t xml:space="preserve"> that the existing strategy; </w:t>
      </w:r>
      <w:r w:rsidRPr="002C5D1C">
        <w:rPr>
          <w:rFonts w:ascii="Arial" w:hAnsi="Arial" w:cs="Arial"/>
          <w:sz w:val="24"/>
          <w:szCs w:val="24"/>
        </w:rPr>
        <w:t>where aircraft were manufactured solely in Europe an</w:t>
      </w:r>
      <w:r w:rsidR="00273A83">
        <w:rPr>
          <w:rFonts w:ascii="Arial" w:hAnsi="Arial" w:cs="Arial"/>
          <w:sz w:val="24"/>
          <w:szCs w:val="24"/>
        </w:rPr>
        <w:t xml:space="preserve">d exported to the United States; </w:t>
      </w:r>
      <w:r w:rsidRPr="002C5D1C">
        <w:rPr>
          <w:rFonts w:ascii="Arial" w:hAnsi="Arial" w:cs="Arial"/>
          <w:sz w:val="24"/>
          <w:szCs w:val="24"/>
        </w:rPr>
        <w:t>was increasingly exposed to risks such as currency volatility, trade barriers, and “Buy</w:t>
      </w:r>
      <w:r w:rsidR="00273A83">
        <w:rPr>
          <w:rFonts w:ascii="Arial" w:hAnsi="Arial" w:cs="Arial"/>
          <w:sz w:val="24"/>
          <w:szCs w:val="24"/>
        </w:rPr>
        <w:t xml:space="preserve"> American” sentiment </w:t>
      </w:r>
      <w:r w:rsidR="00273A83" w:rsidRPr="00273A83">
        <w:rPr>
          <w:rFonts w:ascii="Arial" w:hAnsi="Arial" w:cs="Arial"/>
          <w:noProof/>
          <w:sz w:val="24"/>
          <w:szCs w:val="24"/>
        </w:rPr>
        <w:t>(Hussain</w:t>
      </w:r>
      <w:r w:rsidR="00273A83">
        <w:rPr>
          <w:rFonts w:ascii="Arial" w:hAnsi="Arial" w:cs="Arial"/>
          <w:noProof/>
          <w:sz w:val="24"/>
          <w:szCs w:val="24"/>
        </w:rPr>
        <w:t xml:space="preserve"> et.al</w:t>
      </w:r>
      <w:r w:rsidR="00273A83" w:rsidRPr="00273A83">
        <w:rPr>
          <w:rFonts w:ascii="Arial" w:hAnsi="Arial" w:cs="Arial"/>
          <w:noProof/>
          <w:sz w:val="24"/>
          <w:szCs w:val="24"/>
        </w:rPr>
        <w:t>, 2018)</w:t>
      </w:r>
      <w:r w:rsidRPr="002C5D1C">
        <w:rPr>
          <w:rFonts w:ascii="Arial" w:hAnsi="Arial" w:cs="Arial"/>
          <w:sz w:val="24"/>
          <w:szCs w:val="24"/>
        </w:rPr>
        <w:t>. The necessity for change was communicated by leadership, and initial resistance from European works councils and shareholders was grad</w:t>
      </w:r>
      <w:r w:rsidR="00273A83">
        <w:rPr>
          <w:rFonts w:ascii="Arial" w:hAnsi="Arial" w:cs="Arial"/>
          <w:sz w:val="24"/>
          <w:szCs w:val="24"/>
        </w:rPr>
        <w:t>ually addressed (Kotter, 2012).</w:t>
      </w:r>
      <w:r w:rsidR="00273A83">
        <w:rPr>
          <w:rFonts w:ascii="Arial" w:hAnsi="Arial" w:cs="Arial"/>
          <w:noProof/>
          <w:sz w:val="24"/>
          <w:szCs w:val="24"/>
        </w:rPr>
        <w:t xml:space="preserve"> </w:t>
      </w:r>
    </w:p>
    <w:p w:rsidR="002C5D1C" w:rsidRPr="00273A83" w:rsidRDefault="002C5D1C" w:rsidP="00273A83">
      <w:pPr>
        <w:jc w:val="both"/>
        <w:rPr>
          <w:rFonts w:ascii="Arial" w:hAnsi="Arial" w:cs="Arial"/>
          <w:b/>
          <w:sz w:val="24"/>
          <w:szCs w:val="24"/>
        </w:rPr>
      </w:pPr>
      <w:r w:rsidRPr="00273A83">
        <w:rPr>
          <w:rFonts w:ascii="Arial" w:hAnsi="Arial" w:cs="Arial"/>
          <w:b/>
          <w:sz w:val="24"/>
          <w:szCs w:val="24"/>
        </w:rPr>
        <w:t>Change (Moving):</w:t>
      </w:r>
    </w:p>
    <w:p w:rsidR="002C5D1C" w:rsidRDefault="002C5D1C" w:rsidP="00273A83">
      <w:pPr>
        <w:jc w:val="both"/>
        <w:rPr>
          <w:rFonts w:ascii="Arial" w:hAnsi="Arial" w:cs="Arial"/>
          <w:sz w:val="24"/>
          <w:szCs w:val="24"/>
        </w:rPr>
      </w:pPr>
      <w:r w:rsidRPr="002C5D1C">
        <w:rPr>
          <w:rFonts w:ascii="Arial" w:hAnsi="Arial" w:cs="Arial"/>
          <w:sz w:val="24"/>
          <w:szCs w:val="24"/>
        </w:rPr>
        <w:t xml:space="preserve">A significant transformation was undertaken through the construction of the Mobile Final Assembly Line (FAL) in 2015, the recruitment of a US-based workforce, compliance with Federal Aviation Administration (FAA) regulations, and the adaptation of European production systems to local </w:t>
      </w:r>
      <w:proofErr w:type="spellStart"/>
      <w:r w:rsidRPr="002C5D1C">
        <w:rPr>
          <w:rFonts w:ascii="Arial" w:hAnsi="Arial" w:cs="Arial"/>
          <w:sz w:val="24"/>
          <w:szCs w:val="24"/>
        </w:rPr>
        <w:t>labour</w:t>
      </w:r>
      <w:proofErr w:type="spellEnd"/>
      <w:r w:rsidRPr="002C5D1C">
        <w:rPr>
          <w:rFonts w:ascii="Arial" w:hAnsi="Arial" w:cs="Arial"/>
          <w:sz w:val="24"/>
          <w:szCs w:val="24"/>
        </w:rPr>
        <w:t xml:space="preserve"> pr</w:t>
      </w:r>
      <w:r w:rsidR="00482614">
        <w:rPr>
          <w:rFonts w:ascii="Arial" w:hAnsi="Arial" w:cs="Arial"/>
          <w:sz w:val="24"/>
          <w:szCs w:val="24"/>
        </w:rPr>
        <w:t>actice</w:t>
      </w:r>
      <w:r w:rsidRPr="002C5D1C">
        <w:rPr>
          <w:rFonts w:ascii="Arial" w:hAnsi="Arial" w:cs="Arial"/>
          <w:sz w:val="24"/>
          <w:szCs w:val="24"/>
        </w:rPr>
        <w:t xml:space="preserve">. Substantial financial investment exceeding $1 billion was committed, and </w:t>
      </w:r>
      <w:proofErr w:type="spellStart"/>
      <w:r w:rsidRPr="002C5D1C">
        <w:rPr>
          <w:rFonts w:ascii="Arial" w:hAnsi="Arial" w:cs="Arial"/>
          <w:sz w:val="24"/>
          <w:szCs w:val="24"/>
        </w:rPr>
        <w:t>organisational</w:t>
      </w:r>
      <w:proofErr w:type="spellEnd"/>
      <w:r w:rsidRPr="002C5D1C">
        <w:rPr>
          <w:rFonts w:ascii="Arial" w:hAnsi="Arial" w:cs="Arial"/>
          <w:sz w:val="24"/>
          <w:szCs w:val="24"/>
        </w:rPr>
        <w:t xml:space="preserve"> culture adjustment</w:t>
      </w:r>
      <w:r w:rsidR="00273A83">
        <w:rPr>
          <w:rFonts w:ascii="Arial" w:hAnsi="Arial" w:cs="Arial"/>
          <w:sz w:val="24"/>
          <w:szCs w:val="24"/>
        </w:rPr>
        <w:t>s were required (Airbus, 2023).</w:t>
      </w:r>
    </w:p>
    <w:p w:rsidR="00043D9E" w:rsidRPr="002C5D1C" w:rsidRDefault="00043D9E" w:rsidP="00273A83">
      <w:pPr>
        <w:jc w:val="both"/>
        <w:rPr>
          <w:rFonts w:ascii="Arial" w:hAnsi="Arial" w:cs="Arial"/>
          <w:sz w:val="24"/>
          <w:szCs w:val="24"/>
        </w:rPr>
      </w:pPr>
    </w:p>
    <w:p w:rsidR="002C5D1C" w:rsidRPr="00273A83" w:rsidRDefault="002C5D1C" w:rsidP="00273A83">
      <w:pPr>
        <w:jc w:val="both"/>
        <w:rPr>
          <w:rFonts w:ascii="Arial" w:hAnsi="Arial" w:cs="Arial"/>
          <w:b/>
          <w:sz w:val="24"/>
          <w:szCs w:val="24"/>
        </w:rPr>
      </w:pPr>
      <w:r w:rsidRPr="00273A83">
        <w:rPr>
          <w:rFonts w:ascii="Arial" w:hAnsi="Arial" w:cs="Arial"/>
          <w:b/>
          <w:sz w:val="24"/>
          <w:szCs w:val="24"/>
        </w:rPr>
        <w:lastRenderedPageBreak/>
        <w:t>Refreezing:</w:t>
      </w:r>
    </w:p>
    <w:p w:rsidR="002C5D1C" w:rsidRPr="002C5D1C" w:rsidRDefault="002C5D1C" w:rsidP="00273A83">
      <w:pPr>
        <w:jc w:val="both"/>
        <w:rPr>
          <w:rFonts w:ascii="Arial" w:hAnsi="Arial" w:cs="Arial"/>
          <w:sz w:val="24"/>
          <w:szCs w:val="24"/>
        </w:rPr>
      </w:pPr>
      <w:r w:rsidRPr="002C5D1C">
        <w:rPr>
          <w:rFonts w:ascii="Arial" w:hAnsi="Arial" w:cs="Arial"/>
          <w:sz w:val="24"/>
          <w:szCs w:val="24"/>
        </w:rPr>
        <w:t xml:space="preserve">New processes are being </w:t>
      </w:r>
      <w:proofErr w:type="spellStart"/>
      <w:r w:rsidRPr="002C5D1C">
        <w:rPr>
          <w:rFonts w:ascii="Arial" w:hAnsi="Arial" w:cs="Arial"/>
          <w:sz w:val="24"/>
          <w:szCs w:val="24"/>
        </w:rPr>
        <w:t>institutionalised</w:t>
      </w:r>
      <w:proofErr w:type="spellEnd"/>
      <w:r w:rsidRPr="002C5D1C">
        <w:rPr>
          <w:rFonts w:ascii="Arial" w:hAnsi="Arial" w:cs="Arial"/>
          <w:sz w:val="24"/>
          <w:szCs w:val="24"/>
        </w:rPr>
        <w:t xml:space="preserve"> as </w:t>
      </w:r>
      <w:proofErr w:type="spellStart"/>
      <w:r w:rsidRPr="002C5D1C">
        <w:rPr>
          <w:rFonts w:ascii="Arial" w:hAnsi="Arial" w:cs="Arial"/>
          <w:sz w:val="24"/>
          <w:szCs w:val="24"/>
        </w:rPr>
        <w:t>organisational</w:t>
      </w:r>
      <w:proofErr w:type="spellEnd"/>
      <w:r w:rsidRPr="002C5D1C">
        <w:rPr>
          <w:rFonts w:ascii="Arial" w:hAnsi="Arial" w:cs="Arial"/>
          <w:sz w:val="24"/>
          <w:szCs w:val="24"/>
        </w:rPr>
        <w:t xml:space="preserve"> norms through the use of </w:t>
      </w:r>
      <w:proofErr w:type="spellStart"/>
      <w:r w:rsidRPr="002C5D1C">
        <w:rPr>
          <w:rFonts w:ascii="Arial" w:hAnsi="Arial" w:cs="Arial"/>
          <w:sz w:val="24"/>
          <w:szCs w:val="24"/>
        </w:rPr>
        <w:t>standardised</w:t>
      </w:r>
      <w:proofErr w:type="spellEnd"/>
      <w:r w:rsidRPr="002C5D1C">
        <w:rPr>
          <w:rFonts w:ascii="Arial" w:hAnsi="Arial" w:cs="Arial"/>
          <w:sz w:val="24"/>
          <w:szCs w:val="24"/>
        </w:rPr>
        <w:t xml:space="preserve"> ke</w:t>
      </w:r>
      <w:r w:rsidR="00482614">
        <w:rPr>
          <w:rFonts w:ascii="Arial" w:hAnsi="Arial" w:cs="Arial"/>
          <w:sz w:val="24"/>
          <w:szCs w:val="24"/>
        </w:rPr>
        <w:t>y performance indicators such as “Rate 75”</w:t>
      </w:r>
      <w:r w:rsidRPr="002C5D1C">
        <w:rPr>
          <w:rFonts w:ascii="Arial" w:hAnsi="Arial" w:cs="Arial"/>
          <w:sz w:val="24"/>
          <w:szCs w:val="24"/>
        </w:rPr>
        <w:t>, digital monitoring systems, and alignment with global qualit</w:t>
      </w:r>
      <w:r w:rsidR="00482614">
        <w:rPr>
          <w:rFonts w:ascii="Arial" w:hAnsi="Arial" w:cs="Arial"/>
          <w:sz w:val="24"/>
          <w:szCs w:val="24"/>
        </w:rPr>
        <w:t xml:space="preserve">y frameworks </w:t>
      </w:r>
      <w:r w:rsidR="00482614" w:rsidRPr="00273A83">
        <w:rPr>
          <w:rFonts w:ascii="Arial" w:hAnsi="Arial" w:cs="Arial"/>
          <w:noProof/>
          <w:sz w:val="24"/>
          <w:szCs w:val="24"/>
        </w:rPr>
        <w:t>(Hussain</w:t>
      </w:r>
      <w:r w:rsidR="00482614">
        <w:rPr>
          <w:rFonts w:ascii="Arial" w:hAnsi="Arial" w:cs="Arial"/>
          <w:noProof/>
          <w:sz w:val="24"/>
          <w:szCs w:val="24"/>
        </w:rPr>
        <w:t xml:space="preserve"> et.al</w:t>
      </w:r>
      <w:r w:rsidR="00482614" w:rsidRPr="00273A83">
        <w:rPr>
          <w:rFonts w:ascii="Arial" w:hAnsi="Arial" w:cs="Arial"/>
          <w:noProof/>
          <w:sz w:val="24"/>
          <w:szCs w:val="24"/>
        </w:rPr>
        <w:t>, 2018)</w:t>
      </w:r>
      <w:r>
        <w:rPr>
          <w:rFonts w:ascii="Arial" w:hAnsi="Arial" w:cs="Arial"/>
          <w:sz w:val="24"/>
          <w:szCs w:val="24"/>
        </w:rPr>
        <w:t>.</w:t>
      </w:r>
    </w:p>
    <w:p w:rsidR="002C5D1C" w:rsidRPr="00273A83" w:rsidRDefault="00302EDB" w:rsidP="00302EDB">
      <w:pPr>
        <w:pStyle w:val="Heading3"/>
      </w:pPr>
      <w:bookmarkStart w:id="18" w:name="_Toc228393253"/>
      <w:r>
        <w:t xml:space="preserve">5.4 </w:t>
      </w:r>
      <w:r w:rsidR="002C5D1C" w:rsidRPr="00273A83">
        <w:t>Critical Assessment of Impact on Strategic Implementation:</w:t>
      </w:r>
      <w:bookmarkEnd w:id="18"/>
    </w:p>
    <w:p w:rsidR="001566E9" w:rsidRPr="001566E9" w:rsidRDefault="001566E9" w:rsidP="001566E9">
      <w:pPr>
        <w:jc w:val="both"/>
        <w:rPr>
          <w:rFonts w:ascii="Arial" w:hAnsi="Arial" w:cs="Arial"/>
          <w:b/>
          <w:sz w:val="24"/>
        </w:rPr>
      </w:pPr>
      <w:r w:rsidRPr="001566E9">
        <w:rPr>
          <w:rFonts w:ascii="Arial" w:hAnsi="Arial" w:cs="Arial"/>
          <w:sz w:val="24"/>
        </w:rPr>
        <w:t>It is observed that change has been managed with moderate effectiveness, as Airbus’s US market share was increased from approximately 20% to nearly 50% (</w:t>
      </w:r>
      <w:proofErr w:type="spellStart"/>
      <w:r w:rsidRPr="001566E9">
        <w:rPr>
          <w:rFonts w:ascii="Arial" w:hAnsi="Arial" w:cs="Arial"/>
          <w:sz w:val="24"/>
        </w:rPr>
        <w:t>Boldizsár</w:t>
      </w:r>
      <w:proofErr w:type="spellEnd"/>
      <w:r w:rsidRPr="001566E9">
        <w:rPr>
          <w:rFonts w:ascii="Arial" w:hAnsi="Arial" w:cs="Arial"/>
          <w:sz w:val="24"/>
        </w:rPr>
        <w:t xml:space="preserve"> et.al, 2020). Refreezing is considered incomplete, as cultural differences in Hofstede's Cultural Dimensions Theory, between US short-term orientation and European long-term focus, to generate tensions (Hofstede, 2001). Furthermore, supply chain vulnerabilities and workforce capability gaps indicate stability has not been fully achieved (Kaplan &amp; Norton, 2007). Implementation is evaluated as partially successful (Hussain et.al, 2018).</w:t>
      </w:r>
    </w:p>
    <w:p w:rsidR="00C653BE" w:rsidRPr="00302EDB" w:rsidRDefault="00C62A3F" w:rsidP="00302EDB">
      <w:pPr>
        <w:pStyle w:val="Heading2"/>
        <w:rPr>
          <w:sz w:val="24"/>
        </w:rPr>
      </w:pPr>
      <w:bookmarkStart w:id="19" w:name="_Toc228393254"/>
      <w:r w:rsidRPr="00302EDB">
        <w:rPr>
          <w:sz w:val="24"/>
        </w:rPr>
        <w:t xml:space="preserve">6. Strategic Evaluation and Recommendations – </w:t>
      </w:r>
      <w:proofErr w:type="spellStart"/>
      <w:r w:rsidRPr="00302EDB">
        <w:rPr>
          <w:sz w:val="24"/>
        </w:rPr>
        <w:t>Ansoff</w:t>
      </w:r>
      <w:proofErr w:type="spellEnd"/>
      <w:r w:rsidRPr="00302EDB">
        <w:rPr>
          <w:sz w:val="24"/>
        </w:rPr>
        <w:t xml:space="preserve"> Matrix Analysis</w:t>
      </w:r>
      <w:bookmarkEnd w:id="19"/>
    </w:p>
    <w:p w:rsidR="001566E9" w:rsidRDefault="001566E9" w:rsidP="001566E9">
      <w:pPr>
        <w:jc w:val="both"/>
        <w:rPr>
          <w:rFonts w:ascii="Arial" w:hAnsi="Arial" w:cs="Arial"/>
          <w:sz w:val="24"/>
        </w:rPr>
      </w:pPr>
      <w:r w:rsidRPr="001566E9">
        <w:rPr>
          <w:rFonts w:ascii="Arial" w:hAnsi="Arial" w:cs="Arial"/>
          <w:sz w:val="24"/>
        </w:rPr>
        <w:t xml:space="preserve">Strategic evaluation is defined as the systematic assessment of a strategy’s effectiveness in achieving </w:t>
      </w:r>
      <w:proofErr w:type="spellStart"/>
      <w:r w:rsidRPr="001566E9">
        <w:rPr>
          <w:rFonts w:ascii="Arial" w:hAnsi="Arial" w:cs="Arial"/>
          <w:sz w:val="24"/>
        </w:rPr>
        <w:t>organisational</w:t>
      </w:r>
      <w:proofErr w:type="spellEnd"/>
      <w:r w:rsidRPr="001566E9">
        <w:rPr>
          <w:rFonts w:ascii="Arial" w:hAnsi="Arial" w:cs="Arial"/>
          <w:sz w:val="24"/>
        </w:rPr>
        <w:t xml:space="preserve"> objectives, where internal capabilities and external conditions are considered (Johnson et al., 2020). Performance is measured, gaps are identified, and strategic relevance is determined, as failing strategies may otherwise be sustained and opportunities overlooked (Kaplan and Norton, 1996; Grant, 2022). The </w:t>
      </w:r>
      <w:proofErr w:type="spellStart"/>
      <w:r w:rsidRPr="001566E9">
        <w:rPr>
          <w:rFonts w:ascii="Arial" w:hAnsi="Arial" w:cs="Arial"/>
          <w:sz w:val="24"/>
        </w:rPr>
        <w:t>Ansoff</w:t>
      </w:r>
      <w:proofErr w:type="spellEnd"/>
      <w:r w:rsidRPr="001566E9">
        <w:rPr>
          <w:rFonts w:ascii="Arial" w:hAnsi="Arial" w:cs="Arial"/>
          <w:sz w:val="24"/>
        </w:rPr>
        <w:t xml:space="preserve"> Matrix is defined as a growth strategy framework in which products and markets are plotted to guide decision-making (</w:t>
      </w:r>
      <w:proofErr w:type="spellStart"/>
      <w:r w:rsidRPr="001566E9">
        <w:rPr>
          <w:rFonts w:ascii="Arial" w:hAnsi="Arial" w:cs="Arial"/>
          <w:sz w:val="24"/>
        </w:rPr>
        <w:t>Ansoff</w:t>
      </w:r>
      <w:proofErr w:type="spellEnd"/>
      <w:r w:rsidRPr="001566E9">
        <w:rPr>
          <w:rFonts w:ascii="Arial" w:hAnsi="Arial" w:cs="Arial"/>
          <w:sz w:val="24"/>
        </w:rPr>
        <w:t>, 1957). Four options are identified, and growth opportunities are evaluated for resource alignment (Johnson et al., 2020). Strategic risks are comparatively assessed across options.</w:t>
      </w: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Pr="001566E9" w:rsidRDefault="00043D9E" w:rsidP="001566E9">
      <w:pPr>
        <w:jc w:val="both"/>
        <w:rPr>
          <w:rFonts w:ascii="Arial" w:hAnsi="Arial" w:cs="Arial"/>
          <w:sz w:val="24"/>
        </w:rPr>
      </w:pPr>
    </w:p>
    <w:p w:rsidR="00E73BC5" w:rsidRPr="00E73BC5" w:rsidRDefault="00E73BC5" w:rsidP="00302EDB">
      <w:pPr>
        <w:pStyle w:val="Heading3"/>
      </w:pPr>
      <w:bookmarkStart w:id="20" w:name="_Toc228393255"/>
      <w:r w:rsidRPr="00E73BC5">
        <w:lastRenderedPageBreak/>
        <w:t xml:space="preserve">6.1 Evaluation of Airbus USA’s Current Strategy Using </w:t>
      </w:r>
      <w:proofErr w:type="spellStart"/>
      <w:r w:rsidRPr="00E73BC5">
        <w:t>Ansoff</w:t>
      </w:r>
      <w:proofErr w:type="spellEnd"/>
      <w:r w:rsidRPr="00E73BC5">
        <w:t xml:space="preserve"> Matrix</w:t>
      </w:r>
      <w:bookmarkEnd w:id="20"/>
    </w:p>
    <w:p w:rsidR="00C653BE" w:rsidRDefault="00043D9E" w:rsidP="00E73BC5">
      <w:pPr>
        <w:jc w:val="both"/>
        <w:rPr>
          <w:rFonts w:ascii="Arial" w:hAnsi="Arial" w:cs="Arial"/>
          <w:sz w:val="24"/>
          <w:szCs w:val="24"/>
        </w:rPr>
      </w:pPr>
      <w:r w:rsidRPr="00570D9E">
        <w:rPr>
          <w:rFonts w:ascii="Arial" w:hAnsi="Arial" w:cs="Arial"/>
          <w:noProof/>
          <w:sz w:val="24"/>
          <w:szCs w:val="24"/>
        </w:rPr>
        <w:drawing>
          <wp:anchor distT="0" distB="0" distL="114300" distR="114300" simplePos="0" relativeHeight="251662336" behindDoc="0" locked="0" layoutInCell="1" allowOverlap="1" wp14:anchorId="7909AB3C" wp14:editId="02FB0BFF">
            <wp:simplePos x="0" y="0"/>
            <wp:positionH relativeFrom="margin">
              <wp:posOffset>205740</wp:posOffset>
            </wp:positionH>
            <wp:positionV relativeFrom="paragraph">
              <wp:posOffset>838200</wp:posOffset>
            </wp:positionV>
            <wp:extent cx="5553447" cy="3124200"/>
            <wp:effectExtent l="0" t="0" r="9525" b="0"/>
            <wp:wrapNone/>
            <wp:docPr id="8" name="Picture 8" descr="C:\Users\fabih\Downloads\Ansoff Matrix evalu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Ansoff Matrix evaluation.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53447"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3BC5" w:rsidRPr="00E73BC5">
        <w:rPr>
          <w:rFonts w:ascii="Arial" w:hAnsi="Arial" w:cs="Arial"/>
          <w:sz w:val="24"/>
          <w:szCs w:val="24"/>
        </w:rPr>
        <w:t xml:space="preserve">Airbus USA’s current strategy is </w:t>
      </w:r>
      <w:proofErr w:type="spellStart"/>
      <w:r w:rsidR="00E73BC5" w:rsidRPr="00E73BC5">
        <w:rPr>
          <w:rFonts w:ascii="Arial" w:hAnsi="Arial" w:cs="Arial"/>
          <w:sz w:val="24"/>
          <w:szCs w:val="24"/>
        </w:rPr>
        <w:t>characterised</w:t>
      </w:r>
      <w:proofErr w:type="spellEnd"/>
      <w:r w:rsidR="00E73BC5" w:rsidRPr="00E73BC5">
        <w:rPr>
          <w:rFonts w:ascii="Arial" w:hAnsi="Arial" w:cs="Arial"/>
          <w:sz w:val="24"/>
          <w:szCs w:val="24"/>
        </w:rPr>
        <w:t xml:space="preserve"> by the combination of differentiation at the business level and international expansion through </w:t>
      </w:r>
      <w:proofErr w:type="spellStart"/>
      <w:r w:rsidR="00E73BC5" w:rsidRPr="00E73BC5">
        <w:rPr>
          <w:rFonts w:ascii="Arial" w:hAnsi="Arial" w:cs="Arial"/>
          <w:sz w:val="24"/>
          <w:szCs w:val="24"/>
        </w:rPr>
        <w:t>localisation</w:t>
      </w:r>
      <w:proofErr w:type="spellEnd"/>
      <w:r w:rsidR="00E73BC5" w:rsidRPr="00E73BC5">
        <w:rPr>
          <w:rFonts w:ascii="Arial" w:hAnsi="Arial" w:cs="Arial"/>
          <w:sz w:val="24"/>
          <w:szCs w:val="24"/>
        </w:rPr>
        <w:t xml:space="preserve"> at the corporate level</w:t>
      </w:r>
      <w:r w:rsidR="00E73BC5">
        <w:rPr>
          <w:rFonts w:ascii="Arial" w:hAnsi="Arial" w:cs="Arial"/>
          <w:sz w:val="24"/>
          <w:szCs w:val="24"/>
        </w:rPr>
        <w:t xml:space="preserve"> (</w:t>
      </w:r>
      <w:r w:rsidR="00E73BC5" w:rsidRPr="00E73BC5">
        <w:rPr>
          <w:rFonts w:ascii="Arial" w:hAnsi="Arial" w:cs="Arial"/>
          <w:sz w:val="24"/>
          <w:szCs w:val="24"/>
        </w:rPr>
        <w:t>Johnson et al., 2020).</w:t>
      </w:r>
      <w:r w:rsidR="00E73BC5">
        <w:rPr>
          <w:rFonts w:ascii="Arial" w:hAnsi="Arial" w:cs="Arial"/>
          <w:sz w:val="24"/>
          <w:szCs w:val="24"/>
        </w:rPr>
        <w:t xml:space="preserve"> </w:t>
      </w:r>
      <w:r w:rsidR="00E73BC5" w:rsidRPr="00E73BC5">
        <w:rPr>
          <w:rFonts w:ascii="Arial" w:hAnsi="Arial" w:cs="Arial"/>
          <w:sz w:val="24"/>
          <w:szCs w:val="24"/>
        </w:rPr>
        <w:t xml:space="preserve">Through the application of the </w:t>
      </w:r>
      <w:proofErr w:type="spellStart"/>
      <w:r w:rsidR="00E73BC5" w:rsidRPr="00E73BC5">
        <w:rPr>
          <w:rFonts w:ascii="Arial" w:hAnsi="Arial" w:cs="Arial"/>
          <w:sz w:val="24"/>
          <w:szCs w:val="24"/>
        </w:rPr>
        <w:t>Ansoff</w:t>
      </w:r>
      <w:proofErr w:type="spellEnd"/>
      <w:r w:rsidR="00E73BC5" w:rsidRPr="00E73BC5">
        <w:rPr>
          <w:rFonts w:ascii="Arial" w:hAnsi="Arial" w:cs="Arial"/>
          <w:sz w:val="24"/>
          <w:szCs w:val="24"/>
        </w:rPr>
        <w:t xml:space="preserve"> Matrix, its current strategic position is evaluated, and gaps in growth opportunitie</w:t>
      </w:r>
      <w:r w:rsidR="00E73BC5">
        <w:rPr>
          <w:rFonts w:ascii="Arial" w:hAnsi="Arial" w:cs="Arial"/>
          <w:sz w:val="24"/>
          <w:szCs w:val="24"/>
        </w:rPr>
        <w:t>s are identified (</w:t>
      </w:r>
      <w:proofErr w:type="spellStart"/>
      <w:r w:rsidR="00E73BC5">
        <w:rPr>
          <w:rFonts w:ascii="Arial" w:hAnsi="Arial" w:cs="Arial"/>
          <w:sz w:val="24"/>
          <w:szCs w:val="24"/>
        </w:rPr>
        <w:t>Ansoff</w:t>
      </w:r>
      <w:proofErr w:type="spellEnd"/>
      <w:r w:rsidR="00E73BC5">
        <w:rPr>
          <w:rFonts w:ascii="Arial" w:hAnsi="Arial" w:cs="Arial"/>
          <w:sz w:val="24"/>
          <w:szCs w:val="24"/>
        </w:rPr>
        <w:t>, 1957).</w:t>
      </w:r>
    </w:p>
    <w:p w:rsidR="00E73BC5" w:rsidRDefault="00E73BC5" w:rsidP="00E73BC5">
      <w:pPr>
        <w:jc w:val="both"/>
        <w:rPr>
          <w:rFonts w:ascii="Arial" w:hAnsi="Arial" w:cs="Arial"/>
          <w:sz w:val="24"/>
          <w:szCs w:val="24"/>
        </w:rPr>
      </w:pPr>
    </w:p>
    <w:p w:rsidR="00570D9E" w:rsidRDefault="00570D9E" w:rsidP="00E73BC5">
      <w:pPr>
        <w:jc w:val="both"/>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853875" w:rsidRDefault="00853875" w:rsidP="00853875"/>
    <w:p w:rsidR="001566E9" w:rsidRDefault="001566E9" w:rsidP="00043D9E"/>
    <w:p w:rsidR="00043D9E" w:rsidRDefault="00043D9E" w:rsidP="00043D9E">
      <w:pPr>
        <w:rPr>
          <w:rFonts w:ascii="Arial" w:hAnsi="Arial" w:cs="Arial"/>
          <w:i/>
          <w:sz w:val="16"/>
        </w:rPr>
      </w:pPr>
    </w:p>
    <w:p w:rsidR="001566E9" w:rsidRDefault="001566E9" w:rsidP="00570D9E">
      <w:pPr>
        <w:jc w:val="center"/>
        <w:rPr>
          <w:rFonts w:ascii="Arial" w:hAnsi="Arial" w:cs="Arial"/>
          <w:i/>
          <w:sz w:val="16"/>
        </w:rPr>
      </w:pPr>
    </w:p>
    <w:p w:rsidR="001566E9" w:rsidRPr="001566E9" w:rsidRDefault="00BD06C8" w:rsidP="001566E9">
      <w:pPr>
        <w:jc w:val="center"/>
        <w:rPr>
          <w:rFonts w:ascii="Arial" w:hAnsi="Arial" w:cs="Arial"/>
          <w:i/>
          <w:sz w:val="16"/>
        </w:rPr>
      </w:pPr>
      <w:r>
        <w:rPr>
          <w:rFonts w:ascii="Arial" w:hAnsi="Arial" w:cs="Arial"/>
          <w:i/>
          <w:sz w:val="16"/>
        </w:rPr>
        <w:t>Fig: 06</w:t>
      </w:r>
      <w:r w:rsidR="00570D9E" w:rsidRPr="00570D9E">
        <w:rPr>
          <w:rFonts w:ascii="Arial" w:hAnsi="Arial" w:cs="Arial"/>
          <w:i/>
          <w:sz w:val="16"/>
        </w:rPr>
        <w:t xml:space="preserve"> </w:t>
      </w:r>
      <w:proofErr w:type="spellStart"/>
      <w:r w:rsidR="00570D9E" w:rsidRPr="00570D9E">
        <w:rPr>
          <w:rFonts w:ascii="Arial" w:hAnsi="Arial" w:cs="Arial"/>
          <w:i/>
          <w:sz w:val="16"/>
        </w:rPr>
        <w:t>Ansoff</w:t>
      </w:r>
      <w:proofErr w:type="spellEnd"/>
      <w:r w:rsidR="00570D9E" w:rsidRPr="00570D9E">
        <w:rPr>
          <w:rFonts w:ascii="Arial" w:hAnsi="Arial" w:cs="Arial"/>
          <w:i/>
          <w:sz w:val="16"/>
        </w:rPr>
        <w:t xml:space="preserve"> Matrix Evaluation for Airbus USA</w:t>
      </w:r>
    </w:p>
    <w:p w:rsidR="007162E3" w:rsidRDefault="001F7886" w:rsidP="00B84DC3">
      <w:pPr>
        <w:jc w:val="both"/>
        <w:rPr>
          <w:rFonts w:ascii="Arial" w:hAnsi="Arial" w:cs="Arial"/>
          <w:sz w:val="24"/>
        </w:rPr>
      </w:pPr>
      <w:r w:rsidRPr="001F7886">
        <w:rPr>
          <w:rFonts w:ascii="Arial" w:hAnsi="Arial" w:cs="Arial"/>
          <w:sz w:val="24"/>
        </w:rPr>
        <w:t xml:space="preserve">A critical finding is identified in which Airbus USA is observed to be heavily concentrated within market penetration and product development strategies, both of which are associated with low to moderate levels of risk. In contrast, market development within the US </w:t>
      </w:r>
      <w:proofErr w:type="spellStart"/>
      <w:r w:rsidRPr="001F7886">
        <w:rPr>
          <w:rFonts w:ascii="Arial" w:hAnsi="Arial" w:cs="Arial"/>
          <w:sz w:val="24"/>
        </w:rPr>
        <w:t>defence</w:t>
      </w:r>
      <w:proofErr w:type="spellEnd"/>
      <w:r w:rsidRPr="001F7886">
        <w:rPr>
          <w:rFonts w:ascii="Arial" w:hAnsi="Arial" w:cs="Arial"/>
          <w:sz w:val="24"/>
        </w:rPr>
        <w:t xml:space="preserve"> sector is found to be relatively neglected. As a result, exposure to cyclical downturns, including recessions, pandemics, and fuel price volatility, is increased, thereby indicating a strategic imbalance within the </w:t>
      </w:r>
      <w:proofErr w:type="spellStart"/>
      <w:r w:rsidRPr="001F7886">
        <w:rPr>
          <w:rFonts w:ascii="Arial" w:hAnsi="Arial" w:cs="Arial"/>
          <w:sz w:val="24"/>
        </w:rPr>
        <w:t>Ansoff</w:t>
      </w:r>
      <w:proofErr w:type="spellEnd"/>
      <w:r w:rsidRPr="001F7886">
        <w:rPr>
          <w:rFonts w:ascii="Arial" w:hAnsi="Arial" w:cs="Arial"/>
          <w:sz w:val="24"/>
        </w:rPr>
        <w:t xml:space="preserve"> Matrix (</w:t>
      </w:r>
      <w:proofErr w:type="spellStart"/>
      <w:r w:rsidRPr="001F7886">
        <w:rPr>
          <w:rFonts w:ascii="Arial" w:hAnsi="Arial" w:cs="Arial"/>
          <w:sz w:val="24"/>
        </w:rPr>
        <w:t>Ansoff</w:t>
      </w:r>
      <w:proofErr w:type="spellEnd"/>
      <w:r w:rsidRPr="001F7886">
        <w:rPr>
          <w:rFonts w:ascii="Arial" w:hAnsi="Arial" w:cs="Arial"/>
          <w:sz w:val="24"/>
        </w:rPr>
        <w:t>, 1957).</w:t>
      </w:r>
    </w:p>
    <w:p w:rsidR="001566E9" w:rsidRPr="00302EDB" w:rsidRDefault="001566E9" w:rsidP="00B84DC3">
      <w:pPr>
        <w:jc w:val="both"/>
        <w:rPr>
          <w:rFonts w:ascii="Arial" w:hAnsi="Arial" w:cs="Arial"/>
          <w:sz w:val="24"/>
        </w:rPr>
      </w:pPr>
    </w:p>
    <w:p w:rsidR="001F7886" w:rsidRDefault="00302EDB" w:rsidP="00302EDB">
      <w:pPr>
        <w:pStyle w:val="Heading3"/>
      </w:pPr>
      <w:bookmarkStart w:id="21" w:name="_Toc228393256"/>
      <w:r>
        <w:t xml:space="preserve">6.2 </w:t>
      </w:r>
      <w:r w:rsidR="001F7886" w:rsidRPr="001F7886">
        <w:t>Recommendation:</w:t>
      </w:r>
      <w:bookmarkEnd w:id="21"/>
    </w:p>
    <w:p w:rsidR="00302EDB" w:rsidRPr="00302EDB" w:rsidRDefault="00302EDB" w:rsidP="00302EDB"/>
    <w:p w:rsidR="00043D9E" w:rsidRDefault="001F7886" w:rsidP="00B84DC3">
      <w:pPr>
        <w:jc w:val="both"/>
        <w:rPr>
          <w:rFonts w:ascii="Arial" w:hAnsi="Arial" w:cs="Arial"/>
          <w:sz w:val="24"/>
        </w:rPr>
      </w:pPr>
      <w:r w:rsidRPr="001F7886">
        <w:rPr>
          <w:rFonts w:ascii="Arial" w:hAnsi="Arial" w:cs="Arial"/>
          <w:sz w:val="24"/>
        </w:rPr>
        <w:t xml:space="preserve">Based on the </w:t>
      </w:r>
      <w:proofErr w:type="spellStart"/>
      <w:r w:rsidRPr="001F7886">
        <w:rPr>
          <w:rFonts w:ascii="Arial" w:hAnsi="Arial" w:cs="Arial"/>
          <w:sz w:val="24"/>
        </w:rPr>
        <w:t>Ansoff</w:t>
      </w:r>
      <w:proofErr w:type="spellEnd"/>
      <w:r w:rsidRPr="001F7886">
        <w:rPr>
          <w:rFonts w:ascii="Arial" w:hAnsi="Arial" w:cs="Arial"/>
          <w:sz w:val="24"/>
        </w:rPr>
        <w:t xml:space="preserve"> evaluation, market development is recommended to be pursued more aggressively by Airbus USA. It is proposed that a dedicated US </w:t>
      </w:r>
      <w:proofErr w:type="spellStart"/>
      <w:r w:rsidRPr="001F7886">
        <w:rPr>
          <w:rFonts w:ascii="Arial" w:hAnsi="Arial" w:cs="Arial"/>
          <w:sz w:val="24"/>
        </w:rPr>
        <w:t>defence</w:t>
      </w:r>
      <w:proofErr w:type="spellEnd"/>
      <w:r w:rsidRPr="001F7886">
        <w:rPr>
          <w:rFonts w:ascii="Arial" w:hAnsi="Arial" w:cs="Arial"/>
          <w:sz w:val="24"/>
        </w:rPr>
        <w:t xml:space="preserve"> subsidiary should be established, through which bids for US military contracts, including tanker replacement, helicopter fleet </w:t>
      </w:r>
      <w:proofErr w:type="spellStart"/>
      <w:r w:rsidRPr="001F7886">
        <w:rPr>
          <w:rFonts w:ascii="Arial" w:hAnsi="Arial" w:cs="Arial"/>
          <w:sz w:val="24"/>
        </w:rPr>
        <w:t>modernisation</w:t>
      </w:r>
      <w:proofErr w:type="spellEnd"/>
      <w:r w:rsidRPr="001F7886">
        <w:rPr>
          <w:rFonts w:ascii="Arial" w:hAnsi="Arial" w:cs="Arial"/>
          <w:sz w:val="24"/>
        </w:rPr>
        <w:t xml:space="preserve">, and surveillance aircraft </w:t>
      </w:r>
      <w:proofErr w:type="spellStart"/>
      <w:r w:rsidRPr="001F7886">
        <w:rPr>
          <w:rFonts w:ascii="Arial" w:hAnsi="Arial" w:cs="Arial"/>
          <w:sz w:val="24"/>
        </w:rPr>
        <w:t>programmes</w:t>
      </w:r>
      <w:proofErr w:type="spellEnd"/>
      <w:r w:rsidRPr="001F7886">
        <w:rPr>
          <w:rFonts w:ascii="Arial" w:hAnsi="Arial" w:cs="Arial"/>
          <w:sz w:val="24"/>
        </w:rPr>
        <w:t>, can be submitted using existing platforms such as the A330 MRTT, H145, and C295. Furthermore, a legally separate US-controlled entity is suggested to be created, so that the “foreign supplier” stigma can be mitigated and market access can be enhanced (</w:t>
      </w:r>
      <w:proofErr w:type="spellStart"/>
      <w:r w:rsidRPr="001F7886">
        <w:rPr>
          <w:rFonts w:ascii="Arial" w:hAnsi="Arial" w:cs="Arial"/>
          <w:sz w:val="24"/>
        </w:rPr>
        <w:t>Ansoff</w:t>
      </w:r>
      <w:proofErr w:type="spellEnd"/>
      <w:r w:rsidRPr="001F7886">
        <w:rPr>
          <w:rFonts w:ascii="Arial" w:hAnsi="Arial" w:cs="Arial"/>
          <w:sz w:val="24"/>
        </w:rPr>
        <w:t>, 1957).</w:t>
      </w:r>
    </w:p>
    <w:p w:rsidR="001F7886" w:rsidRDefault="00302EDB" w:rsidP="00302EDB">
      <w:pPr>
        <w:pStyle w:val="Heading3"/>
      </w:pPr>
      <w:bookmarkStart w:id="22" w:name="_Toc228393257"/>
      <w:r>
        <w:lastRenderedPageBreak/>
        <w:t xml:space="preserve">6.3 </w:t>
      </w:r>
      <w:r w:rsidR="001F7886" w:rsidRPr="001F7886">
        <w:t>Justification with theory and real-world examples:</w:t>
      </w:r>
      <w:bookmarkEnd w:id="22"/>
    </w:p>
    <w:p w:rsidR="00302EDB" w:rsidRPr="00302EDB" w:rsidRDefault="00302EDB" w:rsidP="00302EDB"/>
    <w:p w:rsidR="00B84DC3" w:rsidRPr="00B84DC3" w:rsidRDefault="00B84DC3" w:rsidP="00B84DC3">
      <w:pPr>
        <w:jc w:val="both"/>
        <w:rPr>
          <w:rFonts w:ascii="Arial" w:hAnsi="Arial" w:cs="Arial"/>
          <w:sz w:val="24"/>
        </w:rPr>
      </w:pPr>
      <w:r w:rsidRPr="00B84DC3">
        <w:rPr>
          <w:rFonts w:ascii="Arial" w:hAnsi="Arial" w:cs="Arial"/>
          <w:b/>
          <w:sz w:val="24"/>
        </w:rPr>
        <w:t>Theoretical justification:</w:t>
      </w:r>
      <w:r>
        <w:rPr>
          <w:rFonts w:ascii="Arial" w:hAnsi="Arial" w:cs="Arial"/>
          <w:sz w:val="24"/>
        </w:rPr>
        <w:t xml:space="preserve"> </w:t>
      </w:r>
      <w:r w:rsidRPr="00B84DC3">
        <w:rPr>
          <w:rFonts w:ascii="Arial" w:hAnsi="Arial" w:cs="Arial"/>
          <w:sz w:val="24"/>
        </w:rPr>
        <w:t xml:space="preserve">The </w:t>
      </w:r>
      <w:proofErr w:type="spellStart"/>
      <w:r w:rsidRPr="00B84DC3">
        <w:rPr>
          <w:rFonts w:ascii="Arial" w:hAnsi="Arial" w:cs="Arial"/>
          <w:sz w:val="24"/>
        </w:rPr>
        <w:t>Ansoff</w:t>
      </w:r>
      <w:proofErr w:type="spellEnd"/>
      <w:r w:rsidRPr="00B84DC3">
        <w:rPr>
          <w:rFonts w:ascii="Arial" w:hAnsi="Arial" w:cs="Arial"/>
          <w:sz w:val="24"/>
        </w:rPr>
        <w:t xml:space="preserve"> Matrix identifies market development as lower risk than diversification by leveraging existing competencies in new markets (</w:t>
      </w:r>
      <w:proofErr w:type="spellStart"/>
      <w:r w:rsidRPr="00B84DC3">
        <w:rPr>
          <w:rFonts w:ascii="Arial" w:hAnsi="Arial" w:cs="Arial"/>
          <w:sz w:val="24"/>
        </w:rPr>
        <w:t>Ansoff</w:t>
      </w:r>
      <w:proofErr w:type="spellEnd"/>
      <w:r w:rsidRPr="00B84DC3">
        <w:rPr>
          <w:rFonts w:ascii="Arial" w:hAnsi="Arial" w:cs="Arial"/>
          <w:sz w:val="24"/>
        </w:rPr>
        <w:t>, 1957). Additionally, the Resource-Based View suggests Airbus’s engineering capabilities can be redeployed to achieve sustained competitive advant</w:t>
      </w:r>
      <w:r w:rsidR="007162E3">
        <w:rPr>
          <w:rFonts w:ascii="Arial" w:hAnsi="Arial" w:cs="Arial"/>
          <w:sz w:val="24"/>
        </w:rPr>
        <w:t xml:space="preserve">age in </w:t>
      </w:r>
      <w:proofErr w:type="spellStart"/>
      <w:r w:rsidR="007162E3">
        <w:rPr>
          <w:rFonts w:ascii="Arial" w:hAnsi="Arial" w:cs="Arial"/>
          <w:sz w:val="24"/>
        </w:rPr>
        <w:t>defence</w:t>
      </w:r>
      <w:proofErr w:type="spellEnd"/>
      <w:r w:rsidR="007162E3">
        <w:rPr>
          <w:rFonts w:ascii="Arial" w:hAnsi="Arial" w:cs="Arial"/>
          <w:sz w:val="24"/>
        </w:rPr>
        <w:t xml:space="preserve"> </w:t>
      </w:r>
      <w:r>
        <w:rPr>
          <w:rFonts w:ascii="Arial" w:hAnsi="Arial" w:cs="Arial"/>
          <w:sz w:val="24"/>
        </w:rPr>
        <w:t>(Barney, 1991).</w:t>
      </w:r>
    </w:p>
    <w:p w:rsidR="00A90DC2" w:rsidRDefault="00A90DC2" w:rsidP="00B84DC3">
      <w:pPr>
        <w:jc w:val="both"/>
        <w:rPr>
          <w:rFonts w:ascii="Arial" w:hAnsi="Arial" w:cs="Arial"/>
          <w:b/>
          <w:sz w:val="24"/>
        </w:rPr>
      </w:pPr>
    </w:p>
    <w:p w:rsidR="00B84DC3" w:rsidRPr="00B84DC3" w:rsidRDefault="00B84DC3" w:rsidP="00B84DC3">
      <w:pPr>
        <w:jc w:val="both"/>
        <w:rPr>
          <w:rFonts w:ascii="Arial" w:hAnsi="Arial" w:cs="Arial"/>
          <w:sz w:val="24"/>
        </w:rPr>
      </w:pPr>
      <w:r w:rsidRPr="00B84DC3">
        <w:rPr>
          <w:rFonts w:ascii="Arial" w:hAnsi="Arial" w:cs="Arial"/>
          <w:b/>
          <w:sz w:val="24"/>
        </w:rPr>
        <w:t>Real-world example:</w:t>
      </w:r>
      <w:r>
        <w:rPr>
          <w:rFonts w:ascii="Arial" w:hAnsi="Arial" w:cs="Arial"/>
          <w:sz w:val="24"/>
        </w:rPr>
        <w:t xml:space="preserve"> </w:t>
      </w:r>
      <w:r w:rsidRPr="00B84DC3">
        <w:rPr>
          <w:rFonts w:ascii="Arial" w:hAnsi="Arial" w:cs="Arial"/>
          <w:sz w:val="24"/>
        </w:rPr>
        <w:t xml:space="preserve">BAE Systems successfully entered the US </w:t>
      </w:r>
      <w:proofErr w:type="spellStart"/>
      <w:r w:rsidRPr="00B84DC3">
        <w:rPr>
          <w:rFonts w:ascii="Arial" w:hAnsi="Arial" w:cs="Arial"/>
          <w:sz w:val="24"/>
        </w:rPr>
        <w:t>defence</w:t>
      </w:r>
      <w:proofErr w:type="spellEnd"/>
      <w:r w:rsidRPr="00B84DC3">
        <w:rPr>
          <w:rFonts w:ascii="Arial" w:hAnsi="Arial" w:cs="Arial"/>
          <w:sz w:val="24"/>
        </w:rPr>
        <w:t xml:space="preserve"> market by establishing BAE Systems Inc., adopting US leadership, supply chains, and clearances, thereby securing Pentagon contracts and achieving a leading con</w:t>
      </w:r>
      <w:r>
        <w:rPr>
          <w:rFonts w:ascii="Arial" w:hAnsi="Arial" w:cs="Arial"/>
          <w:sz w:val="24"/>
        </w:rPr>
        <w:t>tractor position (Grant, 2022).</w:t>
      </w:r>
    </w:p>
    <w:p w:rsidR="00A90DC2" w:rsidRDefault="00A90DC2" w:rsidP="00B84DC3">
      <w:pPr>
        <w:jc w:val="both"/>
        <w:rPr>
          <w:rStyle w:val="Strong"/>
          <w:rFonts w:ascii="Arial" w:hAnsi="Arial" w:cs="Arial"/>
          <w:color w:val="0F1115"/>
          <w:sz w:val="24"/>
          <w:shd w:val="clear" w:color="auto" w:fill="FFFFFF"/>
        </w:rPr>
      </w:pPr>
    </w:p>
    <w:p w:rsidR="00B84DC3" w:rsidRPr="00B84DC3" w:rsidRDefault="00B84DC3" w:rsidP="00B84DC3">
      <w:pPr>
        <w:jc w:val="both"/>
        <w:rPr>
          <w:rFonts w:ascii="Arial" w:hAnsi="Arial" w:cs="Arial"/>
          <w:sz w:val="24"/>
        </w:rPr>
      </w:pPr>
      <w:r w:rsidRPr="00B84DC3">
        <w:rPr>
          <w:rStyle w:val="Strong"/>
          <w:rFonts w:ascii="Arial" w:hAnsi="Arial" w:cs="Arial"/>
          <w:color w:val="0F1115"/>
          <w:sz w:val="24"/>
          <w:shd w:val="clear" w:color="auto" w:fill="FFFFFF"/>
        </w:rPr>
        <w:t>Counter-example (warning):</w:t>
      </w:r>
      <w:r w:rsidRPr="00B84DC3">
        <w:rPr>
          <w:rStyle w:val="Strong"/>
          <w:rFonts w:ascii="Segoe UI" w:hAnsi="Segoe UI" w:cs="Segoe UI"/>
          <w:color w:val="0F1115"/>
          <w:sz w:val="24"/>
          <w:shd w:val="clear" w:color="auto" w:fill="FFFFFF"/>
        </w:rPr>
        <w:t xml:space="preserve"> </w:t>
      </w:r>
      <w:r w:rsidRPr="00B84DC3">
        <w:rPr>
          <w:rFonts w:ascii="Arial" w:hAnsi="Arial" w:cs="Arial"/>
          <w:sz w:val="24"/>
        </w:rPr>
        <w:t xml:space="preserve">A counter-example is observed in Boeing, where over-reliance on commercial aviation increased vulnerability. Limited </w:t>
      </w:r>
      <w:proofErr w:type="spellStart"/>
      <w:r w:rsidRPr="00B84DC3">
        <w:rPr>
          <w:rFonts w:ascii="Arial" w:hAnsi="Arial" w:cs="Arial"/>
          <w:sz w:val="24"/>
        </w:rPr>
        <w:t>defence</w:t>
      </w:r>
      <w:proofErr w:type="spellEnd"/>
      <w:r w:rsidRPr="00B84DC3">
        <w:rPr>
          <w:rFonts w:ascii="Arial" w:hAnsi="Arial" w:cs="Arial"/>
          <w:sz w:val="24"/>
        </w:rPr>
        <w:t xml:space="preserve"> diversification contributed to financial fragility during the Boeing 737 MAX crisis and COVID-19 pandemic, highlighting risks of strategic imbalance (Johnson et al., 2020).</w:t>
      </w:r>
    </w:p>
    <w:p w:rsidR="00A90DC2" w:rsidRDefault="00A90DC2" w:rsidP="00B84DC3">
      <w:pPr>
        <w:jc w:val="both"/>
        <w:rPr>
          <w:rFonts w:ascii="Arial" w:hAnsi="Arial" w:cs="Arial"/>
          <w:sz w:val="24"/>
        </w:rPr>
      </w:pPr>
    </w:p>
    <w:p w:rsidR="00B84DC3" w:rsidRDefault="00B84DC3" w:rsidP="00B84DC3">
      <w:pPr>
        <w:jc w:val="both"/>
        <w:rPr>
          <w:rFonts w:ascii="Arial" w:hAnsi="Arial" w:cs="Arial"/>
          <w:sz w:val="24"/>
        </w:rPr>
      </w:pPr>
      <w:r w:rsidRPr="00B84DC3">
        <w:rPr>
          <w:rFonts w:ascii="Arial" w:hAnsi="Arial" w:cs="Arial"/>
          <w:sz w:val="24"/>
        </w:rPr>
        <w:t xml:space="preserve">Airbus USA’s strategic over-concentration is revealed through the </w:t>
      </w:r>
      <w:proofErr w:type="spellStart"/>
      <w:r w:rsidRPr="00B84DC3">
        <w:rPr>
          <w:rFonts w:ascii="Arial" w:hAnsi="Arial" w:cs="Arial"/>
          <w:sz w:val="24"/>
        </w:rPr>
        <w:t>Ansoff</w:t>
      </w:r>
      <w:proofErr w:type="spellEnd"/>
      <w:r w:rsidRPr="00B84DC3">
        <w:rPr>
          <w:rFonts w:ascii="Arial" w:hAnsi="Arial" w:cs="Arial"/>
          <w:sz w:val="24"/>
        </w:rPr>
        <w:t xml:space="preserve"> Matrix. It is argued that market development into the US </w:t>
      </w:r>
      <w:proofErr w:type="spellStart"/>
      <w:r w:rsidRPr="00B84DC3">
        <w:rPr>
          <w:rFonts w:ascii="Arial" w:hAnsi="Arial" w:cs="Arial"/>
          <w:sz w:val="24"/>
        </w:rPr>
        <w:t>defence</w:t>
      </w:r>
      <w:proofErr w:type="spellEnd"/>
      <w:r w:rsidRPr="00B84DC3">
        <w:rPr>
          <w:rFonts w:ascii="Arial" w:hAnsi="Arial" w:cs="Arial"/>
          <w:sz w:val="24"/>
        </w:rPr>
        <w:t xml:space="preserve"> sector should be pursued more aggressively, as supported by the success of BAE Systems and the principles of the Resource-Based View (</w:t>
      </w:r>
      <w:proofErr w:type="spellStart"/>
      <w:r w:rsidRPr="00B84DC3">
        <w:rPr>
          <w:rFonts w:ascii="Arial" w:hAnsi="Arial" w:cs="Arial"/>
          <w:sz w:val="24"/>
        </w:rPr>
        <w:t>Ansoff</w:t>
      </w:r>
      <w:proofErr w:type="spellEnd"/>
      <w:r w:rsidRPr="00B84DC3">
        <w:rPr>
          <w:rFonts w:ascii="Arial" w:hAnsi="Arial" w:cs="Arial"/>
          <w:sz w:val="24"/>
        </w:rPr>
        <w:t>, 1957). Through this strategic shift, commercial cyclicality is expected to be reduced, existing product capabilities are leveraged, and political influence is strengthened. Without such adaptation, vulnerability to economic downturns is likely to persist, thereby risking erosion of competitive advantage (Barney, 1991).</w:t>
      </w:r>
    </w:p>
    <w:p w:rsidR="00B84DC3" w:rsidRDefault="00B84DC3" w:rsidP="00B84DC3">
      <w:pPr>
        <w:jc w:val="both"/>
        <w:rPr>
          <w:rFonts w:ascii="Arial" w:hAnsi="Arial" w:cs="Arial"/>
          <w:sz w:val="24"/>
        </w:rPr>
      </w:pPr>
    </w:p>
    <w:p w:rsidR="001F01D7" w:rsidRDefault="001F01D7" w:rsidP="00B84DC3">
      <w:pPr>
        <w:jc w:val="both"/>
        <w:rPr>
          <w:rFonts w:ascii="Arial" w:hAnsi="Arial" w:cs="Arial"/>
          <w:sz w:val="24"/>
        </w:rPr>
      </w:pPr>
      <w:r>
        <w:rPr>
          <w:rFonts w:ascii="Arial" w:hAnsi="Arial" w:cs="Arial"/>
          <w:sz w:val="24"/>
        </w:rPr>
        <w:br w:type="page"/>
      </w:r>
    </w:p>
    <w:p w:rsidR="00B84DC3" w:rsidRDefault="001F01D7" w:rsidP="00302EDB">
      <w:pPr>
        <w:pStyle w:val="Heading1"/>
      </w:pPr>
      <w:bookmarkStart w:id="23" w:name="_Toc228393258"/>
      <w:r w:rsidRPr="001F01D7">
        <w:lastRenderedPageBreak/>
        <w:t>Section 2: Reflective Account Using Gibbs’ Reflective Cycle</w:t>
      </w:r>
      <w:bookmarkEnd w:id="23"/>
    </w:p>
    <w:p w:rsidR="00302EDB" w:rsidRPr="00302EDB" w:rsidRDefault="00302EDB" w:rsidP="00302EDB"/>
    <w:p w:rsidR="005008D7" w:rsidRDefault="005008D7" w:rsidP="00B84DC3">
      <w:pPr>
        <w:jc w:val="both"/>
        <w:rPr>
          <w:rFonts w:ascii="Arial" w:hAnsi="Arial" w:cs="Arial"/>
          <w:sz w:val="24"/>
        </w:rPr>
      </w:pPr>
      <w:r w:rsidRPr="005008D7">
        <w:rPr>
          <w:rFonts w:ascii="Arial" w:hAnsi="Arial" w:cs="Arial"/>
          <w:sz w:val="24"/>
        </w:rPr>
        <w:t xml:space="preserve">A reflective account is critically presented, in which the process of researching, </w:t>
      </w:r>
      <w:proofErr w:type="spellStart"/>
      <w:r w:rsidRPr="005008D7">
        <w:rPr>
          <w:rFonts w:ascii="Arial" w:hAnsi="Arial" w:cs="Arial"/>
          <w:sz w:val="24"/>
        </w:rPr>
        <w:t>analysing</w:t>
      </w:r>
      <w:proofErr w:type="spellEnd"/>
      <w:r w:rsidRPr="005008D7">
        <w:rPr>
          <w:rFonts w:ascii="Arial" w:hAnsi="Arial" w:cs="Arial"/>
          <w:sz w:val="24"/>
        </w:rPr>
        <w:t>, and preparing the strategic management report on Airbus’s operations in the USA is examined. Gibbs’ Reflective Cycle is applied to structure the reflection across six stages: Description, Feelings, Evaluation, Analysis, Conclusion, and Action Plan (Gibbs, 1988).</w:t>
      </w:r>
    </w:p>
    <w:p w:rsidR="000E05A8" w:rsidRDefault="00A90DC2" w:rsidP="00B84DC3">
      <w:pPr>
        <w:jc w:val="both"/>
        <w:rPr>
          <w:rFonts w:ascii="Arial" w:hAnsi="Arial" w:cs="Arial"/>
          <w:sz w:val="24"/>
        </w:rPr>
      </w:pPr>
      <w:r>
        <w:rPr>
          <w:rFonts w:ascii="Arial" w:hAnsi="Arial" w:cs="Arial"/>
          <w:noProof/>
          <w:sz w:val="24"/>
        </w:rPr>
        <w:drawing>
          <wp:anchor distT="0" distB="0" distL="114300" distR="114300" simplePos="0" relativeHeight="251664384" behindDoc="0" locked="0" layoutInCell="1" allowOverlap="1" wp14:anchorId="7407D807" wp14:editId="6BF76CB1">
            <wp:simplePos x="0" y="0"/>
            <wp:positionH relativeFrom="margin">
              <wp:posOffset>373380</wp:posOffset>
            </wp:positionH>
            <wp:positionV relativeFrom="paragraph">
              <wp:posOffset>36830</wp:posOffset>
            </wp:positionV>
            <wp:extent cx="5189855" cy="370316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ibbs .png"/>
                    <pic:cNvPicPr/>
                  </pic:nvPicPr>
                  <pic:blipFill>
                    <a:blip r:embed="rId19">
                      <a:extLst>
                        <a:ext uri="{28A0092B-C50C-407E-A947-70E740481C1C}">
                          <a14:useLocalDpi xmlns:a14="http://schemas.microsoft.com/office/drawing/2010/main" val="0"/>
                        </a:ext>
                      </a:extLst>
                    </a:blip>
                    <a:stretch>
                      <a:fillRect/>
                    </a:stretch>
                  </pic:blipFill>
                  <pic:spPr>
                    <a:xfrm>
                      <a:off x="0" y="0"/>
                      <a:ext cx="5190531" cy="3703649"/>
                    </a:xfrm>
                    <a:prstGeom prst="rect">
                      <a:avLst/>
                    </a:prstGeom>
                  </pic:spPr>
                </pic:pic>
              </a:graphicData>
            </a:graphic>
            <wp14:sizeRelH relativeFrom="margin">
              <wp14:pctWidth>0</wp14:pctWidth>
            </wp14:sizeRelH>
            <wp14:sizeRelV relativeFrom="margin">
              <wp14:pctHeight>0</wp14:pctHeight>
            </wp14:sizeRelV>
          </wp:anchor>
        </w:drawing>
      </w: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Pr="005E2D22" w:rsidRDefault="00BD06C8" w:rsidP="005E2D22">
      <w:pPr>
        <w:jc w:val="center"/>
        <w:rPr>
          <w:rFonts w:ascii="Arial" w:hAnsi="Arial" w:cs="Arial"/>
          <w:i/>
          <w:sz w:val="18"/>
        </w:rPr>
      </w:pPr>
      <w:r>
        <w:rPr>
          <w:rFonts w:ascii="Arial" w:hAnsi="Arial" w:cs="Arial"/>
          <w:i/>
          <w:sz w:val="18"/>
        </w:rPr>
        <w:t>Fig: 07</w:t>
      </w:r>
      <w:r w:rsidR="000E05A8" w:rsidRPr="005E2D22">
        <w:rPr>
          <w:rFonts w:ascii="Arial" w:hAnsi="Arial" w:cs="Arial"/>
          <w:i/>
          <w:sz w:val="18"/>
        </w:rPr>
        <w:t xml:space="preserve"> Gibbs Reflective </w:t>
      </w:r>
      <w:r w:rsidR="005E2D22" w:rsidRPr="005E2D22">
        <w:rPr>
          <w:rFonts w:ascii="Arial" w:hAnsi="Arial" w:cs="Arial"/>
          <w:i/>
          <w:sz w:val="18"/>
        </w:rPr>
        <w:t>C</w:t>
      </w:r>
      <w:r w:rsidR="000E05A8" w:rsidRPr="005E2D22">
        <w:rPr>
          <w:rFonts w:ascii="Arial" w:hAnsi="Arial" w:cs="Arial"/>
          <w:i/>
          <w:sz w:val="18"/>
        </w:rPr>
        <w:t>ycle</w:t>
      </w:r>
      <w:r w:rsidR="005E2D22" w:rsidRPr="005E2D22">
        <w:rPr>
          <w:rFonts w:ascii="Arial" w:hAnsi="Arial" w:cs="Arial"/>
          <w:i/>
          <w:sz w:val="18"/>
        </w:rPr>
        <w:t xml:space="preserve"> Analysis (Self analyzed, designed with </w:t>
      </w:r>
      <w:proofErr w:type="spellStart"/>
      <w:r w:rsidR="005E2D22" w:rsidRPr="005E2D22">
        <w:rPr>
          <w:rFonts w:ascii="Arial" w:hAnsi="Arial" w:cs="Arial"/>
          <w:i/>
          <w:sz w:val="18"/>
        </w:rPr>
        <w:t>Canva</w:t>
      </w:r>
      <w:proofErr w:type="spellEnd"/>
      <w:r w:rsidR="005E2D22" w:rsidRPr="005E2D22">
        <w:rPr>
          <w:rFonts w:ascii="Arial" w:hAnsi="Arial" w:cs="Arial"/>
          <w:i/>
          <w:sz w:val="18"/>
        </w:rPr>
        <w:t>)</w:t>
      </w:r>
    </w:p>
    <w:p w:rsidR="000E05A8" w:rsidRDefault="000E05A8" w:rsidP="00302EDB">
      <w:pPr>
        <w:pStyle w:val="Heading2"/>
      </w:pPr>
    </w:p>
    <w:p w:rsidR="005008D7" w:rsidRDefault="005008D7" w:rsidP="00302EDB">
      <w:pPr>
        <w:pStyle w:val="Heading2"/>
      </w:pPr>
      <w:bookmarkStart w:id="24" w:name="_Toc228393259"/>
      <w:r w:rsidRPr="005008D7">
        <w:t>1. Description</w:t>
      </w:r>
      <w:bookmarkEnd w:id="24"/>
    </w:p>
    <w:p w:rsidR="00AC4DFF" w:rsidRPr="00AC4DFF" w:rsidRDefault="00AC4DFF" w:rsidP="00AC4DFF"/>
    <w:p w:rsidR="005008D7" w:rsidRDefault="005008D7" w:rsidP="005008D7">
      <w:pPr>
        <w:jc w:val="both"/>
        <w:rPr>
          <w:rFonts w:ascii="Arial" w:hAnsi="Arial" w:cs="Arial"/>
          <w:sz w:val="24"/>
        </w:rPr>
      </w:pPr>
      <w:r w:rsidRPr="005008D7">
        <w:rPr>
          <w:rFonts w:ascii="Arial" w:hAnsi="Arial" w:cs="Arial"/>
          <w:sz w:val="24"/>
        </w:rPr>
        <w:t xml:space="preserve">The assignment was undertaken as an individual strategic analysis of Airbus SE, with a specific focus on its US operations. A 5,000-word report was required, in which multiple frameworks, including PESTEL, VRIO, Balanced Scorecard, SWOT, </w:t>
      </w:r>
      <w:proofErr w:type="spellStart"/>
      <w:r w:rsidRPr="005008D7">
        <w:rPr>
          <w:rFonts w:ascii="Arial" w:hAnsi="Arial" w:cs="Arial"/>
          <w:sz w:val="24"/>
        </w:rPr>
        <w:t>Ansoff’s</w:t>
      </w:r>
      <w:proofErr w:type="spellEnd"/>
      <w:r w:rsidRPr="005008D7">
        <w:rPr>
          <w:rFonts w:ascii="Arial" w:hAnsi="Arial" w:cs="Arial"/>
          <w:sz w:val="24"/>
        </w:rPr>
        <w:t xml:space="preserve"> Matrix, and Lewin’s change model, were applied. Airbus was selected due to its unique positioning within a highly competitive, duopolistic aerospace market. Secondary data were collected from annual reports, academic literature, industry publications, and government sources, while Hofstede’s cultural dimensions were incorporated to strengthen analysis. The report was structured systematically from </w:t>
      </w:r>
      <w:proofErr w:type="spellStart"/>
      <w:r w:rsidRPr="005008D7">
        <w:rPr>
          <w:rFonts w:ascii="Arial" w:hAnsi="Arial" w:cs="Arial"/>
          <w:sz w:val="24"/>
        </w:rPr>
        <w:t>organisational</w:t>
      </w:r>
      <w:proofErr w:type="spellEnd"/>
      <w:r w:rsidRPr="005008D7">
        <w:rPr>
          <w:rFonts w:ascii="Arial" w:hAnsi="Arial" w:cs="Arial"/>
          <w:sz w:val="24"/>
        </w:rPr>
        <w:t xml:space="preserve"> overview to reflective evaluation (Johnson et al., 2020; Barney, 1991).</w:t>
      </w:r>
    </w:p>
    <w:p w:rsidR="00AC4DFF" w:rsidRDefault="00AC4DFF" w:rsidP="005008D7">
      <w:pPr>
        <w:jc w:val="both"/>
        <w:rPr>
          <w:rFonts w:ascii="Arial" w:hAnsi="Arial" w:cs="Arial"/>
          <w:sz w:val="24"/>
        </w:rPr>
      </w:pPr>
    </w:p>
    <w:p w:rsidR="005008D7" w:rsidRDefault="005008D7" w:rsidP="00302EDB">
      <w:pPr>
        <w:pStyle w:val="Heading2"/>
      </w:pPr>
      <w:bookmarkStart w:id="25" w:name="_Toc228393260"/>
      <w:r w:rsidRPr="005008D7">
        <w:lastRenderedPageBreak/>
        <w:t>2. Feelings</w:t>
      </w:r>
      <w:bookmarkEnd w:id="25"/>
    </w:p>
    <w:p w:rsidR="00AC4DFF" w:rsidRPr="00AC4DFF" w:rsidRDefault="00AC4DFF" w:rsidP="00AC4DFF"/>
    <w:p w:rsidR="005008D7" w:rsidRDefault="005008D7" w:rsidP="005008D7">
      <w:pPr>
        <w:jc w:val="both"/>
        <w:rPr>
          <w:rFonts w:ascii="Arial" w:hAnsi="Arial" w:cs="Arial"/>
          <w:sz w:val="24"/>
        </w:rPr>
      </w:pPr>
      <w:r w:rsidRPr="005008D7">
        <w:rPr>
          <w:rFonts w:ascii="Arial" w:hAnsi="Arial" w:cs="Arial"/>
          <w:sz w:val="24"/>
        </w:rPr>
        <w:t xml:space="preserve">Initially, a sense of being overwhelmed was experienced due to the volume of data and the complexity associated with integrating multiple strategic frameworks without becoming overly descriptive. The aerospace industry was perceived as highly data-intensive, and continuous filtering was required to distinguish US-specific factors from global strategy. Frustration was encountered when precise data on </w:t>
      </w:r>
      <w:proofErr w:type="spellStart"/>
      <w:r w:rsidRPr="005008D7">
        <w:rPr>
          <w:rFonts w:ascii="Arial" w:hAnsi="Arial" w:cs="Arial"/>
          <w:sz w:val="24"/>
        </w:rPr>
        <w:t>defence</w:t>
      </w:r>
      <w:proofErr w:type="spellEnd"/>
      <w:r w:rsidRPr="005008D7">
        <w:rPr>
          <w:rFonts w:ascii="Arial" w:hAnsi="Arial" w:cs="Arial"/>
          <w:sz w:val="24"/>
        </w:rPr>
        <w:t xml:space="preserve"> contracts and production targets were not accessible, requiring reliance on secondary estimates. However, as the analysis progressed, intellectual satisfaction was achieved through the application of theoretical frameworks, particularly VRIO. Concerns were also identified when performance gaps were revealed, leading to a more critical and balanced evaluation of strategic effectiveness (Johnson et al., 2020; Barney, 1991).</w:t>
      </w:r>
    </w:p>
    <w:p w:rsidR="005008D7" w:rsidRDefault="005008D7" w:rsidP="00302EDB">
      <w:pPr>
        <w:pStyle w:val="Heading2"/>
      </w:pPr>
      <w:bookmarkStart w:id="26" w:name="_Toc228393261"/>
      <w:r w:rsidRPr="005008D7">
        <w:t>3. Evaluation (What went well and what went poorly)</w:t>
      </w:r>
      <w:bookmarkEnd w:id="26"/>
    </w:p>
    <w:p w:rsidR="00A658F8" w:rsidRPr="00A658F8" w:rsidRDefault="00A658F8" w:rsidP="005008D7">
      <w:pPr>
        <w:jc w:val="both"/>
        <w:rPr>
          <w:rFonts w:ascii="Arial" w:hAnsi="Arial" w:cs="Arial"/>
          <w:b/>
          <w:sz w:val="24"/>
        </w:rPr>
      </w:pPr>
      <w:r w:rsidRPr="00A658F8">
        <w:rPr>
          <w:rFonts w:ascii="Arial" w:hAnsi="Arial" w:cs="Arial"/>
          <w:b/>
          <w:sz w:val="24"/>
        </w:rPr>
        <w:t xml:space="preserve">What went well: </w:t>
      </w:r>
    </w:p>
    <w:p w:rsidR="005008D7" w:rsidRPr="005E2D22" w:rsidRDefault="005008D7" w:rsidP="005E2D22">
      <w:pPr>
        <w:jc w:val="both"/>
        <w:rPr>
          <w:rFonts w:ascii="Arial" w:hAnsi="Arial" w:cs="Arial"/>
          <w:sz w:val="24"/>
        </w:rPr>
      </w:pPr>
      <w:r w:rsidRPr="005E2D22">
        <w:rPr>
          <w:rFonts w:ascii="Arial" w:hAnsi="Arial" w:cs="Arial"/>
          <w:sz w:val="24"/>
        </w:rPr>
        <w:t xml:space="preserve">The integration of Hofstede’s cultural dimensions into the PESTEL social analysis was undertaken, and greater analytical depth beyond surface-level observation was achieved, with cultural theory being explicitly linked to strategic tensions such as US short-termism versus European </w:t>
      </w:r>
      <w:proofErr w:type="gramStart"/>
      <w:r w:rsidRPr="005E2D22">
        <w:rPr>
          <w:rFonts w:ascii="Arial" w:hAnsi="Arial" w:cs="Arial"/>
          <w:sz w:val="24"/>
        </w:rPr>
        <w:t>long-term</w:t>
      </w:r>
      <w:proofErr w:type="gramEnd"/>
      <w:r w:rsidRPr="005E2D22">
        <w:rPr>
          <w:rFonts w:ascii="Arial" w:hAnsi="Arial" w:cs="Arial"/>
          <w:sz w:val="24"/>
        </w:rPr>
        <w:t xml:space="preserve"> R&amp;D orientation (Hofstede, 2011).</w:t>
      </w:r>
    </w:p>
    <w:p w:rsidR="005008D7" w:rsidRPr="005E2D22" w:rsidRDefault="005008D7" w:rsidP="005E2D22">
      <w:pPr>
        <w:jc w:val="both"/>
        <w:rPr>
          <w:rFonts w:ascii="Arial" w:hAnsi="Arial" w:cs="Arial"/>
          <w:sz w:val="24"/>
        </w:rPr>
      </w:pPr>
      <w:r w:rsidRPr="005E2D22">
        <w:rPr>
          <w:rFonts w:ascii="Arial" w:hAnsi="Arial" w:cs="Arial"/>
          <w:sz w:val="24"/>
        </w:rPr>
        <w:t xml:space="preserve">The VRIO table and the subsequent competitive advantage diagram were developed, and clear, evidence-based judgements were provided regarding which </w:t>
      </w:r>
      <w:proofErr w:type="spellStart"/>
      <w:r w:rsidRPr="005E2D22">
        <w:rPr>
          <w:rFonts w:ascii="Arial" w:hAnsi="Arial" w:cs="Arial"/>
          <w:sz w:val="24"/>
        </w:rPr>
        <w:t>organisational</w:t>
      </w:r>
      <w:proofErr w:type="spellEnd"/>
      <w:r w:rsidRPr="005E2D22">
        <w:rPr>
          <w:rFonts w:ascii="Arial" w:hAnsi="Arial" w:cs="Arial"/>
          <w:sz w:val="24"/>
        </w:rPr>
        <w:t xml:space="preserve"> resources were considered to generate sustained versus temporary competitive advantage (Barney, 1991).</w:t>
      </w:r>
      <w:r w:rsidR="005E2D22">
        <w:rPr>
          <w:rFonts w:ascii="Arial" w:hAnsi="Arial" w:cs="Arial"/>
          <w:sz w:val="24"/>
        </w:rPr>
        <w:t xml:space="preserve"> </w:t>
      </w:r>
      <w:r w:rsidRPr="005E2D22">
        <w:rPr>
          <w:rFonts w:ascii="Arial" w:hAnsi="Arial" w:cs="Arial"/>
          <w:sz w:val="24"/>
        </w:rPr>
        <w:t xml:space="preserve">The </w:t>
      </w:r>
      <w:proofErr w:type="spellStart"/>
      <w:r w:rsidRPr="005E2D22">
        <w:rPr>
          <w:rFonts w:ascii="Arial" w:hAnsi="Arial" w:cs="Arial"/>
          <w:sz w:val="24"/>
        </w:rPr>
        <w:t>Ansoff</w:t>
      </w:r>
      <w:proofErr w:type="spellEnd"/>
      <w:r w:rsidRPr="005E2D22">
        <w:rPr>
          <w:rFonts w:ascii="Arial" w:hAnsi="Arial" w:cs="Arial"/>
          <w:sz w:val="24"/>
        </w:rPr>
        <w:t xml:space="preserve"> Matrix evaluation was conducted, and a significant strategic imbalance was identified, whereby market penetration and product development were over-</w:t>
      </w:r>
      <w:proofErr w:type="spellStart"/>
      <w:r w:rsidRPr="005E2D22">
        <w:rPr>
          <w:rFonts w:ascii="Arial" w:hAnsi="Arial" w:cs="Arial"/>
          <w:sz w:val="24"/>
        </w:rPr>
        <w:t>emphasised</w:t>
      </w:r>
      <w:proofErr w:type="spellEnd"/>
      <w:r w:rsidRPr="005E2D22">
        <w:rPr>
          <w:rFonts w:ascii="Arial" w:hAnsi="Arial" w:cs="Arial"/>
          <w:sz w:val="24"/>
        </w:rPr>
        <w:t xml:space="preserve">, while market development into the US </w:t>
      </w:r>
      <w:proofErr w:type="spellStart"/>
      <w:r w:rsidRPr="005E2D22">
        <w:rPr>
          <w:rFonts w:ascii="Arial" w:hAnsi="Arial" w:cs="Arial"/>
          <w:sz w:val="24"/>
        </w:rPr>
        <w:t>defence</w:t>
      </w:r>
      <w:proofErr w:type="spellEnd"/>
      <w:r w:rsidRPr="005E2D22">
        <w:rPr>
          <w:rFonts w:ascii="Arial" w:hAnsi="Arial" w:cs="Arial"/>
          <w:sz w:val="24"/>
        </w:rPr>
        <w:t xml:space="preserve"> sector was relatively neglected, representing an original and critical analytical finding (</w:t>
      </w:r>
      <w:proofErr w:type="spellStart"/>
      <w:r w:rsidRPr="005E2D22">
        <w:rPr>
          <w:rFonts w:ascii="Arial" w:hAnsi="Arial" w:cs="Arial"/>
          <w:sz w:val="24"/>
        </w:rPr>
        <w:t>Ansoff</w:t>
      </w:r>
      <w:proofErr w:type="spellEnd"/>
      <w:r w:rsidRPr="005E2D22">
        <w:rPr>
          <w:rFonts w:ascii="Arial" w:hAnsi="Arial" w:cs="Arial"/>
          <w:sz w:val="24"/>
        </w:rPr>
        <w:t>, 1957).</w:t>
      </w:r>
      <w:r w:rsidR="005E2D22">
        <w:rPr>
          <w:rFonts w:ascii="Arial" w:hAnsi="Arial" w:cs="Arial"/>
          <w:sz w:val="24"/>
        </w:rPr>
        <w:t xml:space="preserve"> </w:t>
      </w:r>
      <w:r w:rsidRPr="005E2D22">
        <w:rPr>
          <w:rFonts w:ascii="Arial" w:hAnsi="Arial" w:cs="Arial"/>
          <w:sz w:val="24"/>
        </w:rPr>
        <w:t>The reflective application of Gibbs’ cycle was undertaken, and personal research limitations were critically evaluated in a structured manner, thereby supporting a higher level of academic reflexivity appropriate for postgraduate study (Gibbs, 1988).</w:t>
      </w:r>
    </w:p>
    <w:p w:rsidR="00A658F8" w:rsidRDefault="00A658F8" w:rsidP="00A658F8">
      <w:pPr>
        <w:jc w:val="both"/>
        <w:rPr>
          <w:rFonts w:ascii="Arial" w:hAnsi="Arial" w:cs="Arial"/>
          <w:b/>
          <w:sz w:val="24"/>
        </w:rPr>
      </w:pPr>
      <w:r w:rsidRPr="00A658F8">
        <w:rPr>
          <w:rFonts w:ascii="Arial" w:hAnsi="Arial" w:cs="Arial"/>
          <w:b/>
          <w:sz w:val="24"/>
        </w:rPr>
        <w:t>What went poorly:</w:t>
      </w:r>
    </w:p>
    <w:p w:rsidR="00A658F8" w:rsidRPr="005E2D22" w:rsidRDefault="00A658F8" w:rsidP="005E2D22">
      <w:pPr>
        <w:jc w:val="both"/>
        <w:rPr>
          <w:rFonts w:ascii="Arial" w:hAnsi="Arial" w:cs="Arial"/>
          <w:sz w:val="24"/>
        </w:rPr>
      </w:pPr>
      <w:r w:rsidRPr="005E2D22">
        <w:rPr>
          <w:rFonts w:ascii="Arial" w:hAnsi="Arial" w:cs="Arial"/>
          <w:sz w:val="24"/>
        </w:rPr>
        <w:t>Excessive preliminary research on Europea</w:t>
      </w:r>
      <w:r w:rsidR="00987CBB" w:rsidRPr="005E2D22">
        <w:rPr>
          <w:rFonts w:ascii="Arial" w:hAnsi="Arial" w:cs="Arial"/>
          <w:sz w:val="24"/>
        </w:rPr>
        <w:t xml:space="preserve">n supply chain structures for example, </w:t>
      </w:r>
      <w:r w:rsidRPr="005E2D22">
        <w:rPr>
          <w:rFonts w:ascii="Arial" w:hAnsi="Arial" w:cs="Arial"/>
          <w:sz w:val="24"/>
        </w:rPr>
        <w:t>Tier-1 s</w:t>
      </w:r>
      <w:r w:rsidR="00987CBB" w:rsidRPr="005E2D22">
        <w:rPr>
          <w:rFonts w:ascii="Arial" w:hAnsi="Arial" w:cs="Arial"/>
          <w:sz w:val="24"/>
        </w:rPr>
        <w:t xml:space="preserve">uppliers in France and Germany, </w:t>
      </w:r>
      <w:r w:rsidRPr="005E2D22">
        <w:rPr>
          <w:rFonts w:ascii="Arial" w:hAnsi="Arial" w:cs="Arial"/>
          <w:sz w:val="24"/>
        </w:rPr>
        <w:t xml:space="preserve">was initially undertaken, before it was later </w:t>
      </w:r>
      <w:proofErr w:type="spellStart"/>
      <w:r w:rsidRPr="005E2D22">
        <w:rPr>
          <w:rFonts w:ascii="Arial" w:hAnsi="Arial" w:cs="Arial"/>
          <w:sz w:val="24"/>
        </w:rPr>
        <w:t>recognised</w:t>
      </w:r>
      <w:proofErr w:type="spellEnd"/>
      <w:r w:rsidRPr="005E2D22">
        <w:rPr>
          <w:rFonts w:ascii="Arial" w:hAnsi="Arial" w:cs="Arial"/>
          <w:sz w:val="24"/>
        </w:rPr>
        <w:t xml:space="preserve"> that strict focus on US operations was required by the assessment brief, resulting in approximately two days of effort being lost </w:t>
      </w:r>
      <w:r w:rsidR="00240D9F" w:rsidRPr="005E2D22">
        <w:rPr>
          <w:rFonts w:ascii="Arial" w:hAnsi="Arial" w:cs="Arial"/>
          <w:noProof/>
          <w:sz w:val="24"/>
        </w:rPr>
        <w:t>(Kyambade et.al, 2025).</w:t>
      </w:r>
      <w:r w:rsidR="005E2D22">
        <w:rPr>
          <w:rFonts w:ascii="Arial" w:hAnsi="Arial" w:cs="Arial"/>
          <w:sz w:val="24"/>
        </w:rPr>
        <w:t xml:space="preserve"> </w:t>
      </w:r>
      <w:r w:rsidRPr="005E2D22">
        <w:rPr>
          <w:rFonts w:ascii="Arial" w:hAnsi="Arial" w:cs="Arial"/>
          <w:sz w:val="24"/>
        </w:rPr>
        <w:t xml:space="preserve">Misalignment with the defined research scope was experienced, as European contextual material was </w:t>
      </w:r>
      <w:proofErr w:type="spellStart"/>
      <w:r w:rsidRPr="005E2D22">
        <w:rPr>
          <w:rFonts w:ascii="Arial" w:hAnsi="Arial" w:cs="Arial"/>
          <w:sz w:val="24"/>
        </w:rPr>
        <w:t>prioritised</w:t>
      </w:r>
      <w:proofErr w:type="spellEnd"/>
      <w:r w:rsidRPr="005E2D22">
        <w:rPr>
          <w:rFonts w:ascii="Arial" w:hAnsi="Arial" w:cs="Arial"/>
          <w:sz w:val="24"/>
        </w:rPr>
        <w:t xml:space="preserve"> over US-specific operational analysis, and this deviation from the required focus was later corrected in line with structured research design principles </w:t>
      </w:r>
      <w:r w:rsidR="00194DC0" w:rsidRPr="005E2D22">
        <w:rPr>
          <w:rFonts w:ascii="Arial" w:hAnsi="Arial" w:cs="Arial"/>
          <w:sz w:val="24"/>
        </w:rPr>
        <w:t>(</w:t>
      </w:r>
      <w:proofErr w:type="spellStart"/>
      <w:r w:rsidR="00240D9F" w:rsidRPr="005E2D22">
        <w:rPr>
          <w:rFonts w:ascii="Arial" w:hAnsi="Arial" w:cs="Arial"/>
          <w:noProof/>
          <w:sz w:val="24"/>
        </w:rPr>
        <w:t>Kyambade</w:t>
      </w:r>
      <w:proofErr w:type="spellEnd"/>
      <w:r w:rsidR="00240D9F" w:rsidRPr="005E2D22">
        <w:rPr>
          <w:rFonts w:ascii="Arial" w:hAnsi="Arial" w:cs="Arial"/>
          <w:noProof/>
          <w:sz w:val="24"/>
        </w:rPr>
        <w:t xml:space="preserve"> et.al, 2025).</w:t>
      </w:r>
      <w:r w:rsidR="005E2D22">
        <w:rPr>
          <w:rFonts w:ascii="Arial" w:hAnsi="Arial" w:cs="Arial"/>
          <w:sz w:val="24"/>
        </w:rPr>
        <w:t xml:space="preserve"> </w:t>
      </w:r>
      <w:r w:rsidRPr="005E2D22">
        <w:rPr>
          <w:rFonts w:ascii="Arial" w:hAnsi="Arial" w:cs="Arial"/>
          <w:sz w:val="24"/>
        </w:rPr>
        <w:t>Primary data collection was not achieved, as interviews with industry analysts or Airbus US employees could not be obtained; consequently, the report was developed exclusively using secondary sources, which limited empiric</w:t>
      </w:r>
      <w:r w:rsidR="00240D9F" w:rsidRPr="005E2D22">
        <w:rPr>
          <w:rFonts w:ascii="Arial" w:hAnsi="Arial" w:cs="Arial"/>
          <w:sz w:val="24"/>
        </w:rPr>
        <w:t xml:space="preserve">al depth and practical insight </w:t>
      </w:r>
      <w:r w:rsidR="00240D9F" w:rsidRPr="005E2D22">
        <w:rPr>
          <w:rFonts w:ascii="Arial" w:hAnsi="Arial" w:cs="Arial"/>
          <w:noProof/>
          <w:sz w:val="24"/>
        </w:rPr>
        <w:t>(Yin, 2018).</w:t>
      </w:r>
    </w:p>
    <w:p w:rsidR="00A658F8" w:rsidRPr="00A658F8" w:rsidRDefault="00A658F8" w:rsidP="005E2D22">
      <w:pPr>
        <w:jc w:val="both"/>
        <w:rPr>
          <w:rFonts w:ascii="Arial" w:hAnsi="Arial" w:cs="Arial"/>
          <w:sz w:val="24"/>
        </w:rPr>
      </w:pPr>
    </w:p>
    <w:p w:rsidR="00E62637" w:rsidRPr="005E2D22" w:rsidRDefault="00A658F8" w:rsidP="005E2D22">
      <w:pPr>
        <w:jc w:val="both"/>
        <w:rPr>
          <w:rFonts w:ascii="Arial" w:hAnsi="Arial" w:cs="Arial"/>
          <w:sz w:val="24"/>
        </w:rPr>
      </w:pPr>
      <w:r w:rsidRPr="005E2D22">
        <w:rPr>
          <w:rFonts w:ascii="Arial" w:hAnsi="Arial" w:cs="Arial"/>
          <w:sz w:val="24"/>
        </w:rPr>
        <w:t>The reflective section was constrained by an underestimated word count allocation, and meaningful critical reflection was compressed into a reduced format, thereby limiting the depth of evaluative discussion as suggested in experiential learning cycles (Kolb, 1984; Gibbs, 1988).</w:t>
      </w:r>
    </w:p>
    <w:p w:rsidR="005E2D22" w:rsidRDefault="00E62637" w:rsidP="005E2D22">
      <w:pPr>
        <w:pStyle w:val="Heading2"/>
      </w:pPr>
      <w:bookmarkStart w:id="27" w:name="_Toc228393262"/>
      <w:r w:rsidRPr="00E62637">
        <w:t>4. Analysis</w:t>
      </w:r>
      <w:bookmarkEnd w:id="27"/>
      <w:r w:rsidRPr="00E62637">
        <w:t xml:space="preserve"> </w:t>
      </w:r>
    </w:p>
    <w:p w:rsidR="005E2D22" w:rsidRPr="009232FC" w:rsidRDefault="005E2D22" w:rsidP="009232FC">
      <w:pPr>
        <w:jc w:val="both"/>
        <w:rPr>
          <w:rFonts w:ascii="Arial" w:hAnsi="Arial" w:cs="Arial"/>
          <w:b/>
          <w:sz w:val="24"/>
          <w:szCs w:val="24"/>
        </w:rPr>
      </w:pPr>
      <w:r w:rsidRPr="009232FC">
        <w:rPr>
          <w:rFonts w:ascii="Arial" w:hAnsi="Arial" w:cs="Arial"/>
          <w:sz w:val="24"/>
          <w:szCs w:val="24"/>
        </w:rPr>
        <w:t xml:space="preserve">The encountered difficulties were found to directly reflect the learning outcomes of the MBA </w:t>
      </w:r>
      <w:proofErr w:type="spellStart"/>
      <w:r w:rsidRPr="009232FC">
        <w:rPr>
          <w:rFonts w:ascii="Arial" w:hAnsi="Arial" w:cs="Arial"/>
          <w:sz w:val="24"/>
          <w:szCs w:val="24"/>
        </w:rPr>
        <w:t>programme</w:t>
      </w:r>
      <w:proofErr w:type="spellEnd"/>
      <w:r w:rsidRPr="009232FC">
        <w:rPr>
          <w:rFonts w:ascii="Arial" w:hAnsi="Arial" w:cs="Arial"/>
          <w:sz w:val="24"/>
          <w:szCs w:val="24"/>
        </w:rPr>
        <w:t xml:space="preserve"> and Level 7 assessment criteria. The challenge of navigating incomplete and contradictory data, such as conflicting performance comparisons between the A320neo and Boeing 737 MAX, was addressed through the exercise of sound judgement under conditions of uncertainty, thereby aligning with expectations for advanced critical decision-making (Assessment Brief, pp. 12–13). An initial overemphasis on European supply chain analysis was undertaken due to an insufficiently defined research scope, whereby the focus on Airbus operations in the USA was not clearly bounded. This limitation was subsequently corrected, and the importance of precise scoping was </w:t>
      </w:r>
      <w:proofErr w:type="spellStart"/>
      <w:r w:rsidRPr="009232FC">
        <w:rPr>
          <w:rFonts w:ascii="Arial" w:hAnsi="Arial" w:cs="Arial"/>
          <w:sz w:val="24"/>
          <w:szCs w:val="24"/>
        </w:rPr>
        <w:t>recognised</w:t>
      </w:r>
      <w:proofErr w:type="spellEnd"/>
      <w:r w:rsidRPr="009232FC">
        <w:rPr>
          <w:rFonts w:ascii="Arial" w:hAnsi="Arial" w:cs="Arial"/>
          <w:sz w:val="24"/>
          <w:szCs w:val="24"/>
        </w:rPr>
        <w:t xml:space="preserve"> as a core consulting skill (</w:t>
      </w:r>
      <w:proofErr w:type="spellStart"/>
      <w:r w:rsidRPr="009232FC">
        <w:rPr>
          <w:rFonts w:ascii="Arial" w:hAnsi="Arial" w:cs="Arial"/>
          <w:sz w:val="24"/>
          <w:szCs w:val="24"/>
        </w:rPr>
        <w:t>Kyambade</w:t>
      </w:r>
      <w:proofErr w:type="spellEnd"/>
      <w:r w:rsidRPr="009232FC">
        <w:rPr>
          <w:rFonts w:ascii="Arial" w:hAnsi="Arial" w:cs="Arial"/>
          <w:sz w:val="24"/>
          <w:szCs w:val="24"/>
        </w:rPr>
        <w:t xml:space="preserve"> et al., 2025). The application of Hofstede’s framework was effectively integrated to demonstrate analytical originality (Hofstede et al., 2010). However, the absence of primary data collection was identified as a limitation, and reliance on secondary sources was therefore necessitated, reducing triangulation (Yin, 2018).</w:t>
      </w:r>
    </w:p>
    <w:p w:rsidR="00194DC0" w:rsidRDefault="00194DC0" w:rsidP="00302EDB">
      <w:pPr>
        <w:pStyle w:val="Heading2"/>
      </w:pPr>
      <w:bookmarkStart w:id="28" w:name="_Toc228393263"/>
      <w:r w:rsidRPr="00194DC0">
        <w:t>5. Conclusion (What else could I have done?)</w:t>
      </w:r>
      <w:bookmarkEnd w:id="28"/>
    </w:p>
    <w:p w:rsidR="00AC4DFF" w:rsidRPr="00AC4DFF" w:rsidRDefault="00AC4DFF" w:rsidP="00AC4DFF"/>
    <w:p w:rsidR="00D437C8" w:rsidRPr="008A2ED4" w:rsidRDefault="00AC4DFF" w:rsidP="008A2ED4">
      <w:pPr>
        <w:jc w:val="both"/>
        <w:rPr>
          <w:rFonts w:ascii="Arial" w:hAnsi="Arial" w:cs="Arial"/>
          <w:b/>
          <w:sz w:val="24"/>
        </w:rPr>
      </w:pPr>
      <w:r w:rsidRPr="008A2ED4">
        <w:rPr>
          <w:rFonts w:ascii="Arial" w:hAnsi="Arial" w:cs="Arial"/>
          <w:sz w:val="24"/>
        </w:rPr>
        <w:t xml:space="preserve">Three key lessons have been identified from this experience. Strategic focus has been </w:t>
      </w:r>
      <w:proofErr w:type="spellStart"/>
      <w:r w:rsidRPr="008A2ED4">
        <w:rPr>
          <w:rFonts w:ascii="Arial" w:hAnsi="Arial" w:cs="Arial"/>
          <w:sz w:val="24"/>
        </w:rPr>
        <w:t>recognised</w:t>
      </w:r>
      <w:proofErr w:type="spellEnd"/>
      <w:r w:rsidRPr="008A2ED4">
        <w:rPr>
          <w:rFonts w:ascii="Arial" w:hAnsi="Arial" w:cs="Arial"/>
          <w:sz w:val="24"/>
        </w:rPr>
        <w:t xml:space="preserve"> as essential, and a clear research boundary should have been established to prevent scope drift (</w:t>
      </w:r>
      <w:proofErr w:type="spellStart"/>
      <w:r w:rsidRPr="008A2ED4">
        <w:rPr>
          <w:rFonts w:ascii="Arial" w:hAnsi="Arial" w:cs="Arial"/>
          <w:sz w:val="24"/>
        </w:rPr>
        <w:t>Kyambade</w:t>
      </w:r>
      <w:proofErr w:type="spellEnd"/>
      <w:r w:rsidRPr="008A2ED4">
        <w:rPr>
          <w:rFonts w:ascii="Arial" w:hAnsi="Arial" w:cs="Arial"/>
          <w:sz w:val="24"/>
        </w:rPr>
        <w:t xml:space="preserve"> et al., 2025). Primary data collection has been acknowledged as crucial for analytical rigor, with triangulation </w:t>
      </w:r>
      <w:proofErr w:type="spellStart"/>
      <w:r w:rsidRPr="008A2ED4">
        <w:rPr>
          <w:rFonts w:ascii="Arial" w:hAnsi="Arial" w:cs="Arial"/>
          <w:sz w:val="24"/>
        </w:rPr>
        <w:t>emphasised</w:t>
      </w:r>
      <w:proofErr w:type="spellEnd"/>
      <w:r w:rsidRPr="008A2ED4">
        <w:rPr>
          <w:rFonts w:ascii="Arial" w:hAnsi="Arial" w:cs="Arial"/>
          <w:sz w:val="24"/>
        </w:rPr>
        <w:t xml:space="preserve"> (Yin, 2018; </w:t>
      </w:r>
      <w:proofErr w:type="spellStart"/>
      <w:r w:rsidRPr="008A2ED4">
        <w:rPr>
          <w:rFonts w:ascii="Arial" w:hAnsi="Arial" w:cs="Arial"/>
          <w:sz w:val="24"/>
        </w:rPr>
        <w:t>Bryman</w:t>
      </w:r>
      <w:proofErr w:type="spellEnd"/>
      <w:r w:rsidRPr="008A2ED4">
        <w:rPr>
          <w:rFonts w:ascii="Arial" w:hAnsi="Arial" w:cs="Arial"/>
          <w:sz w:val="24"/>
        </w:rPr>
        <w:t>, 2016). The Balanced Scorecard has been interpreted as a diagnostic tool, and earlier application has been recommended to avoid bias (Kaplan &amp; Norton, 1992). Scenario planning and sensitivity analysis have been suggested (Grant, 2021).</w:t>
      </w:r>
    </w:p>
    <w:p w:rsidR="00AC4DFF" w:rsidRPr="00AC4DFF" w:rsidRDefault="00AC4DFF" w:rsidP="00AC4DFF"/>
    <w:p w:rsidR="005C34AA" w:rsidRDefault="005C34AA" w:rsidP="00302EDB">
      <w:pPr>
        <w:pStyle w:val="Heading2"/>
      </w:pPr>
      <w:bookmarkStart w:id="29" w:name="_Toc228393264"/>
      <w:r w:rsidRPr="005C34AA">
        <w:t>6. Action Plan (What will I do differently?)</w:t>
      </w:r>
      <w:bookmarkEnd w:id="29"/>
    </w:p>
    <w:p w:rsidR="00D437C8" w:rsidRPr="00D437C8" w:rsidRDefault="00D437C8" w:rsidP="00D437C8"/>
    <w:p w:rsidR="005C34AA" w:rsidRPr="005C34AA" w:rsidRDefault="00D437C8" w:rsidP="00194DC0">
      <w:pPr>
        <w:spacing w:line="276" w:lineRule="auto"/>
        <w:jc w:val="both"/>
        <w:rPr>
          <w:rFonts w:ascii="Arial" w:hAnsi="Arial" w:cs="Arial"/>
          <w:sz w:val="24"/>
        </w:rPr>
      </w:pPr>
      <w:r w:rsidRPr="00D437C8">
        <w:rPr>
          <w:rFonts w:ascii="Arial" w:hAnsi="Arial" w:cs="Arial"/>
          <w:sz w:val="24"/>
        </w:rPr>
        <w:t xml:space="preserve">Based on the reflective account in the report, the following action plan is proposed for future strategic analysis: First, create a boundary scoping document before research to distinguish US-specific from global data. Second, conduct at least two expert interviews to triangulate secondary sources. Third, apply diagnostic frameworks like VRIO and Balanced Scorecard early to identify weaknesses, not just confirm strengths. Finally, </w:t>
      </w:r>
      <w:proofErr w:type="spellStart"/>
      <w:r w:rsidRPr="00D437C8">
        <w:rPr>
          <w:rFonts w:ascii="Arial" w:hAnsi="Arial" w:cs="Arial"/>
          <w:sz w:val="24"/>
        </w:rPr>
        <w:t>enrol</w:t>
      </w:r>
      <w:proofErr w:type="spellEnd"/>
      <w:r w:rsidRPr="00D437C8">
        <w:rPr>
          <w:rFonts w:ascii="Arial" w:hAnsi="Arial" w:cs="Arial"/>
          <w:sz w:val="24"/>
        </w:rPr>
        <w:t xml:space="preserve"> in a qualitative research methods course within three months to strengthen primary data collection skills.</w:t>
      </w:r>
    </w:p>
    <w:p w:rsidR="00D437C8" w:rsidRDefault="00D437C8" w:rsidP="000A16E6">
      <w:pPr>
        <w:pStyle w:val="Heading1"/>
      </w:pPr>
      <w:bookmarkStart w:id="30" w:name="_Toc228393265"/>
      <w:r>
        <w:lastRenderedPageBreak/>
        <w:t>Conclusion</w:t>
      </w:r>
      <w:bookmarkEnd w:id="30"/>
    </w:p>
    <w:p w:rsidR="000A16E6" w:rsidRDefault="000A16E6" w:rsidP="000A16E6"/>
    <w:p w:rsidR="000A16E6" w:rsidRPr="000A16E6" w:rsidRDefault="000A16E6" w:rsidP="000A16E6">
      <w:pPr>
        <w:jc w:val="both"/>
        <w:rPr>
          <w:rFonts w:ascii="Arial" w:hAnsi="Arial" w:cs="Arial"/>
          <w:sz w:val="24"/>
        </w:rPr>
      </w:pPr>
      <w:r w:rsidRPr="000A16E6">
        <w:rPr>
          <w:rFonts w:ascii="Arial" w:hAnsi="Arial" w:cs="Arial"/>
          <w:sz w:val="24"/>
        </w:rPr>
        <w:t xml:space="preserve">A critical evaluation of Airbus’s strategic management in the United States has been conducted through the application of frameworks such as PESTEL, VRIO, the Balanced Scorecard, Lewin’s model, and </w:t>
      </w:r>
      <w:proofErr w:type="spellStart"/>
      <w:r w:rsidRPr="000A16E6">
        <w:rPr>
          <w:rFonts w:ascii="Arial" w:hAnsi="Arial" w:cs="Arial"/>
          <w:sz w:val="24"/>
        </w:rPr>
        <w:t>Ansoff’s</w:t>
      </w:r>
      <w:proofErr w:type="spellEnd"/>
      <w:r w:rsidRPr="000A16E6">
        <w:rPr>
          <w:rFonts w:ascii="Arial" w:hAnsi="Arial" w:cs="Arial"/>
          <w:sz w:val="24"/>
        </w:rPr>
        <w:t xml:space="preserve"> Matrix. Partial strategic success has been identified, as market share and customer loyalty have been improved, while operational weaknesses have been exposed. Sustained advantages have been attributed to the Mobile FAL and hydrogen R&amp;D, whereas fuel efficiency benefits have been considered temporary (Barney, 1991). A strategic imbalance has been revealed, and significant changes, including supply chain integration and workforce development, have been recommended to sustain competitiveness (Johnson et al., 2020; </w:t>
      </w:r>
      <w:proofErr w:type="spellStart"/>
      <w:r w:rsidRPr="000A16E6">
        <w:rPr>
          <w:rFonts w:ascii="Arial" w:hAnsi="Arial" w:cs="Arial"/>
          <w:sz w:val="24"/>
        </w:rPr>
        <w:t>Ansoff</w:t>
      </w:r>
      <w:proofErr w:type="spellEnd"/>
      <w:r w:rsidRPr="000A16E6">
        <w:rPr>
          <w:rFonts w:ascii="Arial" w:hAnsi="Arial" w:cs="Arial"/>
          <w:sz w:val="24"/>
        </w:rPr>
        <w:t>, 1957).</w:t>
      </w: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0A16E6" w:rsidRDefault="000A16E6" w:rsidP="00302EDB">
      <w:pPr>
        <w:pStyle w:val="Heading1"/>
        <w:rPr>
          <w:i/>
        </w:rPr>
      </w:pPr>
    </w:p>
    <w:p w:rsidR="000A16E6" w:rsidRDefault="000A16E6"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900A63" w:rsidRDefault="00900A63" w:rsidP="000A16E6"/>
    <w:p w:rsidR="00900A63" w:rsidRDefault="00900A63" w:rsidP="000A16E6"/>
    <w:p w:rsidR="008A2ED4" w:rsidRPr="000A16E6" w:rsidRDefault="008A2ED4" w:rsidP="000A16E6"/>
    <w:p w:rsidR="002E3B8E" w:rsidRPr="00900A63" w:rsidRDefault="00990F7F" w:rsidP="00900A63">
      <w:pPr>
        <w:pStyle w:val="Heading1"/>
      </w:pPr>
      <w:bookmarkStart w:id="31" w:name="_Toc228393266"/>
      <w:r w:rsidRPr="00900A63">
        <w:lastRenderedPageBreak/>
        <w:t>References</w:t>
      </w:r>
      <w:bookmarkEnd w:id="31"/>
    </w:p>
    <w:p w:rsidR="00FF77CD" w:rsidRDefault="00FF77CD" w:rsidP="00FF77CD">
      <w:pPr>
        <w:pStyle w:val="NormalWeb"/>
        <w:rPr>
          <w:rFonts w:ascii="Arial" w:hAnsi="Arial" w:cs="Arial"/>
          <w:i/>
          <w:sz w:val="18"/>
        </w:rPr>
      </w:pPr>
      <w:proofErr w:type="spellStart"/>
      <w:r w:rsidRPr="0011599D">
        <w:rPr>
          <w:rFonts w:ascii="Arial" w:hAnsi="Arial" w:cs="Arial"/>
          <w:i/>
          <w:sz w:val="18"/>
        </w:rPr>
        <w:t>Ansoff</w:t>
      </w:r>
      <w:proofErr w:type="spellEnd"/>
      <w:r w:rsidRPr="0011599D">
        <w:rPr>
          <w:rFonts w:ascii="Arial" w:hAnsi="Arial" w:cs="Arial"/>
          <w:i/>
          <w:sz w:val="18"/>
        </w:rPr>
        <w:t xml:space="preserve">, H.I. (1957) </w:t>
      </w:r>
      <w:r w:rsidRPr="0011599D">
        <w:rPr>
          <w:rStyle w:val="Emphasis"/>
          <w:rFonts w:ascii="Arial" w:hAnsi="Arial" w:cs="Arial"/>
          <w:sz w:val="18"/>
        </w:rPr>
        <w:t>Strategies for Diversification</w:t>
      </w:r>
      <w:r w:rsidRPr="0011599D">
        <w:rPr>
          <w:rFonts w:ascii="Arial" w:hAnsi="Arial" w:cs="Arial"/>
          <w:i/>
          <w:sz w:val="18"/>
        </w:rPr>
        <w:t>. Harvard Business Review, 35(5), pp. 113–124.</w:t>
      </w:r>
    </w:p>
    <w:p w:rsidR="00FF77CD" w:rsidRDefault="00FF77CD" w:rsidP="00FF77CD">
      <w:pPr>
        <w:pStyle w:val="NormalWeb"/>
        <w:rPr>
          <w:rFonts w:ascii="Arial" w:hAnsi="Arial" w:cs="Arial"/>
          <w:i/>
          <w:sz w:val="18"/>
        </w:rPr>
      </w:pPr>
      <w:r>
        <w:rPr>
          <w:rFonts w:ascii="Arial" w:hAnsi="Arial" w:cs="Arial"/>
          <w:i/>
          <w:sz w:val="18"/>
        </w:rPr>
        <w:t>Airbus (2023) Annual Report 2023</w:t>
      </w:r>
      <w:r w:rsidRPr="00567B1A">
        <w:rPr>
          <w:rFonts w:ascii="Arial" w:hAnsi="Arial" w:cs="Arial"/>
          <w:i/>
          <w:sz w:val="18"/>
        </w:rPr>
        <w:t>. Toulouse: Airbus SE.</w:t>
      </w:r>
      <w:r>
        <w:rPr>
          <w:rFonts w:ascii="Arial" w:hAnsi="Arial" w:cs="Arial"/>
          <w:i/>
          <w:sz w:val="18"/>
        </w:rPr>
        <w:t xml:space="preserve"> Available at: </w:t>
      </w:r>
      <w:hyperlink r:id="rId20" w:history="1">
        <w:r w:rsidRPr="007D2900">
          <w:rPr>
            <w:rStyle w:val="Hyperlink"/>
            <w:rFonts w:ascii="Arial" w:hAnsi="Arial" w:cs="Arial"/>
            <w:sz w:val="18"/>
          </w:rPr>
          <w:t>https://www.airbus.com/sites/g/files/jlcbta136/files/2024-03/Airbus-Annual-Report-2023.pdf</w:t>
        </w:r>
      </w:hyperlink>
      <w:r w:rsidR="00ED120F">
        <w:rPr>
          <w:rFonts w:ascii="Arial" w:hAnsi="Arial" w:cs="Arial"/>
          <w:i/>
          <w:sz w:val="18"/>
        </w:rPr>
        <w:t>. (Accessed 25</w:t>
      </w:r>
      <w:r>
        <w:rPr>
          <w:rFonts w:ascii="Arial" w:hAnsi="Arial" w:cs="Arial"/>
          <w:i/>
          <w:sz w:val="18"/>
        </w:rPr>
        <w:t>.04.2026)</w:t>
      </w:r>
    </w:p>
    <w:p w:rsidR="00FF77CD" w:rsidRDefault="00FF77CD" w:rsidP="00FF77CD">
      <w:pPr>
        <w:pStyle w:val="NormalWeb"/>
        <w:rPr>
          <w:rFonts w:ascii="Arial" w:hAnsi="Arial" w:cs="Arial"/>
          <w:i/>
          <w:sz w:val="18"/>
        </w:rPr>
      </w:pPr>
      <w:r w:rsidRPr="00590120">
        <w:rPr>
          <w:rFonts w:ascii="Arial" w:hAnsi="Arial" w:cs="Arial"/>
          <w:i/>
          <w:sz w:val="18"/>
        </w:rPr>
        <w:t xml:space="preserve">Arista, R., Mas, F., Morales-Palma, D. and </w:t>
      </w:r>
      <w:proofErr w:type="spellStart"/>
      <w:r w:rsidRPr="00590120">
        <w:rPr>
          <w:rFonts w:ascii="Arial" w:hAnsi="Arial" w:cs="Arial"/>
          <w:i/>
          <w:sz w:val="18"/>
        </w:rPr>
        <w:t>Vallellano</w:t>
      </w:r>
      <w:proofErr w:type="spellEnd"/>
      <w:r w:rsidRPr="00590120">
        <w:rPr>
          <w:rFonts w:ascii="Arial" w:hAnsi="Arial" w:cs="Arial"/>
          <w:i/>
          <w:sz w:val="18"/>
        </w:rPr>
        <w:t xml:space="preserve">, C., </w:t>
      </w:r>
      <w:r>
        <w:rPr>
          <w:rFonts w:ascii="Arial" w:hAnsi="Arial" w:cs="Arial"/>
          <w:i/>
          <w:sz w:val="18"/>
        </w:rPr>
        <w:t>(</w:t>
      </w:r>
      <w:r w:rsidRPr="00590120">
        <w:rPr>
          <w:rFonts w:ascii="Arial" w:hAnsi="Arial" w:cs="Arial"/>
          <w:i/>
          <w:sz w:val="18"/>
        </w:rPr>
        <w:t>2022</w:t>
      </w:r>
      <w:r>
        <w:rPr>
          <w:rFonts w:ascii="Arial" w:hAnsi="Arial" w:cs="Arial"/>
          <w:i/>
          <w:sz w:val="18"/>
        </w:rPr>
        <w:t>)</w:t>
      </w:r>
      <w:r w:rsidRPr="00590120">
        <w:rPr>
          <w:rFonts w:ascii="Arial" w:hAnsi="Arial" w:cs="Arial"/>
          <w:i/>
          <w:sz w:val="18"/>
        </w:rPr>
        <w:t>. Industrial Resources in the design of Reconfigurable Manufacturing Systems for aerospace: A systematic literature review. Comput</w:t>
      </w:r>
      <w:r>
        <w:rPr>
          <w:rFonts w:ascii="Arial" w:hAnsi="Arial" w:cs="Arial"/>
          <w:i/>
          <w:sz w:val="18"/>
        </w:rPr>
        <w:t>ers in Industry, 142, p.103719.</w:t>
      </w:r>
    </w:p>
    <w:p w:rsidR="00FF77CD" w:rsidRPr="0011599D" w:rsidRDefault="00FF77CD" w:rsidP="00FF77CD">
      <w:pPr>
        <w:pStyle w:val="NormalWeb"/>
        <w:rPr>
          <w:rFonts w:ascii="Arial" w:hAnsi="Arial" w:cs="Arial"/>
          <w:i/>
          <w:sz w:val="18"/>
        </w:rPr>
      </w:pPr>
      <w:r w:rsidRPr="00482F6C">
        <w:rPr>
          <w:rFonts w:ascii="Arial" w:hAnsi="Arial" w:cs="Arial"/>
          <w:i/>
          <w:sz w:val="18"/>
        </w:rPr>
        <w:t xml:space="preserve">Alden, E.H. and </w:t>
      </w:r>
      <w:proofErr w:type="spellStart"/>
      <w:r w:rsidRPr="00482F6C">
        <w:rPr>
          <w:rFonts w:ascii="Arial" w:hAnsi="Arial" w:cs="Arial"/>
          <w:i/>
          <w:sz w:val="18"/>
        </w:rPr>
        <w:t>Litan</w:t>
      </w:r>
      <w:proofErr w:type="spellEnd"/>
      <w:r w:rsidRPr="00482F6C">
        <w:rPr>
          <w:rFonts w:ascii="Arial" w:hAnsi="Arial" w:cs="Arial"/>
          <w:i/>
          <w:sz w:val="18"/>
        </w:rPr>
        <w:t xml:space="preserve">, R., </w:t>
      </w:r>
      <w:r>
        <w:rPr>
          <w:rFonts w:ascii="Arial" w:hAnsi="Arial" w:cs="Arial"/>
          <w:i/>
          <w:sz w:val="18"/>
        </w:rPr>
        <w:t>(</w:t>
      </w:r>
      <w:r w:rsidRPr="00482F6C">
        <w:rPr>
          <w:rFonts w:ascii="Arial" w:hAnsi="Arial" w:cs="Arial"/>
          <w:i/>
          <w:sz w:val="18"/>
        </w:rPr>
        <w:t>2022</w:t>
      </w:r>
      <w:r>
        <w:rPr>
          <w:rFonts w:ascii="Arial" w:hAnsi="Arial" w:cs="Arial"/>
          <w:i/>
          <w:sz w:val="18"/>
        </w:rPr>
        <w:t>)</w:t>
      </w:r>
      <w:r w:rsidRPr="00482F6C">
        <w:rPr>
          <w:rFonts w:ascii="Arial" w:hAnsi="Arial" w:cs="Arial"/>
          <w:i/>
          <w:sz w:val="18"/>
        </w:rPr>
        <w:t>. Winning Trade Policy for the United States. Council on Foreign Relations.</w:t>
      </w:r>
    </w:p>
    <w:p w:rsidR="00FF77CD" w:rsidRDefault="00FF77CD" w:rsidP="00FF77CD">
      <w:pPr>
        <w:pStyle w:val="NormalWeb"/>
        <w:rPr>
          <w:rFonts w:ascii="Arial" w:hAnsi="Arial" w:cs="Arial"/>
          <w:i/>
          <w:sz w:val="18"/>
        </w:rPr>
      </w:pPr>
      <w:r>
        <w:rPr>
          <w:rFonts w:ascii="Arial" w:hAnsi="Arial" w:cs="Arial"/>
          <w:i/>
          <w:sz w:val="18"/>
        </w:rPr>
        <w:t xml:space="preserve">Barney, J. (1991). </w:t>
      </w:r>
      <w:r w:rsidRPr="0011599D">
        <w:rPr>
          <w:rFonts w:ascii="Arial" w:hAnsi="Arial" w:cs="Arial"/>
          <w:i/>
          <w:sz w:val="18"/>
        </w:rPr>
        <w:t xml:space="preserve">‘Firm resources and sustained competitive advantage’, </w:t>
      </w:r>
      <w:r w:rsidRPr="0011599D">
        <w:rPr>
          <w:rStyle w:val="Emphasis"/>
          <w:rFonts w:ascii="Arial" w:hAnsi="Arial" w:cs="Arial"/>
          <w:sz w:val="18"/>
        </w:rPr>
        <w:t>Journal of Management</w:t>
      </w:r>
      <w:r w:rsidRPr="0011599D">
        <w:rPr>
          <w:rFonts w:ascii="Arial" w:hAnsi="Arial" w:cs="Arial"/>
          <w:i/>
          <w:sz w:val="18"/>
        </w:rPr>
        <w:t>, 17(1), pp. 99–120.</w:t>
      </w:r>
    </w:p>
    <w:p w:rsidR="00FF77CD" w:rsidRDefault="00FF77CD" w:rsidP="00FF77CD">
      <w:pPr>
        <w:pStyle w:val="NormalWeb"/>
        <w:rPr>
          <w:rFonts w:ascii="Arial" w:hAnsi="Arial" w:cs="Arial"/>
          <w:i/>
          <w:sz w:val="18"/>
        </w:rPr>
      </w:pPr>
      <w:proofErr w:type="spellStart"/>
      <w:r w:rsidRPr="00F95565">
        <w:rPr>
          <w:rFonts w:ascii="Arial" w:hAnsi="Arial" w:cs="Arial"/>
          <w:i/>
          <w:sz w:val="18"/>
        </w:rPr>
        <w:t>Basmar</w:t>
      </w:r>
      <w:proofErr w:type="spellEnd"/>
      <w:r w:rsidRPr="00F95565">
        <w:rPr>
          <w:rFonts w:ascii="Arial" w:hAnsi="Arial" w:cs="Arial"/>
          <w:i/>
          <w:sz w:val="18"/>
        </w:rPr>
        <w:t xml:space="preserve">, E., </w:t>
      </w:r>
      <w:proofErr w:type="spellStart"/>
      <w:r w:rsidRPr="00F95565">
        <w:rPr>
          <w:rFonts w:ascii="Arial" w:hAnsi="Arial" w:cs="Arial"/>
          <w:i/>
          <w:sz w:val="18"/>
        </w:rPr>
        <w:t>Syafri</w:t>
      </w:r>
      <w:proofErr w:type="spellEnd"/>
      <w:r w:rsidRPr="00F95565">
        <w:rPr>
          <w:rFonts w:ascii="Arial" w:hAnsi="Arial" w:cs="Arial"/>
          <w:i/>
          <w:sz w:val="18"/>
        </w:rPr>
        <w:t xml:space="preserve">, M., </w:t>
      </w:r>
      <w:proofErr w:type="spellStart"/>
      <w:r w:rsidRPr="00F95565">
        <w:rPr>
          <w:rFonts w:ascii="Arial" w:hAnsi="Arial" w:cs="Arial"/>
          <w:i/>
          <w:sz w:val="18"/>
        </w:rPr>
        <w:t>Andriani</w:t>
      </w:r>
      <w:proofErr w:type="spellEnd"/>
      <w:r w:rsidRPr="00F95565">
        <w:rPr>
          <w:rFonts w:ascii="Arial" w:hAnsi="Arial" w:cs="Arial"/>
          <w:i/>
          <w:sz w:val="18"/>
        </w:rPr>
        <w:t xml:space="preserve">, S. and </w:t>
      </w:r>
      <w:proofErr w:type="spellStart"/>
      <w:r w:rsidRPr="00F95565">
        <w:rPr>
          <w:rFonts w:ascii="Arial" w:hAnsi="Arial" w:cs="Arial"/>
          <w:i/>
          <w:sz w:val="18"/>
        </w:rPr>
        <w:t>Adys</w:t>
      </w:r>
      <w:proofErr w:type="spellEnd"/>
      <w:r w:rsidRPr="00F95565">
        <w:rPr>
          <w:rFonts w:ascii="Arial" w:hAnsi="Arial" w:cs="Arial"/>
          <w:i/>
          <w:sz w:val="18"/>
        </w:rPr>
        <w:t xml:space="preserve">, H.P., </w:t>
      </w:r>
      <w:r>
        <w:rPr>
          <w:rFonts w:ascii="Arial" w:hAnsi="Arial" w:cs="Arial"/>
          <w:i/>
          <w:sz w:val="18"/>
        </w:rPr>
        <w:t>(</w:t>
      </w:r>
      <w:r w:rsidRPr="00F95565">
        <w:rPr>
          <w:rFonts w:ascii="Arial" w:hAnsi="Arial" w:cs="Arial"/>
          <w:i/>
          <w:sz w:val="18"/>
        </w:rPr>
        <w:t>2026</w:t>
      </w:r>
      <w:r>
        <w:rPr>
          <w:rFonts w:ascii="Arial" w:hAnsi="Arial" w:cs="Arial"/>
          <w:i/>
          <w:sz w:val="18"/>
        </w:rPr>
        <w:t>)</w:t>
      </w:r>
      <w:r w:rsidRPr="00F95565">
        <w:rPr>
          <w:rFonts w:ascii="Arial" w:hAnsi="Arial" w:cs="Arial"/>
          <w:i/>
          <w:sz w:val="18"/>
        </w:rPr>
        <w:t>. PRINCIPLES OF ECONOMICS: THEORY AND PRACTICE. Mind Power Publishing.</w:t>
      </w:r>
    </w:p>
    <w:p w:rsidR="00FF77CD" w:rsidRDefault="00FF77CD" w:rsidP="00FF77CD">
      <w:pPr>
        <w:pStyle w:val="NormalWeb"/>
        <w:rPr>
          <w:rFonts w:ascii="Arial" w:hAnsi="Arial" w:cs="Arial"/>
          <w:i/>
          <w:sz w:val="18"/>
        </w:rPr>
      </w:pPr>
      <w:proofErr w:type="spellStart"/>
      <w:r w:rsidRPr="00070359">
        <w:rPr>
          <w:rFonts w:ascii="Arial" w:hAnsi="Arial" w:cs="Arial"/>
          <w:i/>
          <w:sz w:val="18"/>
        </w:rPr>
        <w:t>Bughin</w:t>
      </w:r>
      <w:proofErr w:type="spellEnd"/>
      <w:r w:rsidRPr="00070359">
        <w:rPr>
          <w:rFonts w:ascii="Arial" w:hAnsi="Arial" w:cs="Arial"/>
          <w:i/>
          <w:sz w:val="18"/>
        </w:rPr>
        <w:t xml:space="preserve">, J., </w:t>
      </w:r>
      <w:proofErr w:type="spellStart"/>
      <w:r w:rsidRPr="00070359">
        <w:rPr>
          <w:rFonts w:ascii="Arial" w:hAnsi="Arial" w:cs="Arial"/>
          <w:i/>
          <w:sz w:val="18"/>
        </w:rPr>
        <w:t>Seong</w:t>
      </w:r>
      <w:proofErr w:type="spellEnd"/>
      <w:r w:rsidRPr="00070359">
        <w:rPr>
          <w:rFonts w:ascii="Arial" w:hAnsi="Arial" w:cs="Arial"/>
          <w:i/>
          <w:sz w:val="18"/>
        </w:rPr>
        <w:t xml:space="preserve">, J., </w:t>
      </w:r>
      <w:proofErr w:type="spellStart"/>
      <w:r w:rsidRPr="00070359">
        <w:rPr>
          <w:rFonts w:ascii="Arial" w:hAnsi="Arial" w:cs="Arial"/>
          <w:i/>
          <w:sz w:val="18"/>
        </w:rPr>
        <w:t>Manyika</w:t>
      </w:r>
      <w:proofErr w:type="spellEnd"/>
      <w:r w:rsidRPr="00070359">
        <w:rPr>
          <w:rFonts w:ascii="Arial" w:hAnsi="Arial" w:cs="Arial"/>
          <w:i/>
          <w:sz w:val="18"/>
        </w:rPr>
        <w:t xml:space="preserve">, J., Chui, </w:t>
      </w:r>
      <w:r>
        <w:rPr>
          <w:rFonts w:ascii="Arial" w:hAnsi="Arial" w:cs="Arial"/>
          <w:i/>
          <w:sz w:val="18"/>
        </w:rPr>
        <w:t>M., &amp; Joshi, R., (2018</w:t>
      </w:r>
      <w:r w:rsidRPr="00070359">
        <w:rPr>
          <w:rFonts w:ascii="Arial" w:hAnsi="Arial" w:cs="Arial"/>
          <w:i/>
          <w:sz w:val="18"/>
        </w:rPr>
        <w:t>). Notes from the AI Frontier: Modeling the Impact of AI on the World Economy. McKinsey Global Institute.</w:t>
      </w:r>
    </w:p>
    <w:p w:rsidR="00FF77CD" w:rsidRDefault="00FF77CD" w:rsidP="00FF77CD">
      <w:pPr>
        <w:pStyle w:val="NormalWeb"/>
        <w:rPr>
          <w:rFonts w:ascii="Arial" w:hAnsi="Arial" w:cs="Arial"/>
          <w:i/>
          <w:sz w:val="18"/>
        </w:rPr>
      </w:pPr>
      <w:proofErr w:type="spellStart"/>
      <w:r w:rsidRPr="00D9018E">
        <w:rPr>
          <w:rFonts w:ascii="Arial" w:hAnsi="Arial" w:cs="Arial"/>
          <w:i/>
          <w:sz w:val="18"/>
        </w:rPr>
        <w:t>Boldizsár</w:t>
      </w:r>
      <w:proofErr w:type="spellEnd"/>
      <w:r w:rsidRPr="00D9018E">
        <w:rPr>
          <w:rFonts w:ascii="Arial" w:hAnsi="Arial" w:cs="Arial"/>
          <w:i/>
          <w:sz w:val="18"/>
        </w:rPr>
        <w:t xml:space="preserve">, A. and </w:t>
      </w:r>
      <w:proofErr w:type="spellStart"/>
      <w:r w:rsidRPr="00D9018E">
        <w:rPr>
          <w:rFonts w:ascii="Arial" w:hAnsi="Arial" w:cs="Arial"/>
          <w:i/>
          <w:sz w:val="18"/>
        </w:rPr>
        <w:t>Kővári</w:t>
      </w:r>
      <w:proofErr w:type="spellEnd"/>
      <w:r w:rsidRPr="00D9018E">
        <w:rPr>
          <w:rFonts w:ascii="Arial" w:hAnsi="Arial" w:cs="Arial"/>
          <w:i/>
          <w:sz w:val="18"/>
        </w:rPr>
        <w:t xml:space="preserve">, B., </w:t>
      </w:r>
      <w:r>
        <w:rPr>
          <w:rFonts w:ascii="Arial" w:hAnsi="Arial" w:cs="Arial"/>
          <w:i/>
          <w:sz w:val="18"/>
        </w:rPr>
        <w:t>(</w:t>
      </w:r>
      <w:r w:rsidRPr="00D9018E">
        <w:rPr>
          <w:rFonts w:ascii="Arial" w:hAnsi="Arial" w:cs="Arial"/>
          <w:i/>
          <w:sz w:val="18"/>
        </w:rPr>
        <w:t>2020</w:t>
      </w:r>
      <w:r>
        <w:rPr>
          <w:rFonts w:ascii="Arial" w:hAnsi="Arial" w:cs="Arial"/>
          <w:i/>
          <w:sz w:val="18"/>
        </w:rPr>
        <w:t>)</w:t>
      </w:r>
      <w:r w:rsidRPr="00D9018E">
        <w:rPr>
          <w:rFonts w:ascii="Arial" w:hAnsi="Arial" w:cs="Arial"/>
          <w:i/>
          <w:sz w:val="18"/>
        </w:rPr>
        <w:t xml:space="preserve">. SWOT Analysis of the Air Transport Fleet in the Hungarian </w:t>
      </w:r>
      <w:proofErr w:type="spellStart"/>
      <w:r w:rsidRPr="00D9018E">
        <w:rPr>
          <w:rFonts w:ascii="Arial" w:hAnsi="Arial" w:cs="Arial"/>
          <w:i/>
          <w:sz w:val="18"/>
        </w:rPr>
        <w:t>Defence</w:t>
      </w:r>
      <w:proofErr w:type="spellEnd"/>
      <w:r w:rsidRPr="00D9018E">
        <w:rPr>
          <w:rFonts w:ascii="Arial" w:hAnsi="Arial" w:cs="Arial"/>
          <w:i/>
          <w:sz w:val="18"/>
        </w:rPr>
        <w:t xml:space="preserve"> Forces. </w:t>
      </w:r>
      <w:proofErr w:type="spellStart"/>
      <w:r w:rsidRPr="00D9018E">
        <w:rPr>
          <w:rFonts w:ascii="Arial" w:hAnsi="Arial" w:cs="Arial"/>
          <w:i/>
          <w:sz w:val="18"/>
        </w:rPr>
        <w:t>Periodica</w:t>
      </w:r>
      <w:proofErr w:type="spellEnd"/>
      <w:r w:rsidRPr="00D9018E">
        <w:rPr>
          <w:rFonts w:ascii="Arial" w:hAnsi="Arial" w:cs="Arial"/>
          <w:i/>
          <w:sz w:val="18"/>
        </w:rPr>
        <w:t xml:space="preserve"> </w:t>
      </w:r>
      <w:proofErr w:type="spellStart"/>
      <w:r w:rsidRPr="00D9018E">
        <w:rPr>
          <w:rFonts w:ascii="Arial" w:hAnsi="Arial" w:cs="Arial"/>
          <w:i/>
          <w:sz w:val="18"/>
        </w:rPr>
        <w:t>Polytechnica</w:t>
      </w:r>
      <w:proofErr w:type="spellEnd"/>
      <w:r w:rsidRPr="00D9018E">
        <w:rPr>
          <w:rFonts w:ascii="Arial" w:hAnsi="Arial" w:cs="Arial"/>
          <w:i/>
          <w:sz w:val="18"/>
        </w:rPr>
        <w:t xml:space="preserve"> Transportation Engineering, 48(3), pp.290-295.</w:t>
      </w:r>
    </w:p>
    <w:p w:rsidR="00FF77CD" w:rsidRDefault="00FF77CD" w:rsidP="00FF77CD">
      <w:pPr>
        <w:pStyle w:val="NormalWeb"/>
        <w:rPr>
          <w:rFonts w:ascii="Arial" w:hAnsi="Arial" w:cs="Arial"/>
          <w:i/>
          <w:sz w:val="18"/>
        </w:rPr>
      </w:pPr>
      <w:proofErr w:type="spellStart"/>
      <w:r w:rsidRPr="00B4636C">
        <w:rPr>
          <w:rFonts w:ascii="Arial" w:hAnsi="Arial" w:cs="Arial"/>
          <w:i/>
          <w:sz w:val="18"/>
        </w:rPr>
        <w:t>Camilleri</w:t>
      </w:r>
      <w:proofErr w:type="spellEnd"/>
      <w:r w:rsidRPr="00B4636C">
        <w:rPr>
          <w:rFonts w:ascii="Arial" w:hAnsi="Arial" w:cs="Arial"/>
          <w:i/>
          <w:sz w:val="18"/>
        </w:rPr>
        <w:t xml:space="preserve">, M.A. and Carroll, A.B., </w:t>
      </w:r>
      <w:r>
        <w:rPr>
          <w:rFonts w:ascii="Arial" w:hAnsi="Arial" w:cs="Arial"/>
          <w:i/>
          <w:sz w:val="18"/>
        </w:rPr>
        <w:t>(</w:t>
      </w:r>
      <w:r w:rsidRPr="00B4636C">
        <w:rPr>
          <w:rFonts w:ascii="Arial" w:hAnsi="Arial" w:cs="Arial"/>
          <w:i/>
          <w:sz w:val="18"/>
        </w:rPr>
        <w:t>2025</w:t>
      </w:r>
      <w:r>
        <w:rPr>
          <w:rFonts w:ascii="Arial" w:hAnsi="Arial" w:cs="Arial"/>
          <w:i/>
          <w:sz w:val="18"/>
        </w:rPr>
        <w:t>)</w:t>
      </w:r>
      <w:r w:rsidRPr="00B4636C">
        <w:rPr>
          <w:rFonts w:ascii="Arial" w:hAnsi="Arial" w:cs="Arial"/>
          <w:i/>
          <w:sz w:val="18"/>
        </w:rPr>
        <w:t>. Corporate social responsibility. International Encyclopedia of Business Management, p.460.</w:t>
      </w:r>
    </w:p>
    <w:p w:rsidR="00FF77CD" w:rsidRDefault="00FF77CD" w:rsidP="00FF77CD">
      <w:pPr>
        <w:pStyle w:val="NormalWeb"/>
        <w:rPr>
          <w:rFonts w:ascii="Arial" w:hAnsi="Arial" w:cs="Arial"/>
          <w:i/>
          <w:sz w:val="18"/>
        </w:rPr>
      </w:pPr>
      <w:proofErr w:type="spellStart"/>
      <w:r w:rsidRPr="00590120">
        <w:rPr>
          <w:rFonts w:ascii="Arial" w:hAnsi="Arial" w:cs="Arial"/>
          <w:i/>
          <w:sz w:val="18"/>
        </w:rPr>
        <w:t>Dua</w:t>
      </w:r>
      <w:proofErr w:type="spellEnd"/>
      <w:r w:rsidRPr="00590120">
        <w:rPr>
          <w:rFonts w:ascii="Arial" w:hAnsi="Arial" w:cs="Arial"/>
          <w:i/>
          <w:sz w:val="18"/>
        </w:rPr>
        <w:t xml:space="preserve">, R. and Guzman, A.F., </w:t>
      </w:r>
      <w:r>
        <w:rPr>
          <w:rFonts w:ascii="Arial" w:hAnsi="Arial" w:cs="Arial"/>
          <w:i/>
          <w:sz w:val="18"/>
        </w:rPr>
        <w:t>(</w:t>
      </w:r>
      <w:r w:rsidRPr="00590120">
        <w:rPr>
          <w:rFonts w:ascii="Arial" w:hAnsi="Arial" w:cs="Arial"/>
          <w:i/>
          <w:sz w:val="18"/>
        </w:rPr>
        <w:t>2024</w:t>
      </w:r>
      <w:r>
        <w:rPr>
          <w:rFonts w:ascii="Arial" w:hAnsi="Arial" w:cs="Arial"/>
          <w:i/>
          <w:sz w:val="18"/>
        </w:rPr>
        <w:t>)</w:t>
      </w:r>
      <w:r w:rsidRPr="00590120">
        <w:rPr>
          <w:rFonts w:ascii="Arial" w:hAnsi="Arial" w:cs="Arial"/>
          <w:i/>
          <w:sz w:val="18"/>
        </w:rPr>
        <w:t>. A perspective on emerging energy policy and economic research agenda for enabling aviation climate action. Energy Research &amp; Social Science, 117, p.103725.</w:t>
      </w:r>
    </w:p>
    <w:p w:rsidR="00FF77CD" w:rsidRDefault="00FF77CD" w:rsidP="00FF77CD">
      <w:pPr>
        <w:pStyle w:val="NormalWeb"/>
        <w:rPr>
          <w:rFonts w:ascii="Arial" w:hAnsi="Arial" w:cs="Arial"/>
          <w:i/>
          <w:sz w:val="18"/>
        </w:rPr>
      </w:pPr>
      <w:r w:rsidRPr="0011599D">
        <w:rPr>
          <w:rFonts w:ascii="Arial" w:hAnsi="Arial" w:cs="Arial"/>
          <w:i/>
          <w:sz w:val="18"/>
        </w:rPr>
        <w:t xml:space="preserve">Gibbs, G. (1988) </w:t>
      </w:r>
      <w:r w:rsidRPr="0011599D">
        <w:rPr>
          <w:rStyle w:val="Emphasis"/>
          <w:rFonts w:ascii="Arial" w:hAnsi="Arial" w:cs="Arial"/>
          <w:sz w:val="18"/>
        </w:rPr>
        <w:t>Learning by Doing: A Guide to Teaching and Learning Methods</w:t>
      </w:r>
      <w:r w:rsidRPr="0011599D">
        <w:rPr>
          <w:rFonts w:ascii="Arial" w:hAnsi="Arial" w:cs="Arial"/>
          <w:i/>
          <w:sz w:val="18"/>
        </w:rPr>
        <w:t>. Oxford: Oxford Polytechnic.</w:t>
      </w:r>
    </w:p>
    <w:p w:rsidR="00FF77CD" w:rsidRDefault="00FF77CD" w:rsidP="00FF77CD">
      <w:pPr>
        <w:pStyle w:val="NormalWeb"/>
        <w:rPr>
          <w:rFonts w:ascii="Arial" w:hAnsi="Arial" w:cs="Arial"/>
          <w:i/>
          <w:sz w:val="18"/>
        </w:rPr>
      </w:pPr>
      <w:r w:rsidRPr="00BE4A1F">
        <w:rPr>
          <w:rFonts w:ascii="Arial" w:hAnsi="Arial" w:cs="Arial"/>
          <w:i/>
          <w:sz w:val="18"/>
        </w:rPr>
        <w:t xml:space="preserve">Grant, R.M. (2022) Contemporary Strategy Analysis. 11th </w:t>
      </w:r>
      <w:proofErr w:type="spellStart"/>
      <w:r w:rsidRPr="00BE4A1F">
        <w:rPr>
          <w:rFonts w:ascii="Arial" w:hAnsi="Arial" w:cs="Arial"/>
          <w:i/>
          <w:sz w:val="18"/>
        </w:rPr>
        <w:t>edn</w:t>
      </w:r>
      <w:proofErr w:type="spellEnd"/>
      <w:r w:rsidRPr="00BE4A1F">
        <w:rPr>
          <w:rFonts w:ascii="Arial" w:hAnsi="Arial" w:cs="Arial"/>
          <w:i/>
          <w:sz w:val="18"/>
        </w:rPr>
        <w:t>. Hoboken: Wiley.</w:t>
      </w:r>
    </w:p>
    <w:p w:rsidR="00FF77CD" w:rsidRDefault="00FF77CD" w:rsidP="00FF77CD">
      <w:pPr>
        <w:pStyle w:val="NormalWeb"/>
        <w:rPr>
          <w:rFonts w:ascii="Arial" w:hAnsi="Arial" w:cs="Arial"/>
          <w:i/>
          <w:sz w:val="18"/>
        </w:rPr>
      </w:pPr>
      <w:proofErr w:type="spellStart"/>
      <w:r w:rsidRPr="004124D6">
        <w:rPr>
          <w:rFonts w:ascii="Arial" w:hAnsi="Arial" w:cs="Arial"/>
          <w:i/>
          <w:sz w:val="18"/>
        </w:rPr>
        <w:t>Górski</w:t>
      </w:r>
      <w:proofErr w:type="spellEnd"/>
      <w:r w:rsidRPr="004124D6">
        <w:rPr>
          <w:rFonts w:ascii="Arial" w:hAnsi="Arial" w:cs="Arial"/>
          <w:i/>
          <w:sz w:val="18"/>
        </w:rPr>
        <w:t xml:space="preserve">, J. and Zhao, Y., </w:t>
      </w:r>
      <w:r>
        <w:rPr>
          <w:rFonts w:ascii="Arial" w:hAnsi="Arial" w:cs="Arial"/>
          <w:i/>
          <w:sz w:val="18"/>
        </w:rPr>
        <w:t>(</w:t>
      </w:r>
      <w:r w:rsidRPr="004124D6">
        <w:rPr>
          <w:rFonts w:ascii="Arial" w:hAnsi="Arial" w:cs="Arial"/>
          <w:i/>
          <w:sz w:val="18"/>
        </w:rPr>
        <w:t>2025</w:t>
      </w:r>
      <w:r>
        <w:rPr>
          <w:rFonts w:ascii="Arial" w:hAnsi="Arial" w:cs="Arial"/>
          <w:i/>
          <w:sz w:val="18"/>
        </w:rPr>
        <w:t>)</w:t>
      </w:r>
      <w:r w:rsidRPr="004124D6">
        <w:rPr>
          <w:rFonts w:ascii="Arial" w:hAnsi="Arial" w:cs="Arial"/>
          <w:i/>
          <w:sz w:val="18"/>
        </w:rPr>
        <w:t xml:space="preserve">. Introduction: Challenges to Aviation Global Regulatory Milieu in the </w:t>
      </w:r>
      <w:proofErr w:type="spellStart"/>
      <w:r w:rsidRPr="004124D6">
        <w:rPr>
          <w:rFonts w:ascii="Arial" w:hAnsi="Arial" w:cs="Arial"/>
          <w:i/>
          <w:sz w:val="18"/>
        </w:rPr>
        <w:t>Geoeconomic</w:t>
      </w:r>
      <w:proofErr w:type="spellEnd"/>
      <w:r w:rsidRPr="004124D6">
        <w:rPr>
          <w:rFonts w:ascii="Arial" w:hAnsi="Arial" w:cs="Arial"/>
          <w:i/>
          <w:sz w:val="18"/>
        </w:rPr>
        <w:t xml:space="preserve"> and Long-History Context. In Aviation Law and Governance (pp. 1-85). Routledge.</w:t>
      </w:r>
    </w:p>
    <w:p w:rsidR="00FF77CD" w:rsidRDefault="00FF77CD" w:rsidP="00FF77CD">
      <w:pPr>
        <w:pStyle w:val="NormalWeb"/>
        <w:rPr>
          <w:rFonts w:ascii="Arial" w:hAnsi="Arial" w:cs="Arial"/>
          <w:i/>
          <w:sz w:val="18"/>
        </w:rPr>
      </w:pPr>
      <w:r w:rsidRPr="00567B1A">
        <w:rPr>
          <w:rFonts w:ascii="Arial" w:hAnsi="Arial" w:cs="Arial"/>
          <w:i/>
          <w:sz w:val="18"/>
        </w:rPr>
        <w:t>Hayward, K. (1986) The World Aerospace Industry: Collaboration and Competition. Londo</w:t>
      </w:r>
      <w:r>
        <w:rPr>
          <w:rFonts w:ascii="Arial" w:hAnsi="Arial" w:cs="Arial"/>
          <w:i/>
          <w:sz w:val="18"/>
        </w:rPr>
        <w:t>n: Duckworth.</w:t>
      </w:r>
    </w:p>
    <w:p w:rsidR="00FF77CD" w:rsidRDefault="00FF77CD" w:rsidP="00FF77CD">
      <w:pPr>
        <w:pStyle w:val="NormalWeb"/>
        <w:rPr>
          <w:rFonts w:ascii="Arial" w:hAnsi="Arial" w:cs="Arial"/>
          <w:i/>
          <w:sz w:val="18"/>
        </w:rPr>
      </w:pPr>
      <w:r w:rsidRPr="00557D9D">
        <w:rPr>
          <w:rFonts w:ascii="Arial" w:hAnsi="Arial" w:cs="Arial"/>
          <w:i/>
          <w:sz w:val="18"/>
        </w:rPr>
        <w:t>Hofstede, G. (2011) ‘</w:t>
      </w:r>
      <w:proofErr w:type="spellStart"/>
      <w:r w:rsidRPr="00557D9D">
        <w:rPr>
          <w:rFonts w:ascii="Arial" w:hAnsi="Arial" w:cs="Arial"/>
          <w:i/>
          <w:sz w:val="18"/>
        </w:rPr>
        <w:t>Dimensionalizing</w:t>
      </w:r>
      <w:proofErr w:type="spellEnd"/>
      <w:r w:rsidRPr="00557D9D">
        <w:rPr>
          <w:rFonts w:ascii="Arial" w:hAnsi="Arial" w:cs="Arial"/>
          <w:i/>
          <w:sz w:val="18"/>
        </w:rPr>
        <w:t xml:space="preserve"> cultures: The Hofstede model in context’, Online Readings in Psychology and Culture, 2(1), pp. 1–26.</w:t>
      </w:r>
    </w:p>
    <w:p w:rsidR="00FF77CD" w:rsidRDefault="00FF77CD" w:rsidP="00FF77CD">
      <w:pPr>
        <w:pStyle w:val="NormalWeb"/>
        <w:rPr>
          <w:rFonts w:ascii="Arial" w:hAnsi="Arial" w:cs="Arial"/>
          <w:i/>
          <w:sz w:val="18"/>
        </w:rPr>
      </w:pPr>
      <w:proofErr w:type="spellStart"/>
      <w:r w:rsidRPr="00207682">
        <w:rPr>
          <w:rFonts w:ascii="Arial" w:hAnsi="Arial" w:cs="Arial"/>
          <w:i/>
          <w:sz w:val="18"/>
        </w:rPr>
        <w:t>Hobday</w:t>
      </w:r>
      <w:proofErr w:type="spellEnd"/>
      <w:r w:rsidRPr="00207682">
        <w:rPr>
          <w:rFonts w:ascii="Arial" w:hAnsi="Arial" w:cs="Arial"/>
          <w:i/>
          <w:sz w:val="18"/>
        </w:rPr>
        <w:t xml:space="preserve">, M., </w:t>
      </w:r>
      <w:r>
        <w:rPr>
          <w:rFonts w:ascii="Arial" w:hAnsi="Arial" w:cs="Arial"/>
          <w:i/>
          <w:sz w:val="18"/>
        </w:rPr>
        <w:t>(</w:t>
      </w:r>
      <w:r w:rsidRPr="00207682">
        <w:rPr>
          <w:rFonts w:ascii="Arial" w:hAnsi="Arial" w:cs="Arial"/>
          <w:i/>
          <w:sz w:val="18"/>
        </w:rPr>
        <w:t>1998</w:t>
      </w:r>
      <w:r>
        <w:rPr>
          <w:rFonts w:ascii="Arial" w:hAnsi="Arial" w:cs="Arial"/>
          <w:i/>
          <w:sz w:val="18"/>
        </w:rPr>
        <w:t>)</w:t>
      </w:r>
      <w:r w:rsidRPr="00207682">
        <w:rPr>
          <w:rFonts w:ascii="Arial" w:hAnsi="Arial" w:cs="Arial"/>
          <w:i/>
          <w:sz w:val="18"/>
        </w:rPr>
        <w:t xml:space="preserve">. Product complexity, innovation and industrial </w:t>
      </w:r>
      <w:proofErr w:type="spellStart"/>
      <w:r w:rsidRPr="00207682">
        <w:rPr>
          <w:rFonts w:ascii="Arial" w:hAnsi="Arial" w:cs="Arial"/>
          <w:i/>
          <w:sz w:val="18"/>
        </w:rPr>
        <w:t>organisation</w:t>
      </w:r>
      <w:proofErr w:type="spellEnd"/>
      <w:r w:rsidRPr="00207682">
        <w:rPr>
          <w:rFonts w:ascii="Arial" w:hAnsi="Arial" w:cs="Arial"/>
          <w:i/>
          <w:sz w:val="18"/>
        </w:rPr>
        <w:t>. Research policy, 26(6), pp.689-710.</w:t>
      </w:r>
    </w:p>
    <w:p w:rsidR="00FF77CD" w:rsidRDefault="00FF77CD" w:rsidP="00FF77CD">
      <w:pPr>
        <w:pStyle w:val="NormalWeb"/>
        <w:rPr>
          <w:rFonts w:ascii="Arial" w:hAnsi="Arial" w:cs="Arial"/>
          <w:i/>
          <w:sz w:val="18"/>
        </w:rPr>
      </w:pPr>
      <w:r w:rsidRPr="008B4078">
        <w:rPr>
          <w:rFonts w:ascii="Arial" w:hAnsi="Arial" w:cs="Arial"/>
          <w:i/>
          <w:sz w:val="18"/>
        </w:rPr>
        <w:t xml:space="preserve">Hill, C., </w:t>
      </w:r>
      <w:r>
        <w:rPr>
          <w:rFonts w:ascii="Arial" w:hAnsi="Arial" w:cs="Arial"/>
          <w:i/>
          <w:sz w:val="18"/>
        </w:rPr>
        <w:t>(</w:t>
      </w:r>
      <w:r w:rsidRPr="008B4078">
        <w:rPr>
          <w:rFonts w:ascii="Arial" w:hAnsi="Arial" w:cs="Arial"/>
          <w:i/>
          <w:sz w:val="18"/>
        </w:rPr>
        <w:t>2008</w:t>
      </w:r>
      <w:r>
        <w:rPr>
          <w:rFonts w:ascii="Arial" w:hAnsi="Arial" w:cs="Arial"/>
          <w:i/>
          <w:sz w:val="18"/>
        </w:rPr>
        <w:t>)</w:t>
      </w:r>
      <w:r w:rsidRPr="008B4078">
        <w:rPr>
          <w:rFonts w:ascii="Arial" w:hAnsi="Arial" w:cs="Arial"/>
          <w:i/>
          <w:sz w:val="18"/>
        </w:rPr>
        <w:t>. International business: Competing in the global market place. Strategic Direction, 24(9).</w:t>
      </w:r>
    </w:p>
    <w:p w:rsidR="00FF77CD" w:rsidRDefault="00FF77CD" w:rsidP="00FF77CD">
      <w:pPr>
        <w:pStyle w:val="NormalWeb"/>
        <w:rPr>
          <w:rFonts w:ascii="Arial" w:hAnsi="Arial" w:cs="Arial"/>
          <w:i/>
          <w:sz w:val="18"/>
        </w:rPr>
      </w:pPr>
      <w:r w:rsidRPr="0029299B">
        <w:rPr>
          <w:rFonts w:ascii="Arial" w:hAnsi="Arial" w:cs="Arial"/>
          <w:i/>
          <w:sz w:val="18"/>
        </w:rPr>
        <w:t xml:space="preserve">Hussain, S.T., Lei, S., </w:t>
      </w:r>
      <w:proofErr w:type="spellStart"/>
      <w:r w:rsidRPr="0029299B">
        <w:rPr>
          <w:rFonts w:ascii="Arial" w:hAnsi="Arial" w:cs="Arial"/>
          <w:i/>
          <w:sz w:val="18"/>
        </w:rPr>
        <w:t>Akram</w:t>
      </w:r>
      <w:proofErr w:type="spellEnd"/>
      <w:r w:rsidRPr="0029299B">
        <w:rPr>
          <w:rFonts w:ascii="Arial" w:hAnsi="Arial" w:cs="Arial"/>
          <w:i/>
          <w:sz w:val="18"/>
        </w:rPr>
        <w:t xml:space="preserve">, T., </w:t>
      </w:r>
      <w:proofErr w:type="spellStart"/>
      <w:r w:rsidRPr="0029299B">
        <w:rPr>
          <w:rFonts w:ascii="Arial" w:hAnsi="Arial" w:cs="Arial"/>
          <w:i/>
          <w:sz w:val="18"/>
        </w:rPr>
        <w:t>Haider</w:t>
      </w:r>
      <w:proofErr w:type="spellEnd"/>
      <w:r w:rsidRPr="0029299B">
        <w:rPr>
          <w:rFonts w:ascii="Arial" w:hAnsi="Arial" w:cs="Arial"/>
          <w:i/>
          <w:sz w:val="18"/>
        </w:rPr>
        <w:t xml:space="preserve">, M.J., Hussain, S.H. and Ali, M., </w:t>
      </w:r>
      <w:r>
        <w:rPr>
          <w:rFonts w:ascii="Arial" w:hAnsi="Arial" w:cs="Arial"/>
          <w:i/>
          <w:sz w:val="18"/>
        </w:rPr>
        <w:t>(</w:t>
      </w:r>
      <w:r w:rsidRPr="0029299B">
        <w:rPr>
          <w:rFonts w:ascii="Arial" w:hAnsi="Arial" w:cs="Arial"/>
          <w:i/>
          <w:sz w:val="18"/>
        </w:rPr>
        <w:t>2018</w:t>
      </w:r>
      <w:r>
        <w:rPr>
          <w:rFonts w:ascii="Arial" w:hAnsi="Arial" w:cs="Arial"/>
          <w:i/>
          <w:sz w:val="18"/>
        </w:rPr>
        <w:t>)</w:t>
      </w:r>
      <w:r w:rsidRPr="0029299B">
        <w:rPr>
          <w:rFonts w:ascii="Arial" w:hAnsi="Arial" w:cs="Arial"/>
          <w:i/>
          <w:sz w:val="18"/>
        </w:rPr>
        <w:t>. Kurt Lewin's change model: A critical review of the role of leadership and employee involvement in organizational change. Journal of innovation &amp; knowledge, 3(3), pp.123-127.</w:t>
      </w:r>
    </w:p>
    <w:p w:rsidR="00FF77CD" w:rsidRDefault="00FF77CD" w:rsidP="00FF77CD">
      <w:pPr>
        <w:pStyle w:val="NormalWeb"/>
        <w:rPr>
          <w:rFonts w:ascii="Arial" w:hAnsi="Arial" w:cs="Arial"/>
          <w:i/>
          <w:sz w:val="18"/>
        </w:rPr>
      </w:pPr>
      <w:r w:rsidRPr="00C10106">
        <w:rPr>
          <w:rFonts w:ascii="Arial" w:hAnsi="Arial" w:cs="Arial"/>
          <w:i/>
          <w:sz w:val="18"/>
        </w:rPr>
        <w:t xml:space="preserve">Ivanov, Dmitry &amp; </w:t>
      </w:r>
      <w:proofErr w:type="spellStart"/>
      <w:r w:rsidRPr="00C10106">
        <w:rPr>
          <w:rFonts w:ascii="Arial" w:hAnsi="Arial" w:cs="Arial"/>
          <w:i/>
          <w:sz w:val="18"/>
        </w:rPr>
        <w:t>Dol</w:t>
      </w:r>
      <w:r>
        <w:rPr>
          <w:rFonts w:ascii="Arial" w:hAnsi="Arial" w:cs="Arial"/>
          <w:i/>
          <w:sz w:val="18"/>
        </w:rPr>
        <w:t>gui</w:t>
      </w:r>
      <w:proofErr w:type="spellEnd"/>
      <w:r>
        <w:rPr>
          <w:rFonts w:ascii="Arial" w:hAnsi="Arial" w:cs="Arial"/>
          <w:i/>
          <w:sz w:val="18"/>
        </w:rPr>
        <w:t xml:space="preserve">, Alexandre, </w:t>
      </w:r>
      <w:r w:rsidRPr="00C10106">
        <w:rPr>
          <w:rFonts w:ascii="Arial" w:hAnsi="Arial" w:cs="Arial"/>
          <w:i/>
          <w:sz w:val="18"/>
        </w:rPr>
        <w:t xml:space="preserve">(2020). A digital supply chain twin for managing the disruption risks and resilience in the era of Industry 4.0. Production Planning and Control. 10.1080/09537287.2020.1768450. </w:t>
      </w:r>
    </w:p>
    <w:p w:rsidR="00FF77CD" w:rsidRDefault="00FF77CD" w:rsidP="00FF77CD">
      <w:pPr>
        <w:pStyle w:val="NormalWeb"/>
        <w:rPr>
          <w:rFonts w:ascii="Arial" w:hAnsi="Arial" w:cs="Arial"/>
          <w:i/>
          <w:sz w:val="18"/>
        </w:rPr>
      </w:pPr>
      <w:r w:rsidRPr="0011599D">
        <w:rPr>
          <w:rFonts w:ascii="Arial" w:hAnsi="Arial" w:cs="Arial"/>
          <w:i/>
          <w:sz w:val="18"/>
        </w:rPr>
        <w:lastRenderedPageBreak/>
        <w:t xml:space="preserve">Johnson, G., Whittington, R., Scholes, K., </w:t>
      </w:r>
      <w:proofErr w:type="spellStart"/>
      <w:r w:rsidRPr="0011599D">
        <w:rPr>
          <w:rFonts w:ascii="Arial" w:hAnsi="Arial" w:cs="Arial"/>
          <w:i/>
          <w:sz w:val="18"/>
        </w:rPr>
        <w:t>Angwin</w:t>
      </w:r>
      <w:proofErr w:type="spellEnd"/>
      <w:r w:rsidRPr="0011599D">
        <w:rPr>
          <w:rFonts w:ascii="Arial" w:hAnsi="Arial" w:cs="Arial"/>
          <w:i/>
          <w:sz w:val="18"/>
        </w:rPr>
        <w:t xml:space="preserve">, D. and </w:t>
      </w:r>
      <w:proofErr w:type="spellStart"/>
      <w:r w:rsidRPr="0011599D">
        <w:rPr>
          <w:rFonts w:ascii="Arial" w:hAnsi="Arial" w:cs="Arial"/>
          <w:i/>
          <w:sz w:val="18"/>
        </w:rPr>
        <w:t>Regné</w:t>
      </w:r>
      <w:r>
        <w:rPr>
          <w:rFonts w:ascii="Arial" w:hAnsi="Arial" w:cs="Arial"/>
          <w:i/>
          <w:sz w:val="18"/>
        </w:rPr>
        <w:t>r</w:t>
      </w:r>
      <w:proofErr w:type="spellEnd"/>
      <w:r>
        <w:rPr>
          <w:rFonts w:ascii="Arial" w:hAnsi="Arial" w:cs="Arial"/>
          <w:i/>
          <w:sz w:val="18"/>
        </w:rPr>
        <w:t xml:space="preserve">, P. (2020). </w:t>
      </w:r>
      <w:r w:rsidRPr="0011599D">
        <w:rPr>
          <w:rStyle w:val="Emphasis"/>
          <w:rFonts w:ascii="Arial" w:hAnsi="Arial" w:cs="Arial"/>
          <w:sz w:val="18"/>
        </w:rPr>
        <w:t>Exploring Strategy: Text and Cases</w:t>
      </w:r>
      <w:r w:rsidRPr="0011599D">
        <w:rPr>
          <w:rFonts w:ascii="Arial" w:hAnsi="Arial" w:cs="Arial"/>
          <w:i/>
          <w:sz w:val="18"/>
        </w:rPr>
        <w:t xml:space="preserve">. 12th </w:t>
      </w:r>
      <w:proofErr w:type="spellStart"/>
      <w:r w:rsidRPr="0011599D">
        <w:rPr>
          <w:rFonts w:ascii="Arial" w:hAnsi="Arial" w:cs="Arial"/>
          <w:i/>
          <w:sz w:val="18"/>
        </w:rPr>
        <w:t>edn</w:t>
      </w:r>
      <w:proofErr w:type="spellEnd"/>
      <w:r w:rsidRPr="0011599D">
        <w:rPr>
          <w:rFonts w:ascii="Arial" w:hAnsi="Arial" w:cs="Arial"/>
          <w:i/>
          <w:sz w:val="18"/>
        </w:rPr>
        <w:t>. Harlow: Pearson.</w:t>
      </w:r>
    </w:p>
    <w:p w:rsidR="00FF77CD" w:rsidRPr="00567B1A" w:rsidRDefault="00FF77CD" w:rsidP="00FF77CD">
      <w:pPr>
        <w:pStyle w:val="NormalWeb"/>
        <w:rPr>
          <w:rFonts w:ascii="Arial" w:hAnsi="Arial" w:cs="Arial"/>
          <w:i/>
          <w:sz w:val="18"/>
        </w:rPr>
      </w:pPr>
      <w:r w:rsidRPr="00567B1A">
        <w:rPr>
          <w:rFonts w:ascii="Arial" w:hAnsi="Arial" w:cs="Arial"/>
          <w:i/>
          <w:sz w:val="18"/>
        </w:rPr>
        <w:t xml:space="preserve">Johnson, G., Whittington, R., Scholes, K., </w:t>
      </w:r>
      <w:proofErr w:type="spellStart"/>
      <w:r w:rsidRPr="00567B1A">
        <w:rPr>
          <w:rFonts w:ascii="Arial" w:hAnsi="Arial" w:cs="Arial"/>
          <w:i/>
          <w:sz w:val="18"/>
        </w:rPr>
        <w:t>A</w:t>
      </w:r>
      <w:r>
        <w:rPr>
          <w:rFonts w:ascii="Arial" w:hAnsi="Arial" w:cs="Arial"/>
          <w:i/>
          <w:sz w:val="18"/>
        </w:rPr>
        <w:t>ngwin</w:t>
      </w:r>
      <w:proofErr w:type="spellEnd"/>
      <w:r>
        <w:rPr>
          <w:rFonts w:ascii="Arial" w:hAnsi="Arial" w:cs="Arial"/>
          <w:i/>
          <w:sz w:val="18"/>
        </w:rPr>
        <w:t xml:space="preserve">, D. and </w:t>
      </w:r>
      <w:proofErr w:type="spellStart"/>
      <w:r>
        <w:rPr>
          <w:rFonts w:ascii="Arial" w:hAnsi="Arial" w:cs="Arial"/>
          <w:i/>
          <w:sz w:val="18"/>
        </w:rPr>
        <w:t>Regnér</w:t>
      </w:r>
      <w:proofErr w:type="spellEnd"/>
      <w:r>
        <w:rPr>
          <w:rFonts w:ascii="Arial" w:hAnsi="Arial" w:cs="Arial"/>
          <w:i/>
          <w:sz w:val="18"/>
        </w:rPr>
        <w:t xml:space="preserve">, P. (2020). </w:t>
      </w:r>
      <w:r w:rsidRPr="00567B1A">
        <w:rPr>
          <w:rFonts w:ascii="Arial" w:hAnsi="Arial" w:cs="Arial"/>
          <w:i/>
          <w:sz w:val="18"/>
        </w:rPr>
        <w:t xml:space="preserve">Exploring Strategy: Text and Cases. 12th </w:t>
      </w:r>
      <w:proofErr w:type="spellStart"/>
      <w:r w:rsidRPr="00567B1A">
        <w:rPr>
          <w:rFonts w:ascii="Arial" w:hAnsi="Arial" w:cs="Arial"/>
          <w:i/>
          <w:sz w:val="18"/>
        </w:rPr>
        <w:t>edn</w:t>
      </w:r>
      <w:proofErr w:type="spellEnd"/>
      <w:r w:rsidRPr="00567B1A">
        <w:rPr>
          <w:rFonts w:ascii="Arial" w:hAnsi="Arial" w:cs="Arial"/>
          <w:i/>
          <w:sz w:val="18"/>
        </w:rPr>
        <w:t>. Harlow: Pearson.</w:t>
      </w:r>
    </w:p>
    <w:p w:rsidR="00FF77CD" w:rsidRDefault="00FF77CD" w:rsidP="00FF77CD">
      <w:pPr>
        <w:pStyle w:val="NormalWeb"/>
        <w:rPr>
          <w:rFonts w:ascii="Arial" w:hAnsi="Arial" w:cs="Arial"/>
          <w:i/>
          <w:sz w:val="18"/>
        </w:rPr>
      </w:pPr>
      <w:r w:rsidRPr="0011599D">
        <w:rPr>
          <w:rFonts w:ascii="Arial" w:hAnsi="Arial" w:cs="Arial"/>
          <w:i/>
          <w:sz w:val="18"/>
        </w:rPr>
        <w:t>Kapla</w:t>
      </w:r>
      <w:r>
        <w:rPr>
          <w:rFonts w:ascii="Arial" w:hAnsi="Arial" w:cs="Arial"/>
          <w:i/>
          <w:sz w:val="18"/>
        </w:rPr>
        <w:t xml:space="preserve">n, R.S. and Norton, D.P. (1996). </w:t>
      </w:r>
      <w:r w:rsidRPr="0011599D">
        <w:rPr>
          <w:rStyle w:val="Emphasis"/>
          <w:rFonts w:ascii="Arial" w:hAnsi="Arial" w:cs="Arial"/>
          <w:sz w:val="18"/>
        </w:rPr>
        <w:t>The Balanced Scorecard: Translating Strategy into Action</w:t>
      </w:r>
      <w:r w:rsidRPr="0011599D">
        <w:rPr>
          <w:rFonts w:ascii="Arial" w:hAnsi="Arial" w:cs="Arial"/>
          <w:i/>
          <w:sz w:val="18"/>
        </w:rPr>
        <w:t>. Boston: Harvard Business School Press.</w:t>
      </w:r>
    </w:p>
    <w:p w:rsidR="00FF77CD" w:rsidRDefault="00FF77CD" w:rsidP="00FF77CD">
      <w:pPr>
        <w:pStyle w:val="NormalWeb"/>
        <w:rPr>
          <w:rFonts w:ascii="Arial" w:hAnsi="Arial" w:cs="Arial"/>
          <w:i/>
          <w:sz w:val="18"/>
        </w:rPr>
      </w:pPr>
      <w:r>
        <w:rPr>
          <w:rFonts w:ascii="Arial" w:hAnsi="Arial" w:cs="Arial"/>
          <w:i/>
          <w:sz w:val="18"/>
        </w:rPr>
        <w:t xml:space="preserve">Kotler, P. (2024). </w:t>
      </w:r>
      <w:r w:rsidRPr="00392882">
        <w:rPr>
          <w:rFonts w:ascii="Arial" w:hAnsi="Arial" w:cs="Arial"/>
          <w:i/>
          <w:sz w:val="18"/>
        </w:rPr>
        <w:t xml:space="preserve">Marketing Management. 17th </w:t>
      </w:r>
      <w:proofErr w:type="spellStart"/>
      <w:r w:rsidRPr="00392882">
        <w:rPr>
          <w:rFonts w:ascii="Arial" w:hAnsi="Arial" w:cs="Arial"/>
          <w:i/>
          <w:sz w:val="18"/>
        </w:rPr>
        <w:t>edn</w:t>
      </w:r>
      <w:proofErr w:type="spellEnd"/>
      <w:r w:rsidRPr="00392882">
        <w:rPr>
          <w:rFonts w:ascii="Arial" w:hAnsi="Arial" w:cs="Arial"/>
          <w:i/>
          <w:sz w:val="18"/>
        </w:rPr>
        <w:t>. Harlow: Pearson.</w:t>
      </w:r>
    </w:p>
    <w:p w:rsidR="00FF77CD" w:rsidRDefault="00FF77CD" w:rsidP="00FF77CD">
      <w:pPr>
        <w:pStyle w:val="NormalWeb"/>
        <w:rPr>
          <w:rFonts w:ascii="Arial" w:hAnsi="Arial" w:cs="Arial"/>
          <w:i/>
          <w:sz w:val="18"/>
        </w:rPr>
      </w:pPr>
      <w:r w:rsidRPr="0029299B">
        <w:rPr>
          <w:rFonts w:ascii="Arial" w:hAnsi="Arial" w:cs="Arial"/>
          <w:i/>
          <w:sz w:val="18"/>
        </w:rPr>
        <w:t xml:space="preserve">Kotter, J.P., </w:t>
      </w:r>
      <w:r>
        <w:rPr>
          <w:rFonts w:ascii="Arial" w:hAnsi="Arial" w:cs="Arial"/>
          <w:i/>
          <w:sz w:val="18"/>
        </w:rPr>
        <w:t>(</w:t>
      </w:r>
      <w:r w:rsidRPr="0029299B">
        <w:rPr>
          <w:rFonts w:ascii="Arial" w:hAnsi="Arial" w:cs="Arial"/>
          <w:i/>
          <w:sz w:val="18"/>
        </w:rPr>
        <w:t>2012</w:t>
      </w:r>
      <w:r>
        <w:rPr>
          <w:rFonts w:ascii="Arial" w:hAnsi="Arial" w:cs="Arial"/>
          <w:i/>
          <w:sz w:val="18"/>
        </w:rPr>
        <w:t>)</w:t>
      </w:r>
      <w:r w:rsidRPr="0029299B">
        <w:rPr>
          <w:rFonts w:ascii="Arial" w:hAnsi="Arial" w:cs="Arial"/>
          <w:i/>
          <w:sz w:val="18"/>
        </w:rPr>
        <w:t xml:space="preserve">. Leadership and leading change. Harvard Business Review Press. </w:t>
      </w:r>
    </w:p>
    <w:p w:rsidR="00FF77CD" w:rsidRDefault="00FF77CD" w:rsidP="00FF77CD">
      <w:pPr>
        <w:pStyle w:val="NormalWeb"/>
        <w:rPr>
          <w:rFonts w:ascii="Arial" w:hAnsi="Arial" w:cs="Arial"/>
          <w:i/>
          <w:sz w:val="18"/>
        </w:rPr>
      </w:pPr>
      <w:proofErr w:type="spellStart"/>
      <w:r w:rsidRPr="00B33416">
        <w:rPr>
          <w:rFonts w:ascii="Arial" w:hAnsi="Arial" w:cs="Arial"/>
          <w:i/>
          <w:sz w:val="18"/>
        </w:rPr>
        <w:t>Koopman</w:t>
      </w:r>
      <w:proofErr w:type="spellEnd"/>
      <w:r w:rsidRPr="00B33416">
        <w:rPr>
          <w:rFonts w:ascii="Arial" w:hAnsi="Arial" w:cs="Arial"/>
          <w:i/>
          <w:sz w:val="18"/>
        </w:rPr>
        <w:t xml:space="preserve">, R B and </w:t>
      </w:r>
      <w:proofErr w:type="spellStart"/>
      <w:r w:rsidRPr="00B33416">
        <w:rPr>
          <w:rFonts w:ascii="Arial" w:hAnsi="Arial" w:cs="Arial"/>
          <w:i/>
          <w:sz w:val="18"/>
        </w:rPr>
        <w:t>Tsigas</w:t>
      </w:r>
      <w:proofErr w:type="spellEnd"/>
      <w:r w:rsidRPr="00B33416">
        <w:rPr>
          <w:rFonts w:ascii="Arial" w:hAnsi="Arial" w:cs="Arial"/>
          <w:i/>
          <w:sz w:val="18"/>
        </w:rPr>
        <w:t xml:space="preserve">, M, </w:t>
      </w:r>
      <w:r>
        <w:rPr>
          <w:rFonts w:ascii="Arial" w:hAnsi="Arial" w:cs="Arial"/>
          <w:i/>
          <w:sz w:val="18"/>
        </w:rPr>
        <w:t>(</w:t>
      </w:r>
      <w:r w:rsidRPr="00B33416">
        <w:rPr>
          <w:rFonts w:ascii="Arial" w:hAnsi="Arial" w:cs="Arial"/>
          <w:i/>
          <w:sz w:val="18"/>
        </w:rPr>
        <w:t>2025</w:t>
      </w:r>
      <w:r>
        <w:rPr>
          <w:rFonts w:ascii="Arial" w:hAnsi="Arial" w:cs="Arial"/>
          <w:i/>
          <w:sz w:val="18"/>
        </w:rPr>
        <w:t>)</w:t>
      </w:r>
      <w:r w:rsidRPr="00B33416">
        <w:rPr>
          <w:rFonts w:ascii="Arial" w:hAnsi="Arial" w:cs="Arial"/>
          <w:i/>
          <w:sz w:val="18"/>
        </w:rPr>
        <w:t>. US trade conflict: Potential economic implications for the US and the global economy. Journal of Policy Modeling.</w:t>
      </w:r>
    </w:p>
    <w:p w:rsidR="00FF77CD" w:rsidRDefault="00FF77CD" w:rsidP="00FF77CD">
      <w:pPr>
        <w:pStyle w:val="NormalWeb"/>
        <w:rPr>
          <w:rFonts w:ascii="Arial" w:hAnsi="Arial" w:cs="Arial"/>
          <w:i/>
          <w:sz w:val="18"/>
        </w:rPr>
      </w:pPr>
      <w:proofErr w:type="spellStart"/>
      <w:r w:rsidRPr="00567B1A">
        <w:rPr>
          <w:rFonts w:ascii="Arial" w:hAnsi="Arial" w:cs="Arial"/>
          <w:i/>
          <w:sz w:val="18"/>
        </w:rPr>
        <w:t>Leeham</w:t>
      </w:r>
      <w:proofErr w:type="spellEnd"/>
      <w:r w:rsidRPr="00567B1A">
        <w:rPr>
          <w:rFonts w:ascii="Arial" w:hAnsi="Arial" w:cs="Arial"/>
          <w:i/>
          <w:sz w:val="18"/>
        </w:rPr>
        <w:t xml:space="preserve"> News (2025).</w:t>
      </w:r>
      <w:r>
        <w:rPr>
          <w:rFonts w:ascii="Arial" w:hAnsi="Arial" w:cs="Arial"/>
          <w:i/>
          <w:sz w:val="18"/>
        </w:rPr>
        <w:t xml:space="preserve"> </w:t>
      </w:r>
      <w:r w:rsidRPr="00567B1A">
        <w:rPr>
          <w:rFonts w:ascii="Arial" w:hAnsi="Arial" w:cs="Arial"/>
          <w:i/>
          <w:sz w:val="18"/>
        </w:rPr>
        <w:t xml:space="preserve">Heading toward year-end, Airbus maintains lead in </w:t>
      </w:r>
      <w:proofErr w:type="spellStart"/>
      <w:r w:rsidRPr="00567B1A">
        <w:rPr>
          <w:rFonts w:ascii="Arial" w:hAnsi="Arial" w:cs="Arial"/>
          <w:i/>
          <w:sz w:val="18"/>
        </w:rPr>
        <w:t>narrowbody</w:t>
      </w:r>
      <w:proofErr w:type="spellEnd"/>
      <w:r w:rsidRPr="00567B1A">
        <w:rPr>
          <w:rFonts w:ascii="Arial" w:hAnsi="Arial" w:cs="Arial"/>
          <w:i/>
          <w:sz w:val="18"/>
        </w:rPr>
        <w:t xml:space="preserve"> orders but Boeing commands the </w:t>
      </w:r>
      <w:proofErr w:type="spellStart"/>
      <w:r w:rsidRPr="00567B1A">
        <w:rPr>
          <w:rFonts w:ascii="Arial" w:hAnsi="Arial" w:cs="Arial"/>
          <w:i/>
          <w:sz w:val="18"/>
        </w:rPr>
        <w:t>widebody</w:t>
      </w:r>
      <w:proofErr w:type="spellEnd"/>
      <w:r w:rsidRPr="00567B1A">
        <w:rPr>
          <w:rFonts w:ascii="Arial" w:hAnsi="Arial" w:cs="Arial"/>
          <w:i/>
          <w:sz w:val="18"/>
        </w:rPr>
        <w:t xml:space="preserve"> sector. </w:t>
      </w:r>
      <w:proofErr w:type="spellStart"/>
      <w:r w:rsidRPr="00567B1A">
        <w:rPr>
          <w:rFonts w:ascii="Arial" w:hAnsi="Arial" w:cs="Arial"/>
          <w:i/>
          <w:sz w:val="18"/>
        </w:rPr>
        <w:t>Leeham</w:t>
      </w:r>
      <w:proofErr w:type="spellEnd"/>
      <w:r w:rsidRPr="00567B1A">
        <w:rPr>
          <w:rFonts w:ascii="Arial" w:hAnsi="Arial" w:cs="Arial"/>
          <w:i/>
          <w:sz w:val="18"/>
        </w:rPr>
        <w:t xml:space="preserve"> News and Analysis. Available at: </w:t>
      </w:r>
      <w:hyperlink r:id="rId21" w:history="1">
        <w:r w:rsidRPr="007D2900">
          <w:rPr>
            <w:rStyle w:val="Hyperlink"/>
            <w:rFonts w:ascii="Arial" w:hAnsi="Arial" w:cs="Arial"/>
            <w:sz w:val="18"/>
          </w:rPr>
          <w:t>https://leehamnews.com/2025/10/13/heading-toward-year-end-airbus-maintains-lead-in-narrowbody-orders-but-boeing-commands-the-widebody-sector/</w:t>
        </w:r>
      </w:hyperlink>
      <w:r>
        <w:rPr>
          <w:rFonts w:ascii="Arial" w:hAnsi="Arial" w:cs="Arial"/>
          <w:i/>
          <w:sz w:val="18"/>
        </w:rPr>
        <w:t xml:space="preserve"> </w:t>
      </w:r>
      <w:r w:rsidR="00ED120F">
        <w:rPr>
          <w:rFonts w:ascii="Arial" w:hAnsi="Arial" w:cs="Arial"/>
          <w:i/>
          <w:sz w:val="18"/>
        </w:rPr>
        <w:t>(Accessed 25</w:t>
      </w:r>
      <w:r w:rsidRPr="00567B1A">
        <w:rPr>
          <w:rFonts w:ascii="Arial" w:hAnsi="Arial" w:cs="Arial"/>
          <w:i/>
          <w:sz w:val="18"/>
        </w:rPr>
        <w:t>.04.2025)</w:t>
      </w:r>
    </w:p>
    <w:p w:rsidR="00FF77CD" w:rsidRDefault="00FF77CD" w:rsidP="00FF77CD">
      <w:pPr>
        <w:pStyle w:val="NormalWeb"/>
        <w:rPr>
          <w:rFonts w:ascii="Arial" w:hAnsi="Arial" w:cs="Arial"/>
          <w:i/>
          <w:sz w:val="18"/>
        </w:rPr>
      </w:pPr>
      <w:r w:rsidRPr="00C41975">
        <w:rPr>
          <w:rFonts w:ascii="Arial" w:hAnsi="Arial" w:cs="Arial"/>
          <w:i/>
          <w:sz w:val="18"/>
        </w:rPr>
        <w:t xml:space="preserve">Jiang, W., </w:t>
      </w:r>
      <w:proofErr w:type="spellStart"/>
      <w:r w:rsidRPr="00C41975">
        <w:rPr>
          <w:rFonts w:ascii="Arial" w:hAnsi="Arial" w:cs="Arial"/>
          <w:i/>
          <w:sz w:val="18"/>
        </w:rPr>
        <w:t>Martek</w:t>
      </w:r>
      <w:proofErr w:type="spellEnd"/>
      <w:r w:rsidRPr="00C41975">
        <w:rPr>
          <w:rFonts w:ascii="Arial" w:hAnsi="Arial" w:cs="Arial"/>
          <w:i/>
          <w:sz w:val="18"/>
        </w:rPr>
        <w:t xml:space="preserve">, I., Hosseini, M.R. and Chen, C., </w:t>
      </w:r>
      <w:r>
        <w:rPr>
          <w:rFonts w:ascii="Arial" w:hAnsi="Arial" w:cs="Arial"/>
          <w:i/>
          <w:sz w:val="18"/>
        </w:rPr>
        <w:t>(</w:t>
      </w:r>
      <w:r w:rsidRPr="00C41975">
        <w:rPr>
          <w:rFonts w:ascii="Arial" w:hAnsi="Arial" w:cs="Arial"/>
          <w:i/>
          <w:sz w:val="18"/>
        </w:rPr>
        <w:t>2021</w:t>
      </w:r>
      <w:r>
        <w:rPr>
          <w:rFonts w:ascii="Arial" w:hAnsi="Arial" w:cs="Arial"/>
          <w:i/>
          <w:sz w:val="18"/>
        </w:rPr>
        <w:t>)</w:t>
      </w:r>
      <w:r w:rsidRPr="00C41975">
        <w:rPr>
          <w:rFonts w:ascii="Arial" w:hAnsi="Arial" w:cs="Arial"/>
          <w:i/>
          <w:sz w:val="18"/>
        </w:rPr>
        <w:t>. Political risk management of foreign direct investment in infrastructure projects: Bibliometric-qualitative analyses of research in developing countries. Engineering, Construction and Architectural Management, 28(1), pp.125-153.</w:t>
      </w:r>
    </w:p>
    <w:p w:rsidR="00FF77CD" w:rsidRDefault="00FF77CD" w:rsidP="00FF77CD">
      <w:pPr>
        <w:pStyle w:val="NormalWeb"/>
        <w:rPr>
          <w:rFonts w:ascii="Arial" w:hAnsi="Arial" w:cs="Arial"/>
          <w:i/>
          <w:sz w:val="18"/>
        </w:rPr>
      </w:pPr>
      <w:r w:rsidRPr="00D610E1">
        <w:rPr>
          <w:rFonts w:ascii="Arial" w:hAnsi="Arial" w:cs="Arial"/>
          <w:i/>
          <w:sz w:val="18"/>
        </w:rPr>
        <w:t>Lewin, K. (1947) Frontiers in Group Dyna</w:t>
      </w:r>
      <w:r>
        <w:rPr>
          <w:rFonts w:ascii="Arial" w:hAnsi="Arial" w:cs="Arial"/>
          <w:i/>
          <w:sz w:val="18"/>
        </w:rPr>
        <w:t xml:space="preserve">mics. Human Relations, 1, 5-41 </w:t>
      </w:r>
      <w:hyperlink r:id="rId22" w:history="1">
        <w:r w:rsidRPr="00EE435C">
          <w:rPr>
            <w:rStyle w:val="Hyperlink"/>
            <w:rFonts w:ascii="Arial" w:hAnsi="Arial" w:cs="Arial"/>
            <w:i/>
            <w:sz w:val="18"/>
          </w:rPr>
          <w:t>http://dx.doi.org/10.1177/001872674700100103</w:t>
        </w:r>
      </w:hyperlink>
    </w:p>
    <w:p w:rsidR="00FF77CD" w:rsidRDefault="00FF77CD" w:rsidP="00FF77CD">
      <w:pPr>
        <w:pStyle w:val="NormalWeb"/>
        <w:rPr>
          <w:rFonts w:ascii="Arial" w:hAnsi="Arial" w:cs="Arial"/>
          <w:i/>
          <w:sz w:val="18"/>
        </w:rPr>
      </w:pPr>
      <w:r w:rsidRPr="007738F9">
        <w:rPr>
          <w:rFonts w:ascii="Arial" w:hAnsi="Arial" w:cs="Arial"/>
          <w:i/>
          <w:sz w:val="18"/>
        </w:rPr>
        <w:t xml:space="preserve">Locke, R.M., </w:t>
      </w:r>
      <w:r>
        <w:rPr>
          <w:rFonts w:ascii="Arial" w:hAnsi="Arial" w:cs="Arial"/>
          <w:i/>
          <w:sz w:val="18"/>
        </w:rPr>
        <w:t>(</w:t>
      </w:r>
      <w:r w:rsidRPr="007738F9">
        <w:rPr>
          <w:rFonts w:ascii="Arial" w:hAnsi="Arial" w:cs="Arial"/>
          <w:i/>
          <w:sz w:val="18"/>
        </w:rPr>
        <w:t>2013</w:t>
      </w:r>
      <w:r>
        <w:rPr>
          <w:rFonts w:ascii="Arial" w:hAnsi="Arial" w:cs="Arial"/>
          <w:i/>
          <w:sz w:val="18"/>
        </w:rPr>
        <w:t>)</w:t>
      </w:r>
      <w:r w:rsidRPr="007738F9">
        <w:rPr>
          <w:rFonts w:ascii="Arial" w:hAnsi="Arial" w:cs="Arial"/>
          <w:i/>
          <w:sz w:val="18"/>
        </w:rPr>
        <w:t>. The promise and limits of private power: Promoting labor standards in a global economy. Cambridge University Press.</w:t>
      </w:r>
    </w:p>
    <w:p w:rsidR="00FF77CD" w:rsidRDefault="00FF77CD" w:rsidP="00FF77CD">
      <w:pPr>
        <w:pStyle w:val="NormalWeb"/>
        <w:rPr>
          <w:rFonts w:ascii="Arial" w:hAnsi="Arial" w:cs="Arial"/>
          <w:i/>
          <w:sz w:val="18"/>
        </w:rPr>
      </w:pPr>
      <w:r w:rsidRPr="0098442C">
        <w:rPr>
          <w:rFonts w:ascii="Arial" w:hAnsi="Arial" w:cs="Arial"/>
          <w:i/>
          <w:sz w:val="18"/>
        </w:rPr>
        <w:t xml:space="preserve">Lee, D., </w:t>
      </w:r>
      <w:proofErr w:type="spellStart"/>
      <w:r w:rsidRPr="0098442C">
        <w:rPr>
          <w:rFonts w:ascii="Arial" w:hAnsi="Arial" w:cs="Arial"/>
          <w:i/>
          <w:sz w:val="18"/>
        </w:rPr>
        <w:t>Secatore</w:t>
      </w:r>
      <w:proofErr w:type="spellEnd"/>
      <w:r w:rsidRPr="0098442C">
        <w:rPr>
          <w:rFonts w:ascii="Arial" w:hAnsi="Arial" w:cs="Arial"/>
          <w:i/>
          <w:sz w:val="18"/>
        </w:rPr>
        <w:t xml:space="preserve">, E., Singer, E. and </w:t>
      </w:r>
      <w:proofErr w:type="spellStart"/>
      <w:r w:rsidRPr="0098442C">
        <w:rPr>
          <w:rFonts w:ascii="Arial" w:hAnsi="Arial" w:cs="Arial"/>
          <w:i/>
          <w:sz w:val="18"/>
        </w:rPr>
        <w:t>Amel</w:t>
      </w:r>
      <w:proofErr w:type="spellEnd"/>
      <w:r w:rsidRPr="0098442C">
        <w:rPr>
          <w:rFonts w:ascii="Arial" w:hAnsi="Arial" w:cs="Arial"/>
          <w:i/>
          <w:sz w:val="18"/>
        </w:rPr>
        <w:t xml:space="preserve">, E., </w:t>
      </w:r>
      <w:r>
        <w:rPr>
          <w:rFonts w:ascii="Arial" w:hAnsi="Arial" w:cs="Arial"/>
          <w:i/>
          <w:sz w:val="18"/>
        </w:rPr>
        <w:t>(</w:t>
      </w:r>
      <w:r w:rsidRPr="0098442C">
        <w:rPr>
          <w:rFonts w:ascii="Arial" w:hAnsi="Arial" w:cs="Arial"/>
          <w:i/>
          <w:sz w:val="18"/>
        </w:rPr>
        <w:t>2026</w:t>
      </w:r>
      <w:r>
        <w:rPr>
          <w:rFonts w:ascii="Arial" w:hAnsi="Arial" w:cs="Arial"/>
          <w:i/>
          <w:sz w:val="18"/>
        </w:rPr>
        <w:t>)</w:t>
      </w:r>
      <w:r w:rsidRPr="0098442C">
        <w:rPr>
          <w:rFonts w:ascii="Arial" w:hAnsi="Arial" w:cs="Arial"/>
          <w:i/>
          <w:sz w:val="18"/>
        </w:rPr>
        <w:t>. Business model evolution and consolidation of the US airline industry: Market outcomes in the 21st century. Journal of Air Transport Management, 132, p.102935.</w:t>
      </w:r>
    </w:p>
    <w:p w:rsidR="00FF77CD" w:rsidRDefault="00FF77CD" w:rsidP="00FF77CD">
      <w:pPr>
        <w:pStyle w:val="NormalWeb"/>
        <w:rPr>
          <w:rFonts w:ascii="Arial" w:hAnsi="Arial" w:cs="Arial"/>
          <w:i/>
          <w:sz w:val="18"/>
        </w:rPr>
      </w:pPr>
      <w:proofErr w:type="spellStart"/>
      <w:r w:rsidRPr="008337F2">
        <w:rPr>
          <w:rFonts w:ascii="Arial" w:hAnsi="Arial" w:cs="Arial"/>
          <w:i/>
          <w:sz w:val="18"/>
        </w:rPr>
        <w:t>Lacaze</w:t>
      </w:r>
      <w:proofErr w:type="spellEnd"/>
      <w:r w:rsidRPr="008337F2">
        <w:rPr>
          <w:rFonts w:ascii="Arial" w:hAnsi="Arial" w:cs="Arial"/>
          <w:i/>
          <w:sz w:val="18"/>
        </w:rPr>
        <w:t xml:space="preserve">, A.S., Ferreira, F.A. and Santos, M.R., </w:t>
      </w:r>
      <w:r>
        <w:rPr>
          <w:rFonts w:ascii="Arial" w:hAnsi="Arial" w:cs="Arial"/>
          <w:i/>
          <w:sz w:val="18"/>
        </w:rPr>
        <w:t>(</w:t>
      </w:r>
      <w:r w:rsidRPr="008337F2">
        <w:rPr>
          <w:rFonts w:ascii="Arial" w:hAnsi="Arial" w:cs="Arial"/>
          <w:i/>
          <w:sz w:val="18"/>
        </w:rPr>
        <w:t>2025</w:t>
      </w:r>
      <w:r>
        <w:rPr>
          <w:rFonts w:ascii="Arial" w:hAnsi="Arial" w:cs="Arial"/>
          <w:i/>
          <w:sz w:val="18"/>
        </w:rPr>
        <w:t>)</w:t>
      </w:r>
      <w:r w:rsidRPr="008337F2">
        <w:rPr>
          <w:rFonts w:ascii="Arial" w:hAnsi="Arial" w:cs="Arial"/>
          <w:i/>
          <w:sz w:val="18"/>
        </w:rPr>
        <w:t>. Adding value to the VRIO framework using DEMATEL. Management decision, 63(4), pp.1154-1175.</w:t>
      </w:r>
    </w:p>
    <w:p w:rsidR="00FF77CD" w:rsidRDefault="00FF77CD" w:rsidP="00FF77CD">
      <w:pPr>
        <w:pStyle w:val="NormalWeb"/>
        <w:rPr>
          <w:rFonts w:ascii="Arial" w:hAnsi="Arial" w:cs="Arial"/>
          <w:i/>
          <w:sz w:val="18"/>
        </w:rPr>
      </w:pPr>
      <w:r w:rsidRPr="00F95565">
        <w:rPr>
          <w:rFonts w:ascii="Arial" w:hAnsi="Arial" w:cs="Arial"/>
          <w:i/>
          <w:sz w:val="18"/>
        </w:rPr>
        <w:t xml:space="preserve">Porter, M E, </w:t>
      </w:r>
      <w:r>
        <w:rPr>
          <w:rFonts w:ascii="Arial" w:hAnsi="Arial" w:cs="Arial"/>
          <w:i/>
          <w:sz w:val="18"/>
        </w:rPr>
        <w:t>(</w:t>
      </w:r>
      <w:r w:rsidRPr="00F95565">
        <w:rPr>
          <w:rFonts w:ascii="Arial" w:hAnsi="Arial" w:cs="Arial"/>
          <w:i/>
          <w:sz w:val="18"/>
        </w:rPr>
        <w:t>2023</w:t>
      </w:r>
      <w:r>
        <w:rPr>
          <w:rFonts w:ascii="Arial" w:hAnsi="Arial" w:cs="Arial"/>
          <w:i/>
          <w:sz w:val="18"/>
        </w:rPr>
        <w:t>)</w:t>
      </w:r>
      <w:r w:rsidRPr="00F95565">
        <w:rPr>
          <w:rFonts w:ascii="Arial" w:hAnsi="Arial" w:cs="Arial"/>
          <w:i/>
          <w:sz w:val="18"/>
        </w:rPr>
        <w:t>. Changing patterns of international competition. In International strategic management (pp. 61-86). Routledge.</w:t>
      </w:r>
    </w:p>
    <w:p w:rsidR="00FF77CD" w:rsidRDefault="00FF77CD" w:rsidP="00FF77CD">
      <w:pPr>
        <w:pStyle w:val="NormalWeb"/>
        <w:rPr>
          <w:rFonts w:ascii="Arial" w:hAnsi="Arial" w:cs="Arial"/>
          <w:i/>
          <w:sz w:val="18"/>
        </w:rPr>
      </w:pPr>
      <w:r>
        <w:rPr>
          <w:rFonts w:ascii="Arial" w:hAnsi="Arial" w:cs="Arial"/>
          <w:i/>
          <w:sz w:val="18"/>
        </w:rPr>
        <w:t xml:space="preserve">Porter, M.E. (1985). </w:t>
      </w:r>
      <w:r w:rsidRPr="002252B3">
        <w:rPr>
          <w:rFonts w:ascii="Arial" w:hAnsi="Arial" w:cs="Arial"/>
          <w:i/>
          <w:sz w:val="18"/>
        </w:rPr>
        <w:t>Competitive Advantage. Creating and Sustaining Superior Performance. Free Press, New York, 557 p.</w:t>
      </w:r>
    </w:p>
    <w:p w:rsidR="00FF77CD" w:rsidRDefault="00FF77CD" w:rsidP="00FF77CD">
      <w:pPr>
        <w:pStyle w:val="NormalWeb"/>
        <w:rPr>
          <w:rFonts w:ascii="Arial" w:hAnsi="Arial" w:cs="Arial"/>
          <w:i/>
          <w:sz w:val="18"/>
        </w:rPr>
      </w:pPr>
      <w:r w:rsidRPr="00B4636C">
        <w:rPr>
          <w:rFonts w:ascii="Arial" w:hAnsi="Arial" w:cs="Arial"/>
          <w:i/>
          <w:sz w:val="18"/>
        </w:rPr>
        <w:t xml:space="preserve">Porter and Kramer, </w:t>
      </w:r>
      <w:r>
        <w:rPr>
          <w:rFonts w:ascii="Arial" w:hAnsi="Arial" w:cs="Arial"/>
          <w:i/>
          <w:sz w:val="18"/>
        </w:rPr>
        <w:t>(</w:t>
      </w:r>
      <w:r w:rsidRPr="00B4636C">
        <w:rPr>
          <w:rFonts w:ascii="Arial" w:hAnsi="Arial" w:cs="Arial"/>
          <w:i/>
          <w:sz w:val="18"/>
        </w:rPr>
        <w:t>2007</w:t>
      </w:r>
      <w:r>
        <w:rPr>
          <w:rFonts w:ascii="Arial" w:hAnsi="Arial" w:cs="Arial"/>
          <w:i/>
          <w:sz w:val="18"/>
        </w:rPr>
        <w:t>)</w:t>
      </w:r>
      <w:r w:rsidRPr="00B4636C">
        <w:rPr>
          <w:rFonts w:ascii="Arial" w:hAnsi="Arial" w:cs="Arial"/>
          <w:i/>
          <w:sz w:val="18"/>
        </w:rPr>
        <w:t>. Strategy and society: The link between competitive advantage and corporate social responsibility-response. Harvard Business Review, 85(5), pp.139-139</w:t>
      </w:r>
      <w:r>
        <w:rPr>
          <w:rFonts w:ascii="Arial" w:hAnsi="Arial" w:cs="Arial"/>
          <w:i/>
          <w:sz w:val="18"/>
        </w:rPr>
        <w:t>.</w:t>
      </w:r>
    </w:p>
    <w:p w:rsidR="00FF77CD" w:rsidRDefault="00FF77CD" w:rsidP="00FF77CD">
      <w:pPr>
        <w:pStyle w:val="NormalWeb"/>
        <w:rPr>
          <w:rFonts w:ascii="Arial" w:hAnsi="Arial" w:cs="Arial"/>
          <w:i/>
          <w:sz w:val="18"/>
        </w:rPr>
      </w:pPr>
      <w:r w:rsidRPr="00BD63FD">
        <w:rPr>
          <w:rFonts w:ascii="Arial" w:hAnsi="Arial" w:cs="Arial"/>
          <w:i/>
          <w:sz w:val="18"/>
        </w:rPr>
        <w:t xml:space="preserve">Ruck, J., </w:t>
      </w:r>
      <w:r>
        <w:rPr>
          <w:rFonts w:ascii="Arial" w:hAnsi="Arial" w:cs="Arial"/>
          <w:i/>
          <w:sz w:val="18"/>
        </w:rPr>
        <w:t>(</w:t>
      </w:r>
      <w:r w:rsidRPr="00BD63FD">
        <w:rPr>
          <w:rFonts w:ascii="Arial" w:hAnsi="Arial" w:cs="Arial"/>
          <w:i/>
          <w:sz w:val="18"/>
        </w:rPr>
        <w:t>2026</w:t>
      </w:r>
      <w:r>
        <w:rPr>
          <w:rFonts w:ascii="Arial" w:hAnsi="Arial" w:cs="Arial"/>
          <w:i/>
          <w:sz w:val="18"/>
        </w:rPr>
        <w:t>)</w:t>
      </w:r>
      <w:r w:rsidRPr="00BD63FD">
        <w:rPr>
          <w:rFonts w:ascii="Arial" w:hAnsi="Arial" w:cs="Arial"/>
          <w:i/>
          <w:sz w:val="18"/>
        </w:rPr>
        <w:t xml:space="preserve">. A </w:t>
      </w:r>
      <w:proofErr w:type="spellStart"/>
      <w:r w:rsidRPr="00BD63FD">
        <w:rPr>
          <w:rFonts w:ascii="Arial" w:hAnsi="Arial" w:cs="Arial"/>
          <w:i/>
          <w:sz w:val="18"/>
        </w:rPr>
        <w:t>geoeconomic</w:t>
      </w:r>
      <w:proofErr w:type="spellEnd"/>
      <w:r w:rsidRPr="00BD63FD">
        <w:rPr>
          <w:rFonts w:ascii="Arial" w:hAnsi="Arial" w:cs="Arial"/>
          <w:i/>
          <w:sz w:val="18"/>
        </w:rPr>
        <w:t xml:space="preserve"> fix? European industrial policy on semiconductors amidst global competition. JCMS: Journal of Common Market Studies, 64(2), pp.742-761.</w:t>
      </w:r>
    </w:p>
    <w:p w:rsidR="00FF77CD" w:rsidRDefault="00FF77CD" w:rsidP="00FF77CD">
      <w:pPr>
        <w:pStyle w:val="NormalWeb"/>
        <w:rPr>
          <w:rFonts w:ascii="Arial" w:hAnsi="Arial" w:cs="Arial"/>
          <w:i/>
          <w:sz w:val="18"/>
        </w:rPr>
      </w:pPr>
      <w:r w:rsidRPr="00BE4A1F">
        <w:rPr>
          <w:rFonts w:ascii="Arial" w:hAnsi="Arial" w:cs="Arial"/>
          <w:i/>
          <w:sz w:val="18"/>
        </w:rPr>
        <w:t>Schwab, K. (2017) The Fourth Industrial Revolution. Geneva: World Economic Forum</w:t>
      </w:r>
      <w:r>
        <w:rPr>
          <w:rFonts w:ascii="Arial" w:hAnsi="Arial" w:cs="Arial"/>
          <w:i/>
          <w:sz w:val="18"/>
        </w:rPr>
        <w:t>.</w:t>
      </w:r>
    </w:p>
    <w:p w:rsidR="00FF77CD" w:rsidRDefault="00FF77CD" w:rsidP="00FF77CD">
      <w:pPr>
        <w:pStyle w:val="NormalWeb"/>
        <w:rPr>
          <w:rFonts w:ascii="Arial" w:hAnsi="Arial" w:cs="Arial"/>
          <w:i/>
          <w:sz w:val="18"/>
        </w:rPr>
      </w:pPr>
      <w:proofErr w:type="spellStart"/>
      <w:r w:rsidRPr="00BD63FD">
        <w:rPr>
          <w:rFonts w:ascii="Arial" w:hAnsi="Arial" w:cs="Arial"/>
          <w:i/>
          <w:sz w:val="18"/>
        </w:rPr>
        <w:t>Sheffi</w:t>
      </w:r>
      <w:proofErr w:type="spellEnd"/>
      <w:r w:rsidRPr="00BD63FD">
        <w:rPr>
          <w:rFonts w:ascii="Arial" w:hAnsi="Arial" w:cs="Arial"/>
          <w:i/>
          <w:sz w:val="18"/>
        </w:rPr>
        <w:t>, Y. (2022). The New (Ab)Normal: Reshaping business and supply chain strategy beyond Covid-19. MIT Press.</w:t>
      </w:r>
    </w:p>
    <w:p w:rsidR="00FF77CD" w:rsidRDefault="00FF77CD" w:rsidP="00FF77CD">
      <w:pPr>
        <w:pStyle w:val="NormalWeb"/>
        <w:rPr>
          <w:rFonts w:ascii="Arial" w:hAnsi="Arial" w:cs="Arial"/>
          <w:i/>
          <w:sz w:val="18"/>
        </w:rPr>
      </w:pPr>
      <w:proofErr w:type="spellStart"/>
      <w:r w:rsidRPr="004B2353">
        <w:rPr>
          <w:rFonts w:ascii="Arial" w:hAnsi="Arial" w:cs="Arial"/>
          <w:i/>
          <w:sz w:val="18"/>
        </w:rPr>
        <w:t>Schäfer</w:t>
      </w:r>
      <w:proofErr w:type="spellEnd"/>
      <w:r w:rsidRPr="004B2353">
        <w:rPr>
          <w:rFonts w:ascii="Arial" w:hAnsi="Arial" w:cs="Arial"/>
          <w:i/>
          <w:sz w:val="18"/>
        </w:rPr>
        <w:t xml:space="preserve">, A.W., Barrett, S.R., </w:t>
      </w:r>
      <w:proofErr w:type="spellStart"/>
      <w:r w:rsidRPr="004B2353">
        <w:rPr>
          <w:rFonts w:ascii="Arial" w:hAnsi="Arial" w:cs="Arial"/>
          <w:i/>
          <w:sz w:val="18"/>
        </w:rPr>
        <w:t>Doyme</w:t>
      </w:r>
      <w:proofErr w:type="spellEnd"/>
      <w:r w:rsidRPr="004B2353">
        <w:rPr>
          <w:rFonts w:ascii="Arial" w:hAnsi="Arial" w:cs="Arial"/>
          <w:i/>
          <w:sz w:val="18"/>
        </w:rPr>
        <w:t xml:space="preserve">, K., Dray, L.M., </w:t>
      </w:r>
      <w:proofErr w:type="spellStart"/>
      <w:r w:rsidRPr="004B2353">
        <w:rPr>
          <w:rFonts w:ascii="Arial" w:hAnsi="Arial" w:cs="Arial"/>
          <w:i/>
          <w:sz w:val="18"/>
        </w:rPr>
        <w:t>Gnadt</w:t>
      </w:r>
      <w:proofErr w:type="spellEnd"/>
      <w:r w:rsidRPr="004B2353">
        <w:rPr>
          <w:rFonts w:ascii="Arial" w:hAnsi="Arial" w:cs="Arial"/>
          <w:i/>
          <w:sz w:val="18"/>
        </w:rPr>
        <w:t xml:space="preserve">, A.R., Self, R., O’Sullivan, A., </w:t>
      </w:r>
      <w:proofErr w:type="spellStart"/>
      <w:r w:rsidRPr="004B2353">
        <w:rPr>
          <w:rFonts w:ascii="Arial" w:hAnsi="Arial" w:cs="Arial"/>
          <w:i/>
          <w:sz w:val="18"/>
        </w:rPr>
        <w:t>Synodinos</w:t>
      </w:r>
      <w:proofErr w:type="spellEnd"/>
      <w:r w:rsidRPr="004B2353">
        <w:rPr>
          <w:rFonts w:ascii="Arial" w:hAnsi="Arial" w:cs="Arial"/>
          <w:i/>
          <w:sz w:val="18"/>
        </w:rPr>
        <w:t xml:space="preserve">, A.P. and </w:t>
      </w:r>
      <w:proofErr w:type="spellStart"/>
      <w:r w:rsidRPr="004B2353">
        <w:rPr>
          <w:rFonts w:ascii="Arial" w:hAnsi="Arial" w:cs="Arial"/>
          <w:i/>
          <w:sz w:val="18"/>
        </w:rPr>
        <w:t>Torija</w:t>
      </w:r>
      <w:proofErr w:type="spellEnd"/>
      <w:r w:rsidRPr="004B2353">
        <w:rPr>
          <w:rFonts w:ascii="Arial" w:hAnsi="Arial" w:cs="Arial"/>
          <w:i/>
          <w:sz w:val="18"/>
        </w:rPr>
        <w:t xml:space="preserve">, A.J., </w:t>
      </w:r>
      <w:r>
        <w:rPr>
          <w:rFonts w:ascii="Arial" w:hAnsi="Arial" w:cs="Arial"/>
          <w:i/>
          <w:sz w:val="18"/>
        </w:rPr>
        <w:t>(</w:t>
      </w:r>
      <w:r w:rsidRPr="004B2353">
        <w:rPr>
          <w:rFonts w:ascii="Arial" w:hAnsi="Arial" w:cs="Arial"/>
          <w:i/>
          <w:sz w:val="18"/>
        </w:rPr>
        <w:t>2019</w:t>
      </w:r>
      <w:r>
        <w:rPr>
          <w:rFonts w:ascii="Arial" w:hAnsi="Arial" w:cs="Arial"/>
          <w:i/>
          <w:sz w:val="18"/>
        </w:rPr>
        <w:t>)</w:t>
      </w:r>
      <w:r w:rsidRPr="004B2353">
        <w:rPr>
          <w:rFonts w:ascii="Arial" w:hAnsi="Arial" w:cs="Arial"/>
          <w:i/>
          <w:sz w:val="18"/>
        </w:rPr>
        <w:t>. Technological, economic and environmental prospects of all-electric aircraft. Nature Energy, 4(2), pp.160-166.</w:t>
      </w:r>
    </w:p>
    <w:p w:rsidR="00FF77CD" w:rsidRDefault="00FF77CD" w:rsidP="00FF77CD">
      <w:pPr>
        <w:pStyle w:val="NormalWeb"/>
        <w:rPr>
          <w:rFonts w:ascii="Arial" w:hAnsi="Arial" w:cs="Arial"/>
          <w:i/>
          <w:sz w:val="18"/>
        </w:rPr>
      </w:pPr>
      <w:proofErr w:type="spellStart"/>
      <w:r w:rsidRPr="00207682">
        <w:rPr>
          <w:rFonts w:ascii="Arial" w:hAnsi="Arial" w:cs="Arial"/>
          <w:i/>
          <w:sz w:val="18"/>
        </w:rPr>
        <w:lastRenderedPageBreak/>
        <w:t>Teece</w:t>
      </w:r>
      <w:proofErr w:type="spellEnd"/>
      <w:r w:rsidRPr="00207682">
        <w:rPr>
          <w:rFonts w:ascii="Arial" w:hAnsi="Arial" w:cs="Arial"/>
          <w:i/>
          <w:sz w:val="18"/>
        </w:rPr>
        <w:t xml:space="preserve">, D.J., </w:t>
      </w:r>
      <w:r>
        <w:rPr>
          <w:rFonts w:ascii="Arial" w:hAnsi="Arial" w:cs="Arial"/>
          <w:i/>
          <w:sz w:val="18"/>
        </w:rPr>
        <w:t>(</w:t>
      </w:r>
      <w:r w:rsidRPr="00207682">
        <w:rPr>
          <w:rFonts w:ascii="Arial" w:hAnsi="Arial" w:cs="Arial"/>
          <w:i/>
          <w:sz w:val="18"/>
        </w:rPr>
        <w:t>2018</w:t>
      </w:r>
      <w:r>
        <w:rPr>
          <w:rFonts w:ascii="Arial" w:hAnsi="Arial" w:cs="Arial"/>
          <w:i/>
          <w:sz w:val="18"/>
        </w:rPr>
        <w:t>)</w:t>
      </w:r>
      <w:r w:rsidRPr="00207682">
        <w:rPr>
          <w:rFonts w:ascii="Arial" w:hAnsi="Arial" w:cs="Arial"/>
          <w:i/>
          <w:sz w:val="18"/>
        </w:rPr>
        <w:t>. Business models and dynamic capabilities. Long range planning, 51(1), pp.40-49.</w:t>
      </w:r>
    </w:p>
    <w:p w:rsidR="00FF77CD" w:rsidRDefault="00FF77CD" w:rsidP="00FF77CD">
      <w:pPr>
        <w:pStyle w:val="NormalWeb"/>
        <w:rPr>
          <w:rFonts w:ascii="Arial" w:hAnsi="Arial" w:cs="Arial"/>
          <w:i/>
          <w:sz w:val="18"/>
        </w:rPr>
      </w:pPr>
      <w:r w:rsidRPr="00070359">
        <w:rPr>
          <w:rFonts w:ascii="Arial" w:hAnsi="Arial" w:cs="Arial"/>
          <w:i/>
          <w:sz w:val="18"/>
        </w:rPr>
        <w:t xml:space="preserve">U.S. Department of Energy, (2023). Sustainable Aviation Fuel Grand Challenge Roadmap. Washington, DC: U.S. Department of Energy. Available at: </w:t>
      </w:r>
      <w:hyperlink r:id="rId23" w:history="1">
        <w:r w:rsidRPr="007D2900">
          <w:rPr>
            <w:rStyle w:val="Hyperlink"/>
            <w:rFonts w:ascii="Arial" w:hAnsi="Arial" w:cs="Arial"/>
            <w:sz w:val="18"/>
          </w:rPr>
          <w:t>https://www.energy.gov/cmei/fuels/sustainable-aviation-fuel-grand-challenge</w:t>
        </w:r>
      </w:hyperlink>
      <w:r>
        <w:rPr>
          <w:rFonts w:ascii="Arial" w:hAnsi="Arial" w:cs="Arial"/>
          <w:i/>
          <w:sz w:val="18"/>
        </w:rPr>
        <w:t xml:space="preserve"> </w:t>
      </w:r>
      <w:r w:rsidR="00ED120F">
        <w:rPr>
          <w:rFonts w:ascii="Arial" w:hAnsi="Arial" w:cs="Arial"/>
          <w:i/>
          <w:sz w:val="18"/>
        </w:rPr>
        <w:t xml:space="preserve"> (Accessed 25</w:t>
      </w:r>
      <w:r w:rsidRPr="00070359">
        <w:rPr>
          <w:rFonts w:ascii="Arial" w:hAnsi="Arial" w:cs="Arial"/>
          <w:i/>
          <w:sz w:val="18"/>
        </w:rPr>
        <w:t>.04.2026)</w:t>
      </w:r>
    </w:p>
    <w:p w:rsidR="00FF77CD" w:rsidRDefault="00FF77CD" w:rsidP="00FF77CD">
      <w:pPr>
        <w:pStyle w:val="NormalWeb"/>
        <w:rPr>
          <w:rFonts w:ascii="Arial" w:hAnsi="Arial" w:cs="Arial"/>
          <w:i/>
          <w:sz w:val="18"/>
        </w:rPr>
      </w:pPr>
      <w:proofErr w:type="spellStart"/>
      <w:r w:rsidRPr="001D2301">
        <w:rPr>
          <w:rFonts w:ascii="Arial" w:hAnsi="Arial" w:cs="Arial"/>
          <w:i/>
          <w:sz w:val="18"/>
        </w:rPr>
        <w:t>Wiboon</w:t>
      </w:r>
      <w:proofErr w:type="spellEnd"/>
      <w:r w:rsidRPr="001D2301">
        <w:rPr>
          <w:rFonts w:ascii="Arial" w:hAnsi="Arial" w:cs="Arial"/>
          <w:i/>
          <w:sz w:val="18"/>
        </w:rPr>
        <w:t xml:space="preserve"> </w:t>
      </w:r>
      <w:proofErr w:type="spellStart"/>
      <w:r w:rsidRPr="001D2301">
        <w:rPr>
          <w:rFonts w:ascii="Arial" w:hAnsi="Arial" w:cs="Arial"/>
          <w:i/>
          <w:sz w:val="18"/>
        </w:rPr>
        <w:t>Kittilaksanawong</w:t>
      </w:r>
      <w:proofErr w:type="spellEnd"/>
      <w:r w:rsidRPr="001D2301">
        <w:rPr>
          <w:rFonts w:ascii="Arial" w:hAnsi="Arial" w:cs="Arial"/>
          <w:i/>
          <w:sz w:val="18"/>
        </w:rPr>
        <w:t>, (2017). "Legitimacy of State Ownership in Foreign Direct Investments by Emerging Economy Firms", International Business Diplomacy: How Can Multinational Corporations Deal with Global Challenges?</w:t>
      </w:r>
    </w:p>
    <w:p w:rsidR="00990F7F" w:rsidRPr="009A49ED" w:rsidRDefault="00990F7F" w:rsidP="009A49ED">
      <w:pPr>
        <w:spacing w:line="276" w:lineRule="auto"/>
        <w:rPr>
          <w:rFonts w:ascii="Arial" w:hAnsi="Arial" w:cs="Arial"/>
          <w:sz w:val="24"/>
        </w:rPr>
      </w:pPr>
    </w:p>
    <w:sectPr w:rsidR="00990F7F" w:rsidRPr="009A49ED" w:rsidSect="000F4BA1">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576E" w:rsidRDefault="006D576E" w:rsidP="000F4BA1">
      <w:pPr>
        <w:spacing w:after="0" w:line="240" w:lineRule="auto"/>
      </w:pPr>
      <w:r>
        <w:separator/>
      </w:r>
    </w:p>
  </w:endnote>
  <w:endnote w:type="continuationSeparator" w:id="0">
    <w:p w:rsidR="006D576E" w:rsidRDefault="006D576E" w:rsidP="000F4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0942066"/>
      <w:docPartObj>
        <w:docPartGallery w:val="Page Numbers (Bottom of Page)"/>
        <w:docPartUnique/>
      </w:docPartObj>
    </w:sdtPr>
    <w:sdtEndPr>
      <w:rPr>
        <w:noProof/>
      </w:rPr>
    </w:sdtEndPr>
    <w:sdtContent>
      <w:p w:rsidR="000952B6" w:rsidRDefault="000952B6">
        <w:pPr>
          <w:pStyle w:val="Footer"/>
          <w:jc w:val="right"/>
        </w:pPr>
        <w:r>
          <w:fldChar w:fldCharType="begin"/>
        </w:r>
        <w:r>
          <w:instrText xml:space="preserve"> PAGE   \* MERGEFORMAT </w:instrText>
        </w:r>
        <w:r>
          <w:fldChar w:fldCharType="separate"/>
        </w:r>
        <w:r w:rsidR="00542379">
          <w:rPr>
            <w:noProof/>
          </w:rPr>
          <w:t>5</w:t>
        </w:r>
        <w:r>
          <w:rPr>
            <w:noProof/>
          </w:rPr>
          <w:fldChar w:fldCharType="end"/>
        </w:r>
      </w:p>
    </w:sdtContent>
  </w:sdt>
  <w:p w:rsidR="000952B6" w:rsidRDefault="000952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576E" w:rsidRDefault="006D576E" w:rsidP="000F4BA1">
      <w:pPr>
        <w:spacing w:after="0" w:line="240" w:lineRule="auto"/>
      </w:pPr>
      <w:r>
        <w:separator/>
      </w:r>
    </w:p>
  </w:footnote>
  <w:footnote w:type="continuationSeparator" w:id="0">
    <w:p w:rsidR="006D576E" w:rsidRDefault="006D576E" w:rsidP="000F4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B23B2"/>
    <w:multiLevelType w:val="hybridMultilevel"/>
    <w:tmpl w:val="29D2E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454B40"/>
    <w:multiLevelType w:val="hybridMultilevel"/>
    <w:tmpl w:val="517C7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FEC"/>
    <w:rsid w:val="00014358"/>
    <w:rsid w:val="00025DE6"/>
    <w:rsid w:val="00043D9E"/>
    <w:rsid w:val="00056494"/>
    <w:rsid w:val="000711CA"/>
    <w:rsid w:val="000734CE"/>
    <w:rsid w:val="0007397B"/>
    <w:rsid w:val="000952B6"/>
    <w:rsid w:val="00095FFD"/>
    <w:rsid w:val="000A16E6"/>
    <w:rsid w:val="000C1169"/>
    <w:rsid w:val="000D50F9"/>
    <w:rsid w:val="000D5978"/>
    <w:rsid w:val="000E05A8"/>
    <w:rsid w:val="000E1B5C"/>
    <w:rsid w:val="000F4BA1"/>
    <w:rsid w:val="000F5C6E"/>
    <w:rsid w:val="001349C7"/>
    <w:rsid w:val="001426A0"/>
    <w:rsid w:val="00153A98"/>
    <w:rsid w:val="001566E9"/>
    <w:rsid w:val="00185163"/>
    <w:rsid w:val="00194DC0"/>
    <w:rsid w:val="001D0CB7"/>
    <w:rsid w:val="001F01D7"/>
    <w:rsid w:val="001F7886"/>
    <w:rsid w:val="00200516"/>
    <w:rsid w:val="002340F4"/>
    <w:rsid w:val="002365C2"/>
    <w:rsid w:val="00240D9F"/>
    <w:rsid w:val="00273A83"/>
    <w:rsid w:val="00283948"/>
    <w:rsid w:val="002C5D1C"/>
    <w:rsid w:val="002E3B8E"/>
    <w:rsid w:val="00302EDB"/>
    <w:rsid w:val="003119A0"/>
    <w:rsid w:val="00320EDE"/>
    <w:rsid w:val="0035039F"/>
    <w:rsid w:val="0037669D"/>
    <w:rsid w:val="0038215B"/>
    <w:rsid w:val="003A6B80"/>
    <w:rsid w:val="003D68AD"/>
    <w:rsid w:val="003E0DD8"/>
    <w:rsid w:val="003F7677"/>
    <w:rsid w:val="00446F02"/>
    <w:rsid w:val="00450E0B"/>
    <w:rsid w:val="00462135"/>
    <w:rsid w:val="00482614"/>
    <w:rsid w:val="00482A23"/>
    <w:rsid w:val="0048301F"/>
    <w:rsid w:val="0049273B"/>
    <w:rsid w:val="004B4C5F"/>
    <w:rsid w:val="005008D7"/>
    <w:rsid w:val="00503CC3"/>
    <w:rsid w:val="00542379"/>
    <w:rsid w:val="00554351"/>
    <w:rsid w:val="005656B0"/>
    <w:rsid w:val="00570D9E"/>
    <w:rsid w:val="005879AF"/>
    <w:rsid w:val="0059774E"/>
    <w:rsid w:val="005C34AA"/>
    <w:rsid w:val="005E2D22"/>
    <w:rsid w:val="005E5294"/>
    <w:rsid w:val="005F726E"/>
    <w:rsid w:val="006515A3"/>
    <w:rsid w:val="006D4B40"/>
    <w:rsid w:val="006D5735"/>
    <w:rsid w:val="006D576E"/>
    <w:rsid w:val="007041D6"/>
    <w:rsid w:val="007162E3"/>
    <w:rsid w:val="00750243"/>
    <w:rsid w:val="007653A2"/>
    <w:rsid w:val="007D35FD"/>
    <w:rsid w:val="00800104"/>
    <w:rsid w:val="008335A8"/>
    <w:rsid w:val="008437E4"/>
    <w:rsid w:val="0084496B"/>
    <w:rsid w:val="00847092"/>
    <w:rsid w:val="00853875"/>
    <w:rsid w:val="008A2ED4"/>
    <w:rsid w:val="008D65BA"/>
    <w:rsid w:val="008E4723"/>
    <w:rsid w:val="008E7759"/>
    <w:rsid w:val="00900A63"/>
    <w:rsid w:val="0091403B"/>
    <w:rsid w:val="009232FC"/>
    <w:rsid w:val="00977AF0"/>
    <w:rsid w:val="00987CBB"/>
    <w:rsid w:val="0099006D"/>
    <w:rsid w:val="00990F7F"/>
    <w:rsid w:val="009A49ED"/>
    <w:rsid w:val="009C3BD7"/>
    <w:rsid w:val="009E3948"/>
    <w:rsid w:val="00A055D1"/>
    <w:rsid w:val="00A3511C"/>
    <w:rsid w:val="00A47B8D"/>
    <w:rsid w:val="00A633E5"/>
    <w:rsid w:val="00A658F8"/>
    <w:rsid w:val="00A90DC2"/>
    <w:rsid w:val="00AA2EFC"/>
    <w:rsid w:val="00AA3B58"/>
    <w:rsid w:val="00AA6DA2"/>
    <w:rsid w:val="00AB6384"/>
    <w:rsid w:val="00AC4DFF"/>
    <w:rsid w:val="00AE0290"/>
    <w:rsid w:val="00B0177F"/>
    <w:rsid w:val="00B109C0"/>
    <w:rsid w:val="00B12FEC"/>
    <w:rsid w:val="00B14FED"/>
    <w:rsid w:val="00B20773"/>
    <w:rsid w:val="00B4599E"/>
    <w:rsid w:val="00B50FDC"/>
    <w:rsid w:val="00B769CC"/>
    <w:rsid w:val="00B8029D"/>
    <w:rsid w:val="00B84DC3"/>
    <w:rsid w:val="00BB0B09"/>
    <w:rsid w:val="00BB182E"/>
    <w:rsid w:val="00BD06C8"/>
    <w:rsid w:val="00BE22AE"/>
    <w:rsid w:val="00BE58BB"/>
    <w:rsid w:val="00C05956"/>
    <w:rsid w:val="00C15970"/>
    <w:rsid w:val="00C62A3F"/>
    <w:rsid w:val="00C653BE"/>
    <w:rsid w:val="00C66FD5"/>
    <w:rsid w:val="00C76A76"/>
    <w:rsid w:val="00C90A00"/>
    <w:rsid w:val="00CA561D"/>
    <w:rsid w:val="00CB2824"/>
    <w:rsid w:val="00CC2053"/>
    <w:rsid w:val="00CF202B"/>
    <w:rsid w:val="00CF458F"/>
    <w:rsid w:val="00CF7A7D"/>
    <w:rsid w:val="00D437C8"/>
    <w:rsid w:val="00D533A3"/>
    <w:rsid w:val="00DA2C19"/>
    <w:rsid w:val="00DB6806"/>
    <w:rsid w:val="00DC1DA8"/>
    <w:rsid w:val="00DE281D"/>
    <w:rsid w:val="00E32D00"/>
    <w:rsid w:val="00E62637"/>
    <w:rsid w:val="00E62A31"/>
    <w:rsid w:val="00E73BC5"/>
    <w:rsid w:val="00E74791"/>
    <w:rsid w:val="00EC1961"/>
    <w:rsid w:val="00EC5525"/>
    <w:rsid w:val="00ED120F"/>
    <w:rsid w:val="00F74C5E"/>
    <w:rsid w:val="00F87BA2"/>
    <w:rsid w:val="00FB18A2"/>
    <w:rsid w:val="00FD3EAE"/>
    <w:rsid w:val="00FD73BC"/>
    <w:rsid w:val="00FE0DB2"/>
    <w:rsid w:val="00FE3791"/>
    <w:rsid w:val="00FF77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5521D"/>
  <w15:chartTrackingRefBased/>
  <w15:docId w15:val="{1F10A930-FBE3-4D96-A314-9EF8AC779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4BA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0F4BA1"/>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0F4BA1"/>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3A3"/>
    <w:pPr>
      <w:ind w:left="720"/>
      <w:contextualSpacing/>
    </w:pPr>
  </w:style>
  <w:style w:type="character" w:styleId="Strong">
    <w:name w:val="Strong"/>
    <w:basedOn w:val="DefaultParagraphFont"/>
    <w:uiPriority w:val="22"/>
    <w:qFormat/>
    <w:rsid w:val="00B84DC3"/>
    <w:rPr>
      <w:b/>
      <w:bCs/>
    </w:rPr>
  </w:style>
  <w:style w:type="character" w:styleId="Emphasis">
    <w:name w:val="Emphasis"/>
    <w:basedOn w:val="DefaultParagraphFont"/>
    <w:uiPriority w:val="20"/>
    <w:qFormat/>
    <w:rsid w:val="00FF77CD"/>
    <w:rPr>
      <w:i/>
      <w:iCs/>
    </w:rPr>
  </w:style>
  <w:style w:type="paragraph" w:styleId="NormalWeb">
    <w:name w:val="Normal (Web)"/>
    <w:basedOn w:val="Normal"/>
    <w:uiPriority w:val="99"/>
    <w:semiHidden/>
    <w:unhideWhenUsed/>
    <w:rsid w:val="00FF77C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77CD"/>
    <w:rPr>
      <w:color w:val="0563C1" w:themeColor="hyperlink"/>
      <w:u w:val="single"/>
    </w:rPr>
  </w:style>
  <w:style w:type="paragraph" w:styleId="Header">
    <w:name w:val="header"/>
    <w:basedOn w:val="Normal"/>
    <w:link w:val="HeaderChar"/>
    <w:uiPriority w:val="99"/>
    <w:unhideWhenUsed/>
    <w:rsid w:val="000F4B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4BA1"/>
  </w:style>
  <w:style w:type="paragraph" w:styleId="Footer">
    <w:name w:val="footer"/>
    <w:basedOn w:val="Normal"/>
    <w:link w:val="FooterChar"/>
    <w:uiPriority w:val="99"/>
    <w:unhideWhenUsed/>
    <w:rsid w:val="000F4B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4BA1"/>
  </w:style>
  <w:style w:type="character" w:customStyle="1" w:styleId="Heading1Char">
    <w:name w:val="Heading 1 Char"/>
    <w:basedOn w:val="DefaultParagraphFont"/>
    <w:link w:val="Heading1"/>
    <w:uiPriority w:val="9"/>
    <w:rsid w:val="000F4BA1"/>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0F4BA1"/>
    <w:pPr>
      <w:outlineLvl w:val="9"/>
    </w:pPr>
  </w:style>
  <w:style w:type="character" w:customStyle="1" w:styleId="Heading2Char">
    <w:name w:val="Heading 2 Char"/>
    <w:basedOn w:val="DefaultParagraphFont"/>
    <w:link w:val="Heading2"/>
    <w:uiPriority w:val="9"/>
    <w:rsid w:val="000F4BA1"/>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0F4BA1"/>
    <w:rPr>
      <w:rFonts w:ascii="Arial" w:eastAsiaTheme="majorEastAsia" w:hAnsi="Arial" w:cstheme="majorBidi"/>
      <w:b/>
      <w:sz w:val="24"/>
      <w:szCs w:val="24"/>
    </w:rPr>
  </w:style>
  <w:style w:type="paragraph" w:styleId="TOC1">
    <w:name w:val="toc 1"/>
    <w:basedOn w:val="Normal"/>
    <w:next w:val="Normal"/>
    <w:autoRedefine/>
    <w:uiPriority w:val="39"/>
    <w:unhideWhenUsed/>
    <w:rsid w:val="000A16E6"/>
    <w:pPr>
      <w:tabs>
        <w:tab w:val="right" w:leader="dot" w:pos="9350"/>
      </w:tabs>
      <w:spacing w:after="100"/>
    </w:pPr>
    <w:rPr>
      <w:rFonts w:ascii="Arial" w:hAnsi="Arial" w:cs="Arial"/>
      <w:b/>
      <w:noProof/>
    </w:rPr>
  </w:style>
  <w:style w:type="paragraph" w:styleId="TOC2">
    <w:name w:val="toc 2"/>
    <w:basedOn w:val="Normal"/>
    <w:next w:val="Normal"/>
    <w:autoRedefine/>
    <w:uiPriority w:val="39"/>
    <w:unhideWhenUsed/>
    <w:rsid w:val="00EC1961"/>
    <w:pPr>
      <w:tabs>
        <w:tab w:val="right" w:leader="dot" w:pos="9350"/>
      </w:tabs>
      <w:spacing w:after="100"/>
      <w:ind w:left="220"/>
    </w:pPr>
    <w:rPr>
      <w:noProof/>
    </w:rPr>
  </w:style>
  <w:style w:type="paragraph" w:styleId="TOC3">
    <w:name w:val="toc 3"/>
    <w:basedOn w:val="Normal"/>
    <w:next w:val="Normal"/>
    <w:autoRedefine/>
    <w:uiPriority w:val="39"/>
    <w:unhideWhenUsed/>
    <w:rsid w:val="00302E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8061">
      <w:bodyDiv w:val="1"/>
      <w:marLeft w:val="0"/>
      <w:marRight w:val="0"/>
      <w:marTop w:val="0"/>
      <w:marBottom w:val="0"/>
      <w:divBdr>
        <w:top w:val="none" w:sz="0" w:space="0" w:color="auto"/>
        <w:left w:val="none" w:sz="0" w:space="0" w:color="auto"/>
        <w:bottom w:val="none" w:sz="0" w:space="0" w:color="auto"/>
        <w:right w:val="none" w:sz="0" w:space="0" w:color="auto"/>
      </w:divBdr>
    </w:div>
    <w:div w:id="19015929">
      <w:bodyDiv w:val="1"/>
      <w:marLeft w:val="0"/>
      <w:marRight w:val="0"/>
      <w:marTop w:val="0"/>
      <w:marBottom w:val="0"/>
      <w:divBdr>
        <w:top w:val="none" w:sz="0" w:space="0" w:color="auto"/>
        <w:left w:val="none" w:sz="0" w:space="0" w:color="auto"/>
        <w:bottom w:val="none" w:sz="0" w:space="0" w:color="auto"/>
        <w:right w:val="none" w:sz="0" w:space="0" w:color="auto"/>
      </w:divBdr>
    </w:div>
    <w:div w:id="33896778">
      <w:bodyDiv w:val="1"/>
      <w:marLeft w:val="0"/>
      <w:marRight w:val="0"/>
      <w:marTop w:val="0"/>
      <w:marBottom w:val="0"/>
      <w:divBdr>
        <w:top w:val="none" w:sz="0" w:space="0" w:color="auto"/>
        <w:left w:val="none" w:sz="0" w:space="0" w:color="auto"/>
        <w:bottom w:val="none" w:sz="0" w:space="0" w:color="auto"/>
        <w:right w:val="none" w:sz="0" w:space="0" w:color="auto"/>
      </w:divBdr>
    </w:div>
    <w:div w:id="137233930">
      <w:bodyDiv w:val="1"/>
      <w:marLeft w:val="0"/>
      <w:marRight w:val="0"/>
      <w:marTop w:val="0"/>
      <w:marBottom w:val="0"/>
      <w:divBdr>
        <w:top w:val="none" w:sz="0" w:space="0" w:color="auto"/>
        <w:left w:val="none" w:sz="0" w:space="0" w:color="auto"/>
        <w:bottom w:val="none" w:sz="0" w:space="0" w:color="auto"/>
        <w:right w:val="none" w:sz="0" w:space="0" w:color="auto"/>
      </w:divBdr>
    </w:div>
    <w:div w:id="137570976">
      <w:bodyDiv w:val="1"/>
      <w:marLeft w:val="0"/>
      <w:marRight w:val="0"/>
      <w:marTop w:val="0"/>
      <w:marBottom w:val="0"/>
      <w:divBdr>
        <w:top w:val="none" w:sz="0" w:space="0" w:color="auto"/>
        <w:left w:val="none" w:sz="0" w:space="0" w:color="auto"/>
        <w:bottom w:val="none" w:sz="0" w:space="0" w:color="auto"/>
        <w:right w:val="none" w:sz="0" w:space="0" w:color="auto"/>
      </w:divBdr>
    </w:div>
    <w:div w:id="244149346">
      <w:bodyDiv w:val="1"/>
      <w:marLeft w:val="0"/>
      <w:marRight w:val="0"/>
      <w:marTop w:val="0"/>
      <w:marBottom w:val="0"/>
      <w:divBdr>
        <w:top w:val="none" w:sz="0" w:space="0" w:color="auto"/>
        <w:left w:val="none" w:sz="0" w:space="0" w:color="auto"/>
        <w:bottom w:val="none" w:sz="0" w:space="0" w:color="auto"/>
        <w:right w:val="none" w:sz="0" w:space="0" w:color="auto"/>
      </w:divBdr>
    </w:div>
    <w:div w:id="262955413">
      <w:bodyDiv w:val="1"/>
      <w:marLeft w:val="0"/>
      <w:marRight w:val="0"/>
      <w:marTop w:val="0"/>
      <w:marBottom w:val="0"/>
      <w:divBdr>
        <w:top w:val="none" w:sz="0" w:space="0" w:color="auto"/>
        <w:left w:val="none" w:sz="0" w:space="0" w:color="auto"/>
        <w:bottom w:val="none" w:sz="0" w:space="0" w:color="auto"/>
        <w:right w:val="none" w:sz="0" w:space="0" w:color="auto"/>
      </w:divBdr>
    </w:div>
    <w:div w:id="384330359">
      <w:bodyDiv w:val="1"/>
      <w:marLeft w:val="0"/>
      <w:marRight w:val="0"/>
      <w:marTop w:val="0"/>
      <w:marBottom w:val="0"/>
      <w:divBdr>
        <w:top w:val="none" w:sz="0" w:space="0" w:color="auto"/>
        <w:left w:val="none" w:sz="0" w:space="0" w:color="auto"/>
        <w:bottom w:val="none" w:sz="0" w:space="0" w:color="auto"/>
        <w:right w:val="none" w:sz="0" w:space="0" w:color="auto"/>
      </w:divBdr>
    </w:div>
    <w:div w:id="392850779">
      <w:bodyDiv w:val="1"/>
      <w:marLeft w:val="0"/>
      <w:marRight w:val="0"/>
      <w:marTop w:val="0"/>
      <w:marBottom w:val="0"/>
      <w:divBdr>
        <w:top w:val="none" w:sz="0" w:space="0" w:color="auto"/>
        <w:left w:val="none" w:sz="0" w:space="0" w:color="auto"/>
        <w:bottom w:val="none" w:sz="0" w:space="0" w:color="auto"/>
        <w:right w:val="none" w:sz="0" w:space="0" w:color="auto"/>
      </w:divBdr>
    </w:div>
    <w:div w:id="441847985">
      <w:bodyDiv w:val="1"/>
      <w:marLeft w:val="0"/>
      <w:marRight w:val="0"/>
      <w:marTop w:val="0"/>
      <w:marBottom w:val="0"/>
      <w:divBdr>
        <w:top w:val="none" w:sz="0" w:space="0" w:color="auto"/>
        <w:left w:val="none" w:sz="0" w:space="0" w:color="auto"/>
        <w:bottom w:val="none" w:sz="0" w:space="0" w:color="auto"/>
        <w:right w:val="none" w:sz="0" w:space="0" w:color="auto"/>
      </w:divBdr>
    </w:div>
    <w:div w:id="535779134">
      <w:bodyDiv w:val="1"/>
      <w:marLeft w:val="0"/>
      <w:marRight w:val="0"/>
      <w:marTop w:val="0"/>
      <w:marBottom w:val="0"/>
      <w:divBdr>
        <w:top w:val="none" w:sz="0" w:space="0" w:color="auto"/>
        <w:left w:val="none" w:sz="0" w:space="0" w:color="auto"/>
        <w:bottom w:val="none" w:sz="0" w:space="0" w:color="auto"/>
        <w:right w:val="none" w:sz="0" w:space="0" w:color="auto"/>
      </w:divBdr>
    </w:div>
    <w:div w:id="625041202">
      <w:bodyDiv w:val="1"/>
      <w:marLeft w:val="0"/>
      <w:marRight w:val="0"/>
      <w:marTop w:val="0"/>
      <w:marBottom w:val="0"/>
      <w:divBdr>
        <w:top w:val="none" w:sz="0" w:space="0" w:color="auto"/>
        <w:left w:val="none" w:sz="0" w:space="0" w:color="auto"/>
        <w:bottom w:val="none" w:sz="0" w:space="0" w:color="auto"/>
        <w:right w:val="none" w:sz="0" w:space="0" w:color="auto"/>
      </w:divBdr>
    </w:div>
    <w:div w:id="655032436">
      <w:bodyDiv w:val="1"/>
      <w:marLeft w:val="0"/>
      <w:marRight w:val="0"/>
      <w:marTop w:val="0"/>
      <w:marBottom w:val="0"/>
      <w:divBdr>
        <w:top w:val="none" w:sz="0" w:space="0" w:color="auto"/>
        <w:left w:val="none" w:sz="0" w:space="0" w:color="auto"/>
        <w:bottom w:val="none" w:sz="0" w:space="0" w:color="auto"/>
        <w:right w:val="none" w:sz="0" w:space="0" w:color="auto"/>
      </w:divBdr>
    </w:div>
    <w:div w:id="687680583">
      <w:bodyDiv w:val="1"/>
      <w:marLeft w:val="0"/>
      <w:marRight w:val="0"/>
      <w:marTop w:val="0"/>
      <w:marBottom w:val="0"/>
      <w:divBdr>
        <w:top w:val="none" w:sz="0" w:space="0" w:color="auto"/>
        <w:left w:val="none" w:sz="0" w:space="0" w:color="auto"/>
        <w:bottom w:val="none" w:sz="0" w:space="0" w:color="auto"/>
        <w:right w:val="none" w:sz="0" w:space="0" w:color="auto"/>
      </w:divBdr>
    </w:div>
    <w:div w:id="689456627">
      <w:bodyDiv w:val="1"/>
      <w:marLeft w:val="0"/>
      <w:marRight w:val="0"/>
      <w:marTop w:val="0"/>
      <w:marBottom w:val="0"/>
      <w:divBdr>
        <w:top w:val="none" w:sz="0" w:space="0" w:color="auto"/>
        <w:left w:val="none" w:sz="0" w:space="0" w:color="auto"/>
        <w:bottom w:val="none" w:sz="0" w:space="0" w:color="auto"/>
        <w:right w:val="none" w:sz="0" w:space="0" w:color="auto"/>
      </w:divBdr>
    </w:div>
    <w:div w:id="701634066">
      <w:bodyDiv w:val="1"/>
      <w:marLeft w:val="0"/>
      <w:marRight w:val="0"/>
      <w:marTop w:val="0"/>
      <w:marBottom w:val="0"/>
      <w:divBdr>
        <w:top w:val="none" w:sz="0" w:space="0" w:color="auto"/>
        <w:left w:val="none" w:sz="0" w:space="0" w:color="auto"/>
        <w:bottom w:val="none" w:sz="0" w:space="0" w:color="auto"/>
        <w:right w:val="none" w:sz="0" w:space="0" w:color="auto"/>
      </w:divBdr>
    </w:div>
    <w:div w:id="712968015">
      <w:bodyDiv w:val="1"/>
      <w:marLeft w:val="0"/>
      <w:marRight w:val="0"/>
      <w:marTop w:val="0"/>
      <w:marBottom w:val="0"/>
      <w:divBdr>
        <w:top w:val="none" w:sz="0" w:space="0" w:color="auto"/>
        <w:left w:val="none" w:sz="0" w:space="0" w:color="auto"/>
        <w:bottom w:val="none" w:sz="0" w:space="0" w:color="auto"/>
        <w:right w:val="none" w:sz="0" w:space="0" w:color="auto"/>
      </w:divBdr>
    </w:div>
    <w:div w:id="756829666">
      <w:bodyDiv w:val="1"/>
      <w:marLeft w:val="0"/>
      <w:marRight w:val="0"/>
      <w:marTop w:val="0"/>
      <w:marBottom w:val="0"/>
      <w:divBdr>
        <w:top w:val="none" w:sz="0" w:space="0" w:color="auto"/>
        <w:left w:val="none" w:sz="0" w:space="0" w:color="auto"/>
        <w:bottom w:val="none" w:sz="0" w:space="0" w:color="auto"/>
        <w:right w:val="none" w:sz="0" w:space="0" w:color="auto"/>
      </w:divBdr>
    </w:div>
    <w:div w:id="775292342">
      <w:bodyDiv w:val="1"/>
      <w:marLeft w:val="0"/>
      <w:marRight w:val="0"/>
      <w:marTop w:val="0"/>
      <w:marBottom w:val="0"/>
      <w:divBdr>
        <w:top w:val="none" w:sz="0" w:space="0" w:color="auto"/>
        <w:left w:val="none" w:sz="0" w:space="0" w:color="auto"/>
        <w:bottom w:val="none" w:sz="0" w:space="0" w:color="auto"/>
        <w:right w:val="none" w:sz="0" w:space="0" w:color="auto"/>
      </w:divBdr>
    </w:div>
    <w:div w:id="787242752">
      <w:bodyDiv w:val="1"/>
      <w:marLeft w:val="0"/>
      <w:marRight w:val="0"/>
      <w:marTop w:val="0"/>
      <w:marBottom w:val="0"/>
      <w:divBdr>
        <w:top w:val="none" w:sz="0" w:space="0" w:color="auto"/>
        <w:left w:val="none" w:sz="0" w:space="0" w:color="auto"/>
        <w:bottom w:val="none" w:sz="0" w:space="0" w:color="auto"/>
        <w:right w:val="none" w:sz="0" w:space="0" w:color="auto"/>
      </w:divBdr>
    </w:div>
    <w:div w:id="804199376">
      <w:bodyDiv w:val="1"/>
      <w:marLeft w:val="0"/>
      <w:marRight w:val="0"/>
      <w:marTop w:val="0"/>
      <w:marBottom w:val="0"/>
      <w:divBdr>
        <w:top w:val="none" w:sz="0" w:space="0" w:color="auto"/>
        <w:left w:val="none" w:sz="0" w:space="0" w:color="auto"/>
        <w:bottom w:val="none" w:sz="0" w:space="0" w:color="auto"/>
        <w:right w:val="none" w:sz="0" w:space="0" w:color="auto"/>
      </w:divBdr>
    </w:div>
    <w:div w:id="810751380">
      <w:bodyDiv w:val="1"/>
      <w:marLeft w:val="0"/>
      <w:marRight w:val="0"/>
      <w:marTop w:val="0"/>
      <w:marBottom w:val="0"/>
      <w:divBdr>
        <w:top w:val="none" w:sz="0" w:space="0" w:color="auto"/>
        <w:left w:val="none" w:sz="0" w:space="0" w:color="auto"/>
        <w:bottom w:val="none" w:sz="0" w:space="0" w:color="auto"/>
        <w:right w:val="none" w:sz="0" w:space="0" w:color="auto"/>
      </w:divBdr>
    </w:div>
    <w:div w:id="877475568">
      <w:bodyDiv w:val="1"/>
      <w:marLeft w:val="0"/>
      <w:marRight w:val="0"/>
      <w:marTop w:val="0"/>
      <w:marBottom w:val="0"/>
      <w:divBdr>
        <w:top w:val="none" w:sz="0" w:space="0" w:color="auto"/>
        <w:left w:val="none" w:sz="0" w:space="0" w:color="auto"/>
        <w:bottom w:val="none" w:sz="0" w:space="0" w:color="auto"/>
        <w:right w:val="none" w:sz="0" w:space="0" w:color="auto"/>
      </w:divBdr>
    </w:div>
    <w:div w:id="882904051">
      <w:bodyDiv w:val="1"/>
      <w:marLeft w:val="0"/>
      <w:marRight w:val="0"/>
      <w:marTop w:val="0"/>
      <w:marBottom w:val="0"/>
      <w:divBdr>
        <w:top w:val="none" w:sz="0" w:space="0" w:color="auto"/>
        <w:left w:val="none" w:sz="0" w:space="0" w:color="auto"/>
        <w:bottom w:val="none" w:sz="0" w:space="0" w:color="auto"/>
        <w:right w:val="none" w:sz="0" w:space="0" w:color="auto"/>
      </w:divBdr>
    </w:div>
    <w:div w:id="899366133">
      <w:bodyDiv w:val="1"/>
      <w:marLeft w:val="0"/>
      <w:marRight w:val="0"/>
      <w:marTop w:val="0"/>
      <w:marBottom w:val="0"/>
      <w:divBdr>
        <w:top w:val="none" w:sz="0" w:space="0" w:color="auto"/>
        <w:left w:val="none" w:sz="0" w:space="0" w:color="auto"/>
        <w:bottom w:val="none" w:sz="0" w:space="0" w:color="auto"/>
        <w:right w:val="none" w:sz="0" w:space="0" w:color="auto"/>
      </w:divBdr>
    </w:div>
    <w:div w:id="931204000">
      <w:bodyDiv w:val="1"/>
      <w:marLeft w:val="0"/>
      <w:marRight w:val="0"/>
      <w:marTop w:val="0"/>
      <w:marBottom w:val="0"/>
      <w:divBdr>
        <w:top w:val="none" w:sz="0" w:space="0" w:color="auto"/>
        <w:left w:val="none" w:sz="0" w:space="0" w:color="auto"/>
        <w:bottom w:val="none" w:sz="0" w:space="0" w:color="auto"/>
        <w:right w:val="none" w:sz="0" w:space="0" w:color="auto"/>
      </w:divBdr>
    </w:div>
    <w:div w:id="965770731">
      <w:bodyDiv w:val="1"/>
      <w:marLeft w:val="0"/>
      <w:marRight w:val="0"/>
      <w:marTop w:val="0"/>
      <w:marBottom w:val="0"/>
      <w:divBdr>
        <w:top w:val="none" w:sz="0" w:space="0" w:color="auto"/>
        <w:left w:val="none" w:sz="0" w:space="0" w:color="auto"/>
        <w:bottom w:val="none" w:sz="0" w:space="0" w:color="auto"/>
        <w:right w:val="none" w:sz="0" w:space="0" w:color="auto"/>
      </w:divBdr>
    </w:div>
    <w:div w:id="986864229">
      <w:bodyDiv w:val="1"/>
      <w:marLeft w:val="0"/>
      <w:marRight w:val="0"/>
      <w:marTop w:val="0"/>
      <w:marBottom w:val="0"/>
      <w:divBdr>
        <w:top w:val="none" w:sz="0" w:space="0" w:color="auto"/>
        <w:left w:val="none" w:sz="0" w:space="0" w:color="auto"/>
        <w:bottom w:val="none" w:sz="0" w:space="0" w:color="auto"/>
        <w:right w:val="none" w:sz="0" w:space="0" w:color="auto"/>
      </w:divBdr>
    </w:div>
    <w:div w:id="998730558">
      <w:bodyDiv w:val="1"/>
      <w:marLeft w:val="0"/>
      <w:marRight w:val="0"/>
      <w:marTop w:val="0"/>
      <w:marBottom w:val="0"/>
      <w:divBdr>
        <w:top w:val="none" w:sz="0" w:space="0" w:color="auto"/>
        <w:left w:val="none" w:sz="0" w:space="0" w:color="auto"/>
        <w:bottom w:val="none" w:sz="0" w:space="0" w:color="auto"/>
        <w:right w:val="none" w:sz="0" w:space="0" w:color="auto"/>
      </w:divBdr>
    </w:div>
    <w:div w:id="1036080551">
      <w:bodyDiv w:val="1"/>
      <w:marLeft w:val="0"/>
      <w:marRight w:val="0"/>
      <w:marTop w:val="0"/>
      <w:marBottom w:val="0"/>
      <w:divBdr>
        <w:top w:val="none" w:sz="0" w:space="0" w:color="auto"/>
        <w:left w:val="none" w:sz="0" w:space="0" w:color="auto"/>
        <w:bottom w:val="none" w:sz="0" w:space="0" w:color="auto"/>
        <w:right w:val="none" w:sz="0" w:space="0" w:color="auto"/>
      </w:divBdr>
    </w:div>
    <w:div w:id="1081486901">
      <w:bodyDiv w:val="1"/>
      <w:marLeft w:val="0"/>
      <w:marRight w:val="0"/>
      <w:marTop w:val="0"/>
      <w:marBottom w:val="0"/>
      <w:divBdr>
        <w:top w:val="none" w:sz="0" w:space="0" w:color="auto"/>
        <w:left w:val="none" w:sz="0" w:space="0" w:color="auto"/>
        <w:bottom w:val="none" w:sz="0" w:space="0" w:color="auto"/>
        <w:right w:val="none" w:sz="0" w:space="0" w:color="auto"/>
      </w:divBdr>
    </w:div>
    <w:div w:id="1120343740">
      <w:bodyDiv w:val="1"/>
      <w:marLeft w:val="0"/>
      <w:marRight w:val="0"/>
      <w:marTop w:val="0"/>
      <w:marBottom w:val="0"/>
      <w:divBdr>
        <w:top w:val="none" w:sz="0" w:space="0" w:color="auto"/>
        <w:left w:val="none" w:sz="0" w:space="0" w:color="auto"/>
        <w:bottom w:val="none" w:sz="0" w:space="0" w:color="auto"/>
        <w:right w:val="none" w:sz="0" w:space="0" w:color="auto"/>
      </w:divBdr>
    </w:div>
    <w:div w:id="1134446817">
      <w:bodyDiv w:val="1"/>
      <w:marLeft w:val="0"/>
      <w:marRight w:val="0"/>
      <w:marTop w:val="0"/>
      <w:marBottom w:val="0"/>
      <w:divBdr>
        <w:top w:val="none" w:sz="0" w:space="0" w:color="auto"/>
        <w:left w:val="none" w:sz="0" w:space="0" w:color="auto"/>
        <w:bottom w:val="none" w:sz="0" w:space="0" w:color="auto"/>
        <w:right w:val="none" w:sz="0" w:space="0" w:color="auto"/>
      </w:divBdr>
    </w:div>
    <w:div w:id="1181503958">
      <w:bodyDiv w:val="1"/>
      <w:marLeft w:val="0"/>
      <w:marRight w:val="0"/>
      <w:marTop w:val="0"/>
      <w:marBottom w:val="0"/>
      <w:divBdr>
        <w:top w:val="none" w:sz="0" w:space="0" w:color="auto"/>
        <w:left w:val="none" w:sz="0" w:space="0" w:color="auto"/>
        <w:bottom w:val="none" w:sz="0" w:space="0" w:color="auto"/>
        <w:right w:val="none" w:sz="0" w:space="0" w:color="auto"/>
      </w:divBdr>
    </w:div>
    <w:div w:id="1215459567">
      <w:bodyDiv w:val="1"/>
      <w:marLeft w:val="0"/>
      <w:marRight w:val="0"/>
      <w:marTop w:val="0"/>
      <w:marBottom w:val="0"/>
      <w:divBdr>
        <w:top w:val="none" w:sz="0" w:space="0" w:color="auto"/>
        <w:left w:val="none" w:sz="0" w:space="0" w:color="auto"/>
        <w:bottom w:val="none" w:sz="0" w:space="0" w:color="auto"/>
        <w:right w:val="none" w:sz="0" w:space="0" w:color="auto"/>
      </w:divBdr>
    </w:div>
    <w:div w:id="1253466262">
      <w:bodyDiv w:val="1"/>
      <w:marLeft w:val="0"/>
      <w:marRight w:val="0"/>
      <w:marTop w:val="0"/>
      <w:marBottom w:val="0"/>
      <w:divBdr>
        <w:top w:val="none" w:sz="0" w:space="0" w:color="auto"/>
        <w:left w:val="none" w:sz="0" w:space="0" w:color="auto"/>
        <w:bottom w:val="none" w:sz="0" w:space="0" w:color="auto"/>
        <w:right w:val="none" w:sz="0" w:space="0" w:color="auto"/>
      </w:divBdr>
    </w:div>
    <w:div w:id="1362436427">
      <w:bodyDiv w:val="1"/>
      <w:marLeft w:val="0"/>
      <w:marRight w:val="0"/>
      <w:marTop w:val="0"/>
      <w:marBottom w:val="0"/>
      <w:divBdr>
        <w:top w:val="none" w:sz="0" w:space="0" w:color="auto"/>
        <w:left w:val="none" w:sz="0" w:space="0" w:color="auto"/>
        <w:bottom w:val="none" w:sz="0" w:space="0" w:color="auto"/>
        <w:right w:val="none" w:sz="0" w:space="0" w:color="auto"/>
      </w:divBdr>
    </w:div>
    <w:div w:id="1373112274">
      <w:bodyDiv w:val="1"/>
      <w:marLeft w:val="0"/>
      <w:marRight w:val="0"/>
      <w:marTop w:val="0"/>
      <w:marBottom w:val="0"/>
      <w:divBdr>
        <w:top w:val="none" w:sz="0" w:space="0" w:color="auto"/>
        <w:left w:val="none" w:sz="0" w:space="0" w:color="auto"/>
        <w:bottom w:val="none" w:sz="0" w:space="0" w:color="auto"/>
        <w:right w:val="none" w:sz="0" w:space="0" w:color="auto"/>
      </w:divBdr>
    </w:div>
    <w:div w:id="1428113796">
      <w:bodyDiv w:val="1"/>
      <w:marLeft w:val="0"/>
      <w:marRight w:val="0"/>
      <w:marTop w:val="0"/>
      <w:marBottom w:val="0"/>
      <w:divBdr>
        <w:top w:val="none" w:sz="0" w:space="0" w:color="auto"/>
        <w:left w:val="none" w:sz="0" w:space="0" w:color="auto"/>
        <w:bottom w:val="none" w:sz="0" w:space="0" w:color="auto"/>
        <w:right w:val="none" w:sz="0" w:space="0" w:color="auto"/>
      </w:divBdr>
    </w:div>
    <w:div w:id="1500805401">
      <w:bodyDiv w:val="1"/>
      <w:marLeft w:val="0"/>
      <w:marRight w:val="0"/>
      <w:marTop w:val="0"/>
      <w:marBottom w:val="0"/>
      <w:divBdr>
        <w:top w:val="none" w:sz="0" w:space="0" w:color="auto"/>
        <w:left w:val="none" w:sz="0" w:space="0" w:color="auto"/>
        <w:bottom w:val="none" w:sz="0" w:space="0" w:color="auto"/>
        <w:right w:val="none" w:sz="0" w:space="0" w:color="auto"/>
      </w:divBdr>
    </w:div>
    <w:div w:id="1505169032">
      <w:bodyDiv w:val="1"/>
      <w:marLeft w:val="0"/>
      <w:marRight w:val="0"/>
      <w:marTop w:val="0"/>
      <w:marBottom w:val="0"/>
      <w:divBdr>
        <w:top w:val="none" w:sz="0" w:space="0" w:color="auto"/>
        <w:left w:val="none" w:sz="0" w:space="0" w:color="auto"/>
        <w:bottom w:val="none" w:sz="0" w:space="0" w:color="auto"/>
        <w:right w:val="none" w:sz="0" w:space="0" w:color="auto"/>
      </w:divBdr>
    </w:div>
    <w:div w:id="1553270308">
      <w:bodyDiv w:val="1"/>
      <w:marLeft w:val="0"/>
      <w:marRight w:val="0"/>
      <w:marTop w:val="0"/>
      <w:marBottom w:val="0"/>
      <w:divBdr>
        <w:top w:val="none" w:sz="0" w:space="0" w:color="auto"/>
        <w:left w:val="none" w:sz="0" w:space="0" w:color="auto"/>
        <w:bottom w:val="none" w:sz="0" w:space="0" w:color="auto"/>
        <w:right w:val="none" w:sz="0" w:space="0" w:color="auto"/>
      </w:divBdr>
    </w:div>
    <w:div w:id="1599945773">
      <w:bodyDiv w:val="1"/>
      <w:marLeft w:val="0"/>
      <w:marRight w:val="0"/>
      <w:marTop w:val="0"/>
      <w:marBottom w:val="0"/>
      <w:divBdr>
        <w:top w:val="none" w:sz="0" w:space="0" w:color="auto"/>
        <w:left w:val="none" w:sz="0" w:space="0" w:color="auto"/>
        <w:bottom w:val="none" w:sz="0" w:space="0" w:color="auto"/>
        <w:right w:val="none" w:sz="0" w:space="0" w:color="auto"/>
      </w:divBdr>
    </w:div>
    <w:div w:id="1605529290">
      <w:bodyDiv w:val="1"/>
      <w:marLeft w:val="0"/>
      <w:marRight w:val="0"/>
      <w:marTop w:val="0"/>
      <w:marBottom w:val="0"/>
      <w:divBdr>
        <w:top w:val="none" w:sz="0" w:space="0" w:color="auto"/>
        <w:left w:val="none" w:sz="0" w:space="0" w:color="auto"/>
        <w:bottom w:val="none" w:sz="0" w:space="0" w:color="auto"/>
        <w:right w:val="none" w:sz="0" w:space="0" w:color="auto"/>
      </w:divBdr>
    </w:div>
    <w:div w:id="1657414356">
      <w:bodyDiv w:val="1"/>
      <w:marLeft w:val="0"/>
      <w:marRight w:val="0"/>
      <w:marTop w:val="0"/>
      <w:marBottom w:val="0"/>
      <w:divBdr>
        <w:top w:val="none" w:sz="0" w:space="0" w:color="auto"/>
        <w:left w:val="none" w:sz="0" w:space="0" w:color="auto"/>
        <w:bottom w:val="none" w:sz="0" w:space="0" w:color="auto"/>
        <w:right w:val="none" w:sz="0" w:space="0" w:color="auto"/>
      </w:divBdr>
    </w:div>
    <w:div w:id="1671178402">
      <w:bodyDiv w:val="1"/>
      <w:marLeft w:val="0"/>
      <w:marRight w:val="0"/>
      <w:marTop w:val="0"/>
      <w:marBottom w:val="0"/>
      <w:divBdr>
        <w:top w:val="none" w:sz="0" w:space="0" w:color="auto"/>
        <w:left w:val="none" w:sz="0" w:space="0" w:color="auto"/>
        <w:bottom w:val="none" w:sz="0" w:space="0" w:color="auto"/>
        <w:right w:val="none" w:sz="0" w:space="0" w:color="auto"/>
      </w:divBdr>
    </w:div>
    <w:div w:id="1683435498">
      <w:bodyDiv w:val="1"/>
      <w:marLeft w:val="0"/>
      <w:marRight w:val="0"/>
      <w:marTop w:val="0"/>
      <w:marBottom w:val="0"/>
      <w:divBdr>
        <w:top w:val="none" w:sz="0" w:space="0" w:color="auto"/>
        <w:left w:val="none" w:sz="0" w:space="0" w:color="auto"/>
        <w:bottom w:val="none" w:sz="0" w:space="0" w:color="auto"/>
        <w:right w:val="none" w:sz="0" w:space="0" w:color="auto"/>
      </w:divBdr>
    </w:div>
    <w:div w:id="1689064650">
      <w:bodyDiv w:val="1"/>
      <w:marLeft w:val="0"/>
      <w:marRight w:val="0"/>
      <w:marTop w:val="0"/>
      <w:marBottom w:val="0"/>
      <w:divBdr>
        <w:top w:val="none" w:sz="0" w:space="0" w:color="auto"/>
        <w:left w:val="none" w:sz="0" w:space="0" w:color="auto"/>
        <w:bottom w:val="none" w:sz="0" w:space="0" w:color="auto"/>
        <w:right w:val="none" w:sz="0" w:space="0" w:color="auto"/>
      </w:divBdr>
    </w:div>
    <w:div w:id="1744570648">
      <w:bodyDiv w:val="1"/>
      <w:marLeft w:val="0"/>
      <w:marRight w:val="0"/>
      <w:marTop w:val="0"/>
      <w:marBottom w:val="0"/>
      <w:divBdr>
        <w:top w:val="none" w:sz="0" w:space="0" w:color="auto"/>
        <w:left w:val="none" w:sz="0" w:space="0" w:color="auto"/>
        <w:bottom w:val="none" w:sz="0" w:space="0" w:color="auto"/>
        <w:right w:val="none" w:sz="0" w:space="0" w:color="auto"/>
      </w:divBdr>
    </w:div>
    <w:div w:id="1754425512">
      <w:bodyDiv w:val="1"/>
      <w:marLeft w:val="0"/>
      <w:marRight w:val="0"/>
      <w:marTop w:val="0"/>
      <w:marBottom w:val="0"/>
      <w:divBdr>
        <w:top w:val="none" w:sz="0" w:space="0" w:color="auto"/>
        <w:left w:val="none" w:sz="0" w:space="0" w:color="auto"/>
        <w:bottom w:val="none" w:sz="0" w:space="0" w:color="auto"/>
        <w:right w:val="none" w:sz="0" w:space="0" w:color="auto"/>
      </w:divBdr>
      <w:divsChild>
        <w:div w:id="1685135388">
          <w:marLeft w:val="0"/>
          <w:marRight w:val="0"/>
          <w:marTop w:val="0"/>
          <w:marBottom w:val="0"/>
          <w:divBdr>
            <w:top w:val="none" w:sz="0" w:space="0" w:color="auto"/>
            <w:left w:val="none" w:sz="0" w:space="0" w:color="auto"/>
            <w:bottom w:val="none" w:sz="0" w:space="0" w:color="auto"/>
            <w:right w:val="none" w:sz="0" w:space="0" w:color="auto"/>
          </w:divBdr>
          <w:divsChild>
            <w:div w:id="506791876">
              <w:marLeft w:val="0"/>
              <w:marRight w:val="0"/>
              <w:marTop w:val="0"/>
              <w:marBottom w:val="0"/>
              <w:divBdr>
                <w:top w:val="none" w:sz="0" w:space="0" w:color="auto"/>
                <w:left w:val="none" w:sz="0" w:space="0" w:color="auto"/>
                <w:bottom w:val="none" w:sz="0" w:space="0" w:color="auto"/>
                <w:right w:val="none" w:sz="0" w:space="0" w:color="auto"/>
              </w:divBdr>
              <w:divsChild>
                <w:div w:id="7687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191688">
      <w:bodyDiv w:val="1"/>
      <w:marLeft w:val="0"/>
      <w:marRight w:val="0"/>
      <w:marTop w:val="0"/>
      <w:marBottom w:val="0"/>
      <w:divBdr>
        <w:top w:val="none" w:sz="0" w:space="0" w:color="auto"/>
        <w:left w:val="none" w:sz="0" w:space="0" w:color="auto"/>
        <w:bottom w:val="none" w:sz="0" w:space="0" w:color="auto"/>
        <w:right w:val="none" w:sz="0" w:space="0" w:color="auto"/>
      </w:divBdr>
    </w:div>
    <w:div w:id="1850950183">
      <w:bodyDiv w:val="1"/>
      <w:marLeft w:val="0"/>
      <w:marRight w:val="0"/>
      <w:marTop w:val="0"/>
      <w:marBottom w:val="0"/>
      <w:divBdr>
        <w:top w:val="none" w:sz="0" w:space="0" w:color="auto"/>
        <w:left w:val="none" w:sz="0" w:space="0" w:color="auto"/>
        <w:bottom w:val="none" w:sz="0" w:space="0" w:color="auto"/>
        <w:right w:val="none" w:sz="0" w:space="0" w:color="auto"/>
      </w:divBdr>
    </w:div>
    <w:div w:id="1999454567">
      <w:bodyDiv w:val="1"/>
      <w:marLeft w:val="0"/>
      <w:marRight w:val="0"/>
      <w:marTop w:val="0"/>
      <w:marBottom w:val="0"/>
      <w:divBdr>
        <w:top w:val="none" w:sz="0" w:space="0" w:color="auto"/>
        <w:left w:val="none" w:sz="0" w:space="0" w:color="auto"/>
        <w:bottom w:val="none" w:sz="0" w:space="0" w:color="auto"/>
        <w:right w:val="none" w:sz="0" w:space="0" w:color="auto"/>
      </w:divBdr>
    </w:div>
    <w:div w:id="2050715000">
      <w:bodyDiv w:val="1"/>
      <w:marLeft w:val="0"/>
      <w:marRight w:val="0"/>
      <w:marTop w:val="0"/>
      <w:marBottom w:val="0"/>
      <w:divBdr>
        <w:top w:val="none" w:sz="0" w:space="0" w:color="auto"/>
        <w:left w:val="none" w:sz="0" w:space="0" w:color="auto"/>
        <w:bottom w:val="none" w:sz="0" w:space="0" w:color="auto"/>
        <w:right w:val="none" w:sz="0" w:space="0" w:color="auto"/>
      </w:divBdr>
      <w:divsChild>
        <w:div w:id="509027247">
          <w:marLeft w:val="0"/>
          <w:marRight w:val="0"/>
          <w:marTop w:val="0"/>
          <w:marBottom w:val="0"/>
          <w:divBdr>
            <w:top w:val="none" w:sz="0" w:space="0" w:color="auto"/>
            <w:left w:val="none" w:sz="0" w:space="0" w:color="auto"/>
            <w:bottom w:val="none" w:sz="0" w:space="0" w:color="auto"/>
            <w:right w:val="none" w:sz="0" w:space="0" w:color="auto"/>
          </w:divBdr>
          <w:divsChild>
            <w:div w:id="2055494440">
              <w:marLeft w:val="0"/>
              <w:marRight w:val="0"/>
              <w:marTop w:val="0"/>
              <w:marBottom w:val="0"/>
              <w:divBdr>
                <w:top w:val="none" w:sz="0" w:space="0" w:color="auto"/>
                <w:left w:val="none" w:sz="0" w:space="0" w:color="auto"/>
                <w:bottom w:val="none" w:sz="0" w:space="0" w:color="auto"/>
                <w:right w:val="none" w:sz="0" w:space="0" w:color="auto"/>
              </w:divBdr>
              <w:divsChild>
                <w:div w:id="80585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593323">
      <w:bodyDiv w:val="1"/>
      <w:marLeft w:val="0"/>
      <w:marRight w:val="0"/>
      <w:marTop w:val="0"/>
      <w:marBottom w:val="0"/>
      <w:divBdr>
        <w:top w:val="none" w:sz="0" w:space="0" w:color="auto"/>
        <w:left w:val="none" w:sz="0" w:space="0" w:color="auto"/>
        <w:bottom w:val="none" w:sz="0" w:space="0" w:color="auto"/>
        <w:right w:val="none" w:sz="0" w:space="0" w:color="auto"/>
      </w:divBdr>
    </w:div>
    <w:div w:id="2075152705">
      <w:bodyDiv w:val="1"/>
      <w:marLeft w:val="0"/>
      <w:marRight w:val="0"/>
      <w:marTop w:val="0"/>
      <w:marBottom w:val="0"/>
      <w:divBdr>
        <w:top w:val="none" w:sz="0" w:space="0" w:color="auto"/>
        <w:left w:val="none" w:sz="0" w:space="0" w:color="auto"/>
        <w:bottom w:val="none" w:sz="0" w:space="0" w:color="auto"/>
        <w:right w:val="none" w:sz="0" w:space="0" w:color="auto"/>
      </w:divBdr>
    </w:div>
    <w:div w:id="2095784384">
      <w:bodyDiv w:val="1"/>
      <w:marLeft w:val="0"/>
      <w:marRight w:val="0"/>
      <w:marTop w:val="0"/>
      <w:marBottom w:val="0"/>
      <w:divBdr>
        <w:top w:val="none" w:sz="0" w:space="0" w:color="auto"/>
        <w:left w:val="none" w:sz="0" w:space="0" w:color="auto"/>
        <w:bottom w:val="none" w:sz="0" w:space="0" w:color="auto"/>
        <w:right w:val="none" w:sz="0" w:space="0" w:color="auto"/>
      </w:divBdr>
    </w:div>
    <w:div w:id="2114205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eehamnews.com/2025/10/13/heading-toward-year-end-airbus-maintains-lead-in-narrowbody-orders-but-boeing-commands-the-widebody-sector/" TargetMode="External"/><Relationship Id="rId7" Type="http://schemas.openxmlformats.org/officeDocument/2006/relationships/endnotes" Target="endnotes.xml"/><Relationship Id="rId12" Type="http://schemas.openxmlformats.org/officeDocument/2006/relationships/hyperlink" Target="https://www.semanticscholar.org/"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airbus.com/sites/g/files/jlcbta136/files/2024-03/Airbus-Annual-Report-20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energy.gov/cmei/fuels/sustainable-aviation-fuel-grand-challenge" TargetMode="External"/><Relationship Id="rId10" Type="http://schemas.openxmlformats.org/officeDocument/2006/relationships/hyperlink" Target="https://quillbot.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notebooklm.google/" TargetMode="External"/><Relationship Id="rId14" Type="http://schemas.openxmlformats.org/officeDocument/2006/relationships/image" Target="media/image3.png"/><Relationship Id="rId22" Type="http://schemas.openxmlformats.org/officeDocument/2006/relationships/hyperlink" Target="http://dx.doi.org/10.1177/00187267470010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Joh202</b:Tag>
    <b:SourceType>JournalArticle</b:SourceType>
    <b:Guid>{43E23102-3FB8-4436-B14B-76B0A21FE078}</b:Guid>
    <b:Author>
      <b:Author>
        <b:NameList>
          <b:Person>
            <b:Last>Johnson</b:Last>
            <b:First>G,</b:First>
            <b:Middle>Whittington,R,Scholes,K,Angwin,D and Regner,P</b:Middle>
          </b:Person>
        </b:NameList>
      </b:Author>
    </b:Author>
    <b:Title>Exploring Strategy: </b:Title>
    <b:Year>2020</b:Year>
    <b:Issue>Harlow Pearson</b:Issue>
    <b:RefOrder>2</b:RefOrder>
  </b:Source>
  <b:Source>
    <b:Tag>Bar91</b:Tag>
    <b:SourceType>JournalArticle</b:SourceType>
    <b:Guid>{58C33D88-8183-4455-AFE5-503688250655}</b:Guid>
    <b:Author>
      <b:Author>
        <b:NameList>
          <b:Person>
            <b:Last>J.</b:Last>
            <b:First>Barney</b:First>
            <b:Middle>&amp;</b:Middle>
          </b:Person>
        </b:NameList>
      </b:Author>
    </b:Author>
    <b:Title>Firm resources and sustained competitive advantage’, Journal of Management</b:Title>
    <b:Year>1991</b:Year>
    <b:Pages>99–120</b:Pages>
    <b:Volume>17(1)</b:Volume>
    <b:RefOrder>3</b:RefOrder>
  </b:Source>
  <b:Source>
    <b:Tag>Kap96</b:Tag>
    <b:SourceType>JournalArticle</b:SourceType>
    <b:Guid>{D4F648E2-7ECE-49E3-8D8C-7C13BF9BD6C5}</b:Guid>
    <b:Author>
      <b:Author>
        <b:NameList>
          <b:Person>
            <b:Last>Kaplan</b:Last>
            <b:First>R.S</b:First>
            <b:Middle>and Norton, D.P</b:Middle>
          </b:Person>
        </b:NameList>
      </b:Author>
    </b:Author>
    <b:Title>The Balanced Scorecard: Translating Strategy into Action.</b:Title>
    <b:Year>1996</b:Year>
    <b:Issue>Boston: Harvard Business School Press.</b:Issue>
    <b:RefOrder>4</b:RefOrder>
  </b:Source>
  <b:Source>
    <b:Tag>Ans57</b:Tag>
    <b:SourceType>JournalArticle</b:SourceType>
    <b:Guid>{09417229-925C-4C79-B9FD-C31308AFE5A3}</b:Guid>
    <b:Author>
      <b:Author>
        <b:NameList>
          <b:Person>
            <b:Last>I</b:Last>
            <b:First>Ansoff</b:First>
            <b:Middle>&amp; H</b:Middle>
          </b:Person>
        </b:NameList>
      </b:Author>
    </b:Author>
    <b:Title>Strategies for Diversification</b:Title>
    <b:Year>1957)</b:Year>
    <b:Pages>113–124</b:Pages>
    <b:Volume>35(5)</b:Volume>
    <b:Issue>Harvard Business Review</b:Issue>
    <b:RefOrder>5</b:RefOrder>
  </b:Source>
  <b:Source>
    <b:Tag>Gib88</b:Tag>
    <b:SourceType>JournalArticle</b:SourceType>
    <b:Guid>{C7B846C1-33FC-4683-8B68-74C343D02405}</b:Guid>
    <b:Author>
      <b:Author>
        <b:NameList>
          <b:Person>
            <b:Last>Gibbs</b:Last>
            <b:First>G</b:First>
          </b:Person>
        </b:NameList>
      </b:Author>
    </b:Author>
    <b:Title>Learning by Doing: A Guide to Teaching and Learning Methods.</b:Title>
    <b:Year>1988</b:Year>
    <b:Issue> Oxford: Oxford Polytechnic</b:Issue>
    <b:RefOrder>6</b:RefOrder>
  </b:Source>
  <b:Source>
    <b:Tag>Air231</b:Tag>
    <b:SourceType>Report</b:SourceType>
    <b:Guid>{635F73EB-5400-46F1-8F71-83A4160037C8}</b:Guid>
    <b:Title>Annual Report 2023</b:Title>
    <b:Year>2023</b:Year>
    <b:Author>
      <b:Author>
        <b:NameList>
          <b:Person>
            <b:Last>Airbus</b:Last>
          </b:Person>
        </b:NameList>
      </b:Author>
    </b:Author>
    <b:RefOrder>7</b:RefOrder>
  </b:Source>
  <b:Source>
    <b:Tag>Hay86</b:Tag>
    <b:SourceType>Book</b:SourceType>
    <b:Guid>{0F9B2A05-6345-4FCC-85DE-01A6B50A708A}</b:Guid>
    <b:Title>The World Aerospace Industry: Collaboration and Competition</b:Title>
    <b:Year>1986</b:Year>
    <b:City>London: Duckworth</b:City>
    <b:Author>
      <b:Author>
        <b:NameList>
          <b:Person>
            <b:Last>Hayward</b:Last>
            <b:First>K.</b:First>
          </b:Person>
        </b:NameList>
      </b:Author>
    </b:Author>
    <b:RefOrder>8</b:RefOrder>
  </b:Source>
  <b:Source>
    <b:Tag>Lee25</b:Tag>
    <b:SourceType>InternetSite</b:SourceType>
    <b:Guid>{C2F68CE5-24F9-46A5-86C8-5F2AC2A48E2F}</b:Guid>
    <b:Author>
      <b:Author>
        <b:NameList>
          <b:Person>
            <b:Last>News</b:Last>
            <b:First>Leeham</b:First>
          </b:Person>
        </b:NameList>
      </b:Author>
    </b:Author>
    <b:Title>Heading toward year-end, Airbus maintains lead in narrowbody orders but Boeing commands the widebody sector</b:Title>
    <b:Year>2025</b:Year>
    <b:URL>https://leehamnews.com/2025/10/13/heading-toward-year-end-airbus-maintains-lead-in-narrowbody-orders-but-boeing-commands-the-widebody-sector/</b:URL>
    <b:RefOrder>9</b:RefOrder>
  </b:Source>
  <b:Source>
    <b:Tag>BBC25</b:Tag>
    <b:SourceType>InternetSite</b:SourceType>
    <b:Guid>{4E7A477A-6CAA-4E41-8889-3BCA0ED96C51}</b:Guid>
    <b:Author>
      <b:Author>
        <b:NameList>
          <b:Person>
            <b:Last>News</b:Last>
            <b:First>BBC</b:First>
          </b:Person>
        </b:NameList>
      </b:Author>
    </b:Author>
    <b:Title>Boeing output hit by strikes and safety problems</b:Title>
    <b:Year>2025</b:Year>
    <b:URL>https://www.bbc.co.uk/news/articles/c4gp2ydkywno</b:URL>
    <b:RefOrder>10</b:RefOrder>
  </b:Source>
  <b:Source>
    <b:Tag>Kot24</b:Tag>
    <b:SourceType>JournalArticle</b:SourceType>
    <b:Guid>{FB957D39-28A2-4834-ABF7-13E80B233478}</b:Guid>
    <b:Title>Marketing Management. </b:Title>
    <b:Year>2024</b:Year>
    <b:Author>
      <b:Author>
        <b:NameList>
          <b:Person>
            <b:Last>Kotler</b:Last>
            <b:First>P.</b:First>
          </b:Person>
        </b:NameList>
      </b:Author>
    </b:Author>
    <b:Issue>17th edn. Harlow: Pearson.</b:Issue>
    <b:RefOrder>11</b:RefOrder>
  </b:Source>
  <b:Source>
    <b:Tag>Por23</b:Tag>
    <b:SourceType>JournalArticle</b:SourceType>
    <b:Guid>{45C650CD-F632-49DE-8C01-512D1982710C}</b:Guid>
    <b:Author>
      <b:Author>
        <b:NameList>
          <b:Person>
            <b:Last>E</b:Last>
            <b:First>Porter</b:First>
            <b:Middle>&amp; M</b:Middle>
          </b:Person>
        </b:NameList>
      </b:Author>
    </b:Author>
    <b:Title>Changing patterns of international competition. </b:Title>
    <b:JournalName> In International strategic management</b:JournalName>
    <b:Year>2023</b:Year>
    <b:Pages>pp. 61-86</b:Pages>
    <b:RefOrder>12</b:RefOrder>
  </b:Source>
  <b:Source>
    <b:Tag>Bas26</b:Tag>
    <b:SourceType>JournalArticle</b:SourceType>
    <b:Guid>{B2470488-2F25-4FE7-95CF-9612191A3BEB}</b:Guid>
    <b:Author>
      <b:Author>
        <b:NameList>
          <b:Person>
            <b:Last>Basmar</b:Last>
            <b:First>E.,</b:First>
            <b:Middle>Syafri, M., Andriani, S. and Adys, H.P.</b:Middle>
          </b:Person>
        </b:NameList>
      </b:Author>
    </b:Author>
    <b:Title>PRINCIPLES OF ECONOMICS: THEORY AND PRACTICE. </b:Title>
    <b:Year>2026</b:Year>
    <b:Issue>Mind Power Publishing</b:Issue>
    <b:RefOrder>13</b:RefOrder>
  </b:Source>
  <b:Source>
    <b:Tag>Sch17</b:Tag>
    <b:SourceType>Book</b:SourceType>
    <b:Guid>{F9C07350-AFF5-4077-BE83-1D223DFDC813}</b:Guid>
    <b:Title>The Fourth Industrial Revolution. </b:Title>
    <b:Year>2017</b:Year>
    <b:Author>
      <b:Author>
        <b:NameList>
          <b:Person>
            <b:Last>Schwab</b:Last>
            <b:First>K.</b:First>
          </b:Person>
        </b:NameList>
      </b:Author>
    </b:Author>
    <b:Edition>Geneva: World Economic Forum.</b:Edition>
    <b:RefOrder>14</b:RefOrder>
  </b:Source>
  <b:Source>
    <b:Tag>Gra22</b:Tag>
    <b:SourceType>Book</b:SourceType>
    <b:Guid>{199561D7-6BB0-4656-BA16-CF6C76A1EE6F}</b:Guid>
    <b:Author>
      <b:Author>
        <b:NameList>
          <b:Person>
            <b:Last>Grant</b:Last>
            <b:First>R.M.</b:First>
          </b:Person>
        </b:NameList>
      </b:Author>
    </b:Author>
    <b:Title>Contemporary Strategy Analysis. </b:Title>
    <b:Year>2022 </b:Year>
    <b:Publisher>Hoboken: Wiley.</b:Publisher>
    <b:Edition>11th </b:Edition>
    <b:RefOrder>15</b:RefOrder>
  </b:Source>
  <b:Source>
    <b:Tag>Wib17</b:Tag>
    <b:SourceType>JournalArticle</b:SourceType>
    <b:Guid>{5BC8F569-8122-44ED-ABB6-A6E11ECE26F0}</b:Guid>
    <b:Title>Legitimacy of State Ownership in Foreign Direct Investments by Emerging Economy Firms", International Business Diplomacy: How Can Multinational Corporations Deal with Global Challenges?</b:Title>
    <b:Year>2017</b:Year>
    <b:Author>
      <b:Author>
        <b:NameList>
          <b:Person>
            <b:Last>Kittilaksanawong</b:Last>
            <b:First>Wiboon</b:First>
          </b:Person>
        </b:NameList>
      </b:Author>
    </b:Author>
    <b:RefOrder>16</b:RefOrder>
  </b:Source>
  <b:Source>
    <b:Tag>Bug18</b:Tag>
    <b:SourceType>JournalArticle</b:SourceType>
    <b:Guid>{57296D5F-1D3E-42F0-BF55-15C4BEF54ED9}</b:Guid>
    <b:Author>
      <b:Author>
        <b:NameList>
          <b:Person>
            <b:Last>Bughin</b:Last>
            <b:First>J.,</b:First>
            <b:Middle>Seong, J., Manyika, J., Chui, M., &amp; Joshi, R.</b:Middle>
          </b:Person>
        </b:NameList>
      </b:Author>
    </b:Author>
    <b:Title>Notes from the AI Frontier: Modeling the Impact of AI on the World Economy.</b:Title>
    <b:Year> 2018 </b:Year>
    <b:Issue> McKinsey Global Institute</b:Issue>
    <b:RefOrder>17</b:RefOrder>
  </b:Source>
  <b:Source>
    <b:Tag>USD23</b:Tag>
    <b:SourceType>InternetSite</b:SourceType>
    <b:Guid>{CCBBBA4A-3EF2-4429-880C-D4389F07E5BC}</b:Guid>
    <b:Title>Sustainable Aviation Fuel Grand Challenge Roadmap. </b:Title>
    <b:Year>2023</b:Year>
    <b:Author>
      <b:Author>
        <b:NameList>
          <b:Person>
            <b:Last>Energy.</b:Last>
            <b:First>U.S.</b:First>
            <b:Middle>Department of</b:Middle>
          </b:Person>
        </b:NameList>
      </b:Author>
    </b:Author>
    <b:URL>https://www.energy.gov/cmei/fuels/sustainable-aviation-fuel-grand-challenge</b:URL>
    <b:RefOrder>18</b:RefOrder>
  </b:Source>
  <b:Source>
    <b:Tag>Gór25</b:Tag>
    <b:SourceType>JournalArticle</b:SourceType>
    <b:Guid>{2AD6BF61-CE82-4B16-96BE-E25F1FACF571}</b:Guid>
    <b:Title>Introduction: Challenges to Aviation Global Regulatory Milieu in the Geoeconomic and Long-History Context.</b:Title>
    <b:Year>2025</b:Year>
    <b:Author>
      <b:Author>
        <b:NameList>
          <b:Person>
            <b:Last>Górski</b:Last>
            <b:First>J</b:First>
            <b:Middle>and Zhao, Y</b:Middle>
          </b:Person>
        </b:NameList>
      </b:Author>
    </b:Author>
    <b:JournalName> In Aviation Law and Governance</b:JournalName>
    <b:Pages>1-85</b:Pages>
    <b:RefOrder>19</b:RefOrder>
  </b:Source>
  <b:Source>
    <b:Tag>Koo25</b:Tag>
    <b:SourceType>JournalArticle</b:SourceType>
    <b:Guid>{68835D3D-AF25-4B29-87DB-726E617AB7DB}</b:Guid>
    <b:Author>
      <b:Author>
        <b:NameList>
          <b:Person>
            <b:Last>Koopman</b:Last>
            <b:First>R</b:First>
            <b:Middle>B and Tsigas, M,</b:Middle>
          </b:Person>
        </b:NameList>
      </b:Author>
    </b:Author>
    <b:Title>US trade conflict: Potential economic implications for the US and the global economy. </b:Title>
    <b:JournalName>Journal of Policy Modeling</b:JournalName>
    <b:Year>2025</b:Year>
    <b:RefOrder>20</b:RefOrder>
  </b:Source>
  <b:Source>
    <b:Tag>Iva20</b:Tag>
    <b:SourceType>JournalArticle</b:SourceType>
    <b:Guid>{AEFC7414-0140-41EE-983B-CF8DD73F2B7E}</b:Guid>
    <b:Author>
      <b:Author>
        <b:NameList>
          <b:Person>
            <b:Last>Ivanov</b:Last>
            <b:First>Dmitry</b:First>
            <b:Middle>&amp; Dolgui, Alexandre</b:Middle>
          </b:Person>
        </b:NameList>
      </b:Author>
    </b:Author>
    <b:Title>A digital supply chain twin for managing the disruption risks and resilience in the era of Industry 4.0.</b:Title>
    <b:JournalName>Production Planning and Control</b:JournalName>
    <b:Year>2020</b:Year>
    <b:Pages>1080</b:Pages>
    <b:Volume>10</b:Volume>
    <b:RefOrder>21</b:RefOrder>
  </b:Source>
  <b:Source>
    <b:Tag>She22</b:Tag>
    <b:SourceType>JournalArticle</b:SourceType>
    <b:Guid>{6B892763-1846-45DC-9D34-70BF78463372}</b:Guid>
    <b:Author>
      <b:Author>
        <b:NameList>
          <b:Person>
            <b:Last>Sheffi</b:Last>
            <b:First>Y.</b:First>
          </b:Person>
        </b:NameList>
      </b:Author>
    </b:Author>
    <b:Title>The New (Ab)Normal: Reshaping business and supply chain strategy beyond Covid-19.</b:Title>
    <b:Year>2022</b:Year>
    <b:Issue> MIT Press.</b:Issue>
    <b:RefOrder>22</b:RefOrder>
  </b:Source>
  <b:Source>
    <b:Tag>Ruc26</b:Tag>
    <b:SourceType>JournalArticle</b:SourceType>
    <b:Guid>{11A6DC3D-5664-4BB2-B51E-BE729FC3CADC}</b:Guid>
    <b:Author>
      <b:Author>
        <b:NameList>
          <b:Person>
            <b:Last>Ruck</b:Last>
            <b:First>J.</b:First>
          </b:Person>
        </b:NameList>
      </b:Author>
    </b:Author>
    <b:Title>A geoeconomic fix? European industrial policy on semiconductors amidst global competition. </b:Title>
    <b:JournalName>JCMS: Journal of Common Market Studies, </b:JournalName>
    <b:Year>2026</b:Year>
    <b:Pages>742-761</b:Pages>
    <b:Volume>64(2)</b:Volume>
    <b:RefOrder>23</b:RefOrder>
  </b:Source>
  <b:Source>
    <b:Tag>Loc13</b:Tag>
    <b:SourceType>Book</b:SourceType>
    <b:Guid>{AE12A186-8A7B-4D74-BD08-1479446BFDFC}</b:Guid>
    <b:Title>The promise and limits of private power: Promoting labor standards in a global economy.</b:Title>
    <b:Year>2013</b:Year>
    <b:Author>
      <b:Author>
        <b:NameList>
          <b:Person>
            <b:Last>Locke</b:Last>
            <b:First>R.M.,</b:First>
          </b:Person>
        </b:NameList>
      </b:Author>
    </b:Author>
    <b:Publisher> Cambridge University Press</b:Publisher>
    <b:RefOrder>24</b:RefOrder>
  </b:Source>
  <b:Source>
    <b:Tag>Ari22</b:Tag>
    <b:SourceType>JournalArticle</b:SourceType>
    <b:Guid>{680CC8D2-7C59-40AF-8F30-B2A48F28C834}</b:Guid>
    <b:Title>Industrial Resources in the design of Reconfigurable Manufacturing Systems for aerospace: A systematic literature review</b:Title>
    <b:Year>2022</b:Year>
    <b:Author>
      <b:Author>
        <b:NameList>
          <b:Person>
            <b:Last>Arista</b:Last>
            <b:First>R.,</b:First>
            <b:Middle>Mas, F., Morales-Palma, D. and Vallellano</b:Middle>
          </b:Person>
        </b:NameList>
      </b:Author>
    </b:Author>
    <b:Pages>103719</b:Pages>
    <b:Volume>142</b:Volume>
    <b:RefOrder>25</b:RefOrder>
  </b:Source>
  <b:Source>
    <b:Tag>Dua24</b:Tag>
    <b:SourceType>JournalArticle</b:SourceType>
    <b:Guid>{C6722777-366D-4923-BD18-75B1442F9935}</b:Guid>
    <b:Author>
      <b:Author>
        <b:NameList>
          <b:Person>
            <b:Last>Dua</b:Last>
            <b:First>R.</b:First>
            <b:Middle>and Guzman, A.F.</b:Middle>
          </b:Person>
        </b:NameList>
      </b:Author>
    </b:Author>
    <b:Title> A perspective on emerging energy policy and economic research agenda for enabling aviation climate action..</b:Title>
    <b:JournalName>Energy Research &amp; Social Science</b:JournalName>
    <b:Year>2024</b:Year>
    <b:Pages>103725</b:Pages>
    <b:Volume>117</b:Volume>
    <b:RefOrder>26</b:RefOrder>
  </b:Source>
  <b:Source>
    <b:Tag>Sch19</b:Tag>
    <b:SourceType>JournalArticle</b:SourceType>
    <b:Guid>{4E6DCB2B-C249-4654-AC7B-A04C9F5E0667}</b:Guid>
    <b:Author>
      <b:Author>
        <b:NameList>
          <b:Person>
            <b:Last>Schäfer</b:Last>
            <b:First>A.W.,</b:First>
            <b:Middle>Barrett, S.R., Doyme, K., Dray, L.M., Gnadt, A.R., Self, R., O’Sullivan, A., Synodinos, A.P. and Torija, A.J</b:Middle>
          </b:Person>
        </b:NameList>
      </b:Author>
    </b:Author>
    <b:Title>Technological, economic and environmental prospects of all-electric aircraft</b:Title>
    <b:JournalName>Nature Energy</b:JournalName>
    <b:Year> 2019</b:Year>
    <b:Pages>160-166</b:Pages>
    <b:Volume>4(2)</b:Volume>
    <b:RefOrder>27</b:RefOrder>
  </b:Source>
  <b:Source>
    <b:Tag>Ald22</b:Tag>
    <b:SourceType>JournalArticle</b:SourceType>
    <b:Guid>{25B16E0F-3A98-4790-B314-90CEF70EA130}</b:Guid>
    <b:Author>
      <b:Author>
        <b:NameList>
          <b:Person>
            <b:Last>Alden</b:Last>
            <b:First>E.H.</b:First>
            <b:Middle>and Litan, R.,</b:Middle>
          </b:Person>
        </b:NameList>
      </b:Author>
    </b:Author>
    <b:Title>Winning Trade Policy for the United States. </b:Title>
    <b:JournalName>Council on Foreign Relations</b:JournalName>
    <b:Year>2022</b:Year>
    <b:RefOrder>28</b:RefOrder>
  </b:Source>
  <b:Source>
    <b:Tag>Lee26</b:Tag>
    <b:SourceType>JournalArticle</b:SourceType>
    <b:Guid>{AF0746A6-486A-49FD-A520-A4EBB0E84BB8}</b:Guid>
    <b:Author>
      <b:Author>
        <b:NameList>
          <b:Person>
            <b:Last>Lee</b:Last>
            <b:First>D.,</b:First>
            <b:Middle>Secatore, E., Singer, E. and Amel, E.,</b:Middle>
          </b:Person>
        </b:NameList>
      </b:Author>
    </b:Author>
    <b:Title>Business model evolution and consolidation of the US airline industry: Market outcomes in the 21st century</b:Title>
    <b:JournalName>Journal of Air Transport Management </b:JournalName>
    <b:Year>2026</b:Year>
    <b:Pages>102935</b:Pages>
    <b:Volume>132</b:Volume>
    <b:RefOrder>29</b:RefOrder>
  </b:Source>
  <b:Source>
    <b:Tag>Hob98</b:Tag>
    <b:SourceType>JournalArticle</b:SourceType>
    <b:Guid>{D00F08D0-0F06-41F2-9F9F-B57B782C3EE0}</b:Guid>
    <b:Author>
      <b:Author>
        <b:NameList>
          <b:Person>
            <b:Last>Hobday</b:Last>
            <b:First>M.,</b:First>
          </b:Person>
        </b:NameList>
      </b:Author>
    </b:Author>
    <b:Title>Product complexity, innovation and industrial organisation. </b:Title>
    <b:Year>1998</b:Year>
    <b:Pages>689-710</b:Pages>
    <b:Volume> 26(6)</b:Volume>
    <b:Issue>Research policy</b:Issue>
    <b:RefOrder>30</b:RefOrder>
  </b:Source>
  <b:Source>
    <b:Tag>Tee18</b:Tag>
    <b:SourceType>JournalArticle</b:SourceType>
    <b:Guid>{F763F8B7-51EF-4776-BB13-2B449D9CDFAB}</b:Guid>
    <b:Author>
      <b:Author>
        <b:NameList>
          <b:Person>
            <b:Last>Teece</b:Last>
            <b:First>D.J.,</b:First>
          </b:Person>
        </b:NameList>
      </b:Author>
    </b:Author>
    <b:Title>Business models and dynamic capabilities. </b:Title>
    <b:JournalName>Long range planning</b:JournalName>
    <b:Year>2018</b:Year>
    <b:Pages>40-49</b:Pages>
    <b:Volume>51(1)</b:Volume>
    <b:RefOrder>31</b:RefOrder>
  </b:Source>
  <b:Source>
    <b:Tag>Lac25</b:Tag>
    <b:SourceType>JournalArticle</b:SourceType>
    <b:Guid>{CFCBFB28-7B3B-4381-9EA7-99179D7C9C74}</b:Guid>
    <b:Author>
      <b:Author>
        <b:NameList>
          <b:Person>
            <b:Last>Lacaze</b:Last>
            <b:First>A.S.,</b:First>
            <b:Middle>Ferreira, F.A. and Santos, M.R.,</b:Middle>
          </b:Person>
        </b:NameList>
      </b:Author>
    </b:Author>
    <b:Title> Adding value to the VRIO framework using DEMATEL. Management decision,</b:Title>
    <b:Year>2025.</b:Year>
    <b:Pages>1154-1175</b:Pages>
    <b:Volume> 63(4)</b:Volume>
    <b:RefOrder>32</b:RefOrder>
  </b:Source>
  <b:Source>
    <b:Tag>Jia21</b:Tag>
    <b:SourceType>JournalArticle</b:SourceType>
    <b:Guid>{C36D09E1-6B0C-4FA3-8472-B0F47EA7FDA8}</b:Guid>
    <b:Author>
      <b:Author>
        <b:NameList>
          <b:Person>
            <b:Last>Jiang</b:Last>
            <b:First>W.,</b:First>
            <b:Middle>Martek, I., Hosseini, M.R. and Chen, C</b:Middle>
          </b:Person>
        </b:NameList>
      </b:Author>
    </b:Author>
    <b:Title>Political risk management of foreign direct investment in infrastructure projects: Bibliometric-qualitative analyses of research in developing countries.</b:Title>
    <b:JournalName>Engineering, Construction and Architectural Management</b:JournalName>
    <b:Year>2021</b:Year>
    <b:Pages>125-153</b:Pages>
    <b:Volume>28(1)</b:Volume>
    <b:RefOrder>33</b:RefOrder>
  </b:Source>
  <b:Source>
    <b:Tag>Cam25</b:Tag>
    <b:SourceType>JournalArticle</b:SourceType>
    <b:Guid>{8F5EC6B5-45D0-437F-B4FA-A5B14F96583F}</b:Guid>
    <b:Author>
      <b:Author>
        <b:NameList>
          <b:Person>
            <b:Last>Camilleri</b:Last>
            <b:First>M.A.</b:First>
            <b:Middle>and Carroll, A.B.</b:Middle>
          </b:Person>
        </b:NameList>
      </b:Author>
    </b:Author>
    <b:Title>Corporate social responsibility. </b:Title>
    <b:JournalName>International Encyclopedia of Business Management</b:JournalName>
    <b:Year>2025</b:Year>
    <b:Pages>460</b:Pages>
    <b:RefOrder>34</b:RefOrder>
  </b:Source>
  <b:Source>
    <b:Tag>Por07</b:Tag>
    <b:SourceType>JournalArticle</b:SourceType>
    <b:Guid>{DC15BD76-2082-4F0C-9E99-5C61DD3AA0CB}</b:Guid>
    <b:Author>
      <b:Author>
        <b:NameList>
          <b:Person>
            <b:Last>Kramer</b:Last>
            <b:First>Porter</b:First>
            <b:Middle>and</b:Middle>
          </b:Person>
        </b:NameList>
      </b:Author>
    </b:Author>
    <b:Title>Strategy and society: The link between competitive advantage and corporate social responsibility-response.</b:Title>
    <b:Year>2007</b:Year>
    <b:Pages>139-139</b:Pages>
    <b:Volume>85(5) </b:Volume>
    <b:Issue>Harvard Business Review</b:Issue>
    <b:RefOrder>35</b:RefOrder>
  </b:Source>
  <b:Source>
    <b:Tag>Por85</b:Tag>
    <b:SourceType>JournalArticle</b:SourceType>
    <b:Guid>{EB7EE1BE-CA47-408F-835A-9B2ED9E82666}</b:Guid>
    <b:Author>
      <b:Author>
        <b:NameList>
          <b:Person>
            <b:Last>Porter</b:Last>
            <b:First>M.E.</b:First>
          </b:Person>
        </b:NameList>
      </b:Author>
    </b:Author>
    <b:Title>Competitive Advantage. Creating and Sustaining Superior Performance.</b:Title>
    <b:Year>1985</b:Year>
    <b:Pages>557</b:Pages>
    <b:Issue> Free Press, New York,</b:Issue>
    <b:RefOrder>36</b:RefOrder>
  </b:Source>
  <b:Source>
    <b:Tag>Lew47</b:Tag>
    <b:SourceType>JournalArticle</b:SourceType>
    <b:Guid>{0FE64B71-2DDD-4373-A7BB-50A72BD938AF}</b:Guid>
    <b:Author>
      <b:Author>
        <b:NameList>
          <b:Person>
            <b:Last>Lewin</b:Last>
            <b:First>K.1,</b:First>
          </b:Person>
        </b:NameList>
      </b:Author>
    </b:Author>
    <b:Title>Frontiers in Group Dynamics. </b:Title>
    <b:JournalName> Human Relations, </b:JournalName>
    <b:Year>1947</b:Year>
    <b:Pages>5-41</b:Pages>
    <b:RefOrder>37</b:RefOrder>
  </b:Source>
  <b:Source>
    <b:Tag>Hil081</b:Tag>
    <b:SourceType>JournalArticle</b:SourceType>
    <b:Guid>{C947182F-34B8-485E-B6E9-56AE5D9A9E29}</b:Guid>
    <b:Author>
      <b:Author>
        <b:NameList>
          <b:Person>
            <b:Last>Hill</b:Last>
            <b:First>C</b:First>
          </b:Person>
        </b:NameList>
      </b:Author>
    </b:Author>
    <b:Title>International business: Competing in the global market place</b:Title>
    <b:JournalName>Strategic Direction</b:JournalName>
    <b:Year>2008</b:Year>
    <b:Volume>24(9)</b:Volume>
    <b:RefOrder>38</b:RefOrder>
  </b:Source>
  <b:Source>
    <b:Tag>Kot12</b:Tag>
    <b:SourceType>Book</b:SourceType>
    <b:Guid>{E9ADE6C1-145C-46D4-B198-926DA485E782}</b:Guid>
    <b:Title>Leadership and leading change. </b:Title>
    <b:Year>2012</b:Year>
    <b:Author>
      <b:Author>
        <b:NameList>
          <b:Person>
            <b:Last>Kotter</b:Last>
            <b:First>J.P.</b:First>
          </b:Person>
        </b:NameList>
      </b:Author>
    </b:Author>
    <b:Publisher>Harvard Business Review Press</b:Publisher>
    <b:RefOrder>39</b:RefOrder>
  </b:Source>
  <b:Source>
    <b:Tag>Hus18</b:Tag>
    <b:SourceType>JournalArticle</b:SourceType>
    <b:Guid>{0E9F5799-B3D2-4E63-800B-5D93D54C08BF}</b:Guid>
    <b:Title>Kurt Lewin's change model: A critical review of the role of leadership and employee involvement in organizational change</b:Title>
    <b:Year>2018</b:Year>
    <b:Author>
      <b:Author>
        <b:NameList>
          <b:Person>
            <b:Last>Hussain</b:Last>
            <b:First>S.T.,</b:First>
            <b:Middle>Lei, S., Akram, T., Haider, M.J., Hussain, S.H. and Ali, M</b:Middle>
          </b:Person>
        </b:NameList>
      </b:Author>
    </b:Author>
    <b:JournalName>Journal of innovation &amp; knowledge</b:JournalName>
    <b:Pages>123-127</b:Pages>
    <b:Volume>3(3)</b:Volume>
    <b:RefOrder>40</b:RefOrder>
  </b:Source>
  <b:Source>
    <b:Tag>Bol20</b:Tag>
    <b:SourceType>JournalArticle</b:SourceType>
    <b:Guid>{CF5BA444-EF32-4C57-907F-78016A67A6A0}</b:Guid>
    <b:Author>
      <b:Author>
        <b:NameList>
          <b:Person>
            <b:Last>Boldizsár</b:Last>
            <b:First>A.</b:First>
            <b:Middle>and Kővári, B</b:Middle>
          </b:Person>
        </b:NameList>
      </b:Author>
    </b:Author>
    <b:Title>SWOT Analysis of the Air Transport Fleet in the Hungarian Defence Forces</b:Title>
    <b:JournalName>Periodica Polytechnica Transportation Engineering</b:JournalName>
    <b:Year>2020</b:Year>
    <b:Pages>290-295</b:Pages>
    <b:Volume>48(3)</b:Volume>
    <b:RefOrder>41</b:RefOrder>
  </b:Source>
  <b:Source>
    <b:Tag>Kya25</b:Tag>
    <b:SourceType>JournalArticle</b:SourceType>
    <b:Guid>{49B79C88-E976-4A8A-AD25-3BCD9E4D9527}</b:Guid>
    <b:Author>
      <b:Author>
        <b:NameList>
          <b:Person>
            <b:Last>Kyambade</b:Last>
            <b:First>M.,</b:First>
            <b:Middle>Nkurunziza, G., Namatovu, A., Tushabe, M. and Kwemarira, G.</b:Middle>
          </b:Person>
        </b:NameList>
      </b:Author>
    </b:Author>
    <b:Title>Enhancing critical thinking and ethical decision-making through learner-centered strategies in business education</b:Title>
    <b:Year>2025</b:Year>
    <b:Pages>2588420</b:Pages>
    <b:Volume>12(1)</b:Volume>
    <b:RefOrder>42</b:RefOrder>
  </b:Source>
  <b:Source>
    <b:Tag>Yin181</b:Tag>
    <b:SourceType>JournalArticle</b:SourceType>
    <b:Guid>{10210DC5-0E85-4CAE-A89F-A8859C1B0406}</b:Guid>
    <b:Author>
      <b:Author>
        <b:NameList>
          <b:Person>
            <b:Last>Yin</b:Last>
            <b:First>R.K.</b:First>
          </b:Person>
        </b:NameList>
      </b:Author>
    </b:Author>
    <b:Title>Case study research and applications</b:Title>
    <b:JournalName>Thousand Oaks</b:JournalName>
    <b:Year>2018</b:Year>
    <b:Volume>6</b:Volume>
    <b:RefOrder>1</b:RefOrder>
  </b:Source>
</b:Sources>
</file>

<file path=customXml/itemProps1.xml><?xml version="1.0" encoding="utf-8"?>
<ds:datastoreItem xmlns:ds="http://schemas.openxmlformats.org/officeDocument/2006/customXml" ds:itemID="{89C21EC5-9B49-431A-9E22-0EBE46C85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25</Pages>
  <Words>8093</Words>
  <Characters>46133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87</cp:revision>
  <dcterms:created xsi:type="dcterms:W3CDTF">2026-04-10T17:00:00Z</dcterms:created>
  <dcterms:modified xsi:type="dcterms:W3CDTF">2026-04-29T21:19:00Z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ad03ba9c-02db-4607-a538-e7513ba8bb38</vt:lpwstr>
  </property>
</Properties>
</file>