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73AB3" w14:textId="7C23F8E9" w:rsidR="00842A34" w:rsidRDefault="00842A34">
      <w:r>
        <w:rPr>
          <w:noProof/>
        </w:rPr>
        <w:drawing>
          <wp:inline distT="0" distB="0" distL="0" distR="0" wp14:anchorId="0B11010D" wp14:editId="266213AF">
            <wp:extent cx="3209925" cy="1428750"/>
            <wp:effectExtent l="0" t="0" r="9525" b="0"/>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FBB8583" w14:textId="77777777" w:rsidR="00842A34" w:rsidRPr="00A659EE" w:rsidRDefault="00842A34">
      <w:pPr>
        <w:rPr>
          <w:rFonts w:ascii="Arial" w:hAnsi="Arial" w:cs="Arial"/>
          <w:sz w:val="22"/>
          <w:szCs w:val="22"/>
        </w:rPr>
      </w:pPr>
    </w:p>
    <w:p w14:paraId="2152EA35" w14:textId="1D3B709B" w:rsidR="00842A34" w:rsidRPr="00A659EE" w:rsidRDefault="00842A34" w:rsidP="00842A34">
      <w:pPr>
        <w:jc w:val="center"/>
        <w:rPr>
          <w:rFonts w:ascii="Arial" w:hAnsi="Arial" w:cs="Arial"/>
          <w:sz w:val="22"/>
          <w:szCs w:val="22"/>
        </w:rPr>
      </w:pPr>
      <w:r w:rsidRPr="00A659EE">
        <w:rPr>
          <w:rFonts w:ascii="Arial" w:hAnsi="Arial" w:cs="Arial"/>
          <w:sz w:val="22"/>
          <w:szCs w:val="22"/>
        </w:rPr>
        <w:t xml:space="preserve"> Name: Maryam Hassan</w:t>
      </w:r>
    </w:p>
    <w:p w14:paraId="6223D078" w14:textId="422EAF72" w:rsidR="00842A34" w:rsidRPr="00A659EE" w:rsidRDefault="00842A34" w:rsidP="00842A34">
      <w:pPr>
        <w:jc w:val="center"/>
        <w:rPr>
          <w:rFonts w:ascii="Arial" w:hAnsi="Arial" w:cs="Arial"/>
          <w:sz w:val="22"/>
          <w:szCs w:val="22"/>
        </w:rPr>
      </w:pPr>
      <w:r w:rsidRPr="00A659EE">
        <w:rPr>
          <w:rFonts w:ascii="Arial" w:hAnsi="Arial" w:cs="Arial"/>
          <w:sz w:val="22"/>
          <w:szCs w:val="22"/>
        </w:rPr>
        <w:t>Student ID: 2311534</w:t>
      </w:r>
    </w:p>
    <w:p w14:paraId="64CC4EF9" w14:textId="7AE5562B" w:rsidR="00842A34" w:rsidRPr="00A659EE" w:rsidRDefault="00842A34" w:rsidP="00842A34">
      <w:pPr>
        <w:jc w:val="center"/>
        <w:rPr>
          <w:rFonts w:ascii="Arial" w:hAnsi="Arial" w:cs="Arial"/>
          <w:sz w:val="22"/>
          <w:szCs w:val="22"/>
        </w:rPr>
      </w:pPr>
      <w:r w:rsidRPr="00A659EE">
        <w:rPr>
          <w:rFonts w:ascii="Arial" w:hAnsi="Arial" w:cs="Arial"/>
          <w:sz w:val="22"/>
          <w:szCs w:val="22"/>
        </w:rPr>
        <w:t>Programme: BSc Health and Social Care</w:t>
      </w:r>
    </w:p>
    <w:p w14:paraId="4DBBF5F3" w14:textId="077BA740" w:rsidR="00842A34" w:rsidRPr="00A659EE" w:rsidRDefault="00842A34" w:rsidP="00842A34">
      <w:pPr>
        <w:jc w:val="center"/>
        <w:rPr>
          <w:rFonts w:ascii="Arial" w:hAnsi="Arial" w:cs="Arial"/>
          <w:sz w:val="22"/>
          <w:szCs w:val="22"/>
        </w:rPr>
      </w:pPr>
      <w:r w:rsidRPr="00A659EE">
        <w:rPr>
          <w:rFonts w:ascii="Arial" w:hAnsi="Arial" w:cs="Arial"/>
          <w:sz w:val="22"/>
          <w:szCs w:val="22"/>
        </w:rPr>
        <w:t>Module: Introduction to Independent Research Skills</w:t>
      </w:r>
    </w:p>
    <w:p w14:paraId="077E9123" w14:textId="6430C863" w:rsidR="00842A34" w:rsidRPr="00A659EE" w:rsidRDefault="00842A34" w:rsidP="00842A34">
      <w:pPr>
        <w:jc w:val="center"/>
        <w:rPr>
          <w:rFonts w:ascii="Arial" w:hAnsi="Arial" w:cs="Arial"/>
          <w:sz w:val="22"/>
          <w:szCs w:val="22"/>
        </w:rPr>
      </w:pPr>
      <w:r w:rsidRPr="00A659EE">
        <w:rPr>
          <w:rFonts w:ascii="Arial" w:hAnsi="Arial" w:cs="Arial"/>
          <w:sz w:val="22"/>
          <w:szCs w:val="22"/>
        </w:rPr>
        <w:t>Module code: BMPH5019</w:t>
      </w:r>
    </w:p>
    <w:p w14:paraId="7A95D88D" w14:textId="46FC9B15" w:rsidR="00842A34" w:rsidRPr="00A659EE" w:rsidRDefault="00842A34" w:rsidP="00842A34">
      <w:pPr>
        <w:jc w:val="center"/>
        <w:rPr>
          <w:rFonts w:ascii="Arial" w:hAnsi="Arial" w:cs="Arial"/>
          <w:sz w:val="22"/>
          <w:szCs w:val="22"/>
        </w:rPr>
      </w:pPr>
      <w:r w:rsidRPr="00A659EE">
        <w:rPr>
          <w:rFonts w:ascii="Arial" w:hAnsi="Arial" w:cs="Arial"/>
          <w:sz w:val="22"/>
          <w:szCs w:val="22"/>
        </w:rPr>
        <w:t>Assignment Title: Component 1: Written Assignment (Research Proposal)</w:t>
      </w:r>
    </w:p>
    <w:p w14:paraId="63D655CF" w14:textId="77777777" w:rsidR="00842A34" w:rsidRDefault="00842A34">
      <w:r>
        <w:br w:type="page"/>
      </w:r>
    </w:p>
    <w:p w14:paraId="0B834A62" w14:textId="1DF83368" w:rsidR="00842A34" w:rsidRPr="00A659EE" w:rsidRDefault="00842A34" w:rsidP="00842A34">
      <w:pPr>
        <w:jc w:val="center"/>
        <w:rPr>
          <w:rFonts w:ascii="Arial" w:hAnsi="Arial" w:cs="Arial"/>
          <w:sz w:val="22"/>
          <w:szCs w:val="22"/>
        </w:rPr>
      </w:pPr>
      <w:r w:rsidRPr="00A659EE">
        <w:rPr>
          <w:rFonts w:ascii="Arial" w:hAnsi="Arial" w:cs="Arial"/>
          <w:sz w:val="22"/>
          <w:szCs w:val="22"/>
        </w:rPr>
        <w:lastRenderedPageBreak/>
        <w:t>Component 1:  Written Assignment- Research Skills</w:t>
      </w:r>
    </w:p>
    <w:p w14:paraId="3A0B4D52" w14:textId="77777777" w:rsidR="00A659EE" w:rsidRPr="00A659EE" w:rsidRDefault="00A659EE" w:rsidP="00A659EE">
      <w:pPr>
        <w:rPr>
          <w:rFonts w:ascii="Arial" w:hAnsi="Arial" w:cs="Arial"/>
          <w:sz w:val="22"/>
          <w:szCs w:val="22"/>
        </w:rPr>
      </w:pPr>
      <w:r w:rsidRPr="00A659EE">
        <w:rPr>
          <w:rFonts w:ascii="Arial" w:hAnsi="Arial" w:cs="Arial"/>
          <w:sz w:val="22"/>
          <w:szCs w:val="22"/>
        </w:rPr>
        <w:t>Research Proposal: Barriers and Facilitators to Early Diagnosis and Support for Children with ADHD in the United Kingdom</w:t>
      </w:r>
    </w:p>
    <w:p w14:paraId="5EA20CD1" w14:textId="77777777" w:rsidR="00A659EE" w:rsidRPr="00A659EE" w:rsidRDefault="00A659EE" w:rsidP="00A659EE">
      <w:pPr>
        <w:rPr>
          <w:rFonts w:ascii="Arial" w:hAnsi="Arial" w:cs="Arial"/>
          <w:sz w:val="22"/>
          <w:szCs w:val="22"/>
        </w:rPr>
      </w:pPr>
    </w:p>
    <w:p w14:paraId="09D29974" w14:textId="77777777" w:rsidR="00A659EE" w:rsidRPr="00A659EE" w:rsidRDefault="00A659EE" w:rsidP="00A659EE">
      <w:pPr>
        <w:rPr>
          <w:rFonts w:ascii="Arial" w:hAnsi="Arial" w:cs="Arial"/>
          <w:sz w:val="22"/>
          <w:szCs w:val="22"/>
        </w:rPr>
      </w:pPr>
      <w:r w:rsidRPr="00A659EE">
        <w:rPr>
          <w:rFonts w:ascii="Arial" w:hAnsi="Arial" w:cs="Arial"/>
          <w:sz w:val="22"/>
          <w:szCs w:val="22"/>
        </w:rPr>
        <w:t>a) Topic, Review Question, and Objectives</w:t>
      </w:r>
    </w:p>
    <w:p w14:paraId="6F559D5A" w14:textId="761E4704" w:rsidR="00A659EE" w:rsidRPr="00A659EE" w:rsidRDefault="00A659EE" w:rsidP="00A659EE">
      <w:pPr>
        <w:rPr>
          <w:rFonts w:ascii="Arial" w:hAnsi="Arial" w:cs="Arial"/>
          <w:sz w:val="22"/>
          <w:szCs w:val="22"/>
        </w:rPr>
      </w:pPr>
      <w:r w:rsidRPr="00A659EE">
        <w:rPr>
          <w:rFonts w:ascii="Arial" w:hAnsi="Arial" w:cs="Arial"/>
          <w:sz w:val="22"/>
          <w:szCs w:val="22"/>
        </w:rPr>
        <w:t xml:space="preserve">This research will focus on the identification and support of children with </w:t>
      </w:r>
      <w:r w:rsidRPr="00A659EE">
        <w:rPr>
          <w:rFonts w:ascii="Arial" w:hAnsi="Arial" w:cs="Arial"/>
          <w:sz w:val="22"/>
          <w:szCs w:val="22"/>
        </w:rPr>
        <w:t>attention deficit hyperactivity disorder</w:t>
      </w:r>
      <w:r w:rsidRPr="00A659EE">
        <w:rPr>
          <w:rFonts w:ascii="Arial" w:hAnsi="Arial" w:cs="Arial"/>
          <w:sz w:val="22"/>
          <w:szCs w:val="22"/>
        </w:rPr>
        <w:t xml:space="preserve"> (ADHD) in the United Kingdom.</w:t>
      </w:r>
    </w:p>
    <w:p w14:paraId="428277F6" w14:textId="77777777" w:rsidR="00A659EE" w:rsidRPr="00A659EE" w:rsidRDefault="00A659EE" w:rsidP="00A659EE">
      <w:pPr>
        <w:rPr>
          <w:rFonts w:ascii="Arial" w:hAnsi="Arial" w:cs="Arial"/>
          <w:sz w:val="22"/>
          <w:szCs w:val="22"/>
        </w:rPr>
      </w:pPr>
      <w:r w:rsidRPr="00A659EE">
        <w:rPr>
          <w:rFonts w:ascii="Arial" w:hAnsi="Arial" w:cs="Arial"/>
          <w:sz w:val="22"/>
          <w:szCs w:val="22"/>
        </w:rPr>
        <w:t>Review question: What are the barriers and facilitators to early diagnosis and effective support for children with ADHD in the United Kingdom?</w:t>
      </w:r>
    </w:p>
    <w:p w14:paraId="2240F25C" w14:textId="77777777" w:rsidR="00A659EE" w:rsidRPr="00A659EE" w:rsidRDefault="00A659EE" w:rsidP="00A659EE">
      <w:pPr>
        <w:rPr>
          <w:rFonts w:ascii="Arial" w:hAnsi="Arial" w:cs="Arial"/>
          <w:sz w:val="22"/>
          <w:szCs w:val="22"/>
        </w:rPr>
      </w:pPr>
      <w:r w:rsidRPr="00A659EE">
        <w:rPr>
          <w:rFonts w:ascii="Arial" w:hAnsi="Arial" w:cs="Arial"/>
          <w:sz w:val="22"/>
          <w:szCs w:val="22"/>
        </w:rPr>
        <w:t>Objectives:</w:t>
      </w:r>
    </w:p>
    <w:p w14:paraId="309E6CAB" w14:textId="77777777" w:rsidR="00A659EE" w:rsidRPr="00A659EE" w:rsidRDefault="00A659EE" w:rsidP="00A659EE">
      <w:pPr>
        <w:rPr>
          <w:rFonts w:ascii="Arial" w:hAnsi="Arial" w:cs="Arial"/>
          <w:sz w:val="22"/>
          <w:szCs w:val="22"/>
        </w:rPr>
      </w:pPr>
    </w:p>
    <w:p w14:paraId="48BBAD45" w14:textId="77777777" w:rsidR="00A659EE" w:rsidRPr="00A659EE" w:rsidRDefault="00A659EE" w:rsidP="00A659EE">
      <w:pPr>
        <w:rPr>
          <w:rFonts w:ascii="Arial" w:hAnsi="Arial" w:cs="Arial"/>
          <w:sz w:val="22"/>
          <w:szCs w:val="22"/>
        </w:rPr>
      </w:pPr>
      <w:r w:rsidRPr="00A659EE">
        <w:rPr>
          <w:rFonts w:ascii="Arial" w:hAnsi="Arial" w:cs="Arial"/>
          <w:sz w:val="22"/>
          <w:szCs w:val="22"/>
        </w:rPr>
        <w:t>To identify the main challenges that hinder early ADHD diagnosis in children.</w:t>
      </w:r>
    </w:p>
    <w:p w14:paraId="62F2FF0A" w14:textId="77777777" w:rsidR="00A659EE" w:rsidRPr="00A659EE" w:rsidRDefault="00A659EE" w:rsidP="00A659EE">
      <w:pPr>
        <w:rPr>
          <w:rFonts w:ascii="Arial" w:hAnsi="Arial" w:cs="Arial"/>
          <w:sz w:val="22"/>
          <w:szCs w:val="22"/>
        </w:rPr>
      </w:pPr>
    </w:p>
    <w:p w14:paraId="1F2F0DB5" w14:textId="77777777" w:rsidR="00A659EE" w:rsidRPr="00A659EE" w:rsidRDefault="00A659EE" w:rsidP="00A659EE">
      <w:pPr>
        <w:rPr>
          <w:rFonts w:ascii="Arial" w:hAnsi="Arial" w:cs="Arial"/>
          <w:sz w:val="22"/>
          <w:szCs w:val="22"/>
        </w:rPr>
      </w:pPr>
      <w:r w:rsidRPr="00A659EE">
        <w:rPr>
          <w:rFonts w:ascii="Arial" w:hAnsi="Arial" w:cs="Arial"/>
          <w:sz w:val="22"/>
          <w:szCs w:val="22"/>
        </w:rPr>
        <w:t>To explore factors that enable timely assessment and access to appropriate support.</w:t>
      </w:r>
    </w:p>
    <w:p w14:paraId="6B2DA1E2" w14:textId="77777777" w:rsidR="00A659EE" w:rsidRPr="00A659EE" w:rsidRDefault="00A659EE" w:rsidP="00A659EE">
      <w:pPr>
        <w:rPr>
          <w:rFonts w:ascii="Arial" w:hAnsi="Arial" w:cs="Arial"/>
          <w:sz w:val="22"/>
          <w:szCs w:val="22"/>
        </w:rPr>
      </w:pPr>
    </w:p>
    <w:p w14:paraId="50A83FBB" w14:textId="77777777" w:rsidR="00A659EE" w:rsidRPr="00A659EE" w:rsidRDefault="00A659EE" w:rsidP="00A659EE">
      <w:pPr>
        <w:rPr>
          <w:rFonts w:ascii="Arial" w:hAnsi="Arial" w:cs="Arial"/>
          <w:sz w:val="22"/>
          <w:szCs w:val="22"/>
        </w:rPr>
      </w:pPr>
      <w:r w:rsidRPr="00A659EE">
        <w:rPr>
          <w:rFonts w:ascii="Arial" w:hAnsi="Arial" w:cs="Arial"/>
          <w:sz w:val="22"/>
          <w:szCs w:val="22"/>
        </w:rPr>
        <w:t>To summarise current evidence on best practices and service models that improve outcomes for children with ADHD and their families.</w:t>
      </w:r>
    </w:p>
    <w:p w14:paraId="61A1C0AC" w14:textId="77777777" w:rsidR="00A659EE" w:rsidRPr="00A659EE" w:rsidRDefault="00A659EE" w:rsidP="00A659EE">
      <w:pPr>
        <w:rPr>
          <w:rFonts w:ascii="Arial" w:hAnsi="Arial" w:cs="Arial"/>
          <w:sz w:val="22"/>
          <w:szCs w:val="22"/>
        </w:rPr>
      </w:pPr>
    </w:p>
    <w:p w14:paraId="15697B3A" w14:textId="77777777" w:rsidR="00A659EE" w:rsidRPr="00A659EE" w:rsidRDefault="00A659EE" w:rsidP="00A659EE">
      <w:pPr>
        <w:rPr>
          <w:rFonts w:ascii="Arial" w:hAnsi="Arial" w:cs="Arial"/>
          <w:sz w:val="22"/>
          <w:szCs w:val="22"/>
        </w:rPr>
      </w:pPr>
      <w:r w:rsidRPr="00A659EE">
        <w:rPr>
          <w:rFonts w:ascii="Arial" w:hAnsi="Arial" w:cs="Arial"/>
          <w:sz w:val="22"/>
          <w:szCs w:val="22"/>
        </w:rPr>
        <w:t>b) Rationale</w:t>
      </w:r>
    </w:p>
    <w:p w14:paraId="0AA91366" w14:textId="77777777" w:rsidR="00A659EE" w:rsidRPr="00A659EE" w:rsidRDefault="00A659EE" w:rsidP="00A659EE">
      <w:pPr>
        <w:rPr>
          <w:rFonts w:ascii="Arial" w:hAnsi="Arial" w:cs="Arial"/>
          <w:sz w:val="22"/>
          <w:szCs w:val="22"/>
        </w:rPr>
      </w:pPr>
      <w:r w:rsidRPr="00A659EE">
        <w:rPr>
          <w:rFonts w:ascii="Arial" w:hAnsi="Arial" w:cs="Arial"/>
          <w:sz w:val="22"/>
          <w:szCs w:val="22"/>
        </w:rPr>
        <w:t>ADHD is one of the most common neurodevelopmental conditions, affecting approximately 5% of UK school-aged children (National Institute for Health and Care Excellence [NICE], 2018). Early diagnosis and intervention are associated with better academic, social, and emotional outcomes (Sayal et al., 2018). However, research highlights persistent inequalities in accessing timely assessment and treatment, with many families experiencing lengthy waiting times and regional disparities (Partridge et al., 2021). The ADHD Foundation (2023) reports that some children wait over two years for a diagnostic assessment, contributing to increased parental stress, behavioural difficulties, and school exclusion.</w:t>
      </w:r>
    </w:p>
    <w:p w14:paraId="1359F3CB" w14:textId="77777777" w:rsidR="00A659EE" w:rsidRPr="00A659EE" w:rsidRDefault="00A659EE" w:rsidP="00A659EE">
      <w:pPr>
        <w:rPr>
          <w:rFonts w:ascii="Arial" w:hAnsi="Arial" w:cs="Arial"/>
          <w:sz w:val="22"/>
          <w:szCs w:val="22"/>
        </w:rPr>
      </w:pPr>
      <w:r w:rsidRPr="00A659EE">
        <w:rPr>
          <w:rFonts w:ascii="Arial" w:hAnsi="Arial" w:cs="Arial"/>
          <w:sz w:val="22"/>
          <w:szCs w:val="22"/>
        </w:rPr>
        <w:t>This topic is highly relevant to health and social care practice, as effective ADHD management requires coordinated input from healthcare providers, educators, and families. It also aligns with national priorities to improve access to children’s mental health services and reduce inequalities across the NHS. A scoping review of existing evidence will provide valuable insights into service gaps, policy needs, and emerging innovations such as digital assessments and school-based interventions.</w:t>
      </w:r>
    </w:p>
    <w:p w14:paraId="7CEA6E03" w14:textId="77777777" w:rsidR="00A659EE" w:rsidRPr="00A659EE" w:rsidRDefault="00A659EE" w:rsidP="00A659EE">
      <w:pPr>
        <w:rPr>
          <w:rFonts w:ascii="Arial" w:hAnsi="Arial" w:cs="Arial"/>
          <w:sz w:val="22"/>
          <w:szCs w:val="22"/>
        </w:rPr>
      </w:pPr>
    </w:p>
    <w:p w14:paraId="488B5CEE" w14:textId="77777777" w:rsidR="00A659EE" w:rsidRPr="00A659EE" w:rsidRDefault="00A659EE" w:rsidP="00A659EE">
      <w:pPr>
        <w:rPr>
          <w:rFonts w:ascii="Arial" w:hAnsi="Arial" w:cs="Arial"/>
          <w:sz w:val="22"/>
          <w:szCs w:val="22"/>
        </w:rPr>
      </w:pPr>
      <w:r w:rsidRPr="00A659EE">
        <w:rPr>
          <w:rFonts w:ascii="Arial" w:hAnsi="Arial" w:cs="Arial"/>
          <w:sz w:val="22"/>
          <w:szCs w:val="22"/>
        </w:rPr>
        <w:t>c) Methods</w:t>
      </w:r>
    </w:p>
    <w:p w14:paraId="2578E969" w14:textId="77777777" w:rsidR="00A659EE" w:rsidRPr="00A659EE" w:rsidRDefault="00A659EE" w:rsidP="00A659EE">
      <w:pPr>
        <w:rPr>
          <w:rFonts w:ascii="Arial" w:hAnsi="Arial" w:cs="Arial"/>
          <w:sz w:val="22"/>
          <w:szCs w:val="22"/>
        </w:rPr>
      </w:pPr>
      <w:r w:rsidRPr="00A659EE">
        <w:rPr>
          <w:rFonts w:ascii="Arial" w:hAnsi="Arial" w:cs="Arial"/>
          <w:sz w:val="22"/>
          <w:szCs w:val="22"/>
        </w:rPr>
        <w:t xml:space="preserve">This study will follow the Arksey and O’Malley (2005) framework for scoping reviews, guided by the PRISMA-ScR checklist (Tricco et al., 2018). Searches will be conducted in databases </w:t>
      </w:r>
      <w:r w:rsidRPr="00A659EE">
        <w:rPr>
          <w:rFonts w:ascii="Arial" w:hAnsi="Arial" w:cs="Arial"/>
          <w:sz w:val="22"/>
          <w:szCs w:val="22"/>
        </w:rPr>
        <w:lastRenderedPageBreak/>
        <w:t>including PubMed, PsycINFO, and CINAHL, using keywords such as “ADHD,” “children,” “diagnosis,” “support,” and “United Kingdom.” Peer-reviewed studies published from 2015 onwards will be included. Data will be charted and analysed thematically to identify recurring barriers, facilitators, and service approaches.</w:t>
      </w:r>
    </w:p>
    <w:p w14:paraId="2A9F178B" w14:textId="77777777" w:rsidR="00A659EE" w:rsidRPr="00A659EE" w:rsidRDefault="00A659EE" w:rsidP="00A659EE">
      <w:pPr>
        <w:rPr>
          <w:rFonts w:ascii="Arial" w:hAnsi="Arial" w:cs="Arial"/>
          <w:sz w:val="22"/>
          <w:szCs w:val="22"/>
        </w:rPr>
      </w:pPr>
    </w:p>
    <w:p w14:paraId="34570464" w14:textId="77777777" w:rsidR="00A659EE" w:rsidRPr="00A659EE" w:rsidRDefault="00A659EE" w:rsidP="00A659EE">
      <w:pPr>
        <w:rPr>
          <w:rFonts w:ascii="Arial" w:hAnsi="Arial" w:cs="Arial"/>
          <w:sz w:val="22"/>
          <w:szCs w:val="22"/>
        </w:rPr>
      </w:pPr>
      <w:r w:rsidRPr="00A659EE">
        <w:rPr>
          <w:rFonts w:ascii="Arial" w:hAnsi="Arial" w:cs="Arial"/>
          <w:sz w:val="22"/>
          <w:szCs w:val="22"/>
        </w:rPr>
        <w:t>d) Ethical Considerations</w:t>
      </w:r>
    </w:p>
    <w:p w14:paraId="09504274" w14:textId="77777777" w:rsidR="00A659EE" w:rsidRPr="00A659EE" w:rsidRDefault="00A659EE" w:rsidP="00A659EE">
      <w:pPr>
        <w:rPr>
          <w:rFonts w:ascii="Arial" w:hAnsi="Arial" w:cs="Arial"/>
          <w:sz w:val="22"/>
          <w:szCs w:val="22"/>
        </w:rPr>
      </w:pPr>
      <w:r w:rsidRPr="00A659EE">
        <w:rPr>
          <w:rFonts w:ascii="Arial" w:hAnsi="Arial" w:cs="Arial"/>
          <w:sz w:val="22"/>
          <w:szCs w:val="22"/>
        </w:rPr>
        <w:t>As a secondary review, no ethical approval is required. Ethical integrity will be ensured through accurate referencing, transparent reporting, and avoidance of plagiarism. Only ethically approved and peer-reviewed studies will be included to maintain research credibility.</w:t>
      </w:r>
    </w:p>
    <w:p w14:paraId="6712129D" w14:textId="77777777" w:rsidR="00A659EE" w:rsidRPr="00A659EE" w:rsidRDefault="00A659EE" w:rsidP="00A659EE">
      <w:pPr>
        <w:rPr>
          <w:rFonts w:ascii="Arial" w:hAnsi="Arial" w:cs="Arial"/>
          <w:sz w:val="22"/>
          <w:szCs w:val="22"/>
        </w:rPr>
      </w:pPr>
    </w:p>
    <w:p w14:paraId="3B60ECE6" w14:textId="77777777" w:rsidR="00A659EE" w:rsidRPr="00A659EE" w:rsidRDefault="00A659EE" w:rsidP="00A659EE">
      <w:pPr>
        <w:rPr>
          <w:rFonts w:ascii="Arial" w:hAnsi="Arial" w:cs="Arial"/>
          <w:sz w:val="22"/>
          <w:szCs w:val="22"/>
        </w:rPr>
      </w:pPr>
      <w:r w:rsidRPr="00A659EE">
        <w:rPr>
          <w:rFonts w:ascii="Arial" w:hAnsi="Arial" w:cs="Arial"/>
          <w:sz w:val="22"/>
          <w:szCs w:val="22"/>
        </w:rPr>
        <w:t>References</w:t>
      </w:r>
    </w:p>
    <w:p w14:paraId="106D018F" w14:textId="77777777" w:rsidR="00A659EE" w:rsidRPr="00A659EE" w:rsidRDefault="00A659EE" w:rsidP="00A659EE">
      <w:pPr>
        <w:rPr>
          <w:rFonts w:ascii="Arial" w:hAnsi="Arial" w:cs="Arial"/>
          <w:sz w:val="22"/>
          <w:szCs w:val="22"/>
        </w:rPr>
      </w:pPr>
    </w:p>
    <w:p w14:paraId="40E181CC" w14:textId="77777777" w:rsidR="00A659EE" w:rsidRPr="00A659EE" w:rsidRDefault="00A659EE" w:rsidP="00A659EE">
      <w:pPr>
        <w:rPr>
          <w:rFonts w:ascii="Arial" w:hAnsi="Arial" w:cs="Arial"/>
          <w:sz w:val="22"/>
          <w:szCs w:val="22"/>
        </w:rPr>
      </w:pPr>
      <w:r w:rsidRPr="00A659EE">
        <w:rPr>
          <w:rFonts w:ascii="Arial" w:hAnsi="Arial" w:cs="Arial"/>
          <w:sz w:val="22"/>
          <w:szCs w:val="22"/>
        </w:rPr>
        <w:t>ADHD Foundation. (2023). ADHD service provision and waiting times in the UK. https://www.adhdfoundation.org.uk/</w:t>
      </w:r>
    </w:p>
    <w:p w14:paraId="263D4774" w14:textId="77777777" w:rsidR="00A659EE" w:rsidRPr="00A659EE" w:rsidRDefault="00A659EE" w:rsidP="00A659EE">
      <w:pPr>
        <w:rPr>
          <w:rFonts w:ascii="Arial" w:hAnsi="Arial" w:cs="Arial"/>
          <w:sz w:val="22"/>
          <w:szCs w:val="22"/>
        </w:rPr>
      </w:pPr>
    </w:p>
    <w:p w14:paraId="17EAE68A" w14:textId="77777777" w:rsidR="00A659EE" w:rsidRPr="00A659EE" w:rsidRDefault="00A659EE" w:rsidP="00A659EE">
      <w:pPr>
        <w:rPr>
          <w:rFonts w:ascii="Arial" w:hAnsi="Arial" w:cs="Arial"/>
          <w:sz w:val="22"/>
          <w:szCs w:val="22"/>
        </w:rPr>
      </w:pPr>
      <w:r w:rsidRPr="00A659EE">
        <w:rPr>
          <w:rFonts w:ascii="Arial" w:hAnsi="Arial" w:cs="Arial"/>
          <w:sz w:val="22"/>
          <w:szCs w:val="22"/>
        </w:rPr>
        <w:t>Arksey, H., &amp; O’Malley, L. (2005). Scoping studies: Towards a methodological framework. International Journal of Social Research Methodology, 8(1), 19–32.</w:t>
      </w:r>
    </w:p>
    <w:p w14:paraId="299AF4DB" w14:textId="77777777" w:rsidR="00A659EE" w:rsidRPr="00A659EE" w:rsidRDefault="00A659EE" w:rsidP="00A659EE">
      <w:pPr>
        <w:rPr>
          <w:rFonts w:ascii="Arial" w:hAnsi="Arial" w:cs="Arial"/>
          <w:sz w:val="22"/>
          <w:szCs w:val="22"/>
        </w:rPr>
      </w:pPr>
    </w:p>
    <w:p w14:paraId="38B03C4B" w14:textId="77777777" w:rsidR="00A659EE" w:rsidRPr="00A659EE" w:rsidRDefault="00A659EE" w:rsidP="00A659EE">
      <w:pPr>
        <w:rPr>
          <w:rFonts w:ascii="Arial" w:hAnsi="Arial" w:cs="Arial"/>
          <w:sz w:val="22"/>
          <w:szCs w:val="22"/>
        </w:rPr>
      </w:pPr>
      <w:r w:rsidRPr="00A659EE">
        <w:rPr>
          <w:rFonts w:ascii="Arial" w:hAnsi="Arial" w:cs="Arial"/>
          <w:sz w:val="22"/>
          <w:szCs w:val="22"/>
        </w:rPr>
        <w:t>National Institute for Health and Care Excellence (NICE). (2018). Attention deficit hyperactivity disorder: Diagnosis and management (NG87). https://www.nice.org.uk/guidance/ng87</w:t>
      </w:r>
    </w:p>
    <w:p w14:paraId="5C05CEB4" w14:textId="77777777" w:rsidR="00A659EE" w:rsidRPr="00A659EE" w:rsidRDefault="00A659EE" w:rsidP="00A659EE">
      <w:pPr>
        <w:rPr>
          <w:rFonts w:ascii="Arial" w:hAnsi="Arial" w:cs="Arial"/>
          <w:sz w:val="22"/>
          <w:szCs w:val="22"/>
        </w:rPr>
      </w:pPr>
    </w:p>
    <w:p w14:paraId="65D7B7D7" w14:textId="77777777" w:rsidR="00A659EE" w:rsidRPr="00A659EE" w:rsidRDefault="00A659EE" w:rsidP="00A659EE">
      <w:pPr>
        <w:rPr>
          <w:rFonts w:ascii="Arial" w:hAnsi="Arial" w:cs="Arial"/>
          <w:sz w:val="22"/>
          <w:szCs w:val="22"/>
        </w:rPr>
      </w:pPr>
      <w:r w:rsidRPr="00A659EE">
        <w:rPr>
          <w:rFonts w:ascii="Arial" w:hAnsi="Arial" w:cs="Arial"/>
          <w:sz w:val="22"/>
          <w:szCs w:val="22"/>
        </w:rPr>
        <w:t>Partridge, B., Heath, C., &amp; Brooker, C. (2021). Access to ADHD services: A UK perspective. Child and Adolescent Mental Health, 26(2), 147–154.</w:t>
      </w:r>
    </w:p>
    <w:p w14:paraId="1FB494E4" w14:textId="77777777" w:rsidR="00A659EE" w:rsidRPr="00A659EE" w:rsidRDefault="00A659EE" w:rsidP="00A659EE">
      <w:pPr>
        <w:rPr>
          <w:rFonts w:ascii="Arial" w:hAnsi="Arial" w:cs="Arial"/>
          <w:sz w:val="22"/>
          <w:szCs w:val="22"/>
        </w:rPr>
      </w:pPr>
    </w:p>
    <w:p w14:paraId="6DC0A3E0" w14:textId="77777777" w:rsidR="00A659EE" w:rsidRPr="00A659EE" w:rsidRDefault="00A659EE" w:rsidP="00A659EE">
      <w:pPr>
        <w:rPr>
          <w:rFonts w:ascii="Arial" w:hAnsi="Arial" w:cs="Arial"/>
          <w:sz w:val="22"/>
          <w:szCs w:val="22"/>
        </w:rPr>
      </w:pPr>
      <w:r w:rsidRPr="00A659EE">
        <w:rPr>
          <w:rFonts w:ascii="Arial" w:hAnsi="Arial" w:cs="Arial"/>
          <w:sz w:val="22"/>
          <w:szCs w:val="22"/>
        </w:rPr>
        <w:t>Sayal, K., Prasad, V., Daley, D., Ford, T., &amp; Coghill, D. (2018). ADHD in children: Diagnosis, treatment, and services. The Lancet Psychiatry, 5(9), 727–738.</w:t>
      </w:r>
    </w:p>
    <w:p w14:paraId="125BB94C" w14:textId="77777777" w:rsidR="00A659EE" w:rsidRPr="00A659EE" w:rsidRDefault="00A659EE" w:rsidP="00A659EE">
      <w:pPr>
        <w:rPr>
          <w:rFonts w:ascii="Arial" w:hAnsi="Arial" w:cs="Arial"/>
          <w:sz w:val="22"/>
          <w:szCs w:val="22"/>
        </w:rPr>
      </w:pPr>
    </w:p>
    <w:p w14:paraId="7D43BCE8" w14:textId="63E041E5" w:rsidR="00842A34" w:rsidRPr="00A659EE" w:rsidRDefault="00A659EE" w:rsidP="00A659EE">
      <w:pPr>
        <w:rPr>
          <w:rFonts w:ascii="Arial" w:hAnsi="Arial" w:cs="Arial"/>
          <w:sz w:val="22"/>
          <w:szCs w:val="22"/>
        </w:rPr>
      </w:pPr>
      <w:r w:rsidRPr="00A659EE">
        <w:rPr>
          <w:rFonts w:ascii="Arial" w:hAnsi="Arial" w:cs="Arial"/>
          <w:sz w:val="22"/>
          <w:szCs w:val="22"/>
        </w:rPr>
        <w:t>Tricco, A. C., Lillie, E., Zarin, W., O’Brien, K. K., Colquhoun, H., &amp; Levac, D. (2018). PRISMA extension for scoping reviews (PRISMA-ScR): Checklist and explanation. Annals of Internal Medicine, 169(7), 467–473.</w:t>
      </w:r>
    </w:p>
    <w:p w14:paraId="66AE4792" w14:textId="77777777" w:rsidR="00842A34" w:rsidRPr="00A659EE" w:rsidRDefault="00842A34" w:rsidP="00842A34">
      <w:pPr>
        <w:jc w:val="center"/>
        <w:rPr>
          <w:rFonts w:ascii="Arial" w:hAnsi="Arial" w:cs="Arial"/>
          <w:sz w:val="22"/>
          <w:szCs w:val="22"/>
        </w:rPr>
      </w:pPr>
    </w:p>
    <w:p w14:paraId="48E0407E" w14:textId="77777777" w:rsidR="00842A34" w:rsidRPr="00A659EE" w:rsidRDefault="00842A34" w:rsidP="00842A34">
      <w:pPr>
        <w:jc w:val="center"/>
        <w:rPr>
          <w:rFonts w:ascii="Arial" w:hAnsi="Arial" w:cs="Arial"/>
          <w:sz w:val="22"/>
          <w:szCs w:val="22"/>
        </w:rPr>
      </w:pPr>
    </w:p>
    <w:sectPr w:rsidR="00842A34" w:rsidRPr="00A65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A34"/>
    <w:rsid w:val="0025232C"/>
    <w:rsid w:val="00842A34"/>
    <w:rsid w:val="00A5121D"/>
    <w:rsid w:val="00A659EE"/>
    <w:rsid w:val="00D75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D59A9"/>
  <w15:chartTrackingRefBased/>
  <w15:docId w15:val="{C7C1F91B-29A6-436F-A12D-5208F6879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A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2A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2A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2A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A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A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2A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2A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2A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A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A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A34"/>
    <w:rPr>
      <w:rFonts w:eastAsiaTheme="majorEastAsia" w:cstheme="majorBidi"/>
      <w:color w:val="272727" w:themeColor="text1" w:themeTint="D8"/>
    </w:rPr>
  </w:style>
  <w:style w:type="paragraph" w:styleId="Title">
    <w:name w:val="Title"/>
    <w:basedOn w:val="Normal"/>
    <w:next w:val="Normal"/>
    <w:link w:val="TitleChar"/>
    <w:uiPriority w:val="10"/>
    <w:qFormat/>
    <w:rsid w:val="00842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A34"/>
    <w:pPr>
      <w:spacing w:before="160"/>
      <w:jc w:val="center"/>
    </w:pPr>
    <w:rPr>
      <w:i/>
      <w:iCs/>
      <w:color w:val="404040" w:themeColor="text1" w:themeTint="BF"/>
    </w:rPr>
  </w:style>
  <w:style w:type="character" w:customStyle="1" w:styleId="QuoteChar">
    <w:name w:val="Quote Char"/>
    <w:basedOn w:val="DefaultParagraphFont"/>
    <w:link w:val="Quote"/>
    <w:uiPriority w:val="29"/>
    <w:rsid w:val="00842A34"/>
    <w:rPr>
      <w:i/>
      <w:iCs/>
      <w:color w:val="404040" w:themeColor="text1" w:themeTint="BF"/>
    </w:rPr>
  </w:style>
  <w:style w:type="paragraph" w:styleId="ListParagraph">
    <w:name w:val="List Paragraph"/>
    <w:basedOn w:val="Normal"/>
    <w:uiPriority w:val="34"/>
    <w:qFormat/>
    <w:rsid w:val="00842A34"/>
    <w:pPr>
      <w:ind w:left="720"/>
      <w:contextualSpacing/>
    </w:pPr>
  </w:style>
  <w:style w:type="character" w:styleId="IntenseEmphasis">
    <w:name w:val="Intense Emphasis"/>
    <w:basedOn w:val="DefaultParagraphFont"/>
    <w:uiPriority w:val="21"/>
    <w:qFormat/>
    <w:rsid w:val="00842A34"/>
    <w:rPr>
      <w:i/>
      <w:iCs/>
      <w:color w:val="0F4761" w:themeColor="accent1" w:themeShade="BF"/>
    </w:rPr>
  </w:style>
  <w:style w:type="paragraph" w:styleId="IntenseQuote">
    <w:name w:val="Intense Quote"/>
    <w:basedOn w:val="Normal"/>
    <w:next w:val="Normal"/>
    <w:link w:val="IntenseQuoteChar"/>
    <w:uiPriority w:val="30"/>
    <w:qFormat/>
    <w:rsid w:val="00842A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A34"/>
    <w:rPr>
      <w:i/>
      <w:iCs/>
      <w:color w:val="0F4761" w:themeColor="accent1" w:themeShade="BF"/>
    </w:rPr>
  </w:style>
  <w:style w:type="character" w:styleId="IntenseReference">
    <w:name w:val="Intense Reference"/>
    <w:basedOn w:val="DefaultParagraphFont"/>
    <w:uiPriority w:val="32"/>
    <w:qFormat/>
    <w:rsid w:val="00842A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603</Words>
  <Characters>3440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maz hassan</dc:creator>
  <cp:keywords/>
  <dc:description/>
  <cp:lastModifiedBy>maz hassan</cp:lastModifiedBy>
  <cp:revision>3</cp:revision>
  <dcterms:created xsi:type="dcterms:W3CDTF">2025-10-05T20:40:00Z</dcterms:created>
  <dcterms:modified xsi:type="dcterms:W3CDTF">2025-10-05T21:04:00Z</dcterms:modified>
</cp:coreProperties>
</file>