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3E81E" w14:textId="1E3AFDC3" w:rsidR="00383D73" w:rsidRPr="00383D73" w:rsidRDefault="00383D73" w:rsidP="00383D73">
      <w:pPr>
        <w:spacing w:before="2000"/>
        <w:jc w:val="center"/>
        <w:rPr>
          <w:b/>
          <w:bCs/>
        </w:rPr>
      </w:pPr>
      <w:r w:rsidRPr="00383D73">
        <w:rPr>
          <w:b/>
          <w:bCs/>
        </w:rPr>
        <w:t xml:space="preserve">Jack Bown </w:t>
      </w:r>
    </w:p>
    <w:p w14:paraId="416616C1" w14:textId="77777777" w:rsidR="00545BAC" w:rsidRDefault="00CF447B">
      <w:pPr>
        <w:spacing w:after="200"/>
        <w:jc w:val="center"/>
      </w:pPr>
      <w:r>
        <w:rPr>
          <w:b/>
          <w:bCs/>
          <w:sz w:val="40"/>
          <w:szCs w:val="40"/>
        </w:rPr>
        <w:t>ACADEMIC SKILLS</w:t>
      </w:r>
    </w:p>
    <w:p w14:paraId="0483AEE7" w14:textId="77777777" w:rsidR="00545BAC" w:rsidRDefault="00CF447B">
      <w:pPr>
        <w:spacing w:after="160"/>
        <w:jc w:val="center"/>
      </w:pPr>
      <w:r>
        <w:rPr>
          <w:b/>
          <w:bCs/>
          <w:sz w:val="32"/>
          <w:szCs w:val="32"/>
        </w:rPr>
        <w:t>All Four Tasks</w:t>
      </w:r>
    </w:p>
    <w:p w14:paraId="4AD97DA7" w14:textId="77777777" w:rsidR="00545BAC" w:rsidRDefault="00CF447B">
      <w:pPr>
        <w:spacing w:after="160"/>
        <w:jc w:val="center"/>
      </w:pPr>
      <w:r>
        <w:rPr>
          <w:sz w:val="26"/>
          <w:szCs w:val="26"/>
        </w:rPr>
        <w:t>Research and Referencing • Literature Review •</w:t>
      </w:r>
    </w:p>
    <w:p w14:paraId="14B6502E" w14:textId="77777777" w:rsidR="00545BAC" w:rsidRDefault="00CF447B">
      <w:pPr>
        <w:spacing w:after="160"/>
        <w:jc w:val="center"/>
      </w:pPr>
      <w:r>
        <w:rPr>
          <w:sz w:val="26"/>
          <w:szCs w:val="26"/>
        </w:rPr>
        <w:t>Primary Source Analysis • Reflective Essay</w:t>
      </w:r>
    </w:p>
    <w:p w14:paraId="312EA664" w14:textId="77777777" w:rsidR="00545BAC" w:rsidRDefault="00545BAC">
      <w:pPr>
        <w:spacing w:before="400"/>
        <w:jc w:val="center"/>
      </w:pPr>
    </w:p>
    <w:p w14:paraId="65B20E36" w14:textId="77777777" w:rsidR="00545BAC" w:rsidRDefault="00CF447B">
      <w:pPr>
        <w:spacing w:after="160"/>
        <w:jc w:val="center"/>
      </w:pPr>
      <w:r>
        <w:rPr>
          <w:b/>
          <w:bCs/>
        </w:rPr>
        <w:t>Topic: Theodicy and the Problem of Evil</w:t>
      </w:r>
    </w:p>
    <w:p w14:paraId="7AD81D2F" w14:textId="77777777" w:rsidR="00545BAC" w:rsidRDefault="00CF447B">
      <w:pPr>
        <w:spacing w:after="160"/>
        <w:jc w:val="center"/>
      </w:pPr>
      <w:r>
        <w:t>Foundation Year – Academic Skills Module</w:t>
      </w:r>
    </w:p>
    <w:p w14:paraId="4FE47FAC" w14:textId="77777777" w:rsidR="00545BAC" w:rsidRDefault="00CF447B">
      <w:pPr>
        <w:spacing w:after="160"/>
        <w:jc w:val="center"/>
      </w:pPr>
      <w:r>
        <w:t>Referencing Style: MHRA (Footnotes)</w:t>
      </w:r>
    </w:p>
    <w:p w14:paraId="0C02BD08" w14:textId="77777777" w:rsidR="00545BAC" w:rsidRDefault="00CF447B">
      <w:pPr>
        <w:spacing w:after="160"/>
        <w:jc w:val="center"/>
      </w:pPr>
      <w:r>
        <w:t> </w:t>
      </w:r>
    </w:p>
    <w:p w14:paraId="601AA3B0" w14:textId="77777777" w:rsidR="00545BAC" w:rsidRDefault="00545BAC">
      <w:pPr>
        <w:pageBreakBefore/>
      </w:pPr>
    </w:p>
    <w:p w14:paraId="79067139" w14:textId="77777777" w:rsidR="00545BAC" w:rsidRDefault="00CF447B">
      <w:pPr>
        <w:pStyle w:val="Heading1"/>
      </w:pPr>
      <w:r>
        <w:t>Task 1: Research and Referencing</w:t>
      </w:r>
    </w:p>
    <w:p w14:paraId="07329331" w14:textId="77777777" w:rsidR="00545BAC" w:rsidRDefault="00CF447B">
      <w:pPr>
        <w:spacing w:after="160" w:line="360" w:lineRule="auto"/>
        <w:jc w:val="both"/>
      </w:pPr>
      <w:r>
        <w:rPr>
          <w:b/>
          <w:bCs/>
        </w:rPr>
        <w:t xml:space="preserve">Topic: </w:t>
      </w:r>
      <w:r>
        <w:t>Theodicy and the Problem of Evil</w:t>
      </w:r>
    </w:p>
    <w:p w14:paraId="3A457F77" w14:textId="77777777" w:rsidR="00545BAC" w:rsidRDefault="00CF447B">
      <w:pPr>
        <w:spacing w:after="160" w:line="360" w:lineRule="auto"/>
        <w:jc w:val="both"/>
      </w:pPr>
      <w:r>
        <w:t>The following ten scholarly references relate to the topic of theodicy and the problem of evil. They are presented first as MHRA-formatted footnote references, then as a bibliography.</w:t>
      </w:r>
    </w:p>
    <w:p w14:paraId="1737C8B5" w14:textId="77777777" w:rsidR="00545BAC" w:rsidRDefault="00CF447B">
      <w:pPr>
        <w:pStyle w:val="Heading2"/>
      </w:pPr>
      <w:r>
        <w:rPr>
          <w:u w:val="single"/>
        </w:rPr>
        <w:t>Footnote-Formatted References</w:t>
      </w:r>
    </w:p>
    <w:p w14:paraId="521B7E60" w14:textId="77777777" w:rsidR="00545BAC" w:rsidRDefault="00CF447B">
      <w:pPr>
        <w:spacing w:after="160" w:line="360" w:lineRule="auto"/>
        <w:jc w:val="both"/>
      </w:pPr>
      <w:r>
        <w:t xml:space="preserve">1. Adams, Marilyn McCord, </w:t>
      </w:r>
      <w:r>
        <w:rPr>
          <w:i/>
          <w:iCs/>
        </w:rPr>
        <w:t>Horrendous Evils and the Goodness of God</w:t>
      </w:r>
      <w:r>
        <w:t xml:space="preserve"> (Ithaca: Cornell University Press, 1999), pp. 26–28.</w:t>
      </w:r>
    </w:p>
    <w:p w14:paraId="03CC12AE" w14:textId="77777777" w:rsidR="00545BAC" w:rsidRDefault="00CF447B">
      <w:pPr>
        <w:spacing w:after="160" w:line="360" w:lineRule="auto"/>
        <w:jc w:val="both"/>
      </w:pPr>
      <w:r>
        <w:t xml:space="preserve">2. Hick, John, </w:t>
      </w:r>
      <w:r>
        <w:rPr>
          <w:i/>
          <w:iCs/>
        </w:rPr>
        <w:t>Evil and the God of Love</w:t>
      </w:r>
      <w:r>
        <w:t xml:space="preserve">, rev. </w:t>
      </w:r>
      <w:proofErr w:type="spellStart"/>
      <w:r>
        <w:t>edn</w:t>
      </w:r>
      <w:proofErr w:type="spellEnd"/>
      <w:r>
        <w:t xml:space="preserve"> (Basingstoke: Palgrave Macmillan, 2010), pp. 253–261.</w:t>
      </w:r>
    </w:p>
    <w:p w14:paraId="46F53C9B" w14:textId="77777777" w:rsidR="00545BAC" w:rsidRDefault="00CF447B">
      <w:pPr>
        <w:spacing w:after="160" w:line="360" w:lineRule="auto"/>
        <w:jc w:val="both"/>
      </w:pPr>
      <w:r>
        <w:t xml:space="preserve">3. Plantinga, Alvin, ‘The Free Will Defence’, in </w:t>
      </w:r>
      <w:r>
        <w:rPr>
          <w:i/>
          <w:iCs/>
        </w:rPr>
        <w:t>The Analytic Theist: An Alvin Plantinga Reader</w:t>
      </w:r>
      <w:r>
        <w:t>, ed. by James F. Sennett (Grand Rapids: Eerdmans, 1998), pp. 23–50 (p. 35).</w:t>
      </w:r>
    </w:p>
    <w:p w14:paraId="4922E445" w14:textId="77777777" w:rsidR="00545BAC" w:rsidRDefault="00CF447B">
      <w:pPr>
        <w:spacing w:after="160" w:line="360" w:lineRule="auto"/>
        <w:jc w:val="both"/>
      </w:pPr>
      <w:r>
        <w:t xml:space="preserve">4. Wright, N. T., </w:t>
      </w:r>
      <w:r>
        <w:rPr>
          <w:i/>
          <w:iCs/>
        </w:rPr>
        <w:t>Evil and the Justice of God</w:t>
      </w:r>
      <w:r>
        <w:t xml:space="preserve"> (London: SPCK, 2006), pp. 72–89.</w:t>
      </w:r>
    </w:p>
    <w:p w14:paraId="5A9BFC5D" w14:textId="77777777" w:rsidR="00545BAC" w:rsidRDefault="00CF447B">
      <w:pPr>
        <w:spacing w:after="160" w:line="360" w:lineRule="auto"/>
        <w:jc w:val="both"/>
      </w:pPr>
      <w:r>
        <w:t xml:space="preserve">5. Surin, Kenneth, ‘Theodicy?’, </w:t>
      </w:r>
      <w:r>
        <w:rPr>
          <w:i/>
          <w:iCs/>
        </w:rPr>
        <w:t>Harvard Theological Review</w:t>
      </w:r>
      <w:r>
        <w:t>, 76.2 (1983), 225–247 (p. 230).</w:t>
      </w:r>
    </w:p>
    <w:p w14:paraId="2D2D58B3" w14:textId="77777777" w:rsidR="00545BAC" w:rsidRDefault="00CF447B">
      <w:pPr>
        <w:spacing w:after="160" w:line="360" w:lineRule="auto"/>
        <w:jc w:val="both"/>
      </w:pPr>
      <w:r>
        <w:t xml:space="preserve">6. Stump, Eleonore, ‘The Problem of Evil’, </w:t>
      </w:r>
      <w:r>
        <w:rPr>
          <w:i/>
          <w:iCs/>
        </w:rPr>
        <w:t>Faith and Philosophy</w:t>
      </w:r>
      <w:r>
        <w:t>, 14.4 (1997), 392–423 (pp. 393–403, p. 401).</w:t>
      </w:r>
    </w:p>
    <w:p w14:paraId="3FB0877F" w14:textId="77777777" w:rsidR="00545BAC" w:rsidRDefault="00CF447B">
      <w:pPr>
        <w:spacing w:after="160" w:line="360" w:lineRule="auto"/>
        <w:jc w:val="both"/>
      </w:pPr>
      <w:r>
        <w:t xml:space="preserve">7. Peterson, Michael L., </w:t>
      </w:r>
      <w:r>
        <w:rPr>
          <w:i/>
          <w:iCs/>
        </w:rPr>
        <w:t>The Problem of Evil: Selected Readings</w:t>
      </w:r>
      <w:r>
        <w:t xml:space="preserve">, 2nd </w:t>
      </w:r>
      <w:proofErr w:type="spellStart"/>
      <w:r>
        <w:t>edn</w:t>
      </w:r>
      <w:proofErr w:type="spellEnd"/>
      <w:r>
        <w:t xml:space="preserve"> (Notre Dame: University of Notre Dame Press, 2017), pp. 15–22.</w:t>
      </w:r>
    </w:p>
    <w:p w14:paraId="724ADD03" w14:textId="77777777" w:rsidR="00545BAC" w:rsidRDefault="00CF447B">
      <w:pPr>
        <w:spacing w:after="160" w:line="360" w:lineRule="auto"/>
        <w:jc w:val="both"/>
      </w:pPr>
      <w:r>
        <w:t xml:space="preserve">8. Hart, David Bentley, </w:t>
      </w:r>
      <w:r>
        <w:rPr>
          <w:i/>
          <w:iCs/>
        </w:rPr>
        <w:t>The Doors of the Sea: Where Was God in the Tsunami?</w:t>
      </w:r>
      <w:r>
        <w:t xml:space="preserve"> (Grand Rapids: Eerdmans, 2005), pp. 30–45.</w:t>
      </w:r>
    </w:p>
    <w:p w14:paraId="3D0DC00A" w14:textId="77777777" w:rsidR="00545BAC" w:rsidRDefault="00CF447B">
      <w:pPr>
        <w:spacing w:after="160" w:line="360" w:lineRule="auto"/>
        <w:jc w:val="both"/>
      </w:pPr>
      <w:r>
        <w:t xml:space="preserve">9. Tilley, Terrence W., ‘The Problem of Theodicy: A Background Survey’, in </w:t>
      </w:r>
      <w:r>
        <w:rPr>
          <w:i/>
          <w:iCs/>
        </w:rPr>
        <w:t>The Evils of Theodicy</w:t>
      </w:r>
      <w:r>
        <w:t xml:space="preserve"> (Eugene: Wipf and Stock, 2000), pp. 1–25 (p. 8).</w:t>
      </w:r>
    </w:p>
    <w:p w14:paraId="538D1487" w14:textId="77777777" w:rsidR="00545BAC" w:rsidRDefault="00CF447B">
      <w:pPr>
        <w:spacing w:after="160" w:line="360" w:lineRule="auto"/>
        <w:jc w:val="both"/>
      </w:pPr>
      <w:r>
        <w:t xml:space="preserve">10. Southgate, Christopher, ‘Cosmic Evolution and Evil’, in </w:t>
      </w:r>
      <w:r>
        <w:rPr>
          <w:i/>
          <w:iCs/>
        </w:rPr>
        <w:t>The Groaning of Creation: God, Evolution, and the Problem of Evil</w:t>
      </w:r>
      <w:r>
        <w:t xml:space="preserve"> (Louisville: Westminster John Knox Press, 2008), pp. 12–34 (pp. 13–19, p. 19).</w:t>
      </w:r>
    </w:p>
    <w:p w14:paraId="6659512A" w14:textId="77777777" w:rsidR="00545BAC" w:rsidRDefault="00CF447B">
      <w:pPr>
        <w:pStyle w:val="Heading2"/>
      </w:pPr>
      <w:r>
        <w:rPr>
          <w:u w:val="single"/>
        </w:rPr>
        <w:lastRenderedPageBreak/>
        <w:t>Bibliography</w:t>
      </w:r>
    </w:p>
    <w:p w14:paraId="0B8B9519" w14:textId="77777777" w:rsidR="00545BAC" w:rsidRDefault="00CF447B">
      <w:pPr>
        <w:spacing w:after="120" w:line="360" w:lineRule="auto"/>
        <w:ind w:left="720" w:hanging="720"/>
        <w:jc w:val="both"/>
      </w:pPr>
      <w:r>
        <w:t xml:space="preserve">Adams, Marilyn McCord, </w:t>
      </w:r>
      <w:r>
        <w:rPr>
          <w:i/>
          <w:iCs/>
        </w:rPr>
        <w:t>Horrendous Evils and the Goodness of God</w:t>
      </w:r>
      <w:r>
        <w:t xml:space="preserve"> (Ithaca: Cornell University Press, 1999)</w:t>
      </w:r>
    </w:p>
    <w:p w14:paraId="04E39596" w14:textId="77777777" w:rsidR="00545BAC" w:rsidRDefault="00CF447B">
      <w:pPr>
        <w:spacing w:after="120" w:line="360" w:lineRule="auto"/>
        <w:ind w:left="720" w:hanging="720"/>
        <w:jc w:val="both"/>
      </w:pPr>
      <w:r>
        <w:t xml:space="preserve">Hart, David Bentley, </w:t>
      </w:r>
      <w:r>
        <w:rPr>
          <w:i/>
          <w:iCs/>
        </w:rPr>
        <w:t>The Doors of the Sea: Where Was God in the Tsunami?</w:t>
      </w:r>
      <w:r>
        <w:t xml:space="preserve"> (Grand Rapids: Eerdmans, 2005)</w:t>
      </w:r>
    </w:p>
    <w:p w14:paraId="29EE4322" w14:textId="77777777" w:rsidR="00545BAC" w:rsidRDefault="00CF447B">
      <w:pPr>
        <w:spacing w:after="120" w:line="360" w:lineRule="auto"/>
        <w:ind w:left="720" w:hanging="720"/>
        <w:jc w:val="both"/>
      </w:pPr>
      <w:r>
        <w:t xml:space="preserve">Hick, John, </w:t>
      </w:r>
      <w:r>
        <w:rPr>
          <w:i/>
          <w:iCs/>
        </w:rPr>
        <w:t>Evil and the God of Love</w:t>
      </w:r>
      <w:r>
        <w:t xml:space="preserve">, rev. </w:t>
      </w:r>
      <w:proofErr w:type="spellStart"/>
      <w:r>
        <w:t>edn</w:t>
      </w:r>
      <w:proofErr w:type="spellEnd"/>
      <w:r>
        <w:t xml:space="preserve"> (Basingstoke: Palgrave Macmillan, 2010)</w:t>
      </w:r>
    </w:p>
    <w:p w14:paraId="34922633" w14:textId="77777777" w:rsidR="00545BAC" w:rsidRDefault="00CF447B">
      <w:pPr>
        <w:spacing w:after="120" w:line="360" w:lineRule="auto"/>
        <w:ind w:left="720" w:hanging="720"/>
        <w:jc w:val="both"/>
      </w:pPr>
      <w:r>
        <w:t xml:space="preserve">Peterson, Michael L., </w:t>
      </w:r>
      <w:r>
        <w:rPr>
          <w:i/>
          <w:iCs/>
        </w:rPr>
        <w:t>The Problem of Evil: Selected Readings</w:t>
      </w:r>
      <w:r>
        <w:t xml:space="preserve">, 2nd </w:t>
      </w:r>
      <w:proofErr w:type="spellStart"/>
      <w:r>
        <w:t>edn</w:t>
      </w:r>
      <w:proofErr w:type="spellEnd"/>
      <w:r>
        <w:t xml:space="preserve"> (Notre Dame: University of Notre Dame Press, 2017)</w:t>
      </w:r>
    </w:p>
    <w:p w14:paraId="65D04ADE" w14:textId="77777777" w:rsidR="00545BAC" w:rsidRDefault="00CF447B">
      <w:pPr>
        <w:spacing w:after="120" w:line="360" w:lineRule="auto"/>
        <w:ind w:left="720" w:hanging="720"/>
        <w:jc w:val="both"/>
      </w:pPr>
      <w:r>
        <w:t xml:space="preserve">Plantinga, Alvin, ‘The Free Will Defence’, in </w:t>
      </w:r>
      <w:r>
        <w:rPr>
          <w:i/>
          <w:iCs/>
        </w:rPr>
        <w:t>The Analytic Theist: An Alvin Plantinga Reader</w:t>
      </w:r>
      <w:r>
        <w:t>, ed. by James F. Sennett (Grand Rapids: Eerdmans, 1998), pp. 23–50</w:t>
      </w:r>
    </w:p>
    <w:p w14:paraId="02D50669" w14:textId="77777777" w:rsidR="00545BAC" w:rsidRDefault="00CF447B">
      <w:pPr>
        <w:spacing w:after="120" w:line="360" w:lineRule="auto"/>
        <w:ind w:left="720" w:hanging="720"/>
        <w:jc w:val="both"/>
      </w:pPr>
      <w:r>
        <w:t xml:space="preserve">Southgate, Christopher, ‘Cosmic Evolution and Evil’, in </w:t>
      </w:r>
      <w:r>
        <w:rPr>
          <w:i/>
          <w:iCs/>
        </w:rPr>
        <w:t>The Groaning of Creation: God, Evolution, and the Problem of Evil</w:t>
      </w:r>
      <w:r>
        <w:t xml:space="preserve"> (Louisville: Westminster John Knox Press, 2008), pp. 12–34</w:t>
      </w:r>
    </w:p>
    <w:p w14:paraId="4163A2DE" w14:textId="77777777" w:rsidR="00545BAC" w:rsidRDefault="00CF447B">
      <w:pPr>
        <w:spacing w:after="120" w:line="360" w:lineRule="auto"/>
        <w:ind w:left="720" w:hanging="720"/>
        <w:jc w:val="both"/>
      </w:pPr>
      <w:r>
        <w:t xml:space="preserve">Stump, Eleonore, ‘The Problem of Evil’, </w:t>
      </w:r>
      <w:r>
        <w:rPr>
          <w:i/>
          <w:iCs/>
        </w:rPr>
        <w:t>Faith and Philosophy</w:t>
      </w:r>
      <w:r>
        <w:t>, 14.4 (1997), 392–423</w:t>
      </w:r>
    </w:p>
    <w:p w14:paraId="266BE563" w14:textId="77777777" w:rsidR="00545BAC" w:rsidRDefault="00CF447B">
      <w:pPr>
        <w:spacing w:after="120" w:line="360" w:lineRule="auto"/>
        <w:ind w:left="720" w:hanging="720"/>
        <w:jc w:val="both"/>
      </w:pPr>
      <w:r>
        <w:t xml:space="preserve">Surin, Kenneth, ‘Theodicy?’, </w:t>
      </w:r>
      <w:r>
        <w:rPr>
          <w:i/>
          <w:iCs/>
        </w:rPr>
        <w:t>Harvard Theological Review</w:t>
      </w:r>
      <w:r>
        <w:t>, 76.2 (1983), 225–247</w:t>
      </w:r>
    </w:p>
    <w:p w14:paraId="144BBD11" w14:textId="77777777" w:rsidR="00545BAC" w:rsidRDefault="00CF447B">
      <w:pPr>
        <w:spacing w:after="120" w:line="360" w:lineRule="auto"/>
        <w:ind w:left="720" w:hanging="720"/>
        <w:jc w:val="both"/>
      </w:pPr>
      <w:r>
        <w:t xml:space="preserve">Tilley, Terrence W., ‘The Problem of Theodicy: A Background Survey’, in </w:t>
      </w:r>
      <w:r>
        <w:rPr>
          <w:i/>
          <w:iCs/>
        </w:rPr>
        <w:t>The Evils of Theodicy</w:t>
      </w:r>
      <w:r>
        <w:t xml:space="preserve"> (Eugene: Wipf and Stock, 2000), pp. 1–25</w:t>
      </w:r>
    </w:p>
    <w:p w14:paraId="38A0EE32" w14:textId="77777777" w:rsidR="00545BAC" w:rsidRDefault="00CF447B">
      <w:pPr>
        <w:spacing w:after="120" w:line="360" w:lineRule="auto"/>
        <w:ind w:left="720" w:hanging="720"/>
        <w:jc w:val="both"/>
      </w:pPr>
      <w:r>
        <w:t xml:space="preserve">Wright, N. T., </w:t>
      </w:r>
      <w:r>
        <w:rPr>
          <w:i/>
          <w:iCs/>
        </w:rPr>
        <w:t>Evil and the Justice of God</w:t>
      </w:r>
      <w:r>
        <w:t xml:space="preserve"> (London: SPCK, 2006)</w:t>
      </w:r>
    </w:p>
    <w:p w14:paraId="10DED6C6" w14:textId="77777777" w:rsidR="00545BAC" w:rsidRDefault="00545BAC">
      <w:pPr>
        <w:pageBreakBefore/>
      </w:pPr>
    </w:p>
    <w:p w14:paraId="4FE21EE7" w14:textId="7739EA6B" w:rsidR="00545BAC" w:rsidRDefault="00CF447B">
      <w:pPr>
        <w:pStyle w:val="Heading1"/>
      </w:pPr>
      <w:r>
        <w:t xml:space="preserve">Task 2: Literature Review </w:t>
      </w:r>
    </w:p>
    <w:p w14:paraId="30C86DDE" w14:textId="77777777" w:rsidR="00545BAC" w:rsidRDefault="00CF447B">
      <w:pPr>
        <w:spacing w:after="160" w:line="360" w:lineRule="auto"/>
        <w:jc w:val="both"/>
      </w:pPr>
      <w:r>
        <w:rPr>
          <w:b/>
          <w:bCs/>
        </w:rPr>
        <w:t>Topic: Theodicy and the Problem of Evil</w:t>
      </w:r>
    </w:p>
    <w:p w14:paraId="142BB159" w14:textId="77777777" w:rsidR="00545BAC" w:rsidRDefault="00CF447B">
      <w:pPr>
        <w:spacing w:after="160" w:line="360" w:lineRule="auto"/>
        <w:jc w:val="both"/>
      </w:pPr>
      <w:r>
        <w:t>This literature review examines two scholarly works on the theme of theodicy: a peer-reviewed journal article by Eleonore Stump and an academic monograph by Marilyn McCord Adams. Both texts engage with the question of how the existence of suffering can be reconciled with belief in a good and powerful God.</w:t>
      </w:r>
    </w:p>
    <w:p w14:paraId="6B3F52AF" w14:textId="77777777" w:rsidR="00545BAC" w:rsidRDefault="00CF447B">
      <w:pPr>
        <w:pStyle w:val="Heading2"/>
      </w:pPr>
      <w:r>
        <w:rPr>
          <w:u w:val="single"/>
        </w:rPr>
        <w:t>Source 1: Journal Article</w:t>
      </w:r>
    </w:p>
    <w:p w14:paraId="7753FBFB" w14:textId="77777777" w:rsidR="00545BAC" w:rsidRDefault="00CF447B">
      <w:pPr>
        <w:spacing w:after="160" w:line="360" w:lineRule="auto"/>
        <w:jc w:val="both"/>
      </w:pPr>
      <w:r>
        <w:rPr>
          <w:i/>
          <w:iCs/>
        </w:rPr>
        <w:t>Stump, Eleonore, ‘The Problem of Evil’, Faith and Philosophy, 14.4 (1997), 392–423</w:t>
      </w:r>
    </w:p>
    <w:p w14:paraId="6BF6C87D" w14:textId="77777777" w:rsidR="00545BAC" w:rsidRDefault="00CF447B">
      <w:pPr>
        <w:spacing w:after="160" w:line="360" w:lineRule="auto"/>
        <w:ind w:firstLine="720"/>
        <w:jc w:val="both"/>
      </w:pPr>
      <w:r>
        <w:t xml:space="preserve">Eleonore Stump is a prominent American philosopher who specialises in medieval philosophy and the philosophy of religion. At the time of writing, she held a professorship at Saint Louis University, and this article was published in </w:t>
      </w:r>
      <w:r>
        <w:rPr>
          <w:i/>
          <w:iCs/>
        </w:rPr>
        <w:t>Faith and Philosophy</w:t>
      </w:r>
      <w:r>
        <w:t>, a leading peer-reviewed journal in the field. The article addresses what is arguably the most significant challenge to theistic belief: the problem of evil.</w:t>
      </w:r>
      <w:r>
        <w:rPr>
          <w:rStyle w:val="FootnoteReference"/>
        </w:rPr>
        <w:footnoteReference w:id="1"/>
      </w:r>
    </w:p>
    <w:p w14:paraId="75764A6F" w14:textId="77777777" w:rsidR="00545BAC" w:rsidRDefault="00CF447B">
      <w:pPr>
        <w:spacing w:after="160" w:line="360" w:lineRule="auto"/>
        <w:ind w:firstLine="720"/>
        <w:jc w:val="both"/>
      </w:pPr>
      <w:r>
        <w:t>Stump’s central argument is that the traditional formulation of the problem of evil can be answered by a more careful examination of what constitutes genuine human good.</w:t>
      </w:r>
      <w:r>
        <w:rPr>
          <w:rStyle w:val="FootnoteReference"/>
        </w:rPr>
        <w:footnoteReference w:id="2"/>
      </w:r>
      <w:r>
        <w:t xml:space="preserve"> Drawing on the philosophical theology of Thomas Aquinas, she contends that the highest good available to human beings is union with God, and that suffering may, in certain circumstances, serve as the means by which God draws individuals towards this ultimate good.</w:t>
      </w:r>
      <w:r>
        <w:rPr>
          <w:rStyle w:val="FootnoteReference"/>
        </w:rPr>
        <w:footnoteReference w:id="3"/>
      </w:r>
      <w:r>
        <w:t xml:space="preserve"> As Stump states, ‘the good for a person who has an intellect and will consists in a right relationship to God’.</w:t>
      </w:r>
      <w:r>
        <w:rPr>
          <w:rStyle w:val="FootnoteReference"/>
        </w:rPr>
        <w:footnoteReference w:id="4"/>
      </w:r>
      <w:r>
        <w:t xml:space="preserve"> This claim is significant because it attempts to justify not merely the existence of suffering in general, but the specific benefit that suffering might bring to the individual who endures it.</w:t>
      </w:r>
    </w:p>
    <w:p w14:paraId="56127B3C" w14:textId="77777777" w:rsidR="00545BAC" w:rsidRDefault="00CF447B">
      <w:pPr>
        <w:spacing w:after="160" w:line="360" w:lineRule="auto"/>
        <w:ind w:firstLine="720"/>
        <w:jc w:val="both"/>
      </w:pPr>
      <w:r>
        <w:t xml:space="preserve">Stump’s theoretical perspective is explicitly Thomistic: she relies on Aquinas’s account of the intellect and will to explain how human desires can become disordered, and </w:t>
      </w:r>
      <w:r>
        <w:lastRenderedPageBreak/>
        <w:t>how suffering might, in divine providence, serve to reorder them.</w:t>
      </w:r>
      <w:r>
        <w:rPr>
          <w:rStyle w:val="FootnoteReference"/>
        </w:rPr>
        <w:footnoteReference w:id="5"/>
      </w:r>
      <w:r>
        <w:t xml:space="preserve"> This gives her argument considerable philosophical depth, since she is not simply asserting that God has mysterious reasons for permitting evil but rather providing a structured account of how suffering can function instrumentally in bringing about a specific good. Her sources include Aquinas’s </w:t>
      </w:r>
      <w:r>
        <w:rPr>
          <w:i/>
          <w:iCs/>
        </w:rPr>
        <w:t xml:space="preserve">Summa </w:t>
      </w:r>
      <w:proofErr w:type="spellStart"/>
      <w:r>
        <w:rPr>
          <w:i/>
          <w:iCs/>
        </w:rPr>
        <w:t>Theologiae</w:t>
      </w:r>
      <w:proofErr w:type="spellEnd"/>
      <w:r>
        <w:t>, scriptural texts, and engagement with contemporaries such as J. L. Mackie and Alvin Plantinga.</w:t>
      </w:r>
      <w:r>
        <w:rPr>
          <w:rStyle w:val="FootnoteReference"/>
        </w:rPr>
        <w:footnoteReference w:id="6"/>
      </w:r>
    </w:p>
    <w:p w14:paraId="1E0E90D4" w14:textId="77777777" w:rsidR="00545BAC" w:rsidRDefault="00CF447B">
      <w:pPr>
        <w:spacing w:after="160" w:line="360" w:lineRule="auto"/>
        <w:ind w:firstLine="720"/>
        <w:jc w:val="both"/>
      </w:pPr>
      <w:r>
        <w:t>One of the notable strengths of Stump’s approach is her refusal to minimise the severity of suffering: she is careful to acknowledge that any adequate response to the problem of evil must take the reality of pain fully seriously.</w:t>
      </w:r>
      <w:r>
        <w:rPr>
          <w:rStyle w:val="FootnoteReference"/>
        </w:rPr>
        <w:footnoteReference w:id="7"/>
      </w:r>
      <w:r>
        <w:t xml:space="preserve"> Her use of Thomistic philosophy provides a historically grounded framework that distinguishes her work from more speculative responses to the problem. However, there are notable weaknesses. Her argument presupposes the existence of God and a divinely ordered account of human good, meaning it will persuade only those already sympathetic to a theistic framework. Furthermore, critics have observed that even if suffering can sometimes promote spiritual growth, this does not adequately account for the scale and distribution of evil in the world, much of which appears arbitrary and disproportionate.</w:t>
      </w:r>
      <w:r>
        <w:rPr>
          <w:rStyle w:val="FootnoteReference"/>
        </w:rPr>
        <w:footnoteReference w:id="8"/>
      </w:r>
    </w:p>
    <w:p w14:paraId="2FD6DB4D" w14:textId="77777777" w:rsidR="00545BAC" w:rsidRDefault="00CF447B">
      <w:pPr>
        <w:spacing w:after="160" w:line="360" w:lineRule="auto"/>
        <w:ind w:firstLine="720"/>
        <w:jc w:val="both"/>
      </w:pPr>
      <w:r>
        <w:t>Compared with other scholarship on the topic, Stump’s article supports and extends Plantinga’s free will defence whilst going further by suggesting that suffering may have positive instrumental value rather than being merely a consequence of creaturely freedom. Her work is more philosophically rigorous than popular accounts of suffering, and for research into theodicy it remains a highly valuable text precisely because it offers one of the most detailed defences of the view that suffering can be reconciled with divine goodness.</w:t>
      </w:r>
    </w:p>
    <w:p w14:paraId="60A7DAFC" w14:textId="77777777" w:rsidR="00545BAC" w:rsidRDefault="00CF447B">
      <w:pPr>
        <w:pStyle w:val="Heading2"/>
      </w:pPr>
      <w:r>
        <w:rPr>
          <w:u w:val="single"/>
        </w:rPr>
        <w:t>Source 2: Academic Monograph</w:t>
      </w:r>
    </w:p>
    <w:p w14:paraId="2288D05D" w14:textId="77777777" w:rsidR="00545BAC" w:rsidRDefault="00CF447B">
      <w:pPr>
        <w:spacing w:after="160" w:line="360" w:lineRule="auto"/>
        <w:jc w:val="both"/>
      </w:pPr>
      <w:r>
        <w:rPr>
          <w:i/>
          <w:iCs/>
        </w:rPr>
        <w:t>Adams, Marilyn McCord, Horrendous Evils and the Goodness of God (Ithaca: Cornell University Press, 1999), pp. 26–28</w:t>
      </w:r>
    </w:p>
    <w:p w14:paraId="75AE38F4" w14:textId="77777777" w:rsidR="00545BAC" w:rsidRDefault="00CF447B">
      <w:pPr>
        <w:spacing w:after="160" w:line="360" w:lineRule="auto"/>
        <w:ind w:firstLine="720"/>
        <w:jc w:val="both"/>
      </w:pPr>
      <w:r>
        <w:lastRenderedPageBreak/>
        <w:t>Marilyn McCord Adams was an American philosopher and Episcopal priest who combined expertise in medieval philosophy with a deep commitment to Christian theology. This book was written whilst she held a professorship at Yale University, and it is published by Cornell University Press, a highly respected academic press. It represents an original and sustained contribution to the debate about evil and divine goodness.</w:t>
      </w:r>
    </w:p>
    <w:p w14:paraId="37CBD92F" w14:textId="77777777" w:rsidR="00545BAC" w:rsidRDefault="00CF447B">
      <w:pPr>
        <w:spacing w:after="160" w:line="360" w:lineRule="auto"/>
        <w:ind w:firstLine="720"/>
        <w:jc w:val="both"/>
      </w:pPr>
      <w:r>
        <w:t>Adams’s central argument is that conventional philosophical discussions of evil have failed to take adequate account of what she calls ‘horrendous evils’ – those forms of suffering so severe that they give the sufferer ‘prima facie reason to doubt whether their life could be a great good to them on the whole’.</w:t>
      </w:r>
      <w:r>
        <w:rPr>
          <w:rStyle w:val="FootnoteReference"/>
        </w:rPr>
        <w:footnoteReference w:id="9"/>
      </w:r>
      <w:r>
        <w:t xml:space="preserve"> She argues that theodicies which seek to justify evil by appeal to the greater good of the universe as a whole are inadequate when confronted with extreme cases, because they effectively treat victims of horrendous suffering as instruments for a benefit they may never personally experience.</w:t>
      </w:r>
      <w:r>
        <w:rPr>
          <w:rStyle w:val="FootnoteReference"/>
        </w:rPr>
        <w:footnoteReference w:id="10"/>
      </w:r>
    </w:p>
    <w:p w14:paraId="2257B352" w14:textId="77777777" w:rsidR="00545BAC" w:rsidRDefault="00CF447B">
      <w:pPr>
        <w:spacing w:after="160" w:line="360" w:lineRule="auto"/>
        <w:ind w:firstLine="720"/>
        <w:jc w:val="both"/>
      </w:pPr>
      <w:r>
        <w:t>Rather than abandoning theism in the face of such evils, Adams proposes that God can ‘defeat’ horrendous evils by incorporating them into a person’s relationship with God in a way that bestows positive meaning upon the suffering.</w:t>
      </w:r>
      <w:r>
        <w:rPr>
          <w:rStyle w:val="FootnoteReference"/>
        </w:rPr>
        <w:footnoteReference w:id="11"/>
      </w:r>
      <w:r>
        <w:t xml:space="preserve"> She draws specifically on the Christian doctrine of the Incarnation, arguing that Christ’s participation in human suffering provides a model for understanding how God enters into solidarity with those who endure the worst of human experience.</w:t>
      </w:r>
      <w:r>
        <w:rPr>
          <w:rStyle w:val="FootnoteReference"/>
        </w:rPr>
        <w:footnoteReference w:id="12"/>
      </w:r>
    </w:p>
    <w:p w14:paraId="19872310" w14:textId="77777777" w:rsidR="00545BAC" w:rsidRDefault="00CF447B">
      <w:pPr>
        <w:spacing w:after="160" w:line="360" w:lineRule="auto"/>
        <w:ind w:firstLine="720"/>
        <w:jc w:val="both"/>
      </w:pPr>
      <w:r>
        <w:t>Adams’s approach is both a strength and a limitation of her work. Her willingness to engage with specifically Christian theological resources gives her argument a concreteness and richness that purely abstract treatments may lack. However, critics have argued that her solution is available only to those within the Christian tradition, leaving unanswered questions for members of other faiths or for those without religious belief.</w:t>
      </w:r>
      <w:r>
        <w:rPr>
          <w:rStyle w:val="FootnoteReference"/>
        </w:rPr>
        <w:footnoteReference w:id="13"/>
      </w:r>
    </w:p>
    <w:p w14:paraId="7058E138" w14:textId="36B13AB9" w:rsidR="00545BAC" w:rsidRDefault="00CF447B">
      <w:pPr>
        <w:spacing w:after="160" w:line="360" w:lineRule="auto"/>
        <w:ind w:firstLine="720"/>
        <w:jc w:val="both"/>
      </w:pPr>
      <w:r>
        <w:t xml:space="preserve">Compared with Stump, Adams is more explicit in acknowledging that some forms of suffering resist conventional theodicy and require a different kind of response. Both authors share a Thomistic inheritance and a commitment to Christian philosophy of </w:t>
      </w:r>
      <w:r>
        <w:lastRenderedPageBreak/>
        <w:t xml:space="preserve">religion, but Adams is more prepared to concede that traditional defences may be insufficient for the very worst cases. Her honest engagement with extreme suffering gives her work </w:t>
      </w:r>
      <w:r w:rsidR="00383D73">
        <w:t>intellectual</w:t>
      </w:r>
      <w:r>
        <w:t xml:space="preserve"> integrity, and for research into theodicy her monograph is an essential resource.</w:t>
      </w:r>
    </w:p>
    <w:p w14:paraId="1CC51B54" w14:textId="77777777" w:rsidR="00545BAC" w:rsidRDefault="00CF447B">
      <w:pPr>
        <w:pStyle w:val="Heading2"/>
      </w:pPr>
      <w:r>
        <w:rPr>
          <w:u w:val="single"/>
        </w:rPr>
        <w:t>Bibliography</w:t>
      </w:r>
    </w:p>
    <w:p w14:paraId="50B63444" w14:textId="77777777" w:rsidR="00545BAC" w:rsidRDefault="00CF447B">
      <w:pPr>
        <w:spacing w:after="120" w:line="360" w:lineRule="auto"/>
        <w:ind w:left="720" w:hanging="720"/>
        <w:jc w:val="both"/>
      </w:pPr>
      <w:r>
        <w:t xml:space="preserve">Adams, Marilyn McCord, </w:t>
      </w:r>
      <w:r>
        <w:rPr>
          <w:i/>
          <w:iCs/>
        </w:rPr>
        <w:t>Horrendous Evils and the Goodness of God</w:t>
      </w:r>
      <w:r>
        <w:t xml:space="preserve"> (Ithaca: Cornell University Press, 1999)</w:t>
      </w:r>
    </w:p>
    <w:p w14:paraId="78FFEADE" w14:textId="77777777" w:rsidR="00545BAC" w:rsidRDefault="00CF447B">
      <w:pPr>
        <w:spacing w:after="120" w:line="360" w:lineRule="auto"/>
        <w:ind w:left="720" w:hanging="720"/>
        <w:jc w:val="both"/>
      </w:pPr>
      <w:r>
        <w:t xml:space="preserve">Hart, David Bentley, </w:t>
      </w:r>
      <w:r>
        <w:rPr>
          <w:i/>
          <w:iCs/>
        </w:rPr>
        <w:t>The Doors of the Sea: Where Was God in the Tsunami?</w:t>
      </w:r>
      <w:r>
        <w:t xml:space="preserve"> (Grand Rapids: Eerdmans, 2005)</w:t>
      </w:r>
    </w:p>
    <w:p w14:paraId="0CE24282" w14:textId="77777777" w:rsidR="00545BAC" w:rsidRDefault="00CF447B">
      <w:pPr>
        <w:spacing w:after="120" w:line="360" w:lineRule="auto"/>
        <w:ind w:left="720" w:hanging="720"/>
        <w:jc w:val="both"/>
      </w:pPr>
      <w:r>
        <w:t xml:space="preserve">Hick, John, </w:t>
      </w:r>
      <w:r>
        <w:rPr>
          <w:i/>
          <w:iCs/>
        </w:rPr>
        <w:t>Evil and the God of Love</w:t>
      </w:r>
      <w:r>
        <w:t xml:space="preserve">, rev. </w:t>
      </w:r>
      <w:proofErr w:type="spellStart"/>
      <w:r>
        <w:t>edn</w:t>
      </w:r>
      <w:proofErr w:type="spellEnd"/>
      <w:r>
        <w:t xml:space="preserve"> (Basingstoke: Palgrave Macmillan, 2010)</w:t>
      </w:r>
    </w:p>
    <w:p w14:paraId="5F1E3271" w14:textId="77777777" w:rsidR="00545BAC" w:rsidRDefault="00CF447B">
      <w:pPr>
        <w:spacing w:after="120" w:line="360" w:lineRule="auto"/>
        <w:ind w:left="720" w:hanging="720"/>
        <w:jc w:val="both"/>
      </w:pPr>
      <w:r>
        <w:t xml:space="preserve">Peterson, Michael L., </w:t>
      </w:r>
      <w:r>
        <w:rPr>
          <w:i/>
          <w:iCs/>
        </w:rPr>
        <w:t>The Problem of Evil: Selected Readings</w:t>
      </w:r>
      <w:r>
        <w:t xml:space="preserve">, 2nd </w:t>
      </w:r>
      <w:proofErr w:type="spellStart"/>
      <w:r>
        <w:t>edn</w:t>
      </w:r>
      <w:proofErr w:type="spellEnd"/>
      <w:r>
        <w:t xml:space="preserve"> (Notre Dame: University of Notre Dame Press, 2017)</w:t>
      </w:r>
    </w:p>
    <w:p w14:paraId="24820241" w14:textId="77777777" w:rsidR="00545BAC" w:rsidRDefault="00CF447B">
      <w:pPr>
        <w:spacing w:after="120" w:line="360" w:lineRule="auto"/>
        <w:ind w:left="720" w:hanging="720"/>
        <w:jc w:val="both"/>
      </w:pPr>
      <w:r>
        <w:t xml:space="preserve">Plantinga, Alvin, ‘The Free Will Defence’, in </w:t>
      </w:r>
      <w:r>
        <w:rPr>
          <w:i/>
          <w:iCs/>
        </w:rPr>
        <w:t>The Analytic Theist: An Alvin Plantinga Reader</w:t>
      </w:r>
      <w:r>
        <w:t>, ed. by James F. Sennett (Grand Rapids: Eerdmans, 1998), pp. 23–50</w:t>
      </w:r>
    </w:p>
    <w:p w14:paraId="2A9D2BFD" w14:textId="77777777" w:rsidR="00545BAC" w:rsidRDefault="00CF447B">
      <w:pPr>
        <w:spacing w:after="120" w:line="360" w:lineRule="auto"/>
        <w:ind w:left="720" w:hanging="720"/>
        <w:jc w:val="both"/>
      </w:pPr>
      <w:r>
        <w:t xml:space="preserve">Southgate, Christopher, ‘Cosmic Evolution and Evil’, in </w:t>
      </w:r>
      <w:r>
        <w:rPr>
          <w:i/>
          <w:iCs/>
        </w:rPr>
        <w:t>The Groaning of Creation: God, Evolution, and the Problem of Evil</w:t>
      </w:r>
      <w:r>
        <w:t xml:space="preserve"> (Louisville: Westminster John Knox Press, 2008), pp. 12–34</w:t>
      </w:r>
    </w:p>
    <w:p w14:paraId="6AAD6179" w14:textId="77777777" w:rsidR="00545BAC" w:rsidRDefault="00CF447B">
      <w:pPr>
        <w:spacing w:after="120" w:line="360" w:lineRule="auto"/>
        <w:ind w:left="720" w:hanging="720"/>
        <w:jc w:val="both"/>
      </w:pPr>
      <w:r>
        <w:t xml:space="preserve">Stump, Eleonore, ‘The Problem of Evil’, </w:t>
      </w:r>
      <w:r>
        <w:rPr>
          <w:i/>
          <w:iCs/>
        </w:rPr>
        <w:t>Faith and Philosophy</w:t>
      </w:r>
      <w:r>
        <w:t>, 14.4 (1997), 392–423</w:t>
      </w:r>
    </w:p>
    <w:p w14:paraId="188153A0" w14:textId="77777777" w:rsidR="00545BAC" w:rsidRDefault="00CF447B">
      <w:pPr>
        <w:spacing w:after="120" w:line="360" w:lineRule="auto"/>
        <w:ind w:left="720" w:hanging="720"/>
        <w:jc w:val="both"/>
      </w:pPr>
      <w:r>
        <w:t xml:space="preserve">Surin, Kenneth, ‘Theodicy?’, </w:t>
      </w:r>
      <w:r>
        <w:rPr>
          <w:i/>
          <w:iCs/>
        </w:rPr>
        <w:t>Harvard Theological Review</w:t>
      </w:r>
      <w:r>
        <w:t>, 76.2 (1983), 225–247</w:t>
      </w:r>
    </w:p>
    <w:p w14:paraId="3471CD7C" w14:textId="77777777" w:rsidR="00545BAC" w:rsidRDefault="00CF447B">
      <w:pPr>
        <w:spacing w:after="120" w:line="360" w:lineRule="auto"/>
        <w:ind w:left="720" w:hanging="720"/>
        <w:jc w:val="both"/>
      </w:pPr>
      <w:r>
        <w:t xml:space="preserve">Tilley, Terrence W., ‘The Problem of Theodicy: A Background Survey’, in </w:t>
      </w:r>
      <w:r>
        <w:rPr>
          <w:i/>
          <w:iCs/>
        </w:rPr>
        <w:t>The Evils of Theodicy</w:t>
      </w:r>
      <w:r>
        <w:t xml:space="preserve"> (Eugene: Wipf and Stock, 2000), pp. 1–25</w:t>
      </w:r>
    </w:p>
    <w:p w14:paraId="0CE4D5E8" w14:textId="77777777" w:rsidR="00545BAC" w:rsidRDefault="00CF447B">
      <w:pPr>
        <w:spacing w:after="120" w:line="360" w:lineRule="auto"/>
        <w:ind w:left="720" w:hanging="720"/>
        <w:jc w:val="both"/>
      </w:pPr>
      <w:r>
        <w:t xml:space="preserve">Wright, N. T., </w:t>
      </w:r>
      <w:r>
        <w:rPr>
          <w:i/>
          <w:iCs/>
        </w:rPr>
        <w:t>Evil and the Justice of God</w:t>
      </w:r>
      <w:r>
        <w:t xml:space="preserve"> (London: SPCK, 2006)</w:t>
      </w:r>
    </w:p>
    <w:p w14:paraId="41EEE02D" w14:textId="77777777" w:rsidR="00545BAC" w:rsidRDefault="00545BAC">
      <w:pPr>
        <w:pageBreakBefore/>
      </w:pPr>
    </w:p>
    <w:p w14:paraId="041AEF59" w14:textId="77777777" w:rsidR="00545BAC" w:rsidRDefault="00CF447B">
      <w:pPr>
        <w:pStyle w:val="Heading1"/>
      </w:pPr>
      <w:r>
        <w:t>Task 3: Primary Source Analysis (≈ 1200 words)</w:t>
      </w:r>
    </w:p>
    <w:p w14:paraId="185CEA5F" w14:textId="77777777" w:rsidR="00545BAC" w:rsidRDefault="00CF447B">
      <w:pPr>
        <w:spacing w:after="160" w:line="360" w:lineRule="auto"/>
        <w:jc w:val="both"/>
      </w:pPr>
      <w:r>
        <w:rPr>
          <w:b/>
          <w:bCs/>
        </w:rPr>
        <w:t xml:space="preserve">Primary Source: </w:t>
      </w:r>
      <w:r>
        <w:rPr>
          <w:i/>
          <w:iCs/>
        </w:rPr>
        <w:t>The Book of Job</w:t>
      </w:r>
      <w:r>
        <w:rPr>
          <w:b/>
          <w:bCs/>
        </w:rPr>
        <w:t xml:space="preserve">, in </w:t>
      </w:r>
      <w:r>
        <w:rPr>
          <w:i/>
          <w:iCs/>
        </w:rPr>
        <w:t>The Holy Bible: New International Version</w:t>
      </w:r>
      <w:r>
        <w:t xml:space="preserve"> (Grand Rapids: Zondervan, 2011)</w:t>
      </w:r>
    </w:p>
    <w:p w14:paraId="3F980B77" w14:textId="77777777" w:rsidR="00545BAC" w:rsidRDefault="00CF447B">
      <w:pPr>
        <w:pStyle w:val="Heading2"/>
      </w:pPr>
      <w:r>
        <w:rPr>
          <w:u w:val="single"/>
        </w:rPr>
        <w:t>Introduction to the Source</w:t>
      </w:r>
    </w:p>
    <w:p w14:paraId="46FC9C9C" w14:textId="77777777" w:rsidR="00545BAC" w:rsidRDefault="00CF447B">
      <w:pPr>
        <w:spacing w:after="160" w:line="360" w:lineRule="auto"/>
        <w:ind w:firstLine="720"/>
        <w:jc w:val="both"/>
      </w:pPr>
      <w:r>
        <w:t>The Book of Job is one of the most significant primary sources in the Hebrew Bible for the study of theodicy and the problem of evil.</w:t>
      </w:r>
      <w:r>
        <w:rPr>
          <w:rStyle w:val="FootnoteReference"/>
        </w:rPr>
        <w:footnoteReference w:id="14"/>
      </w:r>
      <w:r>
        <w:t xml:space="preserve"> It belongs to the section of the Hebrew scriptures known as the Writings (</w:t>
      </w:r>
      <w:r>
        <w:rPr>
          <w:i/>
          <w:iCs/>
        </w:rPr>
        <w:t>Ketuvim</w:t>
      </w:r>
      <w:r>
        <w:t>), and forms part of the Old Testament canon of Christian Scripture. Unlike the legal and prophetic books, Job is a work of wisdom literature: a genre characterised by reflective inquiry into fundamental questions of justice, suffering, and the nature of divine governance.</w:t>
      </w:r>
      <w:r>
        <w:rPr>
          <w:rStyle w:val="FootnoteReference"/>
        </w:rPr>
        <w:footnoteReference w:id="15"/>
      </w:r>
    </w:p>
    <w:p w14:paraId="6410F858" w14:textId="77777777" w:rsidR="00545BAC" w:rsidRDefault="00CF447B">
      <w:pPr>
        <w:pStyle w:val="Heading2"/>
      </w:pPr>
      <w:r>
        <w:rPr>
          <w:u w:val="single"/>
        </w:rPr>
        <w:t>Background and Authorship</w:t>
      </w:r>
    </w:p>
    <w:p w14:paraId="7A14227B" w14:textId="77777777" w:rsidR="00545BAC" w:rsidRDefault="00CF447B">
      <w:pPr>
        <w:spacing w:after="160" w:line="360" w:lineRule="auto"/>
        <w:ind w:firstLine="720"/>
        <w:jc w:val="both"/>
      </w:pPr>
      <w:r>
        <w:t>The authorship of the Book of Job is unknown. The text names no writer, and the question of authorship has been debated extensively by biblical scholars for centuries. The book is composed in Hebrew, though it contains unusual vocabulary and grammatical forms that have led some scholars to consider possible non-Israelite origins or an unusually early date of composition.</w:t>
      </w:r>
      <w:r>
        <w:rPr>
          <w:rStyle w:val="FootnoteReference"/>
        </w:rPr>
        <w:footnoteReference w:id="16"/>
      </w:r>
      <w:r>
        <w:t xml:space="preserve"> Most scholars place the final composition somewhere between the sixth and fourth centuries BCE, though certain elements may be considerably older. What the internal evidence does suggest is that the author was highly skilled in Hebrew poetry and deeply engaged with the wisdom traditions of the ancient Near East more broadly.</w:t>
      </w:r>
      <w:r>
        <w:rPr>
          <w:rStyle w:val="FootnoteReference"/>
        </w:rPr>
        <w:footnoteReference w:id="17"/>
      </w:r>
    </w:p>
    <w:p w14:paraId="717BB2B4" w14:textId="77777777" w:rsidR="00545BAC" w:rsidRDefault="00CF447B">
      <w:pPr>
        <w:pStyle w:val="Heading2"/>
      </w:pPr>
      <w:r>
        <w:rPr>
          <w:u w:val="single"/>
        </w:rPr>
        <w:t>Historical and Cultural Context</w:t>
      </w:r>
    </w:p>
    <w:p w14:paraId="3183A47E" w14:textId="77777777" w:rsidR="00545BAC" w:rsidRDefault="00CF447B">
      <w:pPr>
        <w:spacing w:after="160" w:line="360" w:lineRule="auto"/>
        <w:ind w:firstLine="720"/>
        <w:jc w:val="both"/>
      </w:pPr>
      <w:r>
        <w:t xml:space="preserve">The historical context in which the Book of Job was most likely composed is significant for understanding its theological concerns. If a sixth-century BCE date is accepted, the book would have been written during or shortly after the Babylonian exile, </w:t>
      </w:r>
      <w:r>
        <w:lastRenderedPageBreak/>
        <w:t>when Jerusalem was destroyed and a substantial portion of the Jewish population was deported to Babylon. The traditional Israelite belief in retribution theology – the conviction that righteousness would be rewarded and wickedness punished within this life – was severely tested by this experience of national catastrophe and the suffering of many who appeared blameless.</w:t>
      </w:r>
      <w:r>
        <w:rPr>
          <w:rStyle w:val="FootnoteReference"/>
        </w:rPr>
        <w:footnoteReference w:id="18"/>
      </w:r>
      <w:r>
        <w:t xml:space="preserve"> As N. T. Wright has observed, the problem of evil was not a theoretical puzzle for the ancient Israelites but an urgent practical and theological challenge arising directly from their historical experience.</w:t>
      </w:r>
      <w:r>
        <w:rPr>
          <w:rStyle w:val="FootnoteReference"/>
        </w:rPr>
        <w:footnoteReference w:id="19"/>
      </w:r>
    </w:p>
    <w:p w14:paraId="224A4E6A" w14:textId="77777777" w:rsidR="00545BAC" w:rsidRDefault="00CF447B">
      <w:pPr>
        <w:pStyle w:val="Heading2"/>
      </w:pPr>
      <w:r>
        <w:rPr>
          <w:u w:val="single"/>
        </w:rPr>
        <w:t>Intended Audience and Circulation</w:t>
      </w:r>
    </w:p>
    <w:p w14:paraId="17AF0DC7" w14:textId="77777777" w:rsidR="00545BAC" w:rsidRDefault="00CF447B">
      <w:pPr>
        <w:spacing w:after="160" w:line="360" w:lineRule="auto"/>
        <w:ind w:firstLine="720"/>
        <w:jc w:val="both"/>
      </w:pPr>
      <w:r>
        <w:t xml:space="preserve">The Book of Job was produced within a religious community and would have circulated initially among </w:t>
      </w:r>
      <w:proofErr w:type="gramStart"/>
      <w:r>
        <w:t>those literate</w:t>
      </w:r>
      <w:proofErr w:type="gramEnd"/>
      <w:r>
        <w:t xml:space="preserve"> in Hebrew: priests, scribes, and educated members of the community. The intended audience was those wrestling with questions of divine justice, particularly those whose experience of suffering seemed to contradict the assurance that God would protect the righteous. The book would have been read aloud in religious and educational settings, allowing its themes to reach a broader audience beyond those capable of reading the text directly. Access was therefore shaped by literacy and the significant expense involved in the production of scrolls, though the ideas it contained would have spread further through oral teaching and discussion.</w:t>
      </w:r>
      <w:r>
        <w:rPr>
          <w:rStyle w:val="FootnoteReference"/>
        </w:rPr>
        <w:footnoteReference w:id="20"/>
      </w:r>
    </w:p>
    <w:p w14:paraId="31B059E5" w14:textId="77777777" w:rsidR="00545BAC" w:rsidRDefault="00CF447B">
      <w:pPr>
        <w:pStyle w:val="Heading2"/>
      </w:pPr>
      <w:r>
        <w:rPr>
          <w:u w:val="single"/>
        </w:rPr>
        <w:t>Content and Key Arguments</w:t>
      </w:r>
    </w:p>
    <w:p w14:paraId="55756E6C" w14:textId="77777777" w:rsidR="00545BAC" w:rsidRDefault="00CF447B">
      <w:pPr>
        <w:spacing w:after="160" w:line="360" w:lineRule="auto"/>
        <w:ind w:firstLine="720"/>
        <w:jc w:val="both"/>
      </w:pPr>
      <w:r>
        <w:t xml:space="preserve">The main content of the book falls into three distinct sections: a prose prologue and epilogue, and an extended poetic dialogue in the middle. The prologue presents Job as a righteous man whose suffering is permitted by God following a challenge issued by the figure known as the Adversary (Hebrew: </w:t>
      </w:r>
      <w:r>
        <w:rPr>
          <w:i/>
          <w:iCs/>
        </w:rPr>
        <w:t>ha-Satan</w:t>
      </w:r>
      <w:r>
        <w:t>). The central poetic section consists of dialogues between Job and three friends – Eliphaz, Bildad, and Zophar – who represent the conventional theology of divine retribution. Their repeated insistence that Job must have sinned to deserve his suffering is challenged throughout by Job’s sustained declarations of innocence.</w:t>
      </w:r>
      <w:r>
        <w:rPr>
          <w:rStyle w:val="FootnoteReference"/>
        </w:rPr>
        <w:footnoteReference w:id="21"/>
      </w:r>
    </w:p>
    <w:p w14:paraId="151A02F9" w14:textId="77777777" w:rsidR="00545BAC" w:rsidRDefault="00CF447B">
      <w:pPr>
        <w:spacing w:after="160" w:line="360" w:lineRule="auto"/>
        <w:ind w:firstLine="720"/>
        <w:jc w:val="both"/>
      </w:pPr>
      <w:r>
        <w:lastRenderedPageBreak/>
        <w:t>Job’s willingness to confront God directly is remarkable in the context of ancient religious literature. His demand, ‘Why do the wicked live on, growing old and increasing in power?’ (Job 21.7), challenges the foundational assumption that divine justice operates straightforwardly within human experience. The language and imagery of the book are highly sophisticated: Job’s speeches make extensive use of legal metaphors, with Job demanding that God appear as a witness or judge in a formal proceeding to answer his charges.</w:t>
      </w:r>
      <w:r>
        <w:rPr>
          <w:rStyle w:val="FootnoteReference"/>
        </w:rPr>
        <w:footnoteReference w:id="22"/>
      </w:r>
      <w:r>
        <w:t xml:space="preserve"> This rhetorical strategy is significant because it frames the problem of evil as a matter of justice rather than merely an emotional response to personal pain.</w:t>
      </w:r>
    </w:p>
    <w:p w14:paraId="21F0C6DA" w14:textId="77777777" w:rsidR="00545BAC" w:rsidRDefault="00CF447B">
      <w:pPr>
        <w:spacing w:after="160" w:line="360" w:lineRule="auto"/>
        <w:ind w:firstLine="720"/>
        <w:jc w:val="both"/>
      </w:pPr>
      <w:r>
        <w:t>The divine speeches from the whirlwind in chapters 38–41 represent one of the most powerful passages in the Hebrew Bible. Rather than answering Job’s questions directly, God responds by surveying the vastness and complexity of creation: ‘Where were you when I laid the earth’s foundation? Tell me, if you understand’ (Job 38.4). This response has been interpreted in different ways by scholars. Wright argues that God’s answer does not invalidate Job’s complaint but rather situates it within a context of divine ordering that transcends human comprehension.</w:t>
      </w:r>
      <w:r>
        <w:rPr>
          <w:rStyle w:val="FootnoteReference"/>
        </w:rPr>
        <w:footnoteReference w:id="23"/>
      </w:r>
      <w:r>
        <w:t xml:space="preserve"> Hick, by contrast, suggests that appealing to divine transcendence in this way risks making theodicy unhelpful to those </w:t>
      </w:r>
      <w:proofErr w:type="gramStart"/>
      <w:r>
        <w:t>in the midst of</w:t>
      </w:r>
      <w:proofErr w:type="gramEnd"/>
      <w:r>
        <w:t xml:space="preserve"> acute suffering.</w:t>
      </w:r>
      <w:r>
        <w:rPr>
          <w:rStyle w:val="FootnoteReference"/>
        </w:rPr>
        <w:footnoteReference w:id="24"/>
      </w:r>
    </w:p>
    <w:p w14:paraId="2D095C1C" w14:textId="77777777" w:rsidR="00545BAC" w:rsidRDefault="00CF447B">
      <w:pPr>
        <w:pStyle w:val="Heading2"/>
      </w:pPr>
      <w:r>
        <w:rPr>
          <w:u w:val="single"/>
        </w:rPr>
        <w:t>Audience Reception</w:t>
      </w:r>
    </w:p>
    <w:p w14:paraId="5B1F5984" w14:textId="77777777" w:rsidR="00545BAC" w:rsidRDefault="00CF447B">
      <w:pPr>
        <w:spacing w:after="160" w:line="360" w:lineRule="auto"/>
        <w:ind w:firstLine="720"/>
        <w:jc w:val="both"/>
      </w:pPr>
      <w:r>
        <w:t>The original audience would likely have had a complex response to the Book of Job. The text challenges comfortable religious certainties and does not offer the straightforward resolution that conventional theology would provide. The ending, in which Job’s fortunes are restored twofold, has been interpreted by some scholars as a concession to the principle of retribution, which risks partially undermining the more radical questioning that precedes it. Adams, whose work on horrendous evils draws on the tradition represented by Job, notes that texts which take suffering seriously without offering simplistic resolution serve a vital intellectual and theological function, preventing theodicy from collapsing into dishonest reassurance.</w:t>
      </w:r>
      <w:r>
        <w:rPr>
          <w:rStyle w:val="FootnoteReference"/>
        </w:rPr>
        <w:footnoteReference w:id="25"/>
      </w:r>
    </w:p>
    <w:p w14:paraId="5CB9F165" w14:textId="77777777" w:rsidR="00545BAC" w:rsidRDefault="00CF447B">
      <w:pPr>
        <w:pStyle w:val="Heading2"/>
      </w:pPr>
      <w:r>
        <w:rPr>
          <w:u w:val="single"/>
        </w:rPr>
        <w:lastRenderedPageBreak/>
        <w:t>Significance and Limitations as a Primary Source</w:t>
      </w:r>
    </w:p>
    <w:p w14:paraId="646EA4BA" w14:textId="77777777" w:rsidR="00545BAC" w:rsidRDefault="00CF447B">
      <w:pPr>
        <w:spacing w:after="160" w:line="360" w:lineRule="auto"/>
        <w:ind w:firstLine="720"/>
        <w:jc w:val="both"/>
      </w:pPr>
      <w:r>
        <w:t>As a primary source, the Book of Job has several significant strengths. It demonstrates that the problem of evil was not an invention of Enlightenment philosophy but a profound concern within the oldest religious traditions. It provides direct access to the ways in which ancient Israelite thinkers engaged with questions of divine justice, and it shows that honest questioning of God was not regarded as incompatible with genuine faith. As a literary and poetic text, however, it does not offer a systematic philosophical argument of the kind developed by later thinkers such as Stump and Adams. Its claims are made through narrative and imagery rather than logical demonstration, which makes it difficult to evaluate in strictly philosophical terms. Nevertheless, the Book of Job remains an essential starting point for any serious study of theodicy: it establishes the fundamental questions that have occupied religious and philosophical thinkers for millennia, and its continued relevance to modern scholarship confirms its status as one of the most important primary sources in this field.</w:t>
      </w:r>
      <w:r>
        <w:rPr>
          <w:rStyle w:val="FootnoteReference"/>
        </w:rPr>
        <w:footnoteReference w:id="26"/>
      </w:r>
    </w:p>
    <w:p w14:paraId="03B26923" w14:textId="77777777" w:rsidR="00545BAC" w:rsidRDefault="00CF447B">
      <w:pPr>
        <w:pStyle w:val="Heading2"/>
      </w:pPr>
      <w:r>
        <w:rPr>
          <w:u w:val="single"/>
        </w:rPr>
        <w:t>Bibliography</w:t>
      </w:r>
    </w:p>
    <w:p w14:paraId="6E7816F7" w14:textId="77777777" w:rsidR="00545BAC" w:rsidRDefault="00CF447B">
      <w:pPr>
        <w:spacing w:after="120" w:line="360" w:lineRule="auto"/>
        <w:ind w:left="720" w:hanging="720"/>
        <w:jc w:val="both"/>
      </w:pPr>
      <w:r>
        <w:t xml:space="preserve">Adams, Marilyn McCord, </w:t>
      </w:r>
      <w:r>
        <w:rPr>
          <w:i/>
          <w:iCs/>
        </w:rPr>
        <w:t>Horrendous Evils and the Goodness of God</w:t>
      </w:r>
      <w:r>
        <w:t xml:space="preserve"> (Ithaca: Cornell University Press, 1999)</w:t>
      </w:r>
    </w:p>
    <w:p w14:paraId="1015E4DD" w14:textId="77777777" w:rsidR="00545BAC" w:rsidRDefault="00CF447B">
      <w:pPr>
        <w:spacing w:after="120" w:line="360" w:lineRule="auto"/>
        <w:ind w:left="720" w:hanging="720"/>
        <w:jc w:val="both"/>
      </w:pPr>
      <w:r>
        <w:t xml:space="preserve">Hart, David Bentley, </w:t>
      </w:r>
      <w:r>
        <w:rPr>
          <w:i/>
          <w:iCs/>
        </w:rPr>
        <w:t>The Doors of the Sea: Where Was God in the Tsunami?</w:t>
      </w:r>
      <w:r>
        <w:t xml:space="preserve"> (Grand Rapids: Eerdmans, 2005)</w:t>
      </w:r>
    </w:p>
    <w:p w14:paraId="32F9B1C0" w14:textId="77777777" w:rsidR="00545BAC" w:rsidRDefault="00CF447B">
      <w:pPr>
        <w:spacing w:after="120" w:line="360" w:lineRule="auto"/>
        <w:ind w:left="720" w:hanging="720"/>
        <w:jc w:val="both"/>
      </w:pPr>
      <w:r>
        <w:t xml:space="preserve">Hick, John, </w:t>
      </w:r>
      <w:r>
        <w:rPr>
          <w:i/>
          <w:iCs/>
        </w:rPr>
        <w:t>Evil and the God of Love</w:t>
      </w:r>
      <w:r>
        <w:t xml:space="preserve">, rev. </w:t>
      </w:r>
      <w:proofErr w:type="spellStart"/>
      <w:r>
        <w:t>edn</w:t>
      </w:r>
      <w:proofErr w:type="spellEnd"/>
      <w:r>
        <w:t xml:space="preserve"> (Basingstoke: Palgrave Macmillan, 2010)</w:t>
      </w:r>
    </w:p>
    <w:p w14:paraId="3024E6D2" w14:textId="77777777" w:rsidR="00545BAC" w:rsidRDefault="00CF447B">
      <w:pPr>
        <w:spacing w:after="120" w:line="360" w:lineRule="auto"/>
        <w:ind w:left="720" w:hanging="720"/>
        <w:jc w:val="both"/>
      </w:pPr>
      <w:r>
        <w:t xml:space="preserve">Peterson, Michael L., </w:t>
      </w:r>
      <w:r>
        <w:rPr>
          <w:i/>
          <w:iCs/>
        </w:rPr>
        <w:t>The Problem of Evil: Selected Readings</w:t>
      </w:r>
      <w:r>
        <w:t xml:space="preserve">, 2nd </w:t>
      </w:r>
      <w:proofErr w:type="spellStart"/>
      <w:r>
        <w:t>edn</w:t>
      </w:r>
      <w:proofErr w:type="spellEnd"/>
      <w:r>
        <w:t xml:space="preserve"> (Notre Dame: University of Notre Dame Press, 2017)</w:t>
      </w:r>
    </w:p>
    <w:p w14:paraId="12B7D87D" w14:textId="77777777" w:rsidR="00545BAC" w:rsidRDefault="00CF447B">
      <w:pPr>
        <w:spacing w:after="120" w:line="360" w:lineRule="auto"/>
        <w:ind w:left="720" w:hanging="720"/>
        <w:jc w:val="both"/>
      </w:pPr>
      <w:r>
        <w:t xml:space="preserve">Plantinga, Alvin, ‘The Free Will Defence’, in </w:t>
      </w:r>
      <w:r>
        <w:rPr>
          <w:i/>
          <w:iCs/>
        </w:rPr>
        <w:t>The Analytic Theist: An Alvin Plantinga Reader</w:t>
      </w:r>
      <w:r>
        <w:t>, ed. by James F. Sennett (Grand Rapids: Eerdmans, 1998), pp. 23–50</w:t>
      </w:r>
    </w:p>
    <w:p w14:paraId="31F8F0DA" w14:textId="77777777" w:rsidR="00545BAC" w:rsidRDefault="00CF447B">
      <w:pPr>
        <w:spacing w:after="120" w:line="360" w:lineRule="auto"/>
        <w:ind w:left="720" w:hanging="720"/>
        <w:jc w:val="both"/>
      </w:pPr>
      <w:r>
        <w:t xml:space="preserve">Southgate, Christopher, ‘Cosmic Evolution and Evil’, in </w:t>
      </w:r>
      <w:r>
        <w:rPr>
          <w:i/>
          <w:iCs/>
        </w:rPr>
        <w:t>The Groaning of Creation: God, Evolution, and the Problem of Evil</w:t>
      </w:r>
      <w:r>
        <w:t xml:space="preserve"> (Louisville: Westminster John Knox Press, 2008), pp. 12–34</w:t>
      </w:r>
    </w:p>
    <w:p w14:paraId="363CB2F0" w14:textId="77777777" w:rsidR="00545BAC" w:rsidRDefault="00CF447B">
      <w:pPr>
        <w:spacing w:after="120" w:line="360" w:lineRule="auto"/>
        <w:ind w:left="720" w:hanging="720"/>
        <w:jc w:val="both"/>
      </w:pPr>
      <w:r>
        <w:t xml:space="preserve">Stump, Eleonore, ‘The Problem of Evil’, </w:t>
      </w:r>
      <w:r>
        <w:rPr>
          <w:i/>
          <w:iCs/>
        </w:rPr>
        <w:t>Faith and Philosophy</w:t>
      </w:r>
      <w:r>
        <w:t>, 14.4 (1997), 392–423</w:t>
      </w:r>
    </w:p>
    <w:p w14:paraId="51A96F90" w14:textId="77777777" w:rsidR="00545BAC" w:rsidRDefault="00CF447B">
      <w:pPr>
        <w:spacing w:after="120" w:line="360" w:lineRule="auto"/>
        <w:ind w:left="720" w:hanging="720"/>
        <w:jc w:val="both"/>
      </w:pPr>
      <w:r>
        <w:t xml:space="preserve">Surin, Kenneth, ‘Theodicy?’, </w:t>
      </w:r>
      <w:r>
        <w:rPr>
          <w:i/>
          <w:iCs/>
        </w:rPr>
        <w:t>Harvard Theological Review</w:t>
      </w:r>
      <w:r>
        <w:t>, 76.2 (1983), 225–247</w:t>
      </w:r>
    </w:p>
    <w:p w14:paraId="6C29C100" w14:textId="77777777" w:rsidR="00545BAC" w:rsidRDefault="00CF447B">
      <w:pPr>
        <w:spacing w:after="120" w:line="360" w:lineRule="auto"/>
        <w:ind w:left="720" w:hanging="720"/>
        <w:jc w:val="both"/>
      </w:pPr>
      <w:r>
        <w:lastRenderedPageBreak/>
        <w:t xml:space="preserve">Tilley, Terrence W., ‘The Problem of Theodicy: A Background Survey’, in </w:t>
      </w:r>
      <w:r>
        <w:rPr>
          <w:i/>
          <w:iCs/>
        </w:rPr>
        <w:t>The Evils of Theodicy</w:t>
      </w:r>
      <w:r>
        <w:t xml:space="preserve"> (Eugene: Wipf and Stock, 2000), pp. 1–25</w:t>
      </w:r>
    </w:p>
    <w:p w14:paraId="18DE071A" w14:textId="77777777" w:rsidR="00545BAC" w:rsidRDefault="00CF447B">
      <w:pPr>
        <w:spacing w:after="120" w:line="360" w:lineRule="auto"/>
        <w:ind w:left="720" w:hanging="720"/>
        <w:jc w:val="both"/>
      </w:pPr>
      <w:r>
        <w:t xml:space="preserve">Wright, N. T., </w:t>
      </w:r>
      <w:r>
        <w:rPr>
          <w:i/>
          <w:iCs/>
        </w:rPr>
        <w:t>Evil and the Justice of God</w:t>
      </w:r>
      <w:r>
        <w:t xml:space="preserve"> (London: SPCK, 2006)</w:t>
      </w:r>
    </w:p>
    <w:p w14:paraId="18C32BB7" w14:textId="77777777" w:rsidR="00545BAC" w:rsidRDefault="00CF447B">
      <w:pPr>
        <w:spacing w:after="120" w:line="360" w:lineRule="auto"/>
        <w:ind w:left="720" w:hanging="720"/>
        <w:jc w:val="both"/>
      </w:pPr>
      <w:r>
        <w:t xml:space="preserve">The Book of Job, in </w:t>
      </w:r>
      <w:r>
        <w:rPr>
          <w:i/>
          <w:iCs/>
        </w:rPr>
        <w:t>The Holy Bible: New International Version</w:t>
      </w:r>
      <w:r>
        <w:t xml:space="preserve"> (Grand Rapids: Zondervan, 2011)</w:t>
      </w:r>
    </w:p>
    <w:p w14:paraId="1270D8F6" w14:textId="77777777" w:rsidR="00545BAC" w:rsidRDefault="00545BAC">
      <w:pPr>
        <w:pageBreakBefore/>
      </w:pPr>
    </w:p>
    <w:p w14:paraId="0E4001CE" w14:textId="77777777" w:rsidR="00545BAC" w:rsidRDefault="00CF447B">
      <w:pPr>
        <w:pStyle w:val="Heading1"/>
      </w:pPr>
      <w:r>
        <w:t>Task 4: Reflective Essay (≈ 500 words)</w:t>
      </w:r>
    </w:p>
    <w:p w14:paraId="4891E44C" w14:textId="77777777" w:rsidR="00545BAC" w:rsidRDefault="00CF447B">
      <w:pPr>
        <w:spacing w:after="160" w:line="360" w:lineRule="auto"/>
        <w:jc w:val="both"/>
      </w:pPr>
      <w:r>
        <w:rPr>
          <w:b/>
          <w:bCs/>
        </w:rPr>
        <w:t>Reflecting on Learning: Academic Skills, Semester One</w:t>
      </w:r>
    </w:p>
    <w:p w14:paraId="1FF014BF" w14:textId="77777777" w:rsidR="00545BAC" w:rsidRDefault="00CF447B">
      <w:pPr>
        <w:pStyle w:val="Heading2"/>
      </w:pPr>
      <w:r>
        <w:rPr>
          <w:u w:val="single"/>
        </w:rPr>
        <w:t>Key Learning Experiences</w:t>
      </w:r>
    </w:p>
    <w:p w14:paraId="5858B4C2" w14:textId="77777777" w:rsidR="00545BAC" w:rsidRDefault="00CF447B">
      <w:pPr>
        <w:spacing w:after="160" w:line="360" w:lineRule="auto"/>
        <w:ind w:firstLine="720"/>
        <w:jc w:val="both"/>
      </w:pPr>
      <w:r>
        <w:t>This semester has been an important and at times challenging introduction to academic study. The most significant thing I learned was the practice of academic referencing using the MHRA footnote system. Before beginning this module, I was accustomed to making assertions in my writing without properly acknowledging the scholarly sources on which those assertions rested. Through the process of completing Task 1, in which I compiled a bibliography and a set of footnote-formatted references on the topic of theodicy, I came to understand that referencing is not merely a procedural requirement but a form of intellectual honesty. When a claim depends on the work of another scholar, acknowledging that dependence is essential both for academic integrity and for enabling readers to trace and verify the evidence behind an argument.</w:t>
      </w:r>
    </w:p>
    <w:p w14:paraId="5E1B5A5B" w14:textId="77777777" w:rsidR="00545BAC" w:rsidRDefault="00CF447B">
      <w:pPr>
        <w:spacing w:after="160" w:line="360" w:lineRule="auto"/>
        <w:ind w:firstLine="720"/>
        <w:jc w:val="both"/>
      </w:pPr>
      <w:r>
        <w:t xml:space="preserve">I also developed a clearer understanding of the distinction between primary and secondary sources, and of the different analytical approaches that each requires. The literature review in Task 2 required me to read closely and carefully, identifying the specific arguments made on </w:t>
      </w:r>
      <w:proofErr w:type="gramStart"/>
      <w:r>
        <w:t>particular pages</w:t>
      </w:r>
      <w:proofErr w:type="gramEnd"/>
      <w:r>
        <w:t xml:space="preserve"> and supporting my account of those arguments with direct quotations and precise page references. This was demanding, but it taught me something important: rather than vaguely summarising what an author argued, I was required to demonstrate it with textual evidence, and this discipline deepened my engagement with the material significantly. The primary source analysis in Task 3 extended this learning by requiring me to think carefully about questions of authorship, historical context, and intended audience, drawing on the secondary literature I had reviewed to contextualise my reading of the Book of Job.</w:t>
      </w:r>
    </w:p>
    <w:p w14:paraId="5A6633C4" w14:textId="77777777" w:rsidR="00545BAC" w:rsidRDefault="00CF447B">
      <w:pPr>
        <w:pStyle w:val="Heading2"/>
      </w:pPr>
      <w:r>
        <w:rPr>
          <w:u w:val="single"/>
        </w:rPr>
        <w:t>Strengths and Weaknesses</w:t>
      </w:r>
    </w:p>
    <w:p w14:paraId="1DDCD6D3" w14:textId="77777777" w:rsidR="00545BAC" w:rsidRDefault="00CF447B">
      <w:pPr>
        <w:spacing w:after="160" w:line="360" w:lineRule="auto"/>
        <w:ind w:firstLine="720"/>
        <w:jc w:val="both"/>
      </w:pPr>
      <w:r>
        <w:t xml:space="preserve">My main strengths this semester were consistent engagement with the reading, genuine interest in the subject matter, and an increasing confidence in handling complex philosophical and theological ideas. I found the topics covered in this module genuinely stimulating, and this motivation helped me to persist with difficult texts. However, I recognise several weaknesses in my performance. I tended to begin assignments too close </w:t>
      </w:r>
      <w:r>
        <w:lastRenderedPageBreak/>
        <w:t>to deadlines, which limited the time available for revision and refinement. I also struggled initially with writing concisely, often including too much contextual detail at the expense of a focused argument, and I lacked confidence in academic discussions.</w:t>
      </w:r>
    </w:p>
    <w:p w14:paraId="3C2A105A" w14:textId="77777777" w:rsidR="00545BAC" w:rsidRDefault="00CF447B">
      <w:pPr>
        <w:pStyle w:val="Heading2"/>
      </w:pPr>
      <w:r>
        <w:rPr>
          <w:u w:val="single"/>
        </w:rPr>
        <w:t>Challenges and How I Addressed Them</w:t>
      </w:r>
    </w:p>
    <w:p w14:paraId="34C23346" w14:textId="77777777" w:rsidR="00545BAC" w:rsidRDefault="00CF447B">
      <w:pPr>
        <w:spacing w:after="160" w:line="360" w:lineRule="auto"/>
        <w:ind w:firstLine="720"/>
        <w:jc w:val="both"/>
      </w:pPr>
      <w:r>
        <w:t>The most significant challenge was adjusting to the volume and complexity of academic reading required at university level. Technical language in philosophy and theology often assumed background knowledge I did not yet possess. I addressed this by supplementing my reading of primary academic texts with introductory guides, taking detailed notes that I could return to when drafting assignments, and attending sessions with my tutor to clarify difficult passages. I also found that the process of writing about what I had read helped me to identify gaps in my understanding and to return to the sources with more focused questions.</w:t>
      </w:r>
    </w:p>
    <w:p w14:paraId="1935D175" w14:textId="77777777" w:rsidR="00545BAC" w:rsidRDefault="00CF447B">
      <w:pPr>
        <w:pStyle w:val="Heading2"/>
      </w:pPr>
      <w:r>
        <w:rPr>
          <w:u w:val="single"/>
        </w:rPr>
        <w:t>Moving Forward</w:t>
      </w:r>
    </w:p>
    <w:p w14:paraId="40B144DA" w14:textId="77777777" w:rsidR="00545BAC" w:rsidRDefault="00CF447B">
      <w:pPr>
        <w:spacing w:after="160" w:line="360" w:lineRule="auto"/>
        <w:ind w:firstLine="720"/>
        <w:jc w:val="both"/>
      </w:pPr>
      <w:r>
        <w:t>Looking ahead, I will carry from this semester a commitment to precise, evidence-based academic writing, a working knowledge of the MHRA footnote system, and an awareness that careful source analysis is foundational to all academic work at any level. I have learned that seeking help and making full use of available resources is good academic practice rather than a sign of weakness. The challenges I encountered this semester – managing complex material, referencing accurately, and writing with appropriate precision – were ultimately productive, because working through them gave me skills and habits of mind that I intend to develop throughout my subsequent studies.</w:t>
      </w:r>
    </w:p>
    <w:p w14:paraId="6BAB46BE" w14:textId="77777777" w:rsidR="00545BAC" w:rsidRDefault="00CF447B">
      <w:pPr>
        <w:pStyle w:val="Heading2"/>
      </w:pPr>
      <w:r>
        <w:rPr>
          <w:u w:val="single"/>
        </w:rPr>
        <w:t>Bibliography</w:t>
      </w:r>
    </w:p>
    <w:p w14:paraId="24C5E847" w14:textId="77777777" w:rsidR="00545BAC" w:rsidRDefault="00CF447B">
      <w:pPr>
        <w:spacing w:after="120" w:line="360" w:lineRule="auto"/>
        <w:ind w:left="720" w:hanging="720"/>
        <w:jc w:val="both"/>
      </w:pPr>
      <w:r>
        <w:t xml:space="preserve">Adams, Marilyn McCord, </w:t>
      </w:r>
      <w:r>
        <w:rPr>
          <w:i/>
          <w:iCs/>
        </w:rPr>
        <w:t>Horrendous Evils and the Goodness of God</w:t>
      </w:r>
      <w:r>
        <w:t xml:space="preserve"> (Ithaca: Cornell University Press, 1999)</w:t>
      </w:r>
    </w:p>
    <w:p w14:paraId="576CAC01" w14:textId="77777777" w:rsidR="00545BAC" w:rsidRDefault="00CF447B">
      <w:pPr>
        <w:spacing w:after="120" w:line="360" w:lineRule="auto"/>
        <w:ind w:left="720" w:hanging="720"/>
        <w:jc w:val="both"/>
      </w:pPr>
      <w:r>
        <w:t xml:space="preserve">Hart, David Bentley, </w:t>
      </w:r>
      <w:r>
        <w:rPr>
          <w:i/>
          <w:iCs/>
        </w:rPr>
        <w:t>The Doors of the Sea: Where Was God in the Tsunami?</w:t>
      </w:r>
      <w:r>
        <w:t xml:space="preserve"> (Grand Rapids: Eerdmans, 2005)</w:t>
      </w:r>
    </w:p>
    <w:p w14:paraId="7F0F95C0" w14:textId="77777777" w:rsidR="00545BAC" w:rsidRDefault="00CF447B">
      <w:pPr>
        <w:spacing w:after="120" w:line="360" w:lineRule="auto"/>
        <w:ind w:left="720" w:hanging="720"/>
        <w:jc w:val="both"/>
      </w:pPr>
      <w:r>
        <w:t xml:space="preserve">Hick, John, </w:t>
      </w:r>
      <w:r>
        <w:rPr>
          <w:i/>
          <w:iCs/>
        </w:rPr>
        <w:t>Evil and the God of Love</w:t>
      </w:r>
      <w:r>
        <w:t xml:space="preserve">, rev. </w:t>
      </w:r>
      <w:proofErr w:type="spellStart"/>
      <w:r>
        <w:t>edn</w:t>
      </w:r>
      <w:proofErr w:type="spellEnd"/>
      <w:r>
        <w:t xml:space="preserve"> (Basingstoke: Palgrave Macmillan, 2010)</w:t>
      </w:r>
    </w:p>
    <w:p w14:paraId="13F0DC77" w14:textId="77777777" w:rsidR="00545BAC" w:rsidRDefault="00CF447B">
      <w:pPr>
        <w:spacing w:after="120" w:line="360" w:lineRule="auto"/>
        <w:ind w:left="720" w:hanging="720"/>
        <w:jc w:val="both"/>
      </w:pPr>
      <w:r>
        <w:t xml:space="preserve">Peterson, Michael L., </w:t>
      </w:r>
      <w:r>
        <w:rPr>
          <w:i/>
          <w:iCs/>
        </w:rPr>
        <w:t>The Problem of Evil: Selected Readings</w:t>
      </w:r>
      <w:r>
        <w:t xml:space="preserve">, 2nd </w:t>
      </w:r>
      <w:proofErr w:type="spellStart"/>
      <w:r>
        <w:t>edn</w:t>
      </w:r>
      <w:proofErr w:type="spellEnd"/>
      <w:r>
        <w:t xml:space="preserve"> (Notre Dame: University of Notre Dame Press, 2017)</w:t>
      </w:r>
    </w:p>
    <w:p w14:paraId="1A46827F" w14:textId="77777777" w:rsidR="00545BAC" w:rsidRDefault="00CF447B">
      <w:pPr>
        <w:spacing w:after="120" w:line="360" w:lineRule="auto"/>
        <w:ind w:left="720" w:hanging="720"/>
        <w:jc w:val="both"/>
      </w:pPr>
      <w:r>
        <w:lastRenderedPageBreak/>
        <w:t xml:space="preserve">Plantinga, Alvin, ‘The Free Will Defence’, in </w:t>
      </w:r>
      <w:r>
        <w:rPr>
          <w:i/>
          <w:iCs/>
        </w:rPr>
        <w:t>The Analytic Theist: An Alvin Plantinga Reader</w:t>
      </w:r>
      <w:r>
        <w:t>, ed. by James F. Sennett (Grand Rapids: Eerdmans, 1998), pp. 23–50</w:t>
      </w:r>
    </w:p>
    <w:p w14:paraId="1E08FDA2" w14:textId="77777777" w:rsidR="00545BAC" w:rsidRDefault="00CF447B">
      <w:pPr>
        <w:spacing w:after="120" w:line="360" w:lineRule="auto"/>
        <w:ind w:left="720" w:hanging="720"/>
        <w:jc w:val="both"/>
      </w:pPr>
      <w:r>
        <w:t xml:space="preserve">Southgate, Christopher, ‘Cosmic Evolution and Evil’, in </w:t>
      </w:r>
      <w:r>
        <w:rPr>
          <w:i/>
          <w:iCs/>
        </w:rPr>
        <w:t>The Groaning of Creation: God, Evolution, and the Problem of Evil</w:t>
      </w:r>
      <w:r>
        <w:t xml:space="preserve"> (Louisville: Westminster John Knox Press, 2008), pp. 12–34</w:t>
      </w:r>
    </w:p>
    <w:p w14:paraId="59F6EBDE" w14:textId="77777777" w:rsidR="00545BAC" w:rsidRDefault="00CF447B">
      <w:pPr>
        <w:spacing w:after="120" w:line="360" w:lineRule="auto"/>
        <w:ind w:left="720" w:hanging="720"/>
        <w:jc w:val="both"/>
      </w:pPr>
      <w:r>
        <w:t xml:space="preserve">Stump, Eleonore, ‘The Problem of Evil’, </w:t>
      </w:r>
      <w:r>
        <w:rPr>
          <w:i/>
          <w:iCs/>
        </w:rPr>
        <w:t>Faith and Philosophy</w:t>
      </w:r>
      <w:r>
        <w:t>, 14.4 (1997), 392–423</w:t>
      </w:r>
    </w:p>
    <w:p w14:paraId="70C39071" w14:textId="77777777" w:rsidR="00545BAC" w:rsidRDefault="00CF447B">
      <w:pPr>
        <w:spacing w:after="120" w:line="360" w:lineRule="auto"/>
        <w:ind w:left="720" w:hanging="720"/>
        <w:jc w:val="both"/>
      </w:pPr>
      <w:r>
        <w:t xml:space="preserve">Surin, Kenneth, ‘Theodicy?’, </w:t>
      </w:r>
      <w:r>
        <w:rPr>
          <w:i/>
          <w:iCs/>
        </w:rPr>
        <w:t>Harvard Theological Review</w:t>
      </w:r>
      <w:r>
        <w:t>, 76.2 (1983), 225–247</w:t>
      </w:r>
    </w:p>
    <w:p w14:paraId="1989355D" w14:textId="77777777" w:rsidR="00545BAC" w:rsidRDefault="00CF447B">
      <w:pPr>
        <w:spacing w:after="120" w:line="360" w:lineRule="auto"/>
        <w:ind w:left="720" w:hanging="720"/>
        <w:jc w:val="both"/>
      </w:pPr>
      <w:r>
        <w:t xml:space="preserve">Tilley, Terrence W., ‘The Problem of Theodicy: A Background Survey’, in </w:t>
      </w:r>
      <w:r>
        <w:rPr>
          <w:i/>
          <w:iCs/>
        </w:rPr>
        <w:t>The Evils of Theodicy</w:t>
      </w:r>
      <w:r>
        <w:t xml:space="preserve"> (Eugene: Wipf and Stock, 2000), pp. 1–25</w:t>
      </w:r>
    </w:p>
    <w:p w14:paraId="3FD1036E" w14:textId="77777777" w:rsidR="00545BAC" w:rsidRDefault="00CF447B">
      <w:pPr>
        <w:spacing w:after="120" w:line="360" w:lineRule="auto"/>
        <w:ind w:left="720" w:hanging="720"/>
        <w:jc w:val="both"/>
      </w:pPr>
      <w:r>
        <w:t xml:space="preserve">Wright, N. T., </w:t>
      </w:r>
      <w:r>
        <w:rPr>
          <w:i/>
          <w:iCs/>
        </w:rPr>
        <w:t>Evil and the Justice of God</w:t>
      </w:r>
      <w:r>
        <w:t xml:space="preserve"> (London: SPCK, 2006)</w:t>
      </w:r>
    </w:p>
    <w:sectPr w:rsidR="00545BAC">
      <w:pgSz w:w="11906" w:h="16838"/>
      <w:pgMar w:top="1440" w:right="1440" w:bottom="1440" w:left="18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34EAFD" w14:textId="77777777" w:rsidR="000830E1" w:rsidRDefault="000830E1">
      <w:r>
        <w:separator/>
      </w:r>
    </w:p>
  </w:endnote>
  <w:endnote w:type="continuationSeparator" w:id="0">
    <w:p w14:paraId="278FEE51" w14:textId="77777777" w:rsidR="000830E1" w:rsidRDefault="00083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8A109" w14:textId="77777777" w:rsidR="000830E1" w:rsidRDefault="000830E1">
      <w:r>
        <w:separator/>
      </w:r>
    </w:p>
  </w:footnote>
  <w:footnote w:type="continuationSeparator" w:id="0">
    <w:p w14:paraId="1796F5F9" w14:textId="77777777" w:rsidR="000830E1" w:rsidRDefault="000830E1">
      <w:r>
        <w:continuationSeparator/>
      </w:r>
    </w:p>
  </w:footnote>
  <w:footnote w:id="1">
    <w:p w14:paraId="3F75C114" w14:textId="77777777" w:rsidR="00545BAC" w:rsidRDefault="00CF447B">
      <w:pPr>
        <w:spacing w:after="60"/>
      </w:pPr>
      <w:r>
        <w:rPr>
          <w:rStyle w:val="FootnoteReference"/>
        </w:rPr>
        <w:footnoteRef/>
      </w:r>
      <w:r>
        <w:rPr>
          <w:sz w:val="18"/>
          <w:szCs w:val="18"/>
        </w:rPr>
        <w:t xml:space="preserve">Stump, Eleonore, ‘The Problem of Evil’, </w:t>
      </w:r>
      <w:r>
        <w:rPr>
          <w:i/>
          <w:iCs/>
          <w:sz w:val="18"/>
          <w:szCs w:val="18"/>
        </w:rPr>
        <w:t>Faith and Philosophy</w:t>
      </w:r>
      <w:r>
        <w:rPr>
          <w:sz w:val="18"/>
          <w:szCs w:val="18"/>
        </w:rPr>
        <w:t>, 14.4 (1997), 392–423 (p. 392).</w:t>
      </w:r>
    </w:p>
  </w:footnote>
  <w:footnote w:id="2">
    <w:p w14:paraId="237CFCDA" w14:textId="77777777" w:rsidR="00545BAC" w:rsidRDefault="00CF447B">
      <w:pPr>
        <w:spacing w:after="60"/>
      </w:pPr>
      <w:r>
        <w:rPr>
          <w:rStyle w:val="FootnoteReference"/>
        </w:rPr>
        <w:footnoteRef/>
      </w:r>
      <w:r>
        <w:rPr>
          <w:sz w:val="18"/>
          <w:szCs w:val="18"/>
        </w:rPr>
        <w:t>Ibid., pp. 393–94.</w:t>
      </w:r>
    </w:p>
  </w:footnote>
  <w:footnote w:id="3">
    <w:p w14:paraId="0CFCEFD8" w14:textId="77777777" w:rsidR="00545BAC" w:rsidRDefault="00CF447B">
      <w:pPr>
        <w:spacing w:after="60"/>
      </w:pPr>
      <w:r>
        <w:rPr>
          <w:rStyle w:val="FootnoteReference"/>
        </w:rPr>
        <w:footnoteRef/>
      </w:r>
      <w:r>
        <w:rPr>
          <w:sz w:val="18"/>
          <w:szCs w:val="18"/>
        </w:rPr>
        <w:t>Ibid., pp. 396–400.</w:t>
      </w:r>
    </w:p>
  </w:footnote>
  <w:footnote w:id="4">
    <w:p w14:paraId="5E89F13B" w14:textId="77777777" w:rsidR="00545BAC" w:rsidRDefault="00CF447B">
      <w:pPr>
        <w:spacing w:after="60"/>
      </w:pPr>
      <w:r>
        <w:rPr>
          <w:rStyle w:val="FootnoteReference"/>
        </w:rPr>
        <w:footnoteRef/>
      </w:r>
      <w:r>
        <w:rPr>
          <w:sz w:val="18"/>
          <w:szCs w:val="18"/>
        </w:rPr>
        <w:t>Ibid., p. 401.</w:t>
      </w:r>
    </w:p>
  </w:footnote>
  <w:footnote w:id="5">
    <w:p w14:paraId="6CF85460" w14:textId="77777777" w:rsidR="00545BAC" w:rsidRDefault="00CF447B">
      <w:pPr>
        <w:spacing w:after="60"/>
      </w:pPr>
      <w:r>
        <w:rPr>
          <w:rStyle w:val="FootnoteReference"/>
        </w:rPr>
        <w:footnoteRef/>
      </w:r>
      <w:r>
        <w:rPr>
          <w:sz w:val="18"/>
          <w:szCs w:val="18"/>
        </w:rPr>
        <w:t>Ibid., pp. 397–99.</w:t>
      </w:r>
    </w:p>
  </w:footnote>
  <w:footnote w:id="6">
    <w:p w14:paraId="0DC9CEF4" w14:textId="77777777" w:rsidR="00545BAC" w:rsidRDefault="00CF447B">
      <w:pPr>
        <w:spacing w:after="60"/>
      </w:pPr>
      <w:r>
        <w:rPr>
          <w:rStyle w:val="FootnoteReference"/>
        </w:rPr>
        <w:footnoteRef/>
      </w:r>
      <w:r>
        <w:rPr>
          <w:sz w:val="18"/>
          <w:szCs w:val="18"/>
        </w:rPr>
        <w:t xml:space="preserve">Ibid., pp. 393–95; see also Plantinga, Alvin, ‘The Free Will Defence’, in </w:t>
      </w:r>
      <w:r>
        <w:rPr>
          <w:i/>
          <w:iCs/>
          <w:sz w:val="18"/>
          <w:szCs w:val="18"/>
        </w:rPr>
        <w:t>The Analytic Theist: An Alvin Plantinga Reader</w:t>
      </w:r>
      <w:r>
        <w:rPr>
          <w:sz w:val="18"/>
          <w:szCs w:val="18"/>
        </w:rPr>
        <w:t>, ed. by James F. Sennett (Grand Rapids: Eerdmans, 1998), pp. 23–50 (p. 35).</w:t>
      </w:r>
    </w:p>
  </w:footnote>
  <w:footnote w:id="7">
    <w:p w14:paraId="121525A9" w14:textId="77777777" w:rsidR="00545BAC" w:rsidRDefault="00CF447B">
      <w:pPr>
        <w:spacing w:after="60"/>
      </w:pPr>
      <w:r>
        <w:rPr>
          <w:rStyle w:val="FootnoteReference"/>
        </w:rPr>
        <w:footnoteRef/>
      </w:r>
      <w:r>
        <w:rPr>
          <w:sz w:val="18"/>
          <w:szCs w:val="18"/>
        </w:rPr>
        <w:t>Stump, ‘The Problem of Evil’, p. 393.</w:t>
      </w:r>
    </w:p>
  </w:footnote>
  <w:footnote w:id="8">
    <w:p w14:paraId="50526EA7" w14:textId="77777777" w:rsidR="00545BAC" w:rsidRDefault="00CF447B">
      <w:pPr>
        <w:spacing w:after="60"/>
      </w:pPr>
      <w:r>
        <w:rPr>
          <w:rStyle w:val="FootnoteReference"/>
        </w:rPr>
        <w:footnoteRef/>
      </w:r>
      <w:r>
        <w:rPr>
          <w:sz w:val="18"/>
          <w:szCs w:val="18"/>
        </w:rPr>
        <w:t xml:space="preserve">Surin, Kenneth, ‘Theodicy?’, </w:t>
      </w:r>
      <w:r>
        <w:rPr>
          <w:i/>
          <w:iCs/>
          <w:sz w:val="18"/>
          <w:szCs w:val="18"/>
        </w:rPr>
        <w:t>Harvard Theological Review</w:t>
      </w:r>
      <w:r>
        <w:rPr>
          <w:sz w:val="18"/>
          <w:szCs w:val="18"/>
        </w:rPr>
        <w:t>, 76.2 (1983), 225–247 (p. 230).</w:t>
      </w:r>
    </w:p>
  </w:footnote>
  <w:footnote w:id="9">
    <w:p w14:paraId="056BE798" w14:textId="77777777" w:rsidR="00545BAC" w:rsidRDefault="00CF447B">
      <w:pPr>
        <w:spacing w:after="60"/>
      </w:pPr>
      <w:r>
        <w:rPr>
          <w:rStyle w:val="FootnoteReference"/>
        </w:rPr>
        <w:footnoteRef/>
      </w:r>
      <w:r>
        <w:rPr>
          <w:sz w:val="18"/>
          <w:szCs w:val="18"/>
        </w:rPr>
        <w:t xml:space="preserve">Adams, Marilyn McCord, </w:t>
      </w:r>
      <w:r>
        <w:rPr>
          <w:i/>
          <w:iCs/>
          <w:sz w:val="18"/>
          <w:szCs w:val="18"/>
        </w:rPr>
        <w:t>Horrendous Evils and the Goodness of God</w:t>
      </w:r>
      <w:r>
        <w:rPr>
          <w:sz w:val="18"/>
          <w:szCs w:val="18"/>
        </w:rPr>
        <w:t xml:space="preserve"> (Ithaca: Cornell University Press, 1999), p. 26.</w:t>
      </w:r>
    </w:p>
  </w:footnote>
  <w:footnote w:id="10">
    <w:p w14:paraId="17A06D6A" w14:textId="77777777" w:rsidR="00545BAC" w:rsidRDefault="00CF447B">
      <w:pPr>
        <w:spacing w:after="60"/>
      </w:pPr>
      <w:r>
        <w:rPr>
          <w:rStyle w:val="FootnoteReference"/>
        </w:rPr>
        <w:footnoteRef/>
      </w:r>
      <w:r>
        <w:rPr>
          <w:sz w:val="18"/>
          <w:szCs w:val="18"/>
        </w:rPr>
        <w:t>Ibid., pp. 26–27.</w:t>
      </w:r>
    </w:p>
  </w:footnote>
  <w:footnote w:id="11">
    <w:p w14:paraId="00924205" w14:textId="77777777" w:rsidR="00545BAC" w:rsidRDefault="00CF447B">
      <w:pPr>
        <w:spacing w:after="60"/>
      </w:pPr>
      <w:r>
        <w:rPr>
          <w:rStyle w:val="FootnoteReference"/>
        </w:rPr>
        <w:footnoteRef/>
      </w:r>
      <w:r>
        <w:rPr>
          <w:sz w:val="18"/>
          <w:szCs w:val="18"/>
        </w:rPr>
        <w:t>Ibid., p. 28.</w:t>
      </w:r>
    </w:p>
  </w:footnote>
  <w:footnote w:id="12">
    <w:p w14:paraId="05FB6A60" w14:textId="77777777" w:rsidR="00545BAC" w:rsidRDefault="00CF447B">
      <w:pPr>
        <w:spacing w:after="60"/>
      </w:pPr>
      <w:r>
        <w:rPr>
          <w:rStyle w:val="FootnoteReference"/>
        </w:rPr>
        <w:footnoteRef/>
      </w:r>
      <w:r>
        <w:rPr>
          <w:sz w:val="18"/>
          <w:szCs w:val="18"/>
        </w:rPr>
        <w:t>Ibid., p. 28.</w:t>
      </w:r>
    </w:p>
  </w:footnote>
  <w:footnote w:id="13">
    <w:p w14:paraId="192C8CF7" w14:textId="77777777" w:rsidR="00545BAC" w:rsidRDefault="00CF447B">
      <w:pPr>
        <w:spacing w:after="60"/>
      </w:pPr>
      <w:r>
        <w:rPr>
          <w:rStyle w:val="FootnoteReference"/>
        </w:rPr>
        <w:footnoteRef/>
      </w:r>
      <w:r>
        <w:rPr>
          <w:sz w:val="18"/>
          <w:szCs w:val="18"/>
        </w:rPr>
        <w:t xml:space="preserve">Tilley, Terrence W., ‘The Problem of Theodicy: A Background Survey’, in </w:t>
      </w:r>
      <w:r>
        <w:rPr>
          <w:i/>
          <w:iCs/>
          <w:sz w:val="18"/>
          <w:szCs w:val="18"/>
        </w:rPr>
        <w:t>The Evils of Theodicy</w:t>
      </w:r>
      <w:r>
        <w:rPr>
          <w:sz w:val="18"/>
          <w:szCs w:val="18"/>
        </w:rPr>
        <w:t xml:space="preserve"> (Eugene: Wipf and Stock, 2000), pp. 1–25 (p. 8).</w:t>
      </w:r>
    </w:p>
  </w:footnote>
  <w:footnote w:id="14">
    <w:p w14:paraId="5D28A585" w14:textId="77777777" w:rsidR="00545BAC" w:rsidRDefault="00CF447B">
      <w:pPr>
        <w:spacing w:after="60"/>
      </w:pPr>
      <w:r>
        <w:rPr>
          <w:rStyle w:val="FootnoteReference"/>
        </w:rPr>
        <w:footnoteRef/>
      </w:r>
      <w:r>
        <w:rPr>
          <w:sz w:val="18"/>
          <w:szCs w:val="18"/>
        </w:rPr>
        <w:t xml:space="preserve">Peterson, Michael L., </w:t>
      </w:r>
      <w:r>
        <w:rPr>
          <w:i/>
          <w:iCs/>
          <w:sz w:val="18"/>
          <w:szCs w:val="18"/>
        </w:rPr>
        <w:t>The Problem of Evil: Selected Readings</w:t>
      </w:r>
      <w:r>
        <w:rPr>
          <w:sz w:val="18"/>
          <w:szCs w:val="18"/>
        </w:rPr>
        <w:t xml:space="preserve">, 2nd </w:t>
      </w:r>
      <w:r>
        <w:rPr>
          <w:sz w:val="18"/>
          <w:szCs w:val="18"/>
        </w:rPr>
        <w:t>edn (Notre Dame: University of Notre Dame Press, 2017), pp. 15–16.</w:t>
      </w:r>
    </w:p>
  </w:footnote>
  <w:footnote w:id="15">
    <w:p w14:paraId="7B62CC51" w14:textId="77777777" w:rsidR="00545BAC" w:rsidRDefault="00CF447B">
      <w:pPr>
        <w:spacing w:after="60"/>
      </w:pPr>
      <w:r>
        <w:rPr>
          <w:rStyle w:val="FootnoteReference"/>
        </w:rPr>
        <w:footnoteRef/>
      </w:r>
      <w:r>
        <w:rPr>
          <w:sz w:val="18"/>
          <w:szCs w:val="18"/>
        </w:rPr>
        <w:t>Ibid., p. 17.</w:t>
      </w:r>
    </w:p>
  </w:footnote>
  <w:footnote w:id="16">
    <w:p w14:paraId="18452C26" w14:textId="77777777" w:rsidR="00545BAC" w:rsidRDefault="00CF447B">
      <w:pPr>
        <w:spacing w:after="60"/>
      </w:pPr>
      <w:r>
        <w:rPr>
          <w:rStyle w:val="FootnoteReference"/>
        </w:rPr>
        <w:footnoteRef/>
      </w:r>
      <w:r>
        <w:rPr>
          <w:sz w:val="18"/>
          <w:szCs w:val="18"/>
        </w:rPr>
        <w:t xml:space="preserve">Southgate, Christopher, ‘Cosmic Evolution and Evil’, in </w:t>
      </w:r>
      <w:r>
        <w:rPr>
          <w:i/>
          <w:iCs/>
          <w:sz w:val="18"/>
          <w:szCs w:val="18"/>
        </w:rPr>
        <w:t>The Groaning of Creation: God, Evolution, and the Problem of Evil</w:t>
      </w:r>
      <w:r>
        <w:rPr>
          <w:sz w:val="18"/>
          <w:szCs w:val="18"/>
        </w:rPr>
        <w:t xml:space="preserve"> (Louisville: Westminster John Knox Press, 2008), pp. 12–34 (p. 13).</w:t>
      </w:r>
    </w:p>
  </w:footnote>
  <w:footnote w:id="17">
    <w:p w14:paraId="30BB76DC" w14:textId="77777777" w:rsidR="00545BAC" w:rsidRDefault="00CF447B">
      <w:pPr>
        <w:spacing w:after="60"/>
      </w:pPr>
      <w:r>
        <w:rPr>
          <w:rStyle w:val="FootnoteReference"/>
        </w:rPr>
        <w:footnoteRef/>
      </w:r>
      <w:r>
        <w:rPr>
          <w:sz w:val="18"/>
          <w:szCs w:val="18"/>
        </w:rPr>
        <w:t>Tilley, ‘The Problem of Theodicy’, p. 8.</w:t>
      </w:r>
    </w:p>
  </w:footnote>
  <w:footnote w:id="18">
    <w:p w14:paraId="22CBB396" w14:textId="77777777" w:rsidR="00545BAC" w:rsidRDefault="00CF447B">
      <w:pPr>
        <w:spacing w:after="60"/>
      </w:pPr>
      <w:r>
        <w:rPr>
          <w:rStyle w:val="FootnoteReference"/>
        </w:rPr>
        <w:footnoteRef/>
      </w:r>
      <w:r>
        <w:rPr>
          <w:sz w:val="18"/>
          <w:szCs w:val="18"/>
        </w:rPr>
        <w:t xml:space="preserve">Hick, John, </w:t>
      </w:r>
      <w:r>
        <w:rPr>
          <w:i/>
          <w:iCs/>
          <w:sz w:val="18"/>
          <w:szCs w:val="18"/>
        </w:rPr>
        <w:t>Evil and the God of Love</w:t>
      </w:r>
      <w:r>
        <w:rPr>
          <w:sz w:val="18"/>
          <w:szCs w:val="18"/>
        </w:rPr>
        <w:t xml:space="preserve">, rev. </w:t>
      </w:r>
      <w:r>
        <w:rPr>
          <w:sz w:val="18"/>
          <w:szCs w:val="18"/>
        </w:rPr>
        <w:t>edn (Basingstoke: Palgrave Macmillan, 2010), pp. 253–55.</w:t>
      </w:r>
    </w:p>
  </w:footnote>
  <w:footnote w:id="19">
    <w:p w14:paraId="7BB536EA" w14:textId="77777777" w:rsidR="00545BAC" w:rsidRDefault="00CF447B">
      <w:pPr>
        <w:spacing w:after="60"/>
      </w:pPr>
      <w:r>
        <w:rPr>
          <w:rStyle w:val="FootnoteReference"/>
        </w:rPr>
        <w:footnoteRef/>
      </w:r>
      <w:r>
        <w:rPr>
          <w:sz w:val="18"/>
          <w:szCs w:val="18"/>
        </w:rPr>
        <w:t xml:space="preserve">Wright, N. T., </w:t>
      </w:r>
      <w:r>
        <w:rPr>
          <w:i/>
          <w:iCs/>
          <w:sz w:val="18"/>
          <w:szCs w:val="18"/>
        </w:rPr>
        <w:t>Evil and the Justice of God</w:t>
      </w:r>
      <w:r>
        <w:rPr>
          <w:sz w:val="18"/>
          <w:szCs w:val="18"/>
        </w:rPr>
        <w:t xml:space="preserve"> (London: SPCK, 2006), p. 72.</w:t>
      </w:r>
    </w:p>
  </w:footnote>
  <w:footnote w:id="20">
    <w:p w14:paraId="72089C66" w14:textId="77777777" w:rsidR="00545BAC" w:rsidRDefault="00CF447B">
      <w:pPr>
        <w:spacing w:after="60"/>
      </w:pPr>
      <w:r>
        <w:rPr>
          <w:rStyle w:val="FootnoteReference"/>
        </w:rPr>
        <w:footnoteRef/>
      </w:r>
      <w:r>
        <w:rPr>
          <w:sz w:val="18"/>
          <w:szCs w:val="18"/>
        </w:rPr>
        <w:t xml:space="preserve">Hart, David Bentley, </w:t>
      </w:r>
      <w:r>
        <w:rPr>
          <w:i/>
          <w:iCs/>
          <w:sz w:val="18"/>
          <w:szCs w:val="18"/>
        </w:rPr>
        <w:t>The Doors of the Sea: Where Was God in the Tsunami?</w:t>
      </w:r>
      <w:r>
        <w:rPr>
          <w:sz w:val="18"/>
          <w:szCs w:val="18"/>
        </w:rPr>
        <w:t xml:space="preserve"> (Grand Rapids: Eerdmans, 2005), pp. 30–32.</w:t>
      </w:r>
    </w:p>
  </w:footnote>
  <w:footnote w:id="21">
    <w:p w14:paraId="4F64FCC0" w14:textId="77777777" w:rsidR="00545BAC" w:rsidRDefault="00CF447B">
      <w:pPr>
        <w:spacing w:after="60"/>
      </w:pPr>
      <w:r>
        <w:rPr>
          <w:rStyle w:val="FootnoteReference"/>
        </w:rPr>
        <w:footnoteRef/>
      </w:r>
      <w:r>
        <w:rPr>
          <w:sz w:val="18"/>
          <w:szCs w:val="18"/>
        </w:rPr>
        <w:t xml:space="preserve">Peterson, </w:t>
      </w:r>
      <w:r>
        <w:rPr>
          <w:i/>
          <w:iCs/>
          <w:sz w:val="18"/>
          <w:szCs w:val="18"/>
        </w:rPr>
        <w:t>The Problem of Evil</w:t>
      </w:r>
      <w:r>
        <w:rPr>
          <w:sz w:val="18"/>
          <w:szCs w:val="18"/>
        </w:rPr>
        <w:t>, pp. 18–19.</w:t>
      </w:r>
    </w:p>
  </w:footnote>
  <w:footnote w:id="22">
    <w:p w14:paraId="704129CA" w14:textId="77777777" w:rsidR="00545BAC" w:rsidRDefault="00CF447B">
      <w:pPr>
        <w:spacing w:after="60"/>
      </w:pPr>
      <w:r>
        <w:rPr>
          <w:rStyle w:val="FootnoteReference"/>
        </w:rPr>
        <w:footnoteRef/>
      </w:r>
      <w:r>
        <w:rPr>
          <w:sz w:val="18"/>
          <w:szCs w:val="18"/>
        </w:rPr>
        <w:t>Stump, ‘The Problem of Evil’, pp. 401–403.</w:t>
      </w:r>
    </w:p>
  </w:footnote>
  <w:footnote w:id="23">
    <w:p w14:paraId="0EED14A2" w14:textId="77777777" w:rsidR="00545BAC" w:rsidRDefault="00CF447B">
      <w:pPr>
        <w:spacing w:after="60"/>
      </w:pPr>
      <w:r>
        <w:rPr>
          <w:rStyle w:val="FootnoteReference"/>
        </w:rPr>
        <w:footnoteRef/>
      </w:r>
      <w:r>
        <w:rPr>
          <w:sz w:val="18"/>
          <w:szCs w:val="18"/>
        </w:rPr>
        <w:t xml:space="preserve">Wright, </w:t>
      </w:r>
      <w:r>
        <w:rPr>
          <w:i/>
          <w:iCs/>
          <w:sz w:val="18"/>
          <w:szCs w:val="18"/>
        </w:rPr>
        <w:t>Evil and the Justice of God</w:t>
      </w:r>
      <w:r>
        <w:rPr>
          <w:sz w:val="18"/>
          <w:szCs w:val="18"/>
        </w:rPr>
        <w:t>, pp. 78–80.</w:t>
      </w:r>
    </w:p>
  </w:footnote>
  <w:footnote w:id="24">
    <w:p w14:paraId="383D5435" w14:textId="77777777" w:rsidR="00545BAC" w:rsidRDefault="00CF447B">
      <w:pPr>
        <w:spacing w:after="60"/>
      </w:pPr>
      <w:r>
        <w:rPr>
          <w:rStyle w:val="FootnoteReference"/>
        </w:rPr>
        <w:footnoteRef/>
      </w:r>
      <w:r>
        <w:rPr>
          <w:sz w:val="18"/>
          <w:szCs w:val="18"/>
        </w:rPr>
        <w:t xml:space="preserve">Hick, </w:t>
      </w:r>
      <w:r>
        <w:rPr>
          <w:i/>
          <w:iCs/>
          <w:sz w:val="18"/>
          <w:szCs w:val="18"/>
        </w:rPr>
        <w:t>Evil and the God of Love</w:t>
      </w:r>
      <w:r>
        <w:rPr>
          <w:sz w:val="18"/>
          <w:szCs w:val="18"/>
        </w:rPr>
        <w:t>, pp. 259–61.</w:t>
      </w:r>
    </w:p>
  </w:footnote>
  <w:footnote w:id="25">
    <w:p w14:paraId="23D4486D" w14:textId="77777777" w:rsidR="00545BAC" w:rsidRDefault="00CF447B">
      <w:pPr>
        <w:spacing w:after="60"/>
      </w:pPr>
      <w:r>
        <w:rPr>
          <w:rStyle w:val="FootnoteReference"/>
        </w:rPr>
        <w:footnoteRef/>
      </w:r>
      <w:r>
        <w:rPr>
          <w:sz w:val="18"/>
          <w:szCs w:val="18"/>
        </w:rPr>
        <w:t xml:space="preserve">Adams, </w:t>
      </w:r>
      <w:r>
        <w:rPr>
          <w:i/>
          <w:iCs/>
          <w:sz w:val="18"/>
          <w:szCs w:val="18"/>
        </w:rPr>
        <w:t>Horrendous Evils</w:t>
      </w:r>
      <w:r>
        <w:rPr>
          <w:sz w:val="18"/>
          <w:szCs w:val="18"/>
        </w:rPr>
        <w:t>, p. 27.</w:t>
      </w:r>
    </w:p>
  </w:footnote>
  <w:footnote w:id="26">
    <w:p w14:paraId="21EB48E7" w14:textId="77777777" w:rsidR="00545BAC" w:rsidRDefault="00CF447B">
      <w:pPr>
        <w:spacing w:after="60"/>
      </w:pPr>
      <w:r>
        <w:rPr>
          <w:rStyle w:val="FootnoteReference"/>
        </w:rPr>
        <w:footnoteRef/>
      </w:r>
      <w:r>
        <w:rPr>
          <w:sz w:val="18"/>
          <w:szCs w:val="18"/>
        </w:rPr>
        <w:t xml:space="preserve">Stump, ‘The Problem of Evil’, p. 401; Adams, </w:t>
      </w:r>
      <w:r>
        <w:rPr>
          <w:i/>
          <w:iCs/>
          <w:sz w:val="18"/>
          <w:szCs w:val="18"/>
        </w:rPr>
        <w:t>Horrendous Evils</w:t>
      </w:r>
      <w:r>
        <w:rPr>
          <w:sz w:val="18"/>
          <w:szCs w:val="18"/>
        </w:rPr>
        <w:t>, pp. 26–28.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275141"/>
    <w:multiLevelType w:val="hybridMultilevel"/>
    <w:tmpl w:val="BBAEA3B0"/>
    <w:lvl w:ilvl="0" w:tplc="05CCACE0">
      <w:start w:val="1"/>
      <w:numFmt w:val="bullet"/>
      <w:lvlText w:val="●"/>
      <w:lvlJc w:val="left"/>
      <w:pPr>
        <w:ind w:left="720" w:hanging="360"/>
      </w:pPr>
    </w:lvl>
    <w:lvl w:ilvl="1" w:tplc="B1E67174">
      <w:start w:val="1"/>
      <w:numFmt w:val="bullet"/>
      <w:lvlText w:val="○"/>
      <w:lvlJc w:val="left"/>
      <w:pPr>
        <w:ind w:left="1440" w:hanging="360"/>
      </w:pPr>
    </w:lvl>
    <w:lvl w:ilvl="2" w:tplc="005875B2">
      <w:start w:val="1"/>
      <w:numFmt w:val="bullet"/>
      <w:lvlText w:val="■"/>
      <w:lvlJc w:val="left"/>
      <w:pPr>
        <w:ind w:left="2160" w:hanging="360"/>
      </w:pPr>
    </w:lvl>
    <w:lvl w:ilvl="3" w:tplc="97ECD464">
      <w:start w:val="1"/>
      <w:numFmt w:val="bullet"/>
      <w:lvlText w:val="●"/>
      <w:lvlJc w:val="left"/>
      <w:pPr>
        <w:ind w:left="2880" w:hanging="360"/>
      </w:pPr>
    </w:lvl>
    <w:lvl w:ilvl="4" w:tplc="B4385A1E">
      <w:start w:val="1"/>
      <w:numFmt w:val="bullet"/>
      <w:lvlText w:val="○"/>
      <w:lvlJc w:val="left"/>
      <w:pPr>
        <w:ind w:left="3600" w:hanging="360"/>
      </w:pPr>
    </w:lvl>
    <w:lvl w:ilvl="5" w:tplc="B78C1348">
      <w:start w:val="1"/>
      <w:numFmt w:val="bullet"/>
      <w:lvlText w:val="■"/>
      <w:lvlJc w:val="left"/>
      <w:pPr>
        <w:ind w:left="4320" w:hanging="360"/>
      </w:pPr>
    </w:lvl>
    <w:lvl w:ilvl="6" w:tplc="22DA9062">
      <w:start w:val="1"/>
      <w:numFmt w:val="bullet"/>
      <w:lvlText w:val="●"/>
      <w:lvlJc w:val="left"/>
      <w:pPr>
        <w:ind w:left="5040" w:hanging="360"/>
      </w:pPr>
    </w:lvl>
    <w:lvl w:ilvl="7" w:tplc="86C0EB06">
      <w:start w:val="1"/>
      <w:numFmt w:val="bullet"/>
      <w:lvlText w:val="●"/>
      <w:lvlJc w:val="left"/>
      <w:pPr>
        <w:ind w:left="5760" w:hanging="360"/>
      </w:pPr>
    </w:lvl>
    <w:lvl w:ilvl="8" w:tplc="FB7E9B50">
      <w:start w:val="1"/>
      <w:numFmt w:val="bullet"/>
      <w:lvlText w:val="●"/>
      <w:lvlJc w:val="left"/>
      <w:pPr>
        <w:ind w:left="6480" w:hanging="360"/>
      </w:pPr>
    </w:lvl>
  </w:abstractNum>
  <w:num w:numId="1" w16cid:durableId="116720670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BAC"/>
    <w:rsid w:val="00036167"/>
    <w:rsid w:val="000830E1"/>
    <w:rsid w:val="002A6719"/>
    <w:rsid w:val="00383D73"/>
    <w:rsid w:val="003C1585"/>
    <w:rsid w:val="003E0922"/>
    <w:rsid w:val="003E76C6"/>
    <w:rsid w:val="00545BAC"/>
    <w:rsid w:val="008E5942"/>
    <w:rsid w:val="00CF447B"/>
    <w:rsid w:val="00F91A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90A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200"/>
      <w:outlineLvl w:val="0"/>
    </w:pPr>
    <w:rPr>
      <w:b/>
      <w:bCs/>
      <w:color w:val="000000"/>
      <w:sz w:val="28"/>
      <w:szCs w:val="28"/>
    </w:rPr>
  </w:style>
  <w:style w:type="paragraph" w:styleId="Heading2">
    <w:name w:val="heading 2"/>
    <w:uiPriority w:val="9"/>
    <w:unhideWhenUsed/>
    <w:qFormat/>
    <w:pPr>
      <w:spacing w:before="280" w:after="160"/>
      <w:outlineLvl w:val="1"/>
    </w:pPr>
    <w:rPr>
      <w:b/>
      <w:bCs/>
      <w:color w:val="000000"/>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036167"/>
    <w:pPr>
      <w:tabs>
        <w:tab w:val="center" w:pos="4513"/>
        <w:tab w:val="right" w:pos="9026"/>
      </w:tabs>
    </w:pPr>
  </w:style>
  <w:style w:type="character" w:customStyle="1" w:styleId="HeaderChar">
    <w:name w:val="Header Char"/>
    <w:basedOn w:val="DefaultParagraphFont"/>
    <w:link w:val="Header"/>
    <w:uiPriority w:val="99"/>
    <w:rsid w:val="00036167"/>
  </w:style>
  <w:style w:type="paragraph" w:styleId="Footer">
    <w:name w:val="footer"/>
    <w:basedOn w:val="Normal"/>
    <w:link w:val="FooterChar"/>
    <w:uiPriority w:val="99"/>
    <w:unhideWhenUsed/>
    <w:rsid w:val="00036167"/>
    <w:pPr>
      <w:tabs>
        <w:tab w:val="center" w:pos="4513"/>
        <w:tab w:val="right" w:pos="9026"/>
      </w:tabs>
    </w:pPr>
  </w:style>
  <w:style w:type="character" w:customStyle="1" w:styleId="FooterChar">
    <w:name w:val="Footer Char"/>
    <w:basedOn w:val="DefaultParagraphFont"/>
    <w:link w:val="Footer"/>
    <w:uiPriority w:val="99"/>
    <w:rsid w:val="000361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3632</Words>
  <Characters>20017</Characters>
  <Application>Microsoft Office Word</Application>
  <DocSecurity>0</DocSecurity>
  <Lines>339</Lines>
  <Paragraphs>132</Paragraphs>
  <ScaleCrop>false</ScaleCrop>
  <Company/>
  <LinksUpToDate>false</LinksUpToDate>
  <CharactersWithSpaces>23517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2026-04-10T16:25:00Z</dcterms:created>
  <dcterms:modified xsi:type="dcterms:W3CDTF">2026-04-10T19:18:00Z</dcterms:modified>
</cp:coreProperties>
</file>