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8B377A" w14:textId="7FC32BCE" w:rsidR="006D564F" w:rsidRPr="00BE6672" w:rsidRDefault="00D96488">
      <w:pPr>
        <w:rPr>
          <w:b/>
          <w:bCs/>
        </w:rPr>
      </w:pPr>
      <w:bookmarkStart w:id="0" w:name="_Hlk215425330"/>
      <w:bookmarkEnd w:id="0"/>
      <w:r w:rsidRPr="00BE6672">
        <w:rPr>
          <w:b/>
          <w:bCs/>
        </w:rPr>
        <w:t xml:space="preserve">Shaft Graves </w:t>
      </w:r>
      <w:r w:rsidR="006D564F" w:rsidRPr="00BE6672">
        <w:rPr>
          <w:b/>
          <w:bCs/>
        </w:rPr>
        <w:t>Wiki</w:t>
      </w:r>
    </w:p>
    <w:p w14:paraId="60DA3E78" w14:textId="2DE9F47B" w:rsidR="002E1D90" w:rsidRDefault="002E1D90">
      <w:pPr>
        <w:rPr>
          <w:b/>
          <w:bCs/>
        </w:rPr>
      </w:pPr>
      <w:r>
        <w:rPr>
          <w:b/>
          <w:bCs/>
        </w:rPr>
        <w:t>Contents:</w:t>
      </w:r>
    </w:p>
    <w:p w14:paraId="6AD4CFEE" w14:textId="7888D6DC" w:rsidR="002E1D90" w:rsidRPr="002E1D90" w:rsidRDefault="002E1D90">
      <w:r w:rsidRPr="002E1D90">
        <w:t>Introduction</w:t>
      </w:r>
    </w:p>
    <w:p w14:paraId="216A36B8" w14:textId="59C74210" w:rsidR="002E1D90" w:rsidRPr="002E1D90" w:rsidRDefault="002E1D90">
      <w:r w:rsidRPr="002E1D90">
        <w:t>Age And Location</w:t>
      </w:r>
    </w:p>
    <w:p w14:paraId="0C69F3FF" w14:textId="0337C32F" w:rsidR="002E1D90" w:rsidRDefault="002E1D90">
      <w:r>
        <w:t>The Mycenaean Shaft Graves</w:t>
      </w:r>
    </w:p>
    <w:p w14:paraId="78CF513B" w14:textId="7130FBD0" w:rsidR="00563270" w:rsidRDefault="00563270">
      <w:r>
        <w:t>Grave Goods</w:t>
      </w:r>
    </w:p>
    <w:p w14:paraId="54C69542" w14:textId="50359B0F" w:rsidR="00563270" w:rsidRDefault="006622DA">
      <w:r>
        <w:t>The Griffin Warrior Tomb</w:t>
      </w:r>
    </w:p>
    <w:p w14:paraId="3DE9EADB" w14:textId="0817D040" w:rsidR="002717CF" w:rsidRDefault="002717CF">
      <w:r>
        <w:t>The Implications Of The Shaft Graves</w:t>
      </w:r>
    </w:p>
    <w:p w14:paraId="2CCD9403" w14:textId="5703BC39" w:rsidR="00D7350F" w:rsidRPr="002E1D90" w:rsidRDefault="00D7350F">
      <w:r>
        <w:t>Archaeological Practice And Academic Debate</w:t>
      </w:r>
    </w:p>
    <w:p w14:paraId="01010392" w14:textId="598866BD" w:rsidR="005C3378" w:rsidRPr="0064118E" w:rsidRDefault="005C3378">
      <w:pPr>
        <w:rPr>
          <w:b/>
          <w:bCs/>
        </w:rPr>
      </w:pPr>
      <w:r w:rsidRPr="0064118E">
        <w:rPr>
          <w:b/>
          <w:bCs/>
        </w:rPr>
        <w:t>Introduction:</w:t>
      </w:r>
    </w:p>
    <w:p w14:paraId="5D4648A9" w14:textId="6993A0F4" w:rsidR="005C3378" w:rsidRDefault="005C3378">
      <w:r>
        <w:t xml:space="preserve">Shaft </w:t>
      </w:r>
      <w:r w:rsidR="005615C3">
        <w:t>g</w:t>
      </w:r>
      <w:r>
        <w:t xml:space="preserve">raves are a </w:t>
      </w:r>
      <w:r w:rsidR="00E83564">
        <w:t xml:space="preserve">form of burial practiced in bronze age Mycenaean Greece. The </w:t>
      </w:r>
      <w:r w:rsidR="00877ABC">
        <w:t>best-known</w:t>
      </w:r>
      <w:r w:rsidR="00E83564">
        <w:t xml:space="preserve"> </w:t>
      </w:r>
      <w:r w:rsidR="00177E9F">
        <w:t xml:space="preserve">and most prominent </w:t>
      </w:r>
      <w:r w:rsidR="00E83564">
        <w:t xml:space="preserve">examples of shaft graves </w:t>
      </w:r>
      <w:r w:rsidR="00877ABC">
        <w:t>are those that were uncovered in Mycenae by Schlieman’s excavations in</w:t>
      </w:r>
      <w:r w:rsidR="00776841">
        <w:t xml:space="preserve"> 1873</w:t>
      </w:r>
      <w:r w:rsidR="00776841">
        <w:rPr>
          <w:rStyle w:val="EndnoteReference"/>
        </w:rPr>
        <w:endnoteReference w:id="1"/>
      </w:r>
      <w:r w:rsidR="00C417A2">
        <w:t xml:space="preserve"> in the case of Grave Circle A,</w:t>
      </w:r>
      <w:r w:rsidR="00782BF5">
        <w:t xml:space="preserve"> and by Greek archaeologists </w:t>
      </w:r>
      <w:r w:rsidR="00C417A2">
        <w:t>in 1952 in the case of Grave Circle B</w:t>
      </w:r>
      <w:r w:rsidR="00260230">
        <w:rPr>
          <w:rStyle w:val="EndnoteReference"/>
        </w:rPr>
        <w:endnoteReference w:id="2"/>
      </w:r>
      <w:r w:rsidR="009C31B2">
        <w:t>, though they are not the only examples</w:t>
      </w:r>
      <w:r w:rsidR="00353347">
        <w:t>.</w:t>
      </w:r>
      <w:r w:rsidR="00A85AE7">
        <w:t xml:space="preserve"> Shaft graves are a </w:t>
      </w:r>
      <w:r w:rsidR="00DF5482">
        <w:t>form of tomb believed to have been used by wealthy Mycenaeans</w:t>
      </w:r>
      <w:r w:rsidR="00B50D00">
        <w:t xml:space="preserve"> in the Middle Helladic and Late Helladic </w:t>
      </w:r>
      <w:r w:rsidR="008A57E6">
        <w:t>periods</w:t>
      </w:r>
      <w:r w:rsidR="00743C1D">
        <w:t xml:space="preserve">. </w:t>
      </w:r>
      <w:r w:rsidR="00D278BF">
        <w:t xml:space="preserve">While the shaft graves are </w:t>
      </w:r>
      <w:r w:rsidR="00E04BAA">
        <w:t xml:space="preserve">a comparatively </w:t>
      </w:r>
      <w:r w:rsidR="00873E30">
        <w:t xml:space="preserve">simple structure, not </w:t>
      </w:r>
      <w:r w:rsidR="003750DD">
        <w:t xml:space="preserve">as difficult and expensive to construct nor as </w:t>
      </w:r>
      <w:r w:rsidR="0073791F">
        <w:t>the tholos tombs</w:t>
      </w:r>
      <w:r w:rsidR="007A512A">
        <w:rPr>
          <w:rStyle w:val="EndnoteReference"/>
        </w:rPr>
        <w:endnoteReference w:id="3"/>
      </w:r>
      <w:r w:rsidR="0064013B">
        <w:t>,</w:t>
      </w:r>
      <w:r w:rsidR="0073791F">
        <w:t xml:space="preserve"> </w:t>
      </w:r>
      <w:r w:rsidR="0064013B">
        <w:t>the</w:t>
      </w:r>
      <w:r w:rsidR="00914E3A">
        <w:t xml:space="preserve"> grave goods are among the richest found in the time period.</w:t>
      </w:r>
      <w:r w:rsidR="005A6756">
        <w:t xml:space="preserve"> The grave goods </w:t>
      </w:r>
      <w:r w:rsidR="00F42E77">
        <w:t>and how they change over time</w:t>
      </w:r>
      <w:r w:rsidR="00AC2042">
        <w:t xml:space="preserve"> </w:t>
      </w:r>
      <w:r w:rsidR="00F42E77">
        <w:t xml:space="preserve">are an indicator </w:t>
      </w:r>
      <w:r w:rsidR="003A5258">
        <w:t xml:space="preserve">of both </w:t>
      </w:r>
      <w:r w:rsidR="00EF396C">
        <w:t xml:space="preserve">the changing social status quo of the Mycenaean world, and the </w:t>
      </w:r>
      <w:r w:rsidR="0096089F">
        <w:t>interconnectivity between the Minoan and Mycenaean worlds.</w:t>
      </w:r>
    </w:p>
    <w:p w14:paraId="7486FE1C" w14:textId="1E20839E" w:rsidR="00E83564" w:rsidRDefault="00E83564"/>
    <w:p w14:paraId="25782193" w14:textId="6201FA34" w:rsidR="00E83564" w:rsidRPr="0064118E" w:rsidRDefault="00E83564">
      <w:pPr>
        <w:rPr>
          <w:b/>
          <w:bCs/>
        </w:rPr>
      </w:pPr>
      <w:r w:rsidRPr="0064118E">
        <w:rPr>
          <w:b/>
          <w:bCs/>
        </w:rPr>
        <w:t>Age And Location</w:t>
      </w:r>
      <w:r w:rsidR="00CC7EAB">
        <w:rPr>
          <w:b/>
          <w:bCs/>
        </w:rPr>
        <w:t>:</w:t>
      </w:r>
    </w:p>
    <w:p w14:paraId="25A43BC5" w14:textId="09120912" w:rsidR="00E0119E" w:rsidRPr="00E0119E" w:rsidRDefault="0010511C" w:rsidP="00E0119E">
      <w:r w:rsidRPr="00E0119E">
        <w:drawing>
          <wp:anchor distT="0" distB="0" distL="114300" distR="114300" simplePos="0" relativeHeight="251658240" behindDoc="0" locked="0" layoutInCell="1" allowOverlap="1" wp14:anchorId="0C2940B6" wp14:editId="2E679ADD">
            <wp:simplePos x="0" y="0"/>
            <wp:positionH relativeFrom="margin">
              <wp:align>left</wp:align>
            </wp:positionH>
            <wp:positionV relativeFrom="paragraph">
              <wp:posOffset>1217371</wp:posOffset>
            </wp:positionV>
            <wp:extent cx="2771775" cy="2078355"/>
            <wp:effectExtent l="0" t="0" r="9525" b="0"/>
            <wp:wrapTopAndBottom/>
            <wp:docPr id="1688402663" name="Picture 2" descr="A stone ruins of Mycena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402663" name="Picture 2" descr="A stone ruins of Mycenae&#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71775" cy="2078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615C3">
        <w:t xml:space="preserve">The shaft graves were used from the </w:t>
      </w:r>
      <w:r w:rsidR="004E3FD9">
        <w:t xml:space="preserve">late </w:t>
      </w:r>
      <w:r w:rsidR="005615C3">
        <w:t>Middle Helladic</w:t>
      </w:r>
      <w:r w:rsidR="008E6866">
        <w:t xml:space="preserve"> III</w:t>
      </w:r>
      <w:r w:rsidR="005615C3">
        <w:t xml:space="preserve"> period</w:t>
      </w:r>
      <w:r w:rsidR="00106068">
        <w:t xml:space="preserve">, that started </w:t>
      </w:r>
      <w:r w:rsidR="000832F6">
        <w:t xml:space="preserve">the </w:t>
      </w:r>
      <w:r w:rsidR="0077670E">
        <w:t>18</w:t>
      </w:r>
      <w:r w:rsidR="000832F6" w:rsidRPr="000832F6">
        <w:rPr>
          <w:vertAlign w:val="superscript"/>
        </w:rPr>
        <w:t>th</w:t>
      </w:r>
      <w:r w:rsidR="000832F6">
        <w:t xml:space="preserve"> Century B.C. </w:t>
      </w:r>
      <w:r w:rsidR="005615C3">
        <w:t xml:space="preserve"> to the Late Helladic </w:t>
      </w:r>
      <w:r w:rsidR="004E3FD9">
        <w:t>I</w:t>
      </w:r>
      <w:r w:rsidR="005615C3">
        <w:t>I period</w:t>
      </w:r>
      <w:r w:rsidR="0077670E">
        <w:t xml:space="preserve"> that ended in the </w:t>
      </w:r>
      <w:r w:rsidR="00D60971">
        <w:t>15</w:t>
      </w:r>
      <w:r w:rsidR="00D60971" w:rsidRPr="00D60971">
        <w:rPr>
          <w:vertAlign w:val="superscript"/>
        </w:rPr>
        <w:t>th</w:t>
      </w:r>
      <w:r w:rsidR="00D60971">
        <w:t xml:space="preserve"> century B.C</w:t>
      </w:r>
      <w:r w:rsidR="005615C3">
        <w:t>.</w:t>
      </w:r>
      <w:r w:rsidR="00427126">
        <w:t xml:space="preserve"> </w:t>
      </w:r>
      <w:r w:rsidR="00E7288B">
        <w:t xml:space="preserve">The most </w:t>
      </w:r>
      <w:r w:rsidR="00E7288B">
        <w:lastRenderedPageBreak/>
        <w:t xml:space="preserve">notable of the shaft graves </w:t>
      </w:r>
      <w:r w:rsidR="00106068">
        <w:t>are those found in grave circle A and grave circle B at Mycena</w:t>
      </w:r>
      <w:r w:rsidR="00C01B2D">
        <w:t>e, with others scattered throughout the Mycenaean world</w:t>
      </w:r>
      <w:r w:rsidR="00F42E77">
        <w:t>, of which the most important is the Griffin Warrior Tomb at Pylos</w:t>
      </w:r>
      <w:r w:rsidR="00C01B2D">
        <w:t>.</w:t>
      </w:r>
    </w:p>
    <w:p w14:paraId="2DF6E83B" w14:textId="6DC4E016" w:rsidR="005615C3" w:rsidRDefault="00E0119E">
      <w:r>
        <w:t>(</w:t>
      </w:r>
      <w:r w:rsidR="00474EC0">
        <w:t>Fig. 1, p</w:t>
      </w:r>
      <w:r>
        <w:t>ictured above is Grave Circle A</w:t>
      </w:r>
      <w:r w:rsidR="001D2BB8">
        <w:t xml:space="preserve"> </w:t>
      </w:r>
      <w:r w:rsidR="0080139E">
        <w:t>in foreground and Grave Circle B in back</w:t>
      </w:r>
      <w:r w:rsidR="00CB7D34">
        <w:t>g</w:t>
      </w:r>
      <w:r w:rsidR="0080139E">
        <w:t>round</w:t>
      </w:r>
      <w:r w:rsidR="00DD3B74">
        <w:t>. Photographed</w:t>
      </w:r>
      <w:r w:rsidR="00587592">
        <w:t xml:space="preserve"> by </w:t>
      </w:r>
      <w:r w:rsidR="00044580">
        <w:t>Robert Edwards</w:t>
      </w:r>
      <w:r w:rsidR="00587592">
        <w:t>.</w:t>
      </w:r>
      <w:r>
        <w:t>)</w:t>
      </w:r>
    </w:p>
    <w:p w14:paraId="77284C77" w14:textId="05E8BD60" w:rsidR="00F413F0" w:rsidRPr="0064118E" w:rsidRDefault="00F413F0">
      <w:pPr>
        <w:rPr>
          <w:b/>
          <w:bCs/>
        </w:rPr>
      </w:pPr>
      <w:r w:rsidRPr="0064118E">
        <w:rPr>
          <w:b/>
          <w:bCs/>
        </w:rPr>
        <w:t>The Mycenaean Shaft Graves</w:t>
      </w:r>
    </w:p>
    <w:p w14:paraId="56103053" w14:textId="7109EA31" w:rsidR="004E3FD9" w:rsidRDefault="004E3FD9">
      <w:r>
        <w:t>The shaft graves at Mycenae are divided between two areas, “Grave Circle A” and “Grave Circle B”</w:t>
      </w:r>
      <w:r w:rsidR="00747465">
        <w:t xml:space="preserve">. They are shaft graves </w:t>
      </w:r>
      <w:r w:rsidR="009867E0">
        <w:t xml:space="preserve">that have been surrounded by </w:t>
      </w:r>
      <w:r w:rsidR="00FB7113">
        <w:t xml:space="preserve">monumental </w:t>
      </w:r>
      <w:r w:rsidR="0075744D">
        <w:t>stone</w:t>
      </w:r>
      <w:r w:rsidR="009C5F64">
        <w:t xml:space="preserve"> </w:t>
      </w:r>
      <w:r w:rsidR="0075744D">
        <w:t>wall</w:t>
      </w:r>
      <w:r w:rsidR="00B32410">
        <w:t>s.</w:t>
      </w:r>
      <w:r w:rsidR="00E262DB">
        <w:t xml:space="preserve"> The presence of two Grave Circles has been suggested as possible evidence of dual royal or ruling families, a concept not entirely alien to Greece, as such arrangements would be present in several of the polis later on.</w:t>
      </w:r>
      <w:r w:rsidR="00E262DB">
        <w:rPr>
          <w:rStyle w:val="EndnoteReference"/>
        </w:rPr>
        <w:endnoteReference w:id="4"/>
      </w:r>
      <w:r w:rsidR="00E262DB">
        <w:t xml:space="preserve"> However, the </w:t>
      </w:r>
      <w:r w:rsidR="000A1CA8">
        <w:t xml:space="preserve">chronological misalignment of the </w:t>
      </w:r>
      <w:r w:rsidR="00DD4FC1">
        <w:t>graves</w:t>
      </w:r>
      <w:r w:rsidR="00E66FB1">
        <w:t xml:space="preserve"> makes this unlikely.</w:t>
      </w:r>
      <w:r w:rsidR="00571C13">
        <w:t xml:space="preserve"> In the case that there were two royal family lines, it would make more sense given the evidence that </w:t>
      </w:r>
      <w:r w:rsidR="001B0319">
        <w:t>they were two consecutive lines as opposed to a joint monarchy.</w:t>
      </w:r>
    </w:p>
    <w:p w14:paraId="3F3B8EB1" w14:textId="2DE3B4BC" w:rsidR="00BF1216" w:rsidRDefault="005615C3">
      <w:r>
        <w:t>Grave Circle A</w:t>
      </w:r>
      <w:r w:rsidR="001338CC">
        <w:t xml:space="preserve"> was excavated in 1873 by </w:t>
      </w:r>
      <w:r w:rsidR="0095353A" w:rsidRPr="0095353A">
        <w:t>Heinrich Schliemann</w:t>
      </w:r>
      <w:r w:rsidR="00F11F85">
        <w:rPr>
          <w:rStyle w:val="EndnoteReference"/>
        </w:rPr>
        <w:endnoteReference w:id="5"/>
      </w:r>
      <w:r w:rsidR="00522EA0">
        <w:rPr>
          <w:rStyle w:val="EndnoteReference"/>
        </w:rPr>
        <w:endnoteReference w:id="6"/>
      </w:r>
      <w:r w:rsidR="0095353A">
        <w:t>.</w:t>
      </w:r>
      <w:r w:rsidR="00D736A6">
        <w:t xml:space="preserve"> It is the younger of the two </w:t>
      </w:r>
      <w:r w:rsidR="00AE5973">
        <w:t>burial circles.</w:t>
      </w:r>
      <w:r w:rsidR="00BD3936">
        <w:t xml:space="preserve"> </w:t>
      </w:r>
      <w:r w:rsidR="007E61E9">
        <w:t xml:space="preserve">The graves are </w:t>
      </w:r>
      <w:r w:rsidR="0047692E">
        <w:t xml:space="preserve">encircled by a monumental stone </w:t>
      </w:r>
      <w:r w:rsidR="00537F57">
        <w:t xml:space="preserve">slab </w:t>
      </w:r>
      <w:r w:rsidR="0047692E">
        <w:t>wall</w:t>
      </w:r>
      <w:r w:rsidR="00EA65A8">
        <w:t xml:space="preserve">. It is possible that the </w:t>
      </w:r>
      <w:r w:rsidR="00E22162">
        <w:t xml:space="preserve">walls around the circles were constructed </w:t>
      </w:r>
      <w:r w:rsidR="003D633C">
        <w:t xml:space="preserve">at a later time, though if the builders were aware of the </w:t>
      </w:r>
      <w:r w:rsidR="009A52C1">
        <w:t>shaft graves is uncertain.</w:t>
      </w:r>
    </w:p>
    <w:p w14:paraId="165C8EB8" w14:textId="150F798C" w:rsidR="004E3FD9" w:rsidRDefault="005615C3">
      <w:r>
        <w:t>Grave Circle B</w:t>
      </w:r>
      <w:r w:rsidR="00747465">
        <w:t xml:space="preserve"> was excavated in </w:t>
      </w:r>
      <w:r w:rsidR="00CC7EAB">
        <w:t>1952</w:t>
      </w:r>
      <w:r w:rsidR="00280954">
        <w:t>-1954</w:t>
      </w:r>
      <w:r w:rsidR="00B3344E">
        <w:t xml:space="preserve"> by several Greek archaeologists</w:t>
      </w:r>
      <w:r w:rsidR="00BD3936">
        <w:t xml:space="preserve">, after being discovered accidentally during </w:t>
      </w:r>
      <w:r w:rsidR="00CF2A41">
        <w:t xml:space="preserve">nearby </w:t>
      </w:r>
      <w:r w:rsidR="002652B9">
        <w:t>excavations</w:t>
      </w:r>
      <w:r w:rsidR="00B3344E">
        <w:t>.</w:t>
      </w:r>
      <w:r w:rsidR="00866A46">
        <w:t xml:space="preserve"> It contains both shaft graves and c</w:t>
      </w:r>
      <w:r w:rsidR="00311E30">
        <w:t>i</w:t>
      </w:r>
      <w:r w:rsidR="00BF70D1">
        <w:t>st burials</w:t>
      </w:r>
      <w:r w:rsidR="004C76A5">
        <w:rPr>
          <w:rStyle w:val="EndnoteReference"/>
        </w:rPr>
        <w:endnoteReference w:id="7"/>
      </w:r>
      <w:r w:rsidR="00B32410">
        <w:t xml:space="preserve">, a cheaper burial format contemporary to the shaft graves, </w:t>
      </w:r>
      <w:r w:rsidR="002D1FB6">
        <w:t xml:space="preserve">used primarily for </w:t>
      </w:r>
      <w:r w:rsidR="003D3538">
        <w:t>the less wealthy or lower status dead</w:t>
      </w:r>
      <w:r w:rsidR="00F53672">
        <w:rPr>
          <w:rStyle w:val="EndnoteReference"/>
        </w:rPr>
        <w:endnoteReference w:id="8"/>
      </w:r>
      <w:r w:rsidR="003D3538">
        <w:t>.</w:t>
      </w:r>
      <w:r w:rsidR="003668C9">
        <w:t xml:space="preserve"> The</w:t>
      </w:r>
      <w:r w:rsidR="002F5509">
        <w:t xml:space="preserve"> grave circle was </w:t>
      </w:r>
      <w:r w:rsidR="00714A7A">
        <w:t xml:space="preserve">previously encircled by a wall, likely similar to that found </w:t>
      </w:r>
      <w:r w:rsidR="00DD5CFE">
        <w:t xml:space="preserve">around </w:t>
      </w:r>
      <w:r w:rsidR="00695C88">
        <w:t xml:space="preserve">Grave Circle A, but </w:t>
      </w:r>
      <w:r w:rsidR="00C65139">
        <w:t>only small fragments remain now.</w:t>
      </w:r>
      <w:r w:rsidR="00FB0F3B">
        <w:rPr>
          <w:rStyle w:val="EndnoteReference"/>
        </w:rPr>
        <w:endnoteReference w:id="9"/>
      </w:r>
      <w:r w:rsidR="00CE115D">
        <w:t xml:space="preserve"> </w:t>
      </w:r>
      <w:r w:rsidR="004E3FD9">
        <w:t>The final burial in Grave Circle B was in the Late Helladic II period</w:t>
      </w:r>
      <w:r w:rsidR="0064118E">
        <w:rPr>
          <w:rStyle w:val="EndnoteReference"/>
        </w:rPr>
        <w:endnoteReference w:id="10"/>
      </w:r>
      <w:r w:rsidR="00B3344E">
        <w:t xml:space="preserve">, with the later burials </w:t>
      </w:r>
      <w:r w:rsidR="0074645E">
        <w:t xml:space="preserve">in Circle B </w:t>
      </w:r>
      <w:r w:rsidR="00B3344E">
        <w:t xml:space="preserve">being approximately contemporary with the earliest burials at </w:t>
      </w:r>
      <w:r w:rsidR="009E08BC">
        <w:t>Grave Circle A.</w:t>
      </w:r>
    </w:p>
    <w:p w14:paraId="0FD8C388" w14:textId="566E7FD0" w:rsidR="00370E16" w:rsidRDefault="00370E16">
      <w:r>
        <w:t xml:space="preserve">The wall around </w:t>
      </w:r>
      <w:r w:rsidR="00105B2A">
        <w:t xml:space="preserve">Grave Circle A is </w:t>
      </w:r>
      <w:r w:rsidR="00021956">
        <w:t>misaligned with the shaft graves,</w:t>
      </w:r>
      <w:r w:rsidR="00570535">
        <w:t xml:space="preserve"> and the </w:t>
      </w:r>
      <w:r w:rsidR="00106202">
        <w:t xml:space="preserve">wall fragment that remains of Grave </w:t>
      </w:r>
      <w:r w:rsidR="00BD1338">
        <w:t>C</w:t>
      </w:r>
      <w:r w:rsidR="00106202">
        <w:t xml:space="preserve">ircle B would, when extrapolated, </w:t>
      </w:r>
      <w:r w:rsidR="007A5574">
        <w:t xml:space="preserve">may </w:t>
      </w:r>
      <w:r w:rsidR="00BD1338">
        <w:t>not encompass the entirety of Grave Circle B.</w:t>
      </w:r>
      <w:r w:rsidR="00A86E93">
        <w:rPr>
          <w:rStyle w:val="EndnoteReference"/>
        </w:rPr>
        <w:endnoteReference w:id="11"/>
      </w:r>
      <w:r w:rsidR="007A5574">
        <w:t xml:space="preserve"> There is some disagreement</w:t>
      </w:r>
      <w:r w:rsidR="000A1CA8">
        <w:t xml:space="preserve"> over if th</w:t>
      </w:r>
      <w:r w:rsidR="00F44C19">
        <w:t xml:space="preserve">e specific detail, Mylonas </w:t>
      </w:r>
    </w:p>
    <w:p w14:paraId="60D604FD" w14:textId="02703106" w:rsidR="00EF4DE7" w:rsidRDefault="00CE115D">
      <w:r>
        <w:t xml:space="preserve">The </w:t>
      </w:r>
      <w:r w:rsidR="00DE65E9">
        <w:t xml:space="preserve">architecture of the Grave Circles are unique, </w:t>
      </w:r>
      <w:r w:rsidR="00061E58">
        <w:t xml:space="preserve">not perfectly matching any other </w:t>
      </w:r>
      <w:r w:rsidR="0091719D">
        <w:t>funerary architecture of the era</w:t>
      </w:r>
      <w:r w:rsidR="008C28EF">
        <w:rPr>
          <w:rStyle w:val="EndnoteReference"/>
        </w:rPr>
        <w:endnoteReference w:id="12"/>
      </w:r>
      <w:r w:rsidR="00EF4DE7">
        <w:t>.</w:t>
      </w:r>
      <w:r w:rsidR="00052141">
        <w:t xml:space="preserve"> </w:t>
      </w:r>
      <w:r w:rsidR="00694099">
        <w:t xml:space="preserve">The closest </w:t>
      </w:r>
      <w:r w:rsidR="003C6D56">
        <w:t xml:space="preserve">architectural motif is </w:t>
      </w:r>
      <w:r w:rsidR="000E2E81">
        <w:t xml:space="preserve">the </w:t>
      </w:r>
      <w:r w:rsidR="00911320">
        <w:t>use of circular construction in some other tombs.</w:t>
      </w:r>
    </w:p>
    <w:p w14:paraId="555BE899" w14:textId="4B0AE8FA" w:rsidR="001F118B" w:rsidRDefault="00EF4DE7">
      <w:r>
        <w:t xml:space="preserve">Notably, the </w:t>
      </w:r>
      <w:r w:rsidR="00F338C4">
        <w:t xml:space="preserve">shaft </w:t>
      </w:r>
      <w:r>
        <w:t xml:space="preserve">graves appear to have been constructed with the idea of reuse in mind. </w:t>
      </w:r>
      <w:r w:rsidR="00B65AD9">
        <w:t xml:space="preserve">A number of the shaft graves have interred in them the remains of more than one </w:t>
      </w:r>
      <w:r w:rsidR="005C3510">
        <w:t>individual, who we</w:t>
      </w:r>
      <w:r w:rsidR="005B3FF8">
        <w:t>re interred at different times with</w:t>
      </w:r>
      <w:r w:rsidR="00BF3F47">
        <w:t xml:space="preserve"> likely</w:t>
      </w:r>
      <w:r w:rsidR="005B3FF8">
        <w:t xml:space="preserve"> similar </w:t>
      </w:r>
      <w:r w:rsidR="00AB3892">
        <w:t xml:space="preserve">burial rituals </w:t>
      </w:r>
      <w:r w:rsidR="00AB3892">
        <w:lastRenderedPageBreak/>
        <w:t>(indicated by the remains of ritual sacrifice of food</w:t>
      </w:r>
      <w:r w:rsidR="00B508E6">
        <w:t>)</w:t>
      </w:r>
      <w:r w:rsidR="00B508E6">
        <w:rPr>
          <w:rStyle w:val="EndnoteReference"/>
        </w:rPr>
        <w:endnoteReference w:id="13"/>
      </w:r>
      <w:r w:rsidR="00AB3892">
        <w:t>.</w:t>
      </w:r>
      <w:r w:rsidR="00287552">
        <w:t xml:space="preserve"> This is a stark difference </w:t>
      </w:r>
      <w:r w:rsidR="00843483">
        <w:t>earlier graves, which were typically single burial.</w:t>
      </w:r>
    </w:p>
    <w:p w14:paraId="3800E231" w14:textId="217C7C40" w:rsidR="00910941" w:rsidRPr="00910941" w:rsidRDefault="00910941" w:rsidP="00910941">
      <w:r>
        <w:rPr>
          <w:noProof/>
        </w:rPr>
        <mc:AlternateContent>
          <mc:Choice Requires="wps">
            <w:drawing>
              <wp:anchor distT="45720" distB="45720" distL="114300" distR="114300" simplePos="0" relativeHeight="251660288" behindDoc="0" locked="0" layoutInCell="1" allowOverlap="1" wp14:anchorId="0D5D734B" wp14:editId="7680FE40">
                <wp:simplePos x="0" y="0"/>
                <wp:positionH relativeFrom="column">
                  <wp:posOffset>2374900</wp:posOffset>
                </wp:positionH>
                <wp:positionV relativeFrom="paragraph">
                  <wp:posOffset>10160</wp:posOffset>
                </wp:positionV>
                <wp:extent cx="2419350" cy="1404620"/>
                <wp:effectExtent l="0" t="0" r="1905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9350" cy="1404620"/>
                        </a:xfrm>
                        <a:prstGeom prst="rect">
                          <a:avLst/>
                        </a:prstGeom>
                        <a:solidFill>
                          <a:srgbClr val="FFFFFF"/>
                        </a:solidFill>
                        <a:ln w="9525">
                          <a:solidFill>
                            <a:srgbClr val="000000"/>
                          </a:solidFill>
                          <a:miter lim="800000"/>
                          <a:headEnd/>
                          <a:tailEnd/>
                        </a:ln>
                      </wps:spPr>
                      <wps:txbx>
                        <w:txbxContent>
                          <w:p w14:paraId="5A7346CA" w14:textId="7362C986" w:rsidR="00910941" w:rsidRDefault="00A37B9B">
                            <w:r>
                              <w:t>Fig.2, s</w:t>
                            </w:r>
                            <w:r w:rsidR="0064792F">
                              <w:t>hown t</w:t>
                            </w:r>
                            <w:r w:rsidR="00910941">
                              <w:t xml:space="preserve">o the left is </w:t>
                            </w:r>
                            <w:r w:rsidR="007A69A1">
                              <w:t>a</w:t>
                            </w:r>
                            <w:r w:rsidR="00BE0D5B">
                              <w:t xml:space="preserve">n image of two of the </w:t>
                            </w:r>
                            <w:r w:rsidR="0009306A">
                              <w:t>shaft graves in Grave Circle A</w:t>
                            </w:r>
                            <w:r w:rsidR="0064792F">
                              <w:t>.</w:t>
                            </w:r>
                            <w:r w:rsidR="00407769">
                              <w:t xml:space="preserve"> </w:t>
                            </w:r>
                            <w:r w:rsidR="00DD3B74">
                              <w:t>Photographeds</w:t>
                            </w:r>
                            <w:r w:rsidR="00407769">
                              <w:t xml:space="preserve"> by Robert Edwards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D5D734B" id="_x0000_t202" coordsize="21600,21600" o:spt="202" path="m,l,21600r21600,l21600,xe">
                <v:stroke joinstyle="miter"/>
                <v:path gradientshapeok="t" o:connecttype="rect"/>
              </v:shapetype>
              <v:shape id="Text Box 2" o:spid="_x0000_s1026" type="#_x0000_t202" style="position:absolute;margin-left:187pt;margin-top:.8pt;width:190.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">
                <v:textbox style="mso-fit-shape-to-text:t">
                  <w:txbxContent>
                    <w:p w14:paraId="5A7346CA" w14:textId="7362C986" w:rsidR="00910941" w:rsidRDefault="00A37B9B">
                      <w:r>
                        <w:t>Fig.2, s</w:t>
                      </w:r>
                      <w:r w:rsidR="0064792F">
                        <w:t>hown t</w:t>
                      </w:r>
                      <w:r w:rsidR="00910941">
                        <w:t xml:space="preserve">o the left is </w:t>
                      </w:r>
                      <w:r w:rsidR="007A69A1">
                        <w:t>a</w:t>
                      </w:r>
                      <w:r w:rsidR="00BE0D5B">
                        <w:t xml:space="preserve">n image of two of the </w:t>
                      </w:r>
                      <w:r w:rsidR="0009306A">
                        <w:t>shaft graves in Grave Circle A</w:t>
                      </w:r>
                      <w:r w:rsidR="0064792F">
                        <w:t>.</w:t>
                      </w:r>
                      <w:r w:rsidR="00407769">
                        <w:t xml:space="preserve"> </w:t>
                      </w:r>
                      <w:r w:rsidR="00DD3B74">
                        <w:t>Photographeds</w:t>
                      </w:r>
                      <w:r w:rsidR="00407769">
                        <w:t xml:space="preserve"> by Robert Edwards</w:t>
                      </w:r>
                    </w:p>
                  </w:txbxContent>
                </v:textbox>
                <w10:wrap type="square"/>
              </v:shape>
            </w:pict>
          </mc:Fallback>
        </mc:AlternateContent>
      </w:r>
      <w:r w:rsidRPr="00910941">
        <w:drawing>
          <wp:inline distT="0" distB="0" distL="0" distR="0" wp14:anchorId="2ABD3758" wp14:editId="7742E331">
            <wp:extent cx="2235200" cy="2399633"/>
            <wp:effectExtent l="0" t="0" r="0" b="1270"/>
            <wp:docPr id="645931606" name="Picture 6" descr="A stone wall with a stone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931606" name="Picture 6" descr="A stone wall with a stone structure&#10;&#10;AI-generated content may be incorrec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9485"/>
                    <a:stretch>
                      <a:fillRect/>
                    </a:stretch>
                  </pic:blipFill>
                  <pic:spPr bwMode="auto">
                    <a:xfrm>
                      <a:off x="0" y="0"/>
                      <a:ext cx="2238527" cy="2403205"/>
                    </a:xfrm>
                    <a:prstGeom prst="rect">
                      <a:avLst/>
                    </a:prstGeom>
                    <a:noFill/>
                    <a:ln>
                      <a:noFill/>
                    </a:ln>
                    <a:extLst>
                      <a:ext uri="{53640926-AAD7-44D8-BBD7-CCE9431645EC}">
                        <a14:shadowObscured xmlns:a14="http://schemas.microsoft.com/office/drawing/2010/main"/>
                      </a:ext>
                    </a:extLst>
                  </pic:spPr>
                </pic:pic>
              </a:graphicData>
            </a:graphic>
          </wp:inline>
        </w:drawing>
      </w:r>
    </w:p>
    <w:p w14:paraId="49176A83" w14:textId="50AD37A2" w:rsidR="00910941" w:rsidRPr="00CC12EC" w:rsidRDefault="00CC12EC">
      <w:pPr>
        <w:rPr>
          <w:b/>
          <w:bCs/>
        </w:rPr>
      </w:pPr>
      <w:r w:rsidRPr="00CC12EC">
        <w:rPr>
          <w:b/>
          <w:bCs/>
        </w:rPr>
        <w:t>Grave Goods:</w:t>
      </w:r>
    </w:p>
    <w:p w14:paraId="1E66ECB0" w14:textId="129CE5E2" w:rsidR="00535D4D" w:rsidRDefault="00B37C9D">
      <w:r>
        <w:t>The</w:t>
      </w:r>
      <w:r w:rsidR="0078561D">
        <w:t xml:space="preserve"> shaft</w:t>
      </w:r>
      <w:r>
        <w:t xml:space="preserve"> graves</w:t>
      </w:r>
      <w:r w:rsidR="0078561D">
        <w:t xml:space="preserve"> at Mycenae</w:t>
      </w:r>
      <w:r>
        <w:t xml:space="preserve"> were filled with </w:t>
      </w:r>
      <w:r w:rsidR="006023B0">
        <w:t xml:space="preserve">a great number of grave goods </w:t>
      </w:r>
      <w:r w:rsidR="00BF16CE">
        <w:t>of all varieties.</w:t>
      </w:r>
      <w:r w:rsidR="00D4183C">
        <w:t xml:space="preserve"> They are a “spectacular concentration of wealth”</w:t>
      </w:r>
      <w:r w:rsidR="00D4183C">
        <w:rPr>
          <w:rStyle w:val="EndnoteReference"/>
        </w:rPr>
        <w:endnoteReference w:id="14"/>
      </w:r>
      <w:r w:rsidR="00D4183C">
        <w:t xml:space="preserve">, </w:t>
      </w:r>
      <w:r w:rsidR="00C7627E">
        <w:t>a remarkable amount of golden jewellery and other artefacts were found along with a high number of swords.</w:t>
      </w:r>
      <w:r w:rsidR="00260D9F">
        <w:t xml:space="preserve"> The </w:t>
      </w:r>
      <w:r w:rsidR="007679F9">
        <w:t xml:space="preserve">tombs typically </w:t>
      </w:r>
      <w:r w:rsidR="00B15456">
        <w:t xml:space="preserve">(though not universally) </w:t>
      </w:r>
      <w:r w:rsidR="007679F9">
        <w:t xml:space="preserve">contained more than one burial, </w:t>
      </w:r>
      <w:r w:rsidR="00084AA9">
        <w:t>often with male and female burials separated into different tombs.</w:t>
      </w:r>
    </w:p>
    <w:p w14:paraId="7D432D93" w14:textId="3C1089FB" w:rsidR="00D05F36" w:rsidRDefault="00D2670A">
      <w:r>
        <w:t xml:space="preserve">The </w:t>
      </w:r>
      <w:r w:rsidR="002F41AE">
        <w:t>best-known</w:t>
      </w:r>
      <w:r>
        <w:t xml:space="preserve"> </w:t>
      </w:r>
      <w:r w:rsidR="00D05F36">
        <w:t xml:space="preserve">grave good of </w:t>
      </w:r>
      <w:r w:rsidR="00C36498">
        <w:t>the shaft graves at Mycenae</w:t>
      </w:r>
      <w:r w:rsidR="002F41AE">
        <w:t xml:space="preserve"> is the so called “Mask of Agamemnon</w:t>
      </w:r>
      <w:r w:rsidR="00257755">
        <w:t>,</w:t>
      </w:r>
      <w:r w:rsidR="002F41AE">
        <w:t>”</w:t>
      </w:r>
      <w:r w:rsidR="00257755">
        <w:t xml:space="preserve"> shown in fig. 3. </w:t>
      </w:r>
      <w:r w:rsidR="009F3783">
        <w:t xml:space="preserve"> </w:t>
      </w:r>
      <w:r w:rsidR="008769B2">
        <w:t>It is a gold death mask that was found by Schliemann in his excavations of Grave Circle A.</w:t>
      </w:r>
      <w:r w:rsidR="0011773B">
        <w:t xml:space="preserve"> There is some argument over whether or not the mask </w:t>
      </w:r>
      <w:r w:rsidR="00B25A89">
        <w:t>is authentic</w:t>
      </w:r>
      <w:r w:rsidR="00617FCE">
        <w:t xml:space="preserve">, with some arguing that Schliemann </w:t>
      </w:r>
      <w:r w:rsidR="009327DE">
        <w:t xml:space="preserve">had it made, </w:t>
      </w:r>
      <w:r w:rsidR="00CE51DB">
        <w:t>given the differences in style between it and the other gold burial masks that have been discovered.</w:t>
      </w:r>
      <w:r w:rsidR="00612264">
        <w:rPr>
          <w:rStyle w:val="EndnoteReference"/>
        </w:rPr>
        <w:endnoteReference w:id="15"/>
      </w:r>
      <w:r w:rsidR="0034195C">
        <w:t xml:space="preserve"> </w:t>
      </w:r>
      <w:r w:rsidR="002C7595">
        <w:t xml:space="preserve">However this claim remains disputed, as does even the claim that </w:t>
      </w:r>
      <w:r w:rsidR="003C42F2">
        <w:t>the mask is the item that Schliemann identified as “The Mask of Agamemnon</w:t>
      </w:r>
      <w:r w:rsidR="007D561B">
        <w:t>,</w:t>
      </w:r>
      <w:r w:rsidR="003C42F2">
        <w:t>”</w:t>
      </w:r>
      <w:r w:rsidR="007D561B">
        <w:t xml:space="preserve"> with </w:t>
      </w:r>
      <w:r w:rsidR="00B54813">
        <w:t xml:space="preserve">Dickenson(2005) arguing that the mask identified by Schliemann was more likely </w:t>
      </w:r>
      <w:r w:rsidR="000D17D0">
        <w:t>the mask NM623</w:t>
      </w:r>
      <w:r w:rsidR="009A39E6">
        <w:t>,</w:t>
      </w:r>
      <w:r w:rsidR="006750F6">
        <w:rPr>
          <w:rStyle w:val="EndnoteReference"/>
        </w:rPr>
        <w:endnoteReference w:id="16"/>
      </w:r>
      <w:r w:rsidR="009A39E6">
        <w:t xml:space="preserve"> and that as such the </w:t>
      </w:r>
      <w:r w:rsidR="00673522">
        <w:t>mask of Agamemnon is either not a forgery, or at least made for Schliemann.</w:t>
      </w:r>
    </w:p>
    <w:p w14:paraId="304C01A0" w14:textId="315540AA" w:rsidR="00CF7F40" w:rsidRDefault="00CF7F40">
      <w:r>
        <w:rPr>
          <w:noProof/>
        </w:rPr>
        <w:lastRenderedPageBreak/>
        <mc:AlternateContent>
          <mc:Choice Requires="wps">
            <w:drawing>
              <wp:anchor distT="0" distB="0" distL="114300" distR="114300" simplePos="0" relativeHeight="251661312" behindDoc="0" locked="0" layoutInCell="1" allowOverlap="1" wp14:anchorId="0A82B053" wp14:editId="3789131F">
                <wp:simplePos x="0" y="0"/>
                <wp:positionH relativeFrom="column">
                  <wp:posOffset>3101645</wp:posOffset>
                </wp:positionH>
                <wp:positionV relativeFrom="paragraph">
                  <wp:posOffset>51206</wp:posOffset>
                </wp:positionV>
                <wp:extent cx="2902689" cy="950976"/>
                <wp:effectExtent l="0" t="0" r="12065" b="20955"/>
                <wp:wrapNone/>
                <wp:docPr id="1120402441" name="Text Box 9"/>
                <wp:cNvGraphicFramePr/>
                <a:graphic xmlns:a="http://schemas.openxmlformats.org/drawingml/2006/main">
                  <a:graphicData uri="http://schemas.microsoft.com/office/word/2010/wordprocessingShape">
                    <wps:wsp>
                      <wps:cNvSpPr txBox="1"/>
                      <wps:spPr>
                        <a:xfrm>
                          <a:off x="0" y="0"/>
                          <a:ext cx="2902689" cy="950976"/>
                        </a:xfrm>
                        <a:prstGeom prst="rect">
                          <a:avLst/>
                        </a:prstGeom>
                        <a:solidFill>
                          <a:schemeClr val="lt1"/>
                        </a:solidFill>
                        <a:ln w="6350">
                          <a:solidFill>
                            <a:prstClr val="black"/>
                          </a:solidFill>
                        </a:ln>
                      </wps:spPr>
                      <wps:txbx>
                        <w:txbxContent>
                          <w:p w14:paraId="78DB3E4A" w14:textId="30C3BF56" w:rsidR="00CF7F40" w:rsidRDefault="00A37B9B">
                            <w:r>
                              <w:t>Fig 3, p</w:t>
                            </w:r>
                            <w:r w:rsidR="00CF7F40">
                              <w:t>ictured to the Right is a replica of the “Mask of Agamemnon,” found in the Museum at Mycenae.</w:t>
                            </w:r>
                            <w:r w:rsidR="005E2EC5">
                              <w:t xml:space="preserve"> </w:t>
                            </w:r>
                            <w:r w:rsidR="008D5F54">
                              <w:t>Photographed</w:t>
                            </w:r>
                            <w:r w:rsidR="005E2EC5">
                              <w:t xml:space="preserve"> by Robert Edwards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82B053" id="Text Box 9" o:spid="_x0000_s1027" type="#_x0000_t202" style="position:absolute;margin-left:244.2pt;margin-top:4.05pt;width:228.55pt;height:74.9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" fillcolor="white [3201]" strokeweight=".5pt">
                <v:textbox>
                  <w:txbxContent>
                    <w:p w14:paraId="78DB3E4A" w14:textId="30C3BF56" w:rsidR="00CF7F40" w:rsidRDefault="00A37B9B">
                      <w:r>
                        <w:t>Fig 3, p</w:t>
                      </w:r>
                      <w:r w:rsidR="00CF7F40">
                        <w:t>ictured to the Right is a replica of the “Mask of Agamemnon,” found in the Museum at Mycenae.</w:t>
                      </w:r>
                      <w:r w:rsidR="005E2EC5">
                        <w:t xml:space="preserve"> </w:t>
                      </w:r>
                      <w:r w:rsidR="008D5F54">
                        <w:t>Photographed</w:t>
                      </w:r>
                      <w:r w:rsidR="005E2EC5">
                        <w:t xml:space="preserve"> by Robert Edwards</w:t>
                      </w:r>
                    </w:p>
                  </w:txbxContent>
                </v:textbox>
              </v:shape>
            </w:pict>
          </mc:Fallback>
        </mc:AlternateContent>
      </w:r>
      <w:r w:rsidRPr="00CF7F40">
        <w:drawing>
          <wp:inline distT="0" distB="0" distL="0" distR="0" wp14:anchorId="29318EBF" wp14:editId="2289420E">
            <wp:extent cx="2912745" cy="2892056"/>
            <wp:effectExtent l="0" t="0" r="1905" b="3810"/>
            <wp:docPr id="1217439306" name="Picture 8" descr="A gold mask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439306" name="Picture 8" descr="A gold mask on a white surface&#10;&#10;AI-generated content may be incorrect."/>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7439" t="19761" r="31715" b="42377"/>
                    <a:stretch>
                      <a:fillRect/>
                    </a:stretch>
                  </pic:blipFill>
                  <pic:spPr bwMode="auto">
                    <a:xfrm>
                      <a:off x="0" y="0"/>
                      <a:ext cx="2914219" cy="2893520"/>
                    </a:xfrm>
                    <a:prstGeom prst="rect">
                      <a:avLst/>
                    </a:prstGeom>
                    <a:noFill/>
                    <a:ln>
                      <a:noFill/>
                    </a:ln>
                    <a:extLst>
                      <a:ext uri="{53640926-AAD7-44D8-BBD7-CCE9431645EC}">
                        <a14:shadowObscured xmlns:a14="http://schemas.microsoft.com/office/drawing/2010/main"/>
                      </a:ext>
                    </a:extLst>
                  </pic:spPr>
                </pic:pic>
              </a:graphicData>
            </a:graphic>
          </wp:inline>
        </w:drawing>
      </w:r>
    </w:p>
    <w:p w14:paraId="3F2C2915" w14:textId="61342379" w:rsidR="00367FA9" w:rsidRDefault="009B27A5">
      <w:r>
        <w:t xml:space="preserve">The Male burials of Grave Circle A and B </w:t>
      </w:r>
      <w:r w:rsidR="0010318B">
        <w:t>contain a great number of swords</w:t>
      </w:r>
      <w:r w:rsidR="00ED6ED2">
        <w:t>, of which one example is shown in fig. 4</w:t>
      </w:r>
      <w:r w:rsidR="00967660">
        <w:t>.</w:t>
      </w:r>
      <w:r w:rsidR="0010318B">
        <w:t xml:space="preserve"> </w:t>
      </w:r>
      <w:r w:rsidR="005C5791">
        <w:t xml:space="preserve">The particular details of the swords deposited in the shaft graves are of some note, as their patterns likely reveal much about the </w:t>
      </w:r>
      <w:r w:rsidR="00D84ECB">
        <w:t xml:space="preserve">society that was forming in Mycenae in the </w:t>
      </w:r>
      <w:r w:rsidR="00E86D71">
        <w:t>middle and late Helladic periods.</w:t>
      </w:r>
      <w:r w:rsidR="009905F9">
        <w:t xml:space="preserve"> </w:t>
      </w:r>
      <w:r w:rsidR="000509E7">
        <w:t xml:space="preserve">The oldest graves </w:t>
      </w:r>
      <w:r w:rsidR="00BE489F">
        <w:t>in Grave Circle B contain a single blade</w:t>
      </w:r>
      <w:r w:rsidR="00AD4902">
        <w:t xml:space="preserve"> (either a sword or a dagger), but as the graves become newer, a larger number of blades is found buried.</w:t>
      </w:r>
      <w:r w:rsidR="007F7F1D">
        <w:rPr>
          <w:rStyle w:val="EndnoteReference"/>
        </w:rPr>
        <w:endnoteReference w:id="17"/>
      </w:r>
      <w:r w:rsidR="00064B3B">
        <w:t xml:space="preserve"> The first change </w:t>
      </w:r>
      <w:r w:rsidR="00EF25EC">
        <w:t xml:space="preserve">was to burial with paired weapons, a sword and either a dagger, spear or </w:t>
      </w:r>
      <w:r w:rsidR="0065723D">
        <w:t>boar tusk.</w:t>
      </w:r>
      <w:r w:rsidR="00CE2EA9">
        <w:t xml:space="preserve"> Then as the graves become later still, </w:t>
      </w:r>
      <w:r w:rsidR="00D677AF">
        <w:t xml:space="preserve">multiple swords begin to be buried with the same </w:t>
      </w:r>
      <w:r w:rsidR="00EF4D57">
        <w:t>individual</w:t>
      </w:r>
      <w:r w:rsidR="00EC77D9">
        <w:t xml:space="preserve">, with between </w:t>
      </w:r>
      <w:r w:rsidR="003B5741">
        <w:t xml:space="preserve">4 and 9 blades being </w:t>
      </w:r>
      <w:r w:rsidR="001B15CA">
        <w:t>the range of the later burials in Grave Circle B</w:t>
      </w:r>
      <w:r w:rsidR="00EF4D57">
        <w:t>.</w:t>
      </w:r>
      <w:r w:rsidR="00EC77D9">
        <w:t xml:space="preserve"> </w:t>
      </w:r>
      <w:r w:rsidR="006E1E21">
        <w:t>While the earlier burials had their blades buried in a</w:t>
      </w:r>
      <w:r w:rsidR="00110AF4">
        <w:t>n intimate and personal manner (i.e. alongside the dead individual), the later ones were arrayed in a more impersonal manner.</w:t>
      </w:r>
      <w:r w:rsidR="007F7F1D">
        <w:rPr>
          <w:rStyle w:val="EndnoteReference"/>
        </w:rPr>
        <w:endnoteReference w:id="18"/>
      </w:r>
      <w:r w:rsidR="00C724F9">
        <w:t xml:space="preserve"> While less is known about the deposition of swords in Grave Circle A due to Schlieman’s less than perfect archaeological method</w:t>
      </w:r>
      <w:r w:rsidR="009023C1">
        <w:t xml:space="preserve"> and recording practice</w:t>
      </w:r>
      <w:r w:rsidR="00B15EC2">
        <w:t>, he d</w:t>
      </w:r>
      <w:r w:rsidR="00514B85">
        <w:t xml:space="preserve">id record that he discovered caches of swords piled together in the graves, and the number of swords </w:t>
      </w:r>
      <w:r w:rsidR="00535EE0">
        <w:t xml:space="preserve">discovered </w:t>
      </w:r>
      <w:r w:rsidR="002D67DA">
        <w:t xml:space="preserve">in Grave Circle A </w:t>
      </w:r>
      <w:r w:rsidR="00535EE0">
        <w:t>overall was very high</w:t>
      </w:r>
      <w:r w:rsidR="002D67DA">
        <w:t>, much higher than Grave Circle B</w:t>
      </w:r>
      <w:r w:rsidR="00535EE0">
        <w:t>.</w:t>
      </w:r>
      <w:r w:rsidR="001920E0">
        <w:rPr>
          <w:rStyle w:val="EndnoteReference"/>
        </w:rPr>
        <w:endnoteReference w:id="19"/>
      </w:r>
      <w:r w:rsidR="00CF6817">
        <w:rPr>
          <w:rStyle w:val="EndnoteReference"/>
        </w:rPr>
        <w:endnoteReference w:id="20"/>
      </w:r>
      <w:r w:rsidR="00367FA9">
        <w:t xml:space="preserve"> </w:t>
      </w:r>
    </w:p>
    <w:p w14:paraId="2142FC1F" w14:textId="763E7B0E" w:rsidR="009B5309" w:rsidRDefault="00367FA9">
      <w:r>
        <w:t>The deposition of swords</w:t>
      </w:r>
      <w:r w:rsidR="00012DD7">
        <w:t xml:space="preserve"> is just one of the </w:t>
      </w:r>
      <w:r w:rsidR="007165D7">
        <w:t xml:space="preserve">pieces of evidence for the changes that Mycenae was undergoing, </w:t>
      </w:r>
      <w:r w:rsidR="000E1715">
        <w:t>as the gathering of individual wealth became more and more important</w:t>
      </w:r>
      <w:r w:rsidR="00C909CC">
        <w:t>.</w:t>
      </w:r>
      <w:r w:rsidR="001920E0">
        <w:t xml:space="preserve"> Addi</w:t>
      </w:r>
      <w:r w:rsidR="005C2E64">
        <w:t xml:space="preserve">tionally many of the swords </w:t>
      </w:r>
      <w:r w:rsidR="00F201A2">
        <w:t>are</w:t>
      </w:r>
      <w:r w:rsidR="00B1396F">
        <w:t xml:space="preserve"> made with decoration that sets them out as more than far more than just practical</w:t>
      </w:r>
      <w:r w:rsidR="00001495">
        <w:t xml:space="preserve"> tools, with many featuring </w:t>
      </w:r>
      <w:r w:rsidR="00B1396F">
        <w:t>precious metals</w:t>
      </w:r>
      <w:r w:rsidR="00001495">
        <w:t xml:space="preserve"> such as gold</w:t>
      </w:r>
      <w:r w:rsidR="00B1396F">
        <w:t xml:space="preserve">, ornamental hilts, and precious stones </w:t>
      </w:r>
      <w:r w:rsidR="00001495">
        <w:t>such as lapis lazuli</w:t>
      </w:r>
      <w:r w:rsidR="00ED71D5">
        <w:t>.</w:t>
      </w:r>
      <w:r w:rsidR="00C1284D">
        <w:rPr>
          <w:rStyle w:val="EndnoteReference"/>
        </w:rPr>
        <w:endnoteReference w:id="21"/>
      </w:r>
      <w:r w:rsidR="00EF5E62">
        <w:t xml:space="preserve"> This again points to the </w:t>
      </w:r>
      <w:r w:rsidR="00BA5010">
        <w:t xml:space="preserve">theory that </w:t>
      </w:r>
      <w:r w:rsidR="00D1237D">
        <w:t xml:space="preserve">the Mycenaeans were developing </w:t>
      </w:r>
      <w:r w:rsidR="007B32E8">
        <w:t>a culture of ever-increasing conspicuous consumption</w:t>
      </w:r>
      <w:r w:rsidR="00BA44E0">
        <w:t>.</w:t>
      </w:r>
      <w:r w:rsidR="007B32E8">
        <w:t xml:space="preserve"> </w:t>
      </w:r>
      <w:r w:rsidR="00BA44E0">
        <w:t>W</w:t>
      </w:r>
      <w:r w:rsidR="009004EA">
        <w:t xml:space="preserve">here in the earlier graves single </w:t>
      </w:r>
      <w:r w:rsidR="00C232D5">
        <w:t xml:space="preserve">items are given more value, likely for the </w:t>
      </w:r>
      <w:r w:rsidR="00AC3E10">
        <w:t>inalienable connection with the person being buried</w:t>
      </w:r>
      <w:r w:rsidR="00BA44E0">
        <w:t xml:space="preserve">. The later graves </w:t>
      </w:r>
      <w:r w:rsidR="007B5621">
        <w:t>however, have a</w:t>
      </w:r>
      <w:r w:rsidR="00B13035">
        <w:t xml:space="preserve"> </w:t>
      </w:r>
      <w:r w:rsidR="00773ACC">
        <w:t xml:space="preserve">pattern of deposition that makes </w:t>
      </w:r>
      <w:r w:rsidR="00FA5700">
        <w:t xml:space="preserve">more sense if the swords are </w:t>
      </w:r>
      <w:r w:rsidR="00FA5700">
        <w:lastRenderedPageBreak/>
        <w:t>addressed as an artefact of conspicuous consumption, a show of wealth</w:t>
      </w:r>
      <w:r w:rsidR="00CB558E">
        <w:t>, prestige and status</w:t>
      </w:r>
      <w:r w:rsidR="00FA5700">
        <w:t>.</w:t>
      </w:r>
    </w:p>
    <w:p w14:paraId="3311AAAB" w14:textId="00AAAE39" w:rsidR="00BF16AB" w:rsidRPr="00BF16AB" w:rsidRDefault="00BF16AB" w:rsidP="00BF16AB">
      <w:r w:rsidRPr="00BF16AB">
        <w:drawing>
          <wp:inline distT="0" distB="0" distL="0" distR="0" wp14:anchorId="5D1CC07F" wp14:editId="171216B2">
            <wp:extent cx="5023959" cy="1644650"/>
            <wp:effectExtent l="0" t="0" r="5715" b="0"/>
            <wp:docPr id="10088776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6769" t="25190" r="5521" b="36530"/>
                    <a:stretch>
                      <a:fillRect/>
                    </a:stretch>
                  </pic:blipFill>
                  <pic:spPr bwMode="auto">
                    <a:xfrm>
                      <a:off x="0" y="0"/>
                      <a:ext cx="5027099" cy="1645678"/>
                    </a:xfrm>
                    <a:prstGeom prst="rect">
                      <a:avLst/>
                    </a:prstGeom>
                    <a:noFill/>
                    <a:ln>
                      <a:noFill/>
                    </a:ln>
                    <a:extLst>
                      <a:ext uri="{53640926-AAD7-44D8-BBD7-CCE9431645EC}">
                        <a14:shadowObscured xmlns:a14="http://schemas.microsoft.com/office/drawing/2010/main"/>
                      </a:ext>
                    </a:extLst>
                  </pic:spPr>
                </pic:pic>
              </a:graphicData>
            </a:graphic>
          </wp:inline>
        </w:drawing>
      </w:r>
    </w:p>
    <w:p w14:paraId="3CBF63F1" w14:textId="08634158" w:rsidR="00535D4D" w:rsidRDefault="00BF16AB">
      <w:r>
        <w:t>(</w:t>
      </w:r>
      <w:r w:rsidR="00AC4F26">
        <w:t>Fig. 4, p</w:t>
      </w:r>
      <w:r>
        <w:t xml:space="preserve">ictured above is </w:t>
      </w:r>
      <w:r w:rsidR="00AA0B3C">
        <w:t xml:space="preserve">a </w:t>
      </w:r>
      <w:r w:rsidR="00025BD5">
        <w:t xml:space="preserve">type A bronze </w:t>
      </w:r>
      <w:r w:rsidR="00AA0B3C">
        <w:t>sword from one of the shaft graves</w:t>
      </w:r>
      <w:r w:rsidR="006C6BD3">
        <w:t>, in the museum at Mycenae.</w:t>
      </w:r>
      <w:r w:rsidR="005C4760">
        <w:t xml:space="preserve"> </w:t>
      </w:r>
      <w:r w:rsidR="00E64146">
        <w:t>Photographed</w:t>
      </w:r>
      <w:r w:rsidR="005C4760">
        <w:t xml:space="preserve"> by Robert Edwards</w:t>
      </w:r>
      <w:r w:rsidR="00AA0B3C">
        <w:t>)</w:t>
      </w:r>
    </w:p>
    <w:p w14:paraId="2112A44F" w14:textId="27DDC2D5" w:rsidR="00353347" w:rsidRPr="00D8526F" w:rsidRDefault="00B71741">
      <w:pPr>
        <w:rPr>
          <w:b/>
          <w:bCs/>
        </w:rPr>
      </w:pPr>
      <w:r w:rsidRPr="00D8526F">
        <w:rPr>
          <w:b/>
          <w:bCs/>
        </w:rPr>
        <w:t xml:space="preserve">The </w:t>
      </w:r>
      <w:r w:rsidR="00353347" w:rsidRPr="00D8526F">
        <w:rPr>
          <w:b/>
          <w:bCs/>
        </w:rPr>
        <w:t>Griff</w:t>
      </w:r>
      <w:r w:rsidR="00DF5FCC" w:rsidRPr="00D8526F">
        <w:rPr>
          <w:b/>
          <w:bCs/>
        </w:rPr>
        <w:t>i</w:t>
      </w:r>
      <w:r w:rsidR="00353347" w:rsidRPr="00D8526F">
        <w:rPr>
          <w:b/>
          <w:bCs/>
        </w:rPr>
        <w:t>n Warrior Tomb</w:t>
      </w:r>
    </w:p>
    <w:p w14:paraId="5A73FE44" w14:textId="39F69C0E" w:rsidR="00FE5D14" w:rsidRDefault="00B71741">
      <w:r>
        <w:t>The Griff</w:t>
      </w:r>
      <w:r w:rsidR="00DF5FCC">
        <w:t>i</w:t>
      </w:r>
      <w:r>
        <w:t xml:space="preserve">n Warrior Tomb is a </w:t>
      </w:r>
      <w:r w:rsidR="00262169">
        <w:t xml:space="preserve">shaft grave found </w:t>
      </w:r>
      <w:r w:rsidR="006349E6">
        <w:t>at Pylos in the West of Greece</w:t>
      </w:r>
      <w:r w:rsidR="007839EF">
        <w:t xml:space="preserve">. </w:t>
      </w:r>
      <w:r w:rsidR="00FE5D14">
        <w:t>It was discovered</w:t>
      </w:r>
      <w:r w:rsidR="00816F03">
        <w:t xml:space="preserve"> in </w:t>
      </w:r>
      <w:r w:rsidR="00F13000">
        <w:t>2015</w:t>
      </w:r>
      <w:r w:rsidR="00FE5D14">
        <w:t xml:space="preserve"> during </w:t>
      </w:r>
      <w:r w:rsidR="00567A52">
        <w:t xml:space="preserve">excavations of a different Mycenaean site near the town of </w:t>
      </w:r>
      <w:r w:rsidR="00567A52" w:rsidRPr="00567A52">
        <w:t>Romanou</w:t>
      </w:r>
      <w:r w:rsidR="0058603E">
        <w:t>.</w:t>
      </w:r>
      <w:r w:rsidR="0058603E">
        <w:rPr>
          <w:rStyle w:val="EndnoteReference"/>
        </w:rPr>
        <w:endnoteReference w:id="22"/>
      </w:r>
      <w:r w:rsidR="00F90F6B">
        <w:t xml:space="preserve"> It may be the most </w:t>
      </w:r>
      <w:r w:rsidR="0082338E">
        <w:t xml:space="preserve">notable shaft grave found outside of </w:t>
      </w:r>
      <w:r w:rsidR="00A41496">
        <w:t>Grave Circle A or B</w:t>
      </w:r>
      <w:r w:rsidR="00C15A85">
        <w:t xml:space="preserve"> at Mycenae.</w:t>
      </w:r>
      <w:r w:rsidR="00D74374">
        <w:t xml:space="preserve"> The tomb dates to the Late Helladic II period</w:t>
      </w:r>
      <w:r w:rsidR="009B6C90">
        <w:t xml:space="preserve">, roughly contemporary to the shaft graves </w:t>
      </w:r>
      <w:r w:rsidR="002B667B">
        <w:t>found in Grave Circle A at Mycenae.</w:t>
      </w:r>
      <w:r w:rsidR="006E4FFE">
        <w:t xml:space="preserve"> Unlike </w:t>
      </w:r>
      <w:r w:rsidR="005A30E6">
        <w:t xml:space="preserve">many of </w:t>
      </w:r>
      <w:r w:rsidR="006E4FFE">
        <w:t xml:space="preserve">the shaft graves found at Mycenae, </w:t>
      </w:r>
      <w:r w:rsidR="005A30E6">
        <w:t>the Griffin Warrior Tomb only contained the remains of a single individual, most likely a male of high social status and wealth.</w:t>
      </w:r>
      <w:r w:rsidR="006F5C7E">
        <w:rPr>
          <w:rStyle w:val="EndnoteReference"/>
        </w:rPr>
        <w:endnoteReference w:id="23"/>
      </w:r>
      <w:r w:rsidR="0012097F">
        <w:t xml:space="preserve"> The status and wealth of the individual are denoted by the immense cost of the burial goods, which included a great number of </w:t>
      </w:r>
      <w:r w:rsidR="008D299D">
        <w:t>goods made from precious stones such as agate and precious metals, such as gold.</w:t>
      </w:r>
      <w:r w:rsidR="000A372F">
        <w:rPr>
          <w:rStyle w:val="EndnoteReference"/>
        </w:rPr>
        <w:endnoteReference w:id="24"/>
      </w:r>
      <w:r w:rsidR="008D299D">
        <w:t xml:space="preserve"> Additionally, no pottery was found in the grave, only metal vessels, an indicator of the immense wealth.</w:t>
      </w:r>
    </w:p>
    <w:p w14:paraId="382BB9CF" w14:textId="4A02816C" w:rsidR="00B71741" w:rsidRDefault="00FE5D14">
      <w:r>
        <w:t xml:space="preserve">It contains </w:t>
      </w:r>
      <w:r w:rsidR="0058603E">
        <w:t xml:space="preserve">a wide variety of grave goods from across the </w:t>
      </w:r>
      <w:r w:rsidR="0022169D">
        <w:t>bronze age Aegean</w:t>
      </w:r>
      <w:r w:rsidR="00007ACD">
        <w:t xml:space="preserve">, mostly of Mycenaean or </w:t>
      </w:r>
      <w:r w:rsidR="004C51D3">
        <w:t>Minoan origin.</w:t>
      </w:r>
      <w:r w:rsidR="00486149">
        <w:t xml:space="preserve"> Among the most important artefacts </w:t>
      </w:r>
      <w:r w:rsidR="00C81BF0">
        <w:t xml:space="preserve">discovered in </w:t>
      </w:r>
      <w:r w:rsidR="00DF5FCC">
        <w:t>the Griffin Warrior Tomb were the vast collection of sealstones and signet rings.</w:t>
      </w:r>
      <w:r w:rsidR="00BB5CCC">
        <w:t xml:space="preserve"> Over 50 </w:t>
      </w:r>
      <w:r w:rsidR="000C0C8A">
        <w:t xml:space="preserve">ornate </w:t>
      </w:r>
      <w:r w:rsidR="00BB5CCC">
        <w:t>sealstones and 4 gold signet rings were found</w:t>
      </w:r>
      <w:r w:rsidR="00C62BE0">
        <w:t xml:space="preserve">, including the Combat Agate, one of the most </w:t>
      </w:r>
      <w:r w:rsidR="00C00580">
        <w:t>detailed and extravagant sealstones found to date</w:t>
      </w:r>
      <w:r w:rsidR="00BB5CCC">
        <w:t>.</w:t>
      </w:r>
      <w:r w:rsidR="00860B0E">
        <w:rPr>
          <w:rStyle w:val="EndnoteReference"/>
        </w:rPr>
        <w:endnoteReference w:id="25"/>
      </w:r>
    </w:p>
    <w:p w14:paraId="7848B705" w14:textId="4E119B82" w:rsidR="0019028C" w:rsidRDefault="00D350E2">
      <w:r>
        <w:t>The Griffin Warrior Tomb is a</w:t>
      </w:r>
      <w:r w:rsidR="005F6699">
        <w:t xml:space="preserve"> </w:t>
      </w:r>
      <w:r w:rsidR="003E3821">
        <w:t>show of the increasing power and importance of Mycenae</w:t>
      </w:r>
      <w:r w:rsidR="00D63867">
        <w:t xml:space="preserve"> in the ancient Aegean.</w:t>
      </w:r>
      <w:r w:rsidR="00DC26EE">
        <w:t xml:space="preserve"> The grave goods are also a show of </w:t>
      </w:r>
      <w:r w:rsidR="00013EBF">
        <w:t>the interconnectivity of the bronze age Aegean in the</w:t>
      </w:r>
      <w:r w:rsidR="00317FD4">
        <w:t xml:space="preserve"> Late Helladic</w:t>
      </w:r>
      <w:r w:rsidR="00805D46">
        <w:t>, particularly between the Mycenaean and Minoan worlds</w:t>
      </w:r>
      <w:r w:rsidR="00317FD4">
        <w:t>.</w:t>
      </w:r>
    </w:p>
    <w:p w14:paraId="25607F1C" w14:textId="2CE8DEBE" w:rsidR="00BB4BF0" w:rsidRDefault="00BB4BF0">
      <w:r>
        <w:t>Many of the goods are also a sign that the Mycenaeans developed a culture of consumption of exotics</w:t>
      </w:r>
      <w:r w:rsidR="00F217F9">
        <w:t xml:space="preserve"> as a show of wealth and prestige.</w:t>
      </w:r>
      <w:r w:rsidR="004D0DA3">
        <w:t xml:space="preserve"> The sealstones and signet rings for example, of which most have little to no signs of usage</w:t>
      </w:r>
      <w:r w:rsidR="00893D86">
        <w:t xml:space="preserve">, do not share symbols, and </w:t>
      </w:r>
      <w:r w:rsidR="00073371">
        <w:t xml:space="preserve">are in some cases (such as the Combat Agate) far more detailed than can even show up when </w:t>
      </w:r>
      <w:r w:rsidR="003C1B8A">
        <w:t>used practically as a seal.</w:t>
      </w:r>
      <w:r w:rsidR="00806457">
        <w:rPr>
          <w:rStyle w:val="EndnoteReference"/>
        </w:rPr>
        <w:endnoteReference w:id="26"/>
      </w:r>
    </w:p>
    <w:p w14:paraId="67396681" w14:textId="0FDF33C0" w:rsidR="00E83564" w:rsidRDefault="0069634A">
      <w:r>
        <w:lastRenderedPageBreak/>
        <w:t xml:space="preserve">The </w:t>
      </w:r>
      <w:r w:rsidR="00700C01">
        <w:t>Griffin Warrior Tomb’s presence in Pylos is evidence that the practice of shaft grave burials was much more widespread than just Mycenae, at least by the time of the Late Helladic period.</w:t>
      </w:r>
    </w:p>
    <w:p w14:paraId="23A8C243" w14:textId="306C69F5" w:rsidR="0069634A" w:rsidRPr="001D67E5" w:rsidRDefault="001D67E5">
      <w:pPr>
        <w:rPr>
          <w:b/>
          <w:bCs/>
        </w:rPr>
      </w:pPr>
      <w:r w:rsidRPr="001D67E5">
        <w:rPr>
          <w:b/>
          <w:bCs/>
        </w:rPr>
        <w:t>The Implications Of The Shaft Graves</w:t>
      </w:r>
    </w:p>
    <w:p w14:paraId="3AC657EA" w14:textId="77777777" w:rsidR="0000785C" w:rsidRDefault="001D67E5">
      <w:r>
        <w:t xml:space="preserve">The shaft graves, both at Mycenae and elsewhere </w:t>
      </w:r>
      <w:r w:rsidR="00E40ECA">
        <w:t xml:space="preserve">have a number of </w:t>
      </w:r>
      <w:r w:rsidR="008B11CD">
        <w:t>important im</w:t>
      </w:r>
      <w:r w:rsidR="00745A35">
        <w:t xml:space="preserve">plications. </w:t>
      </w:r>
    </w:p>
    <w:p w14:paraId="627DA38A" w14:textId="217258D3" w:rsidR="00745A35" w:rsidRDefault="00745A35">
      <w:r>
        <w:t xml:space="preserve">The </w:t>
      </w:r>
      <w:r w:rsidR="00BB75E3">
        <w:t xml:space="preserve">shaft graves found in the grave circles at Mycenae </w:t>
      </w:r>
      <w:r w:rsidR="002B6715">
        <w:t xml:space="preserve">indicate a number of developments over time in the </w:t>
      </w:r>
      <w:r w:rsidR="00F1327A">
        <w:t xml:space="preserve">societal ideals and </w:t>
      </w:r>
      <w:r w:rsidR="004A1908">
        <w:t xml:space="preserve">attitude to material possessions in Helladic </w:t>
      </w:r>
      <w:r w:rsidR="007D71F8">
        <w:t>period Mycenaean society.</w:t>
      </w:r>
      <w:r w:rsidR="0095720A">
        <w:t xml:space="preserve"> </w:t>
      </w:r>
      <w:r w:rsidR="00BB6A36">
        <w:t xml:space="preserve">They show the ever-increasing </w:t>
      </w:r>
      <w:r w:rsidR="00C15270">
        <w:t>affinity for conspicuous shows of wealth</w:t>
      </w:r>
      <w:r w:rsidR="00E74CE3">
        <w:t xml:space="preserve"> that </w:t>
      </w:r>
      <w:r w:rsidR="009803CB">
        <w:t>increased</w:t>
      </w:r>
      <w:r w:rsidR="00E74CE3">
        <w:t xml:space="preserve"> over time in the Mycenaean world</w:t>
      </w:r>
      <w:r w:rsidR="00C15270">
        <w:t>.</w:t>
      </w:r>
      <w:r w:rsidR="00382F60">
        <w:t xml:space="preserve"> </w:t>
      </w:r>
    </w:p>
    <w:p w14:paraId="6EF346C6" w14:textId="534887DF" w:rsidR="00E34578" w:rsidRDefault="00E34578">
      <w:r>
        <w:t xml:space="preserve">The Griffin Warrior Tomb </w:t>
      </w:r>
      <w:r w:rsidR="00BA34A3">
        <w:t xml:space="preserve">and its burial goods grant a vast level of insight to </w:t>
      </w:r>
      <w:r w:rsidR="00F312C1">
        <w:t xml:space="preserve">the interrelationship of the Minoan and Mycenaean world, </w:t>
      </w:r>
      <w:r w:rsidR="00E21143">
        <w:t>with a collection of grave goods from both worlds</w:t>
      </w:r>
      <w:r w:rsidR="00293FA9">
        <w:t xml:space="preserve"> indicating a large trade exchange between </w:t>
      </w:r>
      <w:r w:rsidR="00FF2FC3">
        <w:t>Minoan Crete and Mycenaean Greece</w:t>
      </w:r>
      <w:r w:rsidR="00E21143">
        <w:t>.</w:t>
      </w:r>
      <w:r w:rsidR="00D41A9C">
        <w:t xml:space="preserve"> It also </w:t>
      </w:r>
      <w:r w:rsidR="00E76820">
        <w:t>correlates well to</w:t>
      </w:r>
      <w:r w:rsidR="00D41A9C">
        <w:t xml:space="preserve"> the attitude </w:t>
      </w:r>
      <w:r w:rsidR="00E76820">
        <w:t>to consumption</w:t>
      </w:r>
      <w:r w:rsidR="00686CC8">
        <w:t xml:space="preserve"> that increased into the Late Helladic period</w:t>
      </w:r>
      <w:r w:rsidR="00CB0A0E">
        <w:t xml:space="preserve">, with the vast collection of wealth </w:t>
      </w:r>
      <w:r w:rsidR="003D5A1C">
        <w:t>in the grave of a single individual</w:t>
      </w:r>
      <w:r w:rsidR="00686CC8">
        <w:t>.</w:t>
      </w:r>
      <w:r w:rsidR="006F48A0">
        <w:t xml:space="preserve"> </w:t>
      </w:r>
    </w:p>
    <w:p w14:paraId="1BD2A529" w14:textId="4BABD168" w:rsidR="00E40ECA" w:rsidRPr="003500D3" w:rsidRDefault="003500D3">
      <w:pPr>
        <w:rPr>
          <w:b/>
          <w:bCs/>
        </w:rPr>
      </w:pPr>
      <w:r w:rsidRPr="003500D3">
        <w:rPr>
          <w:b/>
          <w:bCs/>
        </w:rPr>
        <w:t xml:space="preserve">Archaeological Practice and </w:t>
      </w:r>
      <w:r w:rsidR="0088707E">
        <w:rPr>
          <w:b/>
          <w:bCs/>
        </w:rPr>
        <w:t>Academic</w:t>
      </w:r>
      <w:r w:rsidRPr="003500D3">
        <w:rPr>
          <w:b/>
          <w:bCs/>
        </w:rPr>
        <w:t xml:space="preserve"> Debate.</w:t>
      </w:r>
    </w:p>
    <w:p w14:paraId="3713DF08" w14:textId="7B00505E" w:rsidR="00864DF2" w:rsidRDefault="00967A26">
      <w:r>
        <w:t>T</w:t>
      </w:r>
      <w:r w:rsidR="00323468">
        <w:t>he shaft graves</w:t>
      </w:r>
      <w:r>
        <w:t>, especially Grave Circle A,</w:t>
      </w:r>
      <w:r w:rsidR="00323468">
        <w:t xml:space="preserve"> </w:t>
      </w:r>
      <w:r w:rsidR="00E20A86">
        <w:t>cannot be brought up without the</w:t>
      </w:r>
      <w:r>
        <w:t xml:space="preserve"> mention of the academic debate surrounding </w:t>
      </w:r>
      <w:r w:rsidR="008F5B43">
        <w:t xml:space="preserve">the excavation of the </w:t>
      </w:r>
      <w:r w:rsidR="00120A23">
        <w:t xml:space="preserve">Grave Circles. Grave Circle A was </w:t>
      </w:r>
      <w:r w:rsidR="002B0645">
        <w:t>excavated by Heinrich Schliemann</w:t>
      </w:r>
      <w:r w:rsidR="000E171A">
        <w:t xml:space="preserve"> </w:t>
      </w:r>
      <w:r w:rsidR="002B52A4">
        <w:t xml:space="preserve">in </w:t>
      </w:r>
      <w:r w:rsidR="000F6717">
        <w:t xml:space="preserve">1873, </w:t>
      </w:r>
      <w:r w:rsidR="0094378E">
        <w:t xml:space="preserve">and even at the time there was much disagreement over </w:t>
      </w:r>
      <w:r w:rsidR="00A253AE">
        <w:t>his practice</w:t>
      </w:r>
      <w:r w:rsidR="00CD295F">
        <w:t>.</w:t>
      </w:r>
      <w:r w:rsidR="00055018">
        <w:t xml:space="preserve"> </w:t>
      </w:r>
      <w:r w:rsidR="007D3ACA">
        <w:t xml:space="preserve">Arguments against </w:t>
      </w:r>
      <w:r w:rsidR="00E300E0">
        <w:t>Schliemann</w:t>
      </w:r>
      <w:r w:rsidR="007B4713">
        <w:t xml:space="preserve"> </w:t>
      </w:r>
      <w:r w:rsidR="007D3ACA">
        <w:t>have varied from poor archaeological technique (though this was not entirely uncommon for the archaeologists of late 19</w:t>
      </w:r>
      <w:r w:rsidR="007D3ACA" w:rsidRPr="007D3ACA">
        <w:rPr>
          <w:vertAlign w:val="superscript"/>
        </w:rPr>
        <w:t>th</w:t>
      </w:r>
      <w:r w:rsidR="007D3ACA">
        <w:t xml:space="preserve"> century colonial powers), incredibly poor record keeping, and even the possible forgery of </w:t>
      </w:r>
      <w:r w:rsidR="00DB12C0">
        <w:t>archaeological finds.</w:t>
      </w:r>
      <w:r w:rsidR="00B6715D">
        <w:t xml:space="preserve"> The forged archaeological finds are likely the most dire of the accusations, and the one that isn’t nearly as commonplace as the </w:t>
      </w:r>
      <w:r w:rsidR="00FF67D3">
        <w:t xml:space="preserve">poor </w:t>
      </w:r>
      <w:r w:rsidR="00DB708E">
        <w:t xml:space="preserve">archaeological </w:t>
      </w:r>
      <w:r w:rsidR="00FF67D3">
        <w:t xml:space="preserve">technique </w:t>
      </w:r>
      <w:r w:rsidR="00D6415C">
        <w:t>of the late 1800s.</w:t>
      </w:r>
      <w:r w:rsidR="001F7F8D">
        <w:t xml:space="preserve"> </w:t>
      </w:r>
      <w:r w:rsidR="009C0FDE">
        <w:t xml:space="preserve">The so called “Mask of Agamemnon” was </w:t>
      </w:r>
      <w:r w:rsidR="00D7376B">
        <w:t>found by Schliemann</w:t>
      </w:r>
      <w:r w:rsidR="00EA10E6">
        <w:t>,</w:t>
      </w:r>
      <w:r w:rsidR="00562E62">
        <w:rPr>
          <w:rStyle w:val="EndnoteReference"/>
        </w:rPr>
        <w:endnoteReference w:id="27"/>
      </w:r>
      <w:r w:rsidR="00D7376B">
        <w:t xml:space="preserve"> </w:t>
      </w:r>
      <w:r w:rsidR="00EA10E6">
        <w:t>and he declared it to be Agamemnon’s death mask.</w:t>
      </w:r>
      <w:r w:rsidR="002418C4">
        <w:t xml:space="preserve"> However, the </w:t>
      </w:r>
      <w:r w:rsidR="009002DF">
        <w:t>mask has considerable</w:t>
      </w:r>
      <w:r w:rsidR="00070969">
        <w:t xml:space="preserve"> stylistic</w:t>
      </w:r>
      <w:r w:rsidR="009002DF">
        <w:t xml:space="preserve"> differences to the </w:t>
      </w:r>
      <w:r w:rsidR="00341B9F">
        <w:t xml:space="preserve">other masks found in the </w:t>
      </w:r>
      <w:r w:rsidR="000F284B">
        <w:t>g</w:t>
      </w:r>
      <w:r w:rsidR="00341B9F">
        <w:t xml:space="preserve">rave </w:t>
      </w:r>
      <w:r w:rsidR="000F284B">
        <w:t>c</w:t>
      </w:r>
      <w:r w:rsidR="00341B9F">
        <w:t>ircles</w:t>
      </w:r>
      <w:r w:rsidR="009E1DFE">
        <w:t>,</w:t>
      </w:r>
      <w:r w:rsidR="00341B9F">
        <w:t xml:space="preserve"> </w:t>
      </w:r>
      <w:r w:rsidR="00070969">
        <w:t xml:space="preserve">leading to the accusation that Schliemann had it </w:t>
      </w:r>
      <w:r w:rsidR="00F25097">
        <w:t>forged. The argument remains ongoing</w:t>
      </w:r>
      <w:r w:rsidR="00F31CDF">
        <w:t xml:space="preserve">, as it is unlikely the </w:t>
      </w:r>
      <w:r w:rsidR="00864DF2">
        <w:t xml:space="preserve">specifics will ever be fully resolved due to lack of evidence on either side. </w:t>
      </w:r>
      <w:r w:rsidR="004E65E4">
        <w:t xml:space="preserve">Schliemann’s </w:t>
      </w:r>
      <w:r w:rsidR="00672A93">
        <w:t xml:space="preserve">poor archaeological conduct, at least when held to modern standards, is also of note. Academic discussion on this topic is a little less </w:t>
      </w:r>
      <w:r w:rsidR="002B2768">
        <w:t>of a divisive topic.</w:t>
      </w:r>
      <w:r w:rsidR="00C62078">
        <w:t xml:space="preserve"> It’s generally agreed among the literature that his </w:t>
      </w:r>
      <w:r w:rsidR="00765ACD">
        <w:t>work was subpar, as was his recording.</w:t>
      </w:r>
      <w:r w:rsidR="00522F50">
        <w:t xml:space="preserve"> The bad recording in particular causes problems</w:t>
      </w:r>
      <w:r w:rsidR="008A5857">
        <w:t>, as noted earlier in this article</w:t>
      </w:r>
      <w:r w:rsidR="005A698D">
        <w:t>,</w:t>
      </w:r>
      <w:r w:rsidR="008A5857">
        <w:t xml:space="preserve"> for instance, </w:t>
      </w:r>
      <w:r w:rsidR="005A698D">
        <w:t xml:space="preserve">his recording of the deposition of swords lacked detail on the </w:t>
      </w:r>
      <w:r w:rsidR="00907CB9">
        <w:t xml:space="preserve">specifics of their deposition, beyond that they were clustered </w:t>
      </w:r>
      <w:r w:rsidR="00830996">
        <w:t>together</w:t>
      </w:r>
      <w:r w:rsidR="0031368F">
        <w:t>,</w:t>
      </w:r>
      <w:r w:rsidR="006E4284">
        <w:rPr>
          <w:rStyle w:val="EndnoteReference"/>
        </w:rPr>
        <w:endnoteReference w:id="28"/>
      </w:r>
      <w:r w:rsidR="006E4284">
        <w:t xml:space="preserve"> detail that would have been </w:t>
      </w:r>
      <w:r w:rsidR="00D045F9">
        <w:t xml:space="preserve">incredibly useful in </w:t>
      </w:r>
      <w:r w:rsidR="00C654D5">
        <w:t xml:space="preserve">the </w:t>
      </w:r>
      <w:r w:rsidR="00501661">
        <w:t xml:space="preserve">understanding of the social implications of the </w:t>
      </w:r>
      <w:r w:rsidR="00434749">
        <w:t>burials</w:t>
      </w:r>
      <w:r w:rsidR="0078392F">
        <w:t>.</w:t>
      </w:r>
      <w:r w:rsidR="006501AA">
        <w:t xml:space="preserve"> Additionally, a number of items </w:t>
      </w:r>
      <w:r w:rsidR="006501AA">
        <w:lastRenderedPageBreak/>
        <w:t xml:space="preserve">from Grave Circle A that may have been of use have likely been ignored or damaged through </w:t>
      </w:r>
      <w:r w:rsidR="006A1FF6">
        <w:t>poor excavation practice</w:t>
      </w:r>
      <w:r w:rsidR="00203B1B">
        <w:t>.</w:t>
      </w:r>
    </w:p>
    <w:p w14:paraId="78D46D3C" w14:textId="14FE67C1" w:rsidR="00203B1B" w:rsidRDefault="00203B1B">
      <w:r>
        <w:t xml:space="preserve">Grave Circle B, on the other hand, is far less divisive in its </w:t>
      </w:r>
      <w:r w:rsidR="004C18B0">
        <w:t>ex</w:t>
      </w:r>
      <w:r w:rsidR="006A59D8">
        <w:t>cavation</w:t>
      </w:r>
      <w:r w:rsidR="004C18B0">
        <w:t xml:space="preserve"> practice.</w:t>
      </w:r>
      <w:r w:rsidR="006A59D8">
        <w:t xml:space="preserve"> It was excavated between 1952 and 1954, and has comparatively excellent</w:t>
      </w:r>
      <w:r w:rsidR="00175C1B">
        <w:t xml:space="preserve"> practice and recording</w:t>
      </w:r>
      <w:r w:rsidR="00D8171A">
        <w:t>.</w:t>
      </w:r>
    </w:p>
    <w:p w14:paraId="202528CE" w14:textId="66A58CA0" w:rsidR="005C3378" w:rsidRDefault="00FA6A09">
      <w:r>
        <w:t xml:space="preserve"> </w:t>
      </w:r>
    </w:p>
    <w:p w14:paraId="22B92B10" w14:textId="77777777" w:rsidR="00CD295F" w:rsidRDefault="00CD295F"/>
    <w:p w14:paraId="3B68B52D" w14:textId="77777777" w:rsidR="00CD295F" w:rsidRDefault="00CD295F"/>
    <w:p w14:paraId="75E2BA02" w14:textId="4173AD70" w:rsidR="005C3378" w:rsidRDefault="005C3378">
      <w:r>
        <w:t>Bibliography:</w:t>
      </w:r>
    </w:p>
    <w:p w14:paraId="7E79463F" w14:textId="1651AE6F" w:rsidR="00FC6ED2" w:rsidRDefault="00FC6ED2">
      <w:r>
        <w:t>All images are my own.</w:t>
      </w:r>
    </w:p>
    <w:p w14:paraId="5584FBEE" w14:textId="2BEBCA0C" w:rsidR="00D2670A" w:rsidRDefault="00D2670A">
      <w:r w:rsidRPr="00D2670A">
        <w:t xml:space="preserve">Abramitis, Dorothy H. “The Mask of Agamemnon: An Example of Electroformed Reproduction of Artworks Made by E. Gilliéron in the Early Twentieth Century - the Metropolitan Museum of Art.” </w:t>
      </w:r>
      <w:r w:rsidRPr="00D2670A">
        <w:rPr>
          <w:i/>
          <w:iCs/>
        </w:rPr>
        <w:t>Metmuseum.org</w:t>
      </w:r>
      <w:r w:rsidRPr="00D2670A">
        <w:t>, June 2011, www.metmuseum.org/perspectives/mask-of-agamemnon.</w:t>
      </w:r>
    </w:p>
    <w:p w14:paraId="4E549E17" w14:textId="77777777" w:rsidR="00C44F97" w:rsidRPr="007B374F" w:rsidRDefault="00C44F97" w:rsidP="00C44F97">
      <w:r w:rsidRPr="007B374F">
        <w:t xml:space="preserve">Buck, R. J. “The Middle Helladic Period.” </w:t>
      </w:r>
      <w:r w:rsidRPr="007B374F">
        <w:rPr>
          <w:i/>
          <w:iCs/>
        </w:rPr>
        <w:t>Phoenix</w:t>
      </w:r>
      <w:r w:rsidRPr="007B374F">
        <w:t xml:space="preserve">, vol. 20, no. 3, 1966, pp. 193–209. </w:t>
      </w:r>
      <w:r w:rsidRPr="007B374F">
        <w:rPr>
          <w:i/>
          <w:iCs/>
        </w:rPr>
        <w:t>JSTOR</w:t>
      </w:r>
      <w:r w:rsidRPr="007B374F">
        <w:t>, https://doi.org/10.2307/1086478. Accessed 27 Nov. 2025.</w:t>
      </w:r>
    </w:p>
    <w:p w14:paraId="368FFE40" w14:textId="20A7DF2D" w:rsidR="00C44F97" w:rsidRDefault="00C44F97" w:rsidP="00C44F97">
      <w:r w:rsidRPr="00D21977">
        <w:t>Davis J</w:t>
      </w:r>
      <w:r>
        <w:t>.</w:t>
      </w:r>
      <w:r w:rsidRPr="00D21977">
        <w:t xml:space="preserve"> L., Stocker</w:t>
      </w:r>
      <w:r>
        <w:t>,</w:t>
      </w:r>
      <w:r w:rsidRPr="00A13F5B">
        <w:t xml:space="preserve"> </w:t>
      </w:r>
      <w:r w:rsidRPr="00D21977">
        <w:t>S</w:t>
      </w:r>
      <w:r>
        <w:t>.</w:t>
      </w:r>
      <w:r w:rsidRPr="00D21977">
        <w:t xml:space="preserve"> R. “The Lord of the Gold Rings: The Griffin Warrior of Pylos.” </w:t>
      </w:r>
      <w:r w:rsidRPr="00D21977">
        <w:rPr>
          <w:i/>
          <w:iCs/>
        </w:rPr>
        <w:t>Hesperia: The Journal of the American School of Classical Studies at Athens</w:t>
      </w:r>
      <w:r w:rsidRPr="00D21977">
        <w:t xml:space="preserve">, vol. 85, no. 4, 2016, pp. 627–55. </w:t>
      </w:r>
      <w:r w:rsidRPr="00D21977">
        <w:rPr>
          <w:i/>
          <w:iCs/>
        </w:rPr>
        <w:t>JSTOR</w:t>
      </w:r>
      <w:r w:rsidRPr="00D21977">
        <w:t xml:space="preserve">, </w:t>
      </w:r>
      <w:hyperlink r:id="rId12" w:history="1">
        <w:r w:rsidR="00623620" w:rsidRPr="00BF153C">
          <w:rPr>
            <w:rStyle w:val="Hyperlink"/>
          </w:rPr>
          <w:t>https://doi.org/10.2972/hesperia.85.4.0627. Accessed 27 Nov. 2025</w:t>
        </w:r>
      </w:hyperlink>
      <w:r w:rsidRPr="00D21977">
        <w:t>.</w:t>
      </w:r>
    </w:p>
    <w:p w14:paraId="481BF656" w14:textId="694C025C" w:rsidR="00623620" w:rsidRDefault="00623620" w:rsidP="00C44F97">
      <w:r w:rsidRPr="00623620">
        <w:t>Davis J</w:t>
      </w:r>
      <w:r>
        <w:t>.</w:t>
      </w:r>
      <w:r w:rsidRPr="00623620">
        <w:t xml:space="preserve"> L.</w:t>
      </w:r>
      <w:r>
        <w:t xml:space="preserve"> </w:t>
      </w:r>
      <w:r w:rsidRPr="00623620">
        <w:t>Stocker</w:t>
      </w:r>
      <w:r w:rsidRPr="00623620">
        <w:t xml:space="preserve"> </w:t>
      </w:r>
      <w:r w:rsidRPr="00623620">
        <w:t>S</w:t>
      </w:r>
      <w:r>
        <w:t>.</w:t>
      </w:r>
      <w:r w:rsidRPr="00623620">
        <w:t xml:space="preserve"> R</w:t>
      </w:r>
      <w:r>
        <w:t xml:space="preserve">. </w:t>
      </w:r>
      <w:r w:rsidRPr="00623620">
        <w:t xml:space="preserve">“The Combat Agate from the Grave of the Griffin Warrior at Pylos.” </w:t>
      </w:r>
      <w:r w:rsidRPr="00623620">
        <w:rPr>
          <w:i/>
          <w:iCs/>
        </w:rPr>
        <w:t>Hesperia: The Journal of the American School of Classical Studies at Athens</w:t>
      </w:r>
      <w:r w:rsidRPr="00623620">
        <w:t xml:space="preserve">, vol. 86, no. 4, 2017, pp. 583–605. </w:t>
      </w:r>
      <w:r w:rsidRPr="00623620">
        <w:rPr>
          <w:i/>
          <w:iCs/>
        </w:rPr>
        <w:t>JSTOR</w:t>
      </w:r>
      <w:r w:rsidRPr="00623620">
        <w:t>, https://doi.org/10.2972/hesperia.86.4.0583. Accessed 28 Nov. 2025.</w:t>
      </w:r>
    </w:p>
    <w:p w14:paraId="6C9F72B8" w14:textId="089D394A" w:rsidR="00F26DBC" w:rsidRPr="00D21977" w:rsidRDefault="00F26DBC" w:rsidP="00C44F97">
      <w:r w:rsidRPr="00F26DBC">
        <w:t xml:space="preserve">Dickinson, O. “The ‘Face of Agamemnon.’” </w:t>
      </w:r>
      <w:r w:rsidRPr="00F26DBC">
        <w:rPr>
          <w:i/>
          <w:iCs/>
        </w:rPr>
        <w:t>Hesperia: The Journal of the American School of Classical Studies at Athens</w:t>
      </w:r>
      <w:r w:rsidRPr="00F26DBC">
        <w:t xml:space="preserve">, vol. 74, no. 3, 2005, pp. 299–308. </w:t>
      </w:r>
      <w:r w:rsidRPr="00F26DBC">
        <w:rPr>
          <w:i/>
          <w:iCs/>
        </w:rPr>
        <w:t>JSTOR</w:t>
      </w:r>
      <w:r w:rsidRPr="00F26DBC">
        <w:t>, http://www.jstor.org/stable/25067959. Accessed 29 Nov. 2025.</w:t>
      </w:r>
    </w:p>
    <w:p w14:paraId="2292E243" w14:textId="77777777" w:rsidR="00C44F97" w:rsidRPr="00061110" w:rsidRDefault="00C44F97" w:rsidP="00C44F97">
      <w:r w:rsidRPr="00061110">
        <w:t>Dué, Casey, Lupack</w:t>
      </w:r>
      <w:r w:rsidRPr="00ED5738">
        <w:t xml:space="preserve"> </w:t>
      </w:r>
      <w:r w:rsidRPr="00061110">
        <w:t>S</w:t>
      </w:r>
      <w:r>
        <w:t>.</w:t>
      </w:r>
      <w:r w:rsidRPr="00061110">
        <w:t>, and Lamberton</w:t>
      </w:r>
      <w:r w:rsidRPr="00B41FE8">
        <w:t xml:space="preserve"> </w:t>
      </w:r>
      <w:r w:rsidRPr="00061110">
        <w:t xml:space="preserve">R. </w:t>
      </w:r>
      <w:r w:rsidRPr="00061110">
        <w:rPr>
          <w:i/>
          <w:iCs/>
        </w:rPr>
        <w:t>The Cambridge Guide to Homer</w:t>
      </w:r>
      <w:r w:rsidRPr="00061110">
        <w:t>. Ed. Corinne Ondine Pache. Cambridge: Cambridge University Press, 2020</w:t>
      </w:r>
      <w:r>
        <w:t>, Ppp. 357-360.</w:t>
      </w:r>
      <w:r w:rsidRPr="00061110">
        <w:t xml:space="preserve"> Print. </w:t>
      </w:r>
    </w:p>
    <w:p w14:paraId="1727759A" w14:textId="77777777" w:rsidR="00C44F97" w:rsidRDefault="00C44F97" w:rsidP="00C44F97">
      <w:r w:rsidRPr="00BC50FF">
        <w:t xml:space="preserve">Gates, C. “Rethinking the Building History of Grave Circle A at Mycenae.” </w:t>
      </w:r>
      <w:r w:rsidRPr="00BC50FF">
        <w:rPr>
          <w:i/>
          <w:iCs/>
        </w:rPr>
        <w:t>American Journal of Archaeology</w:t>
      </w:r>
      <w:r w:rsidRPr="00BC50FF">
        <w:t xml:space="preserve">, vol. 89, no. 2, 1985, pp. 263–74. </w:t>
      </w:r>
      <w:r w:rsidRPr="00BC50FF">
        <w:rPr>
          <w:i/>
          <w:iCs/>
        </w:rPr>
        <w:t>JSTOR</w:t>
      </w:r>
      <w:r w:rsidRPr="00BC50FF">
        <w:t>, https://doi.org/10.2307/504329. Accessed 27 Nov. 2025.</w:t>
      </w:r>
    </w:p>
    <w:p w14:paraId="304820F7" w14:textId="7A8046AD" w:rsidR="00C44F97" w:rsidRPr="00BC50FF" w:rsidRDefault="00C44F97" w:rsidP="00C44F97">
      <w:r w:rsidRPr="000029F0">
        <w:t xml:space="preserve">Graziadio, G. </w:t>
      </w:r>
      <w:r>
        <w:t>“</w:t>
      </w:r>
      <w:r w:rsidRPr="000029F0">
        <w:t>The Chronology of the Graves of Circle B at Mycenae: A New Hypothesis.</w:t>
      </w:r>
      <w:r>
        <w:t>”</w:t>
      </w:r>
      <w:r w:rsidRPr="000029F0">
        <w:t xml:space="preserve"> American Journal of Archaeology</w:t>
      </w:r>
      <w:r>
        <w:t>, 1988,</w:t>
      </w:r>
      <w:r w:rsidRPr="000029F0">
        <w:t xml:space="preserve"> 92. 343. 10.2307/505552.</w:t>
      </w:r>
    </w:p>
    <w:p w14:paraId="38902272" w14:textId="16EB5418" w:rsidR="00C44F97" w:rsidRDefault="00C44F97" w:rsidP="005C3378">
      <w:r w:rsidRPr="00106068">
        <w:lastRenderedPageBreak/>
        <w:t xml:space="preserve">Graziadio, G. “The Process of Social Stratification at Mycenae in the Shaft Grave Period: A Comparative Examination of the Evidence.” </w:t>
      </w:r>
      <w:r w:rsidRPr="00106068">
        <w:rPr>
          <w:i/>
          <w:iCs/>
        </w:rPr>
        <w:t>American Journal of Archaeology</w:t>
      </w:r>
      <w:r w:rsidRPr="00106068">
        <w:t xml:space="preserve">, vol. 95, no. 3, 1991, pp. 403–40. </w:t>
      </w:r>
      <w:r w:rsidRPr="00106068">
        <w:rPr>
          <w:i/>
          <w:iCs/>
        </w:rPr>
        <w:t>JSTOR</w:t>
      </w:r>
      <w:r w:rsidRPr="00106068">
        <w:t>, https://doi.org/10.2307/505489. Accessed 27 Nov. 2025.</w:t>
      </w:r>
    </w:p>
    <w:p w14:paraId="44920E82" w14:textId="7B549ADF" w:rsidR="00C44F97" w:rsidRDefault="005C3378" w:rsidP="005C3378">
      <w:r w:rsidRPr="005C3378">
        <w:t>Harrell</w:t>
      </w:r>
      <w:r w:rsidR="00A75C18" w:rsidRPr="00A75C18">
        <w:t xml:space="preserve"> </w:t>
      </w:r>
      <w:r w:rsidR="00A75C18" w:rsidRPr="005C3378">
        <w:t>K</w:t>
      </w:r>
      <w:r w:rsidRPr="005C3378">
        <w:t xml:space="preserve">. “The Fallen and Their Swords: A New Explanation for the Rise of the Shaft Graves.” </w:t>
      </w:r>
      <w:r w:rsidRPr="005C3378">
        <w:rPr>
          <w:i/>
          <w:iCs/>
        </w:rPr>
        <w:t>American Journal of Archaeology</w:t>
      </w:r>
      <w:r w:rsidRPr="005C3378">
        <w:t xml:space="preserve">, vol. 118, no. 1, 2014, pp. 3–17. </w:t>
      </w:r>
      <w:r w:rsidRPr="005C3378">
        <w:rPr>
          <w:i/>
          <w:iCs/>
        </w:rPr>
        <w:t>JSTOR</w:t>
      </w:r>
      <w:r w:rsidRPr="005C3378">
        <w:t xml:space="preserve">, </w:t>
      </w:r>
      <w:hyperlink r:id="rId13" w:history="1">
        <w:r w:rsidR="009B5309" w:rsidRPr="00BF153C">
          <w:rPr>
            <w:rStyle w:val="Hyperlink"/>
          </w:rPr>
          <w:t>https://www.jstor.org/stable/10.3764/aja.118.1.0003?searchText=the+fallen+and+their+swords&amp;searchUri=%252Faction%252FdoBasicSearch%253FQuery%253Dthe%252Bfallen%252Band%252Btheir%252Bswords%2526so%253Drel&amp;ab_segments=0%252Fspellcheck_basic_search%252Fcontrol&amp;refreqid=fastly-default%253A583a8ce302d230589f0c4db412acfb1f</w:t>
        </w:r>
      </w:hyperlink>
      <w:r w:rsidR="009B5309">
        <w:t xml:space="preserve">. </w:t>
      </w:r>
      <w:r w:rsidRPr="005C3378">
        <w:t>Accessed 2</w:t>
      </w:r>
      <w:r w:rsidR="00A40A90">
        <w:t>8</w:t>
      </w:r>
      <w:r w:rsidRPr="005C3378">
        <w:t xml:space="preserve"> Nov. 2025.</w:t>
      </w:r>
    </w:p>
    <w:p w14:paraId="5C838AEF" w14:textId="0BDF71E2" w:rsidR="00C44F97" w:rsidRPr="005C3378" w:rsidRDefault="00C44F97" w:rsidP="005C3378">
      <w:r>
        <w:t xml:space="preserve">Mylonas, </w:t>
      </w:r>
      <w:r w:rsidRPr="00261537">
        <w:t>G</w:t>
      </w:r>
      <w:r>
        <w:t>.</w:t>
      </w:r>
      <w:r w:rsidRPr="00261537">
        <w:t xml:space="preserve"> E. “Grave Circle B of Mycenae</w:t>
      </w:r>
      <w:r>
        <w:t xml:space="preserve">.” Lund, C. Bloms boktr. 1964. Online, </w:t>
      </w:r>
      <w:r w:rsidRPr="00261537">
        <w:t>archive.org/details/gravecirclebofmy0000mylo/page/n7/mode/2up. Accessed 28 Nov. 2025.</w:t>
      </w:r>
    </w:p>
    <w:p w14:paraId="107BDBAC" w14:textId="045DD2D6" w:rsidR="005C3378" w:rsidRDefault="005C3378">
      <w:r w:rsidRPr="005C3378">
        <w:t xml:space="preserve">O. T. P. K. Dickinson. “Schliemann and the Shaft Graves.” </w:t>
      </w:r>
      <w:r w:rsidRPr="005C3378">
        <w:rPr>
          <w:i/>
          <w:iCs/>
        </w:rPr>
        <w:t>Greece &amp; Rome</w:t>
      </w:r>
      <w:r w:rsidRPr="005C3378">
        <w:t xml:space="preserve">, vol. 23, no. 2, 1976, pp. 159–68. </w:t>
      </w:r>
      <w:r w:rsidRPr="005C3378">
        <w:rPr>
          <w:i/>
          <w:iCs/>
        </w:rPr>
        <w:t>JSTOR</w:t>
      </w:r>
      <w:r w:rsidRPr="005C3378">
        <w:t xml:space="preserve">, </w:t>
      </w:r>
      <w:hyperlink r:id="rId14" w:history="1">
        <w:r w:rsidR="00E975D7" w:rsidRPr="00BF153C">
          <w:rPr>
            <w:rStyle w:val="Hyperlink"/>
          </w:rPr>
          <w:t>https://www.jstor.org/stable/642224?searchText=shaft+graves&amp;searchUri=%2Faction%2FdoBasicSearch%3FQuery%3Dshaft%2Bgraves%26so%3Drel&amp;ab_segments=0%2Fspellcheck_basic_search%2Fcontrol&amp;refr</w:t>
        </w:r>
        <w:r w:rsidR="00E975D7" w:rsidRPr="00BF153C">
          <w:rPr>
            <w:rStyle w:val="Hyperlink"/>
          </w:rPr>
          <w:t>e</w:t>
        </w:r>
        <w:r w:rsidR="00E975D7" w:rsidRPr="00BF153C">
          <w:rPr>
            <w:rStyle w:val="Hyperlink"/>
          </w:rPr>
          <w:t>qid=fastly-default%3A31e2938f04a780281df163ab0f53f960&amp;seq=1</w:t>
        </w:r>
      </w:hyperlink>
      <w:r w:rsidRPr="005C3378">
        <w:t>.</w:t>
      </w:r>
      <w:r w:rsidR="00E975D7">
        <w:t xml:space="preserve"> </w:t>
      </w:r>
    </w:p>
    <w:p w14:paraId="05C59772" w14:textId="5CB19BA6" w:rsidR="007A5574" w:rsidRDefault="007A5574">
      <w:r>
        <w:t>Schliemann, H. “</w:t>
      </w:r>
      <w:r w:rsidRPr="007A5574">
        <w:t>Mycenae : a narrative of researches and discoveries at Mycenae and Tiryns</w:t>
      </w:r>
      <w:r>
        <w:t xml:space="preserve">.” </w:t>
      </w:r>
      <w:r w:rsidRPr="007A5574">
        <w:t>New York, Scribner, Armstrong</w:t>
      </w:r>
      <w:r w:rsidR="00F26436">
        <w:t>,</w:t>
      </w:r>
      <w:r>
        <w:t xml:space="preserve"> </w:t>
      </w:r>
      <w:r w:rsidR="00F26436">
        <w:t xml:space="preserve">1878, Online. </w:t>
      </w:r>
      <w:hyperlink r:id="rId15" w:history="1">
        <w:r w:rsidR="00F05949" w:rsidRPr="00BF153C">
          <w:rPr>
            <w:rStyle w:val="Hyperlink"/>
          </w:rPr>
          <w:t>https://archive.org/details/mycenaenarrative00schl</w:t>
        </w:r>
      </w:hyperlink>
    </w:p>
    <w:p w14:paraId="1B60F806" w14:textId="7B30C0B2" w:rsidR="00F05949" w:rsidRDefault="00F05949">
      <w:r w:rsidRPr="00F05949">
        <w:t xml:space="preserve">Journal, Retrospect. “All That Glitters Is Gold: Museology and the Mask of Agamemnon.” </w:t>
      </w:r>
      <w:r w:rsidRPr="00F05949">
        <w:rPr>
          <w:i/>
          <w:iCs/>
        </w:rPr>
        <w:t>Retrospect Journal</w:t>
      </w:r>
      <w:r w:rsidRPr="00F05949">
        <w:t>, 19 Sept. 2021, retrospectjournal.com/2021/09/19/all-that-glitters-is-gold-museology-and-the-mask-of-agamemnon/.</w:t>
      </w:r>
    </w:p>
    <w:p w14:paraId="77E1D1E4" w14:textId="77777777" w:rsidR="00E750A4" w:rsidRDefault="00C54941" w:rsidP="00CF3F34">
      <w:r w:rsidRPr="00261537">
        <w:t>‌</w:t>
      </w:r>
      <w:r w:rsidRPr="00816F03">
        <w:t xml:space="preserve">“Excavations - Griffin Warrior.” </w:t>
      </w:r>
      <w:r w:rsidRPr="00816F03">
        <w:rPr>
          <w:i/>
          <w:iCs/>
        </w:rPr>
        <w:t>Griffin Warrior</w:t>
      </w:r>
      <w:r w:rsidRPr="00816F03">
        <w:t>, 12 Jan. 2022,</w:t>
      </w:r>
      <w:r>
        <w:t xml:space="preserve"> </w:t>
      </w:r>
      <w:r w:rsidRPr="00816F03">
        <w:t>griffinwarrior.org/excavations/. Accessed 28 Nov. 2025.</w:t>
      </w:r>
    </w:p>
    <w:p w14:paraId="4A8E407D" w14:textId="7BB9FA9F" w:rsidR="00CF3F34" w:rsidRPr="00CF3F34" w:rsidRDefault="00CF3F34" w:rsidP="00CF3F34">
      <w:r w:rsidRPr="00CF3F34">
        <w:t>‌</w:t>
      </w:r>
      <w:r w:rsidR="00E750A4">
        <w:t>”</w:t>
      </w:r>
      <w:r w:rsidR="009C2C50" w:rsidRPr="009C2C50">
        <w:t>Helladic Period.</w:t>
      </w:r>
      <w:r w:rsidR="00713E10">
        <w:t>”</w:t>
      </w:r>
      <w:r w:rsidR="009C2C50" w:rsidRPr="009C2C50">
        <w:t xml:space="preserve"> Madainproject.com, 2022, https://madainproject.com/helladic_period. Accessed 27 November 2025.</w:t>
      </w:r>
    </w:p>
    <w:p w14:paraId="45B55FB9" w14:textId="40731F0E" w:rsidR="00261537" w:rsidRDefault="00713E10">
      <w:r w:rsidRPr="00713E10">
        <w:t xml:space="preserve">“Tholos Tombs - Griffin Warrior.” </w:t>
      </w:r>
      <w:r w:rsidRPr="00713E10">
        <w:rPr>
          <w:i/>
          <w:iCs/>
        </w:rPr>
        <w:t>Griffin Warrior</w:t>
      </w:r>
      <w:r w:rsidRPr="00713E10">
        <w:t>, 12 Jan. 2022, griffinwarrior.org/tholos-tombs/.</w:t>
      </w:r>
    </w:p>
    <w:p w14:paraId="04E948FC" w14:textId="77777777" w:rsidR="00D2670A" w:rsidRDefault="00D2670A"/>
    <w:sectPr w:rsidR="00D267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36E4ED" w14:textId="77777777" w:rsidR="00607D8A" w:rsidRDefault="00607D8A" w:rsidP="00776841">
      <w:pPr>
        <w:spacing w:after="0" w:line="240" w:lineRule="auto"/>
      </w:pPr>
      <w:r>
        <w:separator/>
      </w:r>
    </w:p>
  </w:endnote>
  <w:endnote w:type="continuationSeparator" w:id="0">
    <w:p w14:paraId="16A4A562" w14:textId="77777777" w:rsidR="00607D8A" w:rsidRDefault="00607D8A" w:rsidP="00776841">
      <w:pPr>
        <w:spacing w:after="0" w:line="240" w:lineRule="auto"/>
      </w:pPr>
      <w:r>
        <w:continuationSeparator/>
      </w:r>
    </w:p>
  </w:endnote>
  <w:endnote w:id="1">
    <w:p w14:paraId="23BED599" w14:textId="5F59DD9A" w:rsidR="00776841" w:rsidRDefault="00776841">
      <w:pPr>
        <w:pStyle w:val="EndnoteText"/>
      </w:pPr>
      <w:r>
        <w:rPr>
          <w:rStyle w:val="EndnoteReference"/>
        </w:rPr>
        <w:endnoteRef/>
      </w:r>
      <w:r>
        <w:t xml:space="preserve"> </w:t>
      </w:r>
      <w:r w:rsidRPr="005C3378">
        <w:t xml:space="preserve">O. T. P. K. Dickinson. “Schliemann and the Shaft Graves.” </w:t>
      </w:r>
      <w:r w:rsidRPr="005C3378">
        <w:rPr>
          <w:i/>
          <w:iCs/>
        </w:rPr>
        <w:t>Greece &amp; Rome</w:t>
      </w:r>
      <w:r w:rsidRPr="005C3378">
        <w:t xml:space="preserve">, vol. 23, no. 2, 1976, pp. 159–68. </w:t>
      </w:r>
      <w:r w:rsidRPr="005C3378">
        <w:rPr>
          <w:i/>
          <w:iCs/>
        </w:rPr>
        <w:t>JSTOR</w:t>
      </w:r>
    </w:p>
  </w:endnote>
  <w:endnote w:id="2">
    <w:p w14:paraId="233E26B7" w14:textId="2DDAF22E" w:rsidR="00260230" w:rsidRDefault="00260230">
      <w:pPr>
        <w:pStyle w:val="EndnoteText"/>
      </w:pPr>
      <w:r>
        <w:rPr>
          <w:rStyle w:val="EndnoteReference"/>
        </w:rPr>
        <w:endnoteRef/>
      </w:r>
      <w:r>
        <w:t xml:space="preserve"> </w:t>
      </w:r>
      <w:r w:rsidR="00061110" w:rsidRPr="00061110">
        <w:t xml:space="preserve">Dué, Casey, Susan Lupack, and Robert Lamberton. </w:t>
      </w:r>
      <w:r w:rsidR="00061110" w:rsidRPr="00061110">
        <w:rPr>
          <w:i/>
          <w:iCs/>
        </w:rPr>
        <w:t>The Cambridge Guide to Homer</w:t>
      </w:r>
      <w:r w:rsidR="00061110" w:rsidRPr="00061110">
        <w:t>. Ed. Corinne Ondine Pache. Cambridge: Cambridge University Press, 2020.</w:t>
      </w:r>
    </w:p>
  </w:endnote>
  <w:endnote w:id="3">
    <w:p w14:paraId="03FEA2BC" w14:textId="0106F4F8" w:rsidR="007A512A" w:rsidRDefault="007A512A">
      <w:pPr>
        <w:pStyle w:val="EndnoteText"/>
      </w:pPr>
      <w:r>
        <w:rPr>
          <w:rStyle w:val="EndnoteReference"/>
        </w:rPr>
        <w:endnoteRef/>
      </w:r>
      <w:r>
        <w:t xml:space="preserve"> </w:t>
      </w:r>
      <w:r w:rsidRPr="00106068">
        <w:t xml:space="preserve">Graziadio, Giampaolo. “The Process of Social Stratification at Mycenae in the Shaft Grave Period: A Comparative Examination of the Evidence.” </w:t>
      </w:r>
      <w:r w:rsidRPr="00106068">
        <w:rPr>
          <w:i/>
          <w:iCs/>
        </w:rPr>
        <w:t>American Journal of Archaeology</w:t>
      </w:r>
      <w:r w:rsidRPr="00106068">
        <w:t xml:space="preserve">, vol. 95, no. 3, 1991, pp. 403–40. </w:t>
      </w:r>
      <w:r w:rsidRPr="00106068">
        <w:rPr>
          <w:i/>
          <w:iCs/>
        </w:rPr>
        <w:t>JSTOR</w:t>
      </w:r>
    </w:p>
  </w:endnote>
  <w:endnote w:id="4">
    <w:p w14:paraId="52A34DB5" w14:textId="69DCC56E" w:rsidR="00E262DB" w:rsidRDefault="00E262DB">
      <w:pPr>
        <w:pStyle w:val="EndnoteText"/>
      </w:pPr>
      <w:r>
        <w:rPr>
          <w:rStyle w:val="EndnoteReference"/>
        </w:rPr>
        <w:endnoteRef/>
      </w:r>
      <w:r>
        <w:t xml:space="preserve"> </w:t>
      </w:r>
      <w:r w:rsidRPr="00BC50FF">
        <w:t xml:space="preserve">Gates, Charles. “Rethinking the Building History of Grave Circle A at Mycenae.” </w:t>
      </w:r>
      <w:r w:rsidRPr="00BC50FF">
        <w:rPr>
          <w:i/>
          <w:iCs/>
        </w:rPr>
        <w:t>American Journal of Archaeology</w:t>
      </w:r>
      <w:r w:rsidRPr="00BC50FF">
        <w:t xml:space="preserve">, vol. 89, no. 2, 1985, pp. 263–74. </w:t>
      </w:r>
      <w:r w:rsidRPr="00BC50FF">
        <w:rPr>
          <w:i/>
          <w:iCs/>
        </w:rPr>
        <w:t>JSTOR</w:t>
      </w:r>
    </w:p>
  </w:endnote>
  <w:endnote w:id="5">
    <w:p w14:paraId="1344FCC1" w14:textId="1E633988" w:rsidR="00F11F85" w:rsidRDefault="00F11F85">
      <w:pPr>
        <w:pStyle w:val="EndnoteText"/>
      </w:pPr>
      <w:r>
        <w:rPr>
          <w:rStyle w:val="EndnoteReference"/>
        </w:rPr>
        <w:endnoteRef/>
      </w:r>
      <w:r>
        <w:t xml:space="preserve"> </w:t>
      </w:r>
      <w:r w:rsidRPr="005C3378">
        <w:t xml:space="preserve">O. T. P. K. Dickinson. “Schliemann and the Shaft Graves.” </w:t>
      </w:r>
      <w:r w:rsidRPr="005C3378">
        <w:rPr>
          <w:i/>
          <w:iCs/>
        </w:rPr>
        <w:t>Greece &amp; Rome</w:t>
      </w:r>
      <w:r w:rsidRPr="005C3378">
        <w:t xml:space="preserve">, vol. 23, no. 2, 1976, pp. 159–68. </w:t>
      </w:r>
      <w:r w:rsidRPr="005C3378">
        <w:rPr>
          <w:i/>
          <w:iCs/>
        </w:rPr>
        <w:t>JSTOR</w:t>
      </w:r>
    </w:p>
  </w:endnote>
  <w:endnote w:id="6">
    <w:p w14:paraId="6C2BC8C5" w14:textId="194987B7" w:rsidR="00522EA0" w:rsidRDefault="00522EA0">
      <w:pPr>
        <w:pStyle w:val="EndnoteText"/>
      </w:pPr>
      <w:r>
        <w:rPr>
          <w:rStyle w:val="EndnoteReference"/>
        </w:rPr>
        <w:endnoteRef/>
      </w:r>
      <w:r>
        <w:t xml:space="preserve"> </w:t>
      </w:r>
      <w:r>
        <w:t>Schliemann, H. “</w:t>
      </w:r>
      <w:r w:rsidRPr="007A5574">
        <w:t>Mycenae : a narrative of researches and discoveries at Mycenae and Tiryns</w:t>
      </w:r>
      <w:r>
        <w:t xml:space="preserve">.” </w:t>
      </w:r>
      <w:r w:rsidRPr="007A5574">
        <w:t>New York, Scribner, Armstrong</w:t>
      </w:r>
      <w:r>
        <w:t>, 1878, Online.</w:t>
      </w:r>
    </w:p>
  </w:endnote>
  <w:endnote w:id="7">
    <w:p w14:paraId="3D322666" w14:textId="184646FD" w:rsidR="004C76A5" w:rsidRDefault="004C76A5">
      <w:pPr>
        <w:pStyle w:val="EndnoteText"/>
      </w:pPr>
      <w:r>
        <w:rPr>
          <w:rStyle w:val="EndnoteReference"/>
        </w:rPr>
        <w:endnoteRef/>
      </w:r>
      <w:r>
        <w:t xml:space="preserve"> </w:t>
      </w:r>
      <w:r>
        <w:t xml:space="preserve">Mylonas, </w:t>
      </w:r>
      <w:r w:rsidRPr="00261537">
        <w:t>G</w:t>
      </w:r>
      <w:r>
        <w:t>.</w:t>
      </w:r>
      <w:r w:rsidRPr="00261537">
        <w:t xml:space="preserve"> E. “Grave Circle B of Mycenae</w:t>
      </w:r>
      <w:r>
        <w:t>.” Lund, C. Bloms boktr. 1964.</w:t>
      </w:r>
    </w:p>
  </w:endnote>
  <w:endnote w:id="8">
    <w:p w14:paraId="05E150E9" w14:textId="29B1616B" w:rsidR="00F53672" w:rsidRDefault="00F53672">
      <w:pPr>
        <w:pStyle w:val="EndnoteText"/>
      </w:pPr>
      <w:r>
        <w:rPr>
          <w:rStyle w:val="EndnoteReference"/>
        </w:rPr>
        <w:endnoteRef/>
      </w:r>
      <w:r>
        <w:t xml:space="preserve"> </w:t>
      </w:r>
      <w:r>
        <w:t xml:space="preserve">Mylonas, </w:t>
      </w:r>
      <w:r w:rsidRPr="00261537">
        <w:t>G</w:t>
      </w:r>
      <w:r>
        <w:t>.</w:t>
      </w:r>
      <w:r w:rsidRPr="00261537">
        <w:t xml:space="preserve"> E. “Grave Circle B of Mycenae</w:t>
      </w:r>
      <w:r>
        <w:t>.” Lund, C. Bloms boktr. 1964.</w:t>
      </w:r>
    </w:p>
  </w:endnote>
  <w:endnote w:id="9">
    <w:p w14:paraId="02860E56" w14:textId="5BB719CC" w:rsidR="00FB0F3B" w:rsidRDefault="00FB0F3B">
      <w:pPr>
        <w:pStyle w:val="EndnoteText"/>
      </w:pPr>
      <w:r>
        <w:rPr>
          <w:rStyle w:val="EndnoteReference"/>
        </w:rPr>
        <w:endnoteRef/>
      </w:r>
      <w:r>
        <w:t xml:space="preserve"> </w:t>
      </w:r>
      <w:r>
        <w:t xml:space="preserve">Mylonas, </w:t>
      </w:r>
      <w:r w:rsidRPr="00261537">
        <w:t>G</w:t>
      </w:r>
      <w:r>
        <w:t>.</w:t>
      </w:r>
      <w:r w:rsidRPr="00261537">
        <w:t xml:space="preserve"> E. “Grave Circle B of Mycenae</w:t>
      </w:r>
      <w:r>
        <w:t>.” Lund, C. Bloms boktr. 1964.</w:t>
      </w:r>
    </w:p>
  </w:endnote>
  <w:endnote w:id="10">
    <w:p w14:paraId="78AABD3A" w14:textId="2983CCA8" w:rsidR="0064118E" w:rsidRDefault="0064118E">
      <w:pPr>
        <w:pStyle w:val="EndnoteText"/>
      </w:pPr>
      <w:r>
        <w:rPr>
          <w:rStyle w:val="EndnoteReference"/>
        </w:rPr>
        <w:endnoteRef/>
      </w:r>
      <w:r>
        <w:t xml:space="preserve"> </w:t>
      </w:r>
      <w:r w:rsidRPr="00BC50FF">
        <w:t xml:space="preserve">Gates, Charles. “Rethinking the Building History of Grave Circle A at Mycenae.” </w:t>
      </w:r>
      <w:r w:rsidRPr="00BC50FF">
        <w:rPr>
          <w:i/>
          <w:iCs/>
        </w:rPr>
        <w:t>American Journal of Archaeology</w:t>
      </w:r>
      <w:r w:rsidRPr="00BC50FF">
        <w:t xml:space="preserve">, vol. 89, no. 2, 1985, pp. 263–74. </w:t>
      </w:r>
      <w:r w:rsidRPr="00BC50FF">
        <w:rPr>
          <w:i/>
          <w:iCs/>
        </w:rPr>
        <w:t>JSTOR</w:t>
      </w:r>
    </w:p>
  </w:endnote>
  <w:endnote w:id="11">
    <w:p w14:paraId="71AB9A9A" w14:textId="093AB4EB" w:rsidR="00A86E93" w:rsidRDefault="00A86E93">
      <w:pPr>
        <w:pStyle w:val="EndnoteText"/>
      </w:pPr>
      <w:r>
        <w:rPr>
          <w:rStyle w:val="EndnoteReference"/>
        </w:rPr>
        <w:endnoteRef/>
      </w:r>
      <w:r>
        <w:t xml:space="preserve"> </w:t>
      </w:r>
      <w:r w:rsidRPr="00BC50FF">
        <w:t xml:space="preserve">Gates, Charles. “Rethinking the Building History of Grave Circle A at Mycenae.” </w:t>
      </w:r>
      <w:r w:rsidRPr="00BC50FF">
        <w:rPr>
          <w:i/>
          <w:iCs/>
        </w:rPr>
        <w:t>American Journal of Archaeology</w:t>
      </w:r>
      <w:r w:rsidRPr="00BC50FF">
        <w:t xml:space="preserve">, vol. 89, no. 2, 1985, pp. 263–74. </w:t>
      </w:r>
      <w:r w:rsidRPr="00BC50FF">
        <w:rPr>
          <w:i/>
          <w:iCs/>
        </w:rPr>
        <w:t>JSTOR</w:t>
      </w:r>
    </w:p>
  </w:endnote>
  <w:endnote w:id="12">
    <w:p w14:paraId="6DB17EC0" w14:textId="740DEE09" w:rsidR="008C28EF" w:rsidRDefault="008C28EF">
      <w:pPr>
        <w:pStyle w:val="EndnoteText"/>
      </w:pPr>
      <w:r>
        <w:rPr>
          <w:rStyle w:val="EndnoteReference"/>
        </w:rPr>
        <w:endnoteRef/>
      </w:r>
      <w:r>
        <w:t xml:space="preserve"> </w:t>
      </w:r>
      <w:r w:rsidRPr="00106068">
        <w:t xml:space="preserve">Graziadio, G. “The Process of Social Stratification at Mycenae in the Shaft Grave Period: A Comparative Examination of the Evidence.” </w:t>
      </w:r>
      <w:r w:rsidRPr="00106068">
        <w:rPr>
          <w:i/>
          <w:iCs/>
        </w:rPr>
        <w:t>American Journal of Archaeology</w:t>
      </w:r>
      <w:r w:rsidRPr="00106068">
        <w:t xml:space="preserve">, vol. 95, no. 3, 1991, pp. 403–40. </w:t>
      </w:r>
      <w:r w:rsidRPr="00106068">
        <w:rPr>
          <w:i/>
          <w:iCs/>
        </w:rPr>
        <w:t>JSTOR</w:t>
      </w:r>
    </w:p>
  </w:endnote>
  <w:endnote w:id="13">
    <w:p w14:paraId="2B7D2C1A" w14:textId="2A973739" w:rsidR="00B508E6" w:rsidRDefault="00B508E6">
      <w:pPr>
        <w:pStyle w:val="EndnoteText"/>
      </w:pPr>
      <w:r>
        <w:rPr>
          <w:rStyle w:val="EndnoteReference"/>
        </w:rPr>
        <w:endnoteRef/>
      </w:r>
      <w:r>
        <w:t xml:space="preserve"> </w:t>
      </w:r>
      <w:r w:rsidRPr="00106068">
        <w:t xml:space="preserve">Graziadio, G. “The Process of Social Stratification at Mycenae in the Shaft Grave Period: A Comparative Examination of the Evidence.” </w:t>
      </w:r>
      <w:r w:rsidRPr="00106068">
        <w:rPr>
          <w:i/>
          <w:iCs/>
        </w:rPr>
        <w:t>American Journal of Archaeology</w:t>
      </w:r>
      <w:r w:rsidRPr="00106068">
        <w:t xml:space="preserve">, vol. 95, no. 3, 1991, pp. 403–40. </w:t>
      </w:r>
      <w:r w:rsidRPr="00106068">
        <w:rPr>
          <w:i/>
          <w:iCs/>
        </w:rPr>
        <w:t>JSTOR</w:t>
      </w:r>
    </w:p>
  </w:endnote>
  <w:endnote w:id="14">
    <w:p w14:paraId="63E5D10C" w14:textId="41B928A1" w:rsidR="00D4183C" w:rsidRDefault="00D4183C">
      <w:pPr>
        <w:pStyle w:val="EndnoteText"/>
      </w:pPr>
      <w:r>
        <w:rPr>
          <w:rStyle w:val="EndnoteReference"/>
        </w:rPr>
        <w:endnoteRef/>
      </w:r>
      <w:r>
        <w:t xml:space="preserve"> </w:t>
      </w:r>
      <w:r w:rsidRPr="00106068">
        <w:t xml:space="preserve">Graziadio, G. “The Process of Social Stratification at Mycenae in the Shaft Grave Period: A Comparative Examination of the Evidence.” </w:t>
      </w:r>
      <w:r w:rsidRPr="00106068">
        <w:rPr>
          <w:i/>
          <w:iCs/>
        </w:rPr>
        <w:t>American Journal of Archaeology</w:t>
      </w:r>
      <w:r w:rsidRPr="00106068">
        <w:t xml:space="preserve">, vol. 95, no. 3, 1991, pp. 403–40. </w:t>
      </w:r>
      <w:r w:rsidRPr="00106068">
        <w:rPr>
          <w:i/>
          <w:iCs/>
        </w:rPr>
        <w:t>JSTOR</w:t>
      </w:r>
    </w:p>
  </w:endnote>
  <w:endnote w:id="15">
    <w:p w14:paraId="6A8F9AAD" w14:textId="01675370" w:rsidR="00612264" w:rsidRDefault="00612264">
      <w:pPr>
        <w:pStyle w:val="EndnoteText"/>
      </w:pPr>
      <w:r>
        <w:rPr>
          <w:rStyle w:val="EndnoteReference"/>
        </w:rPr>
        <w:endnoteRef/>
      </w:r>
      <w:r>
        <w:t xml:space="preserve"> </w:t>
      </w:r>
      <w:r w:rsidRPr="00F26DBC">
        <w:t xml:space="preserve">Dickinson, O. “The ‘Face of Agamemnon.’” </w:t>
      </w:r>
      <w:r w:rsidRPr="00F26DBC">
        <w:rPr>
          <w:i/>
          <w:iCs/>
        </w:rPr>
        <w:t>Hesperia: The Journal of the American School of Classical Studies at Athens</w:t>
      </w:r>
      <w:r w:rsidRPr="00F26DBC">
        <w:t xml:space="preserve">, vol. 74, no. 3, 2005, pp. 299–308. </w:t>
      </w:r>
      <w:r w:rsidRPr="00F26DBC">
        <w:rPr>
          <w:i/>
          <w:iCs/>
        </w:rPr>
        <w:t>JSTOR</w:t>
      </w:r>
    </w:p>
  </w:endnote>
  <w:endnote w:id="16">
    <w:p w14:paraId="4AA3DF19" w14:textId="4C227847" w:rsidR="006750F6" w:rsidRDefault="006750F6">
      <w:pPr>
        <w:pStyle w:val="EndnoteText"/>
      </w:pPr>
      <w:r>
        <w:rPr>
          <w:rStyle w:val="EndnoteReference"/>
        </w:rPr>
        <w:endnoteRef/>
      </w:r>
      <w:r>
        <w:t xml:space="preserve"> </w:t>
      </w:r>
      <w:r w:rsidRPr="00F26DBC">
        <w:t xml:space="preserve">Dickinson, O. “The ‘Face of Agamemnon.’” </w:t>
      </w:r>
      <w:r w:rsidRPr="00F26DBC">
        <w:rPr>
          <w:i/>
          <w:iCs/>
        </w:rPr>
        <w:t>Hesperia: The Journal of the American School of Classical Studies at Athens</w:t>
      </w:r>
      <w:r w:rsidRPr="00F26DBC">
        <w:t xml:space="preserve">, vol. 74, no. 3, 2005, pp. 299–308. </w:t>
      </w:r>
      <w:r w:rsidRPr="00F26DBC">
        <w:rPr>
          <w:i/>
          <w:iCs/>
        </w:rPr>
        <w:t>JSTOR</w:t>
      </w:r>
    </w:p>
  </w:endnote>
  <w:endnote w:id="17">
    <w:p w14:paraId="4B23D21B" w14:textId="5EA2EE10" w:rsidR="007F7F1D" w:rsidRDefault="007F7F1D">
      <w:pPr>
        <w:pStyle w:val="EndnoteText"/>
      </w:pPr>
      <w:r>
        <w:rPr>
          <w:rStyle w:val="EndnoteReference"/>
        </w:rPr>
        <w:endnoteRef/>
      </w:r>
      <w:r>
        <w:t xml:space="preserve"> </w:t>
      </w:r>
      <w:r w:rsidRPr="005C3378">
        <w:t>Harrell</w:t>
      </w:r>
      <w:r w:rsidRPr="00A75C18">
        <w:t xml:space="preserve"> </w:t>
      </w:r>
      <w:r w:rsidRPr="005C3378">
        <w:t xml:space="preserve">K. “The Fallen and Their Swords: A New Explanation for the Rise of the Shaft Graves.” </w:t>
      </w:r>
      <w:r w:rsidRPr="005C3378">
        <w:rPr>
          <w:i/>
          <w:iCs/>
        </w:rPr>
        <w:t>American Journal of Archaeology</w:t>
      </w:r>
      <w:r w:rsidRPr="005C3378">
        <w:t xml:space="preserve">, vol. 118, no. 1, 2014, pp. 3–17. </w:t>
      </w:r>
      <w:r w:rsidRPr="005C3378">
        <w:rPr>
          <w:i/>
          <w:iCs/>
        </w:rPr>
        <w:t>JSTOR</w:t>
      </w:r>
    </w:p>
  </w:endnote>
  <w:endnote w:id="18">
    <w:p w14:paraId="5DE02B80" w14:textId="179BD199" w:rsidR="007F7F1D" w:rsidRDefault="007F7F1D">
      <w:pPr>
        <w:pStyle w:val="EndnoteText"/>
      </w:pPr>
      <w:r>
        <w:rPr>
          <w:rStyle w:val="EndnoteReference"/>
        </w:rPr>
        <w:endnoteRef/>
      </w:r>
      <w:r>
        <w:t xml:space="preserve"> </w:t>
      </w:r>
      <w:r w:rsidRPr="005C3378">
        <w:t>Harrell</w:t>
      </w:r>
      <w:r w:rsidRPr="00A75C18">
        <w:t xml:space="preserve"> </w:t>
      </w:r>
      <w:r w:rsidRPr="005C3378">
        <w:t xml:space="preserve">K. “The Fallen and Their Swords: A New Explanation for the Rise of the Shaft Graves.” </w:t>
      </w:r>
      <w:r w:rsidRPr="005C3378">
        <w:rPr>
          <w:i/>
          <w:iCs/>
        </w:rPr>
        <w:t>American Journal of Archaeology</w:t>
      </w:r>
      <w:r w:rsidRPr="005C3378">
        <w:t xml:space="preserve">, vol. 118, no. 1, 2014, pp. 3–17. </w:t>
      </w:r>
      <w:r w:rsidRPr="005C3378">
        <w:rPr>
          <w:i/>
          <w:iCs/>
        </w:rPr>
        <w:t>JSTOR</w:t>
      </w:r>
    </w:p>
  </w:endnote>
  <w:endnote w:id="19">
    <w:p w14:paraId="65D99A22" w14:textId="3BAC20BD" w:rsidR="001920E0" w:rsidRDefault="001920E0">
      <w:pPr>
        <w:pStyle w:val="EndnoteText"/>
      </w:pPr>
      <w:r>
        <w:rPr>
          <w:rStyle w:val="EndnoteReference"/>
        </w:rPr>
        <w:endnoteRef/>
      </w:r>
      <w:r>
        <w:t xml:space="preserve"> </w:t>
      </w:r>
      <w:r w:rsidRPr="005C3378">
        <w:t>Harrell</w:t>
      </w:r>
      <w:r w:rsidRPr="00A75C18">
        <w:t xml:space="preserve"> </w:t>
      </w:r>
      <w:r w:rsidRPr="005C3378">
        <w:t xml:space="preserve">K. “The Fallen and Their Swords: A New Explanation for the Rise of the Shaft Graves.” </w:t>
      </w:r>
      <w:r w:rsidRPr="005C3378">
        <w:rPr>
          <w:i/>
          <w:iCs/>
        </w:rPr>
        <w:t>American Journal of Archaeology</w:t>
      </w:r>
      <w:r w:rsidRPr="005C3378">
        <w:t xml:space="preserve">, vol. 118, no. 1, 2014, pp. 3–17. </w:t>
      </w:r>
      <w:r w:rsidRPr="005C3378">
        <w:rPr>
          <w:i/>
          <w:iCs/>
        </w:rPr>
        <w:t>JSTOR</w:t>
      </w:r>
    </w:p>
  </w:endnote>
  <w:endnote w:id="20">
    <w:p w14:paraId="42CBA149" w14:textId="5C9FCDA4" w:rsidR="00CF6817" w:rsidRDefault="00CF6817">
      <w:pPr>
        <w:pStyle w:val="EndnoteText"/>
      </w:pPr>
      <w:r>
        <w:rPr>
          <w:rStyle w:val="EndnoteReference"/>
        </w:rPr>
        <w:endnoteRef/>
      </w:r>
      <w:r>
        <w:t xml:space="preserve"> </w:t>
      </w:r>
      <w:r>
        <w:t>Schliemann, H. “</w:t>
      </w:r>
      <w:r w:rsidRPr="007A5574">
        <w:t>Mycenae : a narrative of researches and discoveries at Mycenae and Tiryns</w:t>
      </w:r>
      <w:r>
        <w:t xml:space="preserve">.” </w:t>
      </w:r>
      <w:r w:rsidRPr="007A5574">
        <w:t>New York, Scribner, Armstrong</w:t>
      </w:r>
      <w:r>
        <w:t>, 1878, Online.</w:t>
      </w:r>
    </w:p>
  </w:endnote>
  <w:endnote w:id="21">
    <w:p w14:paraId="570050C6" w14:textId="00085341" w:rsidR="00C1284D" w:rsidRDefault="00C1284D">
      <w:pPr>
        <w:pStyle w:val="EndnoteText"/>
      </w:pPr>
      <w:r>
        <w:rPr>
          <w:rStyle w:val="EndnoteReference"/>
        </w:rPr>
        <w:endnoteRef/>
      </w:r>
      <w:r>
        <w:t xml:space="preserve"> </w:t>
      </w:r>
      <w:r w:rsidRPr="005C3378">
        <w:t>Harrell</w:t>
      </w:r>
      <w:r w:rsidRPr="00A75C18">
        <w:t xml:space="preserve"> </w:t>
      </w:r>
      <w:r w:rsidRPr="005C3378">
        <w:t xml:space="preserve">K. “The Fallen and Their Swords: A New Explanation for the Rise of the Shaft Graves.” </w:t>
      </w:r>
      <w:r w:rsidRPr="005C3378">
        <w:rPr>
          <w:i/>
          <w:iCs/>
        </w:rPr>
        <w:t>American Journal of Archaeology</w:t>
      </w:r>
      <w:r w:rsidRPr="005C3378">
        <w:t xml:space="preserve">, vol. 118, no. 1, 2014, pp. 3–17. </w:t>
      </w:r>
      <w:r w:rsidRPr="005C3378">
        <w:rPr>
          <w:i/>
          <w:iCs/>
        </w:rPr>
        <w:t>JSTOR</w:t>
      </w:r>
    </w:p>
  </w:endnote>
  <w:endnote w:id="22">
    <w:p w14:paraId="402E744E" w14:textId="3C849D0F" w:rsidR="0058603E" w:rsidRDefault="0058603E">
      <w:pPr>
        <w:pStyle w:val="EndnoteText"/>
      </w:pPr>
      <w:r>
        <w:rPr>
          <w:rStyle w:val="EndnoteReference"/>
        </w:rPr>
        <w:endnoteRef/>
      </w:r>
      <w:r>
        <w:t xml:space="preserve"> </w:t>
      </w:r>
      <w:r w:rsidRPr="00816F03">
        <w:t xml:space="preserve">“Excavations - Griffin Warrior.” </w:t>
      </w:r>
      <w:r w:rsidRPr="00816F03">
        <w:rPr>
          <w:i/>
          <w:iCs/>
        </w:rPr>
        <w:t>Griffin Warrior</w:t>
      </w:r>
      <w:r w:rsidRPr="00816F03">
        <w:t>, 12 Jan. 2022</w:t>
      </w:r>
    </w:p>
  </w:endnote>
  <w:endnote w:id="23">
    <w:p w14:paraId="011F8E4F" w14:textId="5E64D922" w:rsidR="006F5C7E" w:rsidRDefault="006F5C7E">
      <w:pPr>
        <w:pStyle w:val="EndnoteText"/>
      </w:pPr>
      <w:r>
        <w:rPr>
          <w:rStyle w:val="EndnoteReference"/>
        </w:rPr>
        <w:endnoteRef/>
      </w:r>
      <w:r>
        <w:t xml:space="preserve"> </w:t>
      </w:r>
      <w:r w:rsidRPr="00D21977">
        <w:t>Davis J</w:t>
      </w:r>
      <w:r>
        <w:t>.</w:t>
      </w:r>
      <w:r w:rsidRPr="00D21977">
        <w:t xml:space="preserve"> L., Stocker</w:t>
      </w:r>
      <w:r>
        <w:t>,</w:t>
      </w:r>
      <w:r w:rsidRPr="00A13F5B">
        <w:t xml:space="preserve"> </w:t>
      </w:r>
      <w:r w:rsidRPr="00D21977">
        <w:t>S</w:t>
      </w:r>
      <w:r>
        <w:t>.</w:t>
      </w:r>
      <w:r w:rsidRPr="00D21977">
        <w:t xml:space="preserve"> R. “The Lord of the Gold Rings: The Griffin Warrior of Pylos.” </w:t>
      </w:r>
      <w:r w:rsidRPr="00D21977">
        <w:rPr>
          <w:i/>
          <w:iCs/>
        </w:rPr>
        <w:t>Hesperia: The Journal of the American School of Classical Studies at Athens</w:t>
      </w:r>
      <w:r w:rsidRPr="00D21977">
        <w:t xml:space="preserve">, vol. 85, no. 4, 2016, pp. 627–55. </w:t>
      </w:r>
      <w:r w:rsidRPr="00D21977">
        <w:rPr>
          <w:i/>
          <w:iCs/>
        </w:rPr>
        <w:t>JSTOR</w:t>
      </w:r>
    </w:p>
  </w:endnote>
  <w:endnote w:id="24">
    <w:p w14:paraId="44CD8EBE" w14:textId="2C3BAEA0" w:rsidR="000A372F" w:rsidRDefault="000A372F">
      <w:pPr>
        <w:pStyle w:val="EndnoteText"/>
      </w:pPr>
      <w:r>
        <w:rPr>
          <w:rStyle w:val="EndnoteReference"/>
        </w:rPr>
        <w:endnoteRef/>
      </w:r>
      <w:r>
        <w:t xml:space="preserve"> </w:t>
      </w:r>
      <w:r w:rsidRPr="00D21977">
        <w:t>Davis J</w:t>
      </w:r>
      <w:r>
        <w:t>.</w:t>
      </w:r>
      <w:r w:rsidRPr="00D21977">
        <w:t xml:space="preserve"> L., Stocker</w:t>
      </w:r>
      <w:r>
        <w:t>,</w:t>
      </w:r>
      <w:r w:rsidRPr="00A13F5B">
        <w:t xml:space="preserve"> </w:t>
      </w:r>
      <w:r w:rsidRPr="00D21977">
        <w:t>S</w:t>
      </w:r>
      <w:r>
        <w:t>.</w:t>
      </w:r>
      <w:r w:rsidRPr="00D21977">
        <w:t xml:space="preserve"> R. “The Lord of the Gold Rings: The Griffin Warrior of Pylos.” </w:t>
      </w:r>
      <w:r w:rsidRPr="00D21977">
        <w:rPr>
          <w:i/>
          <w:iCs/>
        </w:rPr>
        <w:t>Hesperia: The Journal of the American School of Classical Studies at Athens</w:t>
      </w:r>
      <w:r w:rsidRPr="00D21977">
        <w:t xml:space="preserve">, vol. 85, no. 4, 2016, pp. 627–55. </w:t>
      </w:r>
      <w:r w:rsidRPr="00D21977">
        <w:rPr>
          <w:i/>
          <w:iCs/>
        </w:rPr>
        <w:t>JSTOR</w:t>
      </w:r>
    </w:p>
  </w:endnote>
  <w:endnote w:id="25">
    <w:p w14:paraId="65D309D9" w14:textId="7F301C4C" w:rsidR="00860B0E" w:rsidRDefault="00860B0E">
      <w:pPr>
        <w:pStyle w:val="EndnoteText"/>
      </w:pPr>
      <w:r>
        <w:rPr>
          <w:rStyle w:val="EndnoteReference"/>
        </w:rPr>
        <w:endnoteRef/>
      </w:r>
      <w:r>
        <w:t xml:space="preserve"> </w:t>
      </w:r>
      <w:r w:rsidRPr="00623620">
        <w:t>Davis J</w:t>
      </w:r>
      <w:r>
        <w:t>.</w:t>
      </w:r>
      <w:r w:rsidRPr="00623620">
        <w:t xml:space="preserve"> L.</w:t>
      </w:r>
      <w:r>
        <w:t xml:space="preserve"> </w:t>
      </w:r>
      <w:r w:rsidRPr="00623620">
        <w:t>Stocker S</w:t>
      </w:r>
      <w:r>
        <w:t>.</w:t>
      </w:r>
      <w:r w:rsidRPr="00623620">
        <w:t xml:space="preserve"> R</w:t>
      </w:r>
      <w:r>
        <w:t xml:space="preserve">. </w:t>
      </w:r>
      <w:r w:rsidRPr="00623620">
        <w:t xml:space="preserve">“The Combat Agate from the Grave of the Griffin Warrior at Pylos.” </w:t>
      </w:r>
      <w:r w:rsidRPr="00623620">
        <w:rPr>
          <w:i/>
          <w:iCs/>
        </w:rPr>
        <w:t>Hesperia: The Journal of the American School of Classical Studies at Athens</w:t>
      </w:r>
      <w:r w:rsidRPr="00623620">
        <w:t xml:space="preserve">, vol. 86, no. 4, 2017, pp. 583–605. </w:t>
      </w:r>
      <w:r w:rsidRPr="00623620">
        <w:rPr>
          <w:i/>
          <w:iCs/>
        </w:rPr>
        <w:t>JSTOR</w:t>
      </w:r>
    </w:p>
  </w:endnote>
  <w:endnote w:id="26">
    <w:p w14:paraId="7CB5EA9F" w14:textId="7BE5FD73" w:rsidR="00806457" w:rsidRDefault="00806457">
      <w:pPr>
        <w:pStyle w:val="EndnoteText"/>
      </w:pPr>
      <w:r>
        <w:rPr>
          <w:rStyle w:val="EndnoteReference"/>
        </w:rPr>
        <w:endnoteRef/>
      </w:r>
      <w:r>
        <w:t xml:space="preserve"> </w:t>
      </w:r>
      <w:r w:rsidRPr="00623620">
        <w:t>Davis J</w:t>
      </w:r>
      <w:r>
        <w:t>.</w:t>
      </w:r>
      <w:r w:rsidRPr="00623620">
        <w:t xml:space="preserve"> L.</w:t>
      </w:r>
      <w:r>
        <w:t xml:space="preserve"> </w:t>
      </w:r>
      <w:r w:rsidRPr="00623620">
        <w:t>Stocker S</w:t>
      </w:r>
      <w:r>
        <w:t>.</w:t>
      </w:r>
      <w:r w:rsidRPr="00623620">
        <w:t xml:space="preserve"> R</w:t>
      </w:r>
      <w:r>
        <w:t xml:space="preserve">. </w:t>
      </w:r>
      <w:r w:rsidRPr="00623620">
        <w:t xml:space="preserve">“The Combat Agate from the Grave of the Griffin Warrior at Pylos.” </w:t>
      </w:r>
      <w:r w:rsidRPr="00623620">
        <w:rPr>
          <w:i/>
          <w:iCs/>
        </w:rPr>
        <w:t>Hesperia: The Journal of the American School of Classical Studies at Athens</w:t>
      </w:r>
      <w:r w:rsidRPr="00623620">
        <w:t xml:space="preserve">, vol. 86, no. 4, 2017, pp. 583–605. </w:t>
      </w:r>
      <w:r w:rsidRPr="00623620">
        <w:rPr>
          <w:i/>
          <w:iCs/>
        </w:rPr>
        <w:t>JSTOR</w:t>
      </w:r>
    </w:p>
  </w:endnote>
  <w:endnote w:id="27">
    <w:p w14:paraId="5EA00893" w14:textId="5950B34C" w:rsidR="00562E62" w:rsidRDefault="00562E62">
      <w:pPr>
        <w:pStyle w:val="EndnoteText"/>
      </w:pPr>
      <w:r>
        <w:rPr>
          <w:rStyle w:val="EndnoteReference"/>
        </w:rPr>
        <w:endnoteRef/>
      </w:r>
      <w:r>
        <w:t xml:space="preserve"> </w:t>
      </w:r>
      <w:r w:rsidR="00FD14AD" w:rsidRPr="005C3378">
        <w:t xml:space="preserve">O. T. P. K. Dickinson. “Schliemann and the Shaft Graves.” </w:t>
      </w:r>
      <w:r w:rsidR="00FD14AD" w:rsidRPr="005C3378">
        <w:rPr>
          <w:i/>
          <w:iCs/>
        </w:rPr>
        <w:t>Greece &amp; Rome</w:t>
      </w:r>
      <w:r w:rsidR="00FD14AD" w:rsidRPr="005C3378">
        <w:t xml:space="preserve">, vol. 23, no. 2, 1976, pp. 159–68. </w:t>
      </w:r>
      <w:r w:rsidR="00FD14AD" w:rsidRPr="005C3378">
        <w:rPr>
          <w:i/>
          <w:iCs/>
        </w:rPr>
        <w:t>JSTOR</w:t>
      </w:r>
    </w:p>
  </w:endnote>
  <w:endnote w:id="28">
    <w:p w14:paraId="31CACA1B" w14:textId="103F4DB9" w:rsidR="006E4284" w:rsidRDefault="006E4284">
      <w:pPr>
        <w:pStyle w:val="EndnoteText"/>
      </w:pPr>
      <w:r>
        <w:rPr>
          <w:rStyle w:val="EndnoteReference"/>
        </w:rPr>
        <w:endnoteRef/>
      </w:r>
      <w:r>
        <w:t xml:space="preserve"> </w:t>
      </w:r>
      <w:r w:rsidRPr="005C3378">
        <w:t>Harrell</w:t>
      </w:r>
      <w:r w:rsidRPr="00A75C18">
        <w:t xml:space="preserve"> </w:t>
      </w:r>
      <w:r w:rsidRPr="005C3378">
        <w:t xml:space="preserve">K. “The Fallen and Their Swords: A New Explanation for the Rise of the Shaft Graves.” </w:t>
      </w:r>
      <w:r w:rsidRPr="005C3378">
        <w:rPr>
          <w:i/>
          <w:iCs/>
        </w:rPr>
        <w:t>American Journal of Archaeology</w:t>
      </w:r>
      <w:r w:rsidRPr="005C3378">
        <w:t xml:space="preserve">, vol. 118, no. 1, 2014, pp. 3–17. </w:t>
      </w:r>
      <w:r w:rsidRPr="005C3378">
        <w:rPr>
          <w:i/>
          <w:iCs/>
        </w:rPr>
        <w:t>JSTOR</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606E8" w14:textId="77777777" w:rsidR="00607D8A" w:rsidRDefault="00607D8A" w:rsidP="00776841">
      <w:pPr>
        <w:spacing w:after="0" w:line="240" w:lineRule="auto"/>
      </w:pPr>
      <w:r>
        <w:separator/>
      </w:r>
    </w:p>
  </w:footnote>
  <w:footnote w:type="continuationSeparator" w:id="0">
    <w:p w14:paraId="6495F14F" w14:textId="77777777" w:rsidR="00607D8A" w:rsidRDefault="00607D8A" w:rsidP="007768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E66405"/>
    <w:multiLevelType w:val="hybridMultilevel"/>
    <w:tmpl w:val="107CC32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77359929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64F"/>
    <w:rsid w:val="00001495"/>
    <w:rsid w:val="0000195B"/>
    <w:rsid w:val="000029F0"/>
    <w:rsid w:val="0000785C"/>
    <w:rsid w:val="00007ACD"/>
    <w:rsid w:val="00012DD7"/>
    <w:rsid w:val="00013EBF"/>
    <w:rsid w:val="00021956"/>
    <w:rsid w:val="0002347C"/>
    <w:rsid w:val="00025BD5"/>
    <w:rsid w:val="00027A7B"/>
    <w:rsid w:val="00044580"/>
    <w:rsid w:val="00044E74"/>
    <w:rsid w:val="000509E7"/>
    <w:rsid w:val="00051634"/>
    <w:rsid w:val="00052141"/>
    <w:rsid w:val="00055018"/>
    <w:rsid w:val="00061110"/>
    <w:rsid w:val="00061E58"/>
    <w:rsid w:val="00064B3B"/>
    <w:rsid w:val="000660AD"/>
    <w:rsid w:val="00070969"/>
    <w:rsid w:val="00073371"/>
    <w:rsid w:val="000832F6"/>
    <w:rsid w:val="00084AA9"/>
    <w:rsid w:val="0009306A"/>
    <w:rsid w:val="0009690B"/>
    <w:rsid w:val="000A190C"/>
    <w:rsid w:val="000A1CA8"/>
    <w:rsid w:val="000A372F"/>
    <w:rsid w:val="000A37AC"/>
    <w:rsid w:val="000C0C8A"/>
    <w:rsid w:val="000D17D0"/>
    <w:rsid w:val="000D3BB2"/>
    <w:rsid w:val="000E008F"/>
    <w:rsid w:val="000E060D"/>
    <w:rsid w:val="000E1715"/>
    <w:rsid w:val="000E171A"/>
    <w:rsid w:val="000E2E81"/>
    <w:rsid w:val="000F284B"/>
    <w:rsid w:val="000F6717"/>
    <w:rsid w:val="0010318B"/>
    <w:rsid w:val="0010511C"/>
    <w:rsid w:val="00105B2A"/>
    <w:rsid w:val="00106068"/>
    <w:rsid w:val="00106202"/>
    <w:rsid w:val="00110AF4"/>
    <w:rsid w:val="0011773B"/>
    <w:rsid w:val="00120747"/>
    <w:rsid w:val="0012097F"/>
    <w:rsid w:val="00120A23"/>
    <w:rsid w:val="001230B8"/>
    <w:rsid w:val="001338CC"/>
    <w:rsid w:val="001374E4"/>
    <w:rsid w:val="00166B3B"/>
    <w:rsid w:val="00171851"/>
    <w:rsid w:val="00175C1B"/>
    <w:rsid w:val="00177E9F"/>
    <w:rsid w:val="001875CC"/>
    <w:rsid w:val="0019028C"/>
    <w:rsid w:val="001920E0"/>
    <w:rsid w:val="00193886"/>
    <w:rsid w:val="00193A26"/>
    <w:rsid w:val="001A3911"/>
    <w:rsid w:val="001A4DEC"/>
    <w:rsid w:val="001B0319"/>
    <w:rsid w:val="001B15CA"/>
    <w:rsid w:val="001B572C"/>
    <w:rsid w:val="001B6020"/>
    <w:rsid w:val="001D2BB8"/>
    <w:rsid w:val="001D67E5"/>
    <w:rsid w:val="001E5776"/>
    <w:rsid w:val="001F118B"/>
    <w:rsid w:val="001F7F8D"/>
    <w:rsid w:val="00202DCF"/>
    <w:rsid w:val="00203B1B"/>
    <w:rsid w:val="00220AE5"/>
    <w:rsid w:val="0022169D"/>
    <w:rsid w:val="002418C4"/>
    <w:rsid w:val="00245BFA"/>
    <w:rsid w:val="00257755"/>
    <w:rsid w:val="00260230"/>
    <w:rsid w:val="00260D9F"/>
    <w:rsid w:val="00261537"/>
    <w:rsid w:val="00262169"/>
    <w:rsid w:val="00262EA9"/>
    <w:rsid w:val="002652B9"/>
    <w:rsid w:val="0026739C"/>
    <w:rsid w:val="002717CF"/>
    <w:rsid w:val="00280954"/>
    <w:rsid w:val="00287552"/>
    <w:rsid w:val="00293FA9"/>
    <w:rsid w:val="002A1218"/>
    <w:rsid w:val="002B0645"/>
    <w:rsid w:val="002B2768"/>
    <w:rsid w:val="002B52A4"/>
    <w:rsid w:val="002B667B"/>
    <w:rsid w:val="002B6715"/>
    <w:rsid w:val="002C7595"/>
    <w:rsid w:val="002D1FB6"/>
    <w:rsid w:val="002D67DA"/>
    <w:rsid w:val="002D75DC"/>
    <w:rsid w:val="002E1D90"/>
    <w:rsid w:val="002F41AE"/>
    <w:rsid w:val="002F5509"/>
    <w:rsid w:val="003037DF"/>
    <w:rsid w:val="00305F02"/>
    <w:rsid w:val="00311E30"/>
    <w:rsid w:val="00311E56"/>
    <w:rsid w:val="0031368F"/>
    <w:rsid w:val="00317FD4"/>
    <w:rsid w:val="00323468"/>
    <w:rsid w:val="00332C2E"/>
    <w:rsid w:val="0034195C"/>
    <w:rsid w:val="00341B9F"/>
    <w:rsid w:val="003500D3"/>
    <w:rsid w:val="00353347"/>
    <w:rsid w:val="0036359B"/>
    <w:rsid w:val="003668C9"/>
    <w:rsid w:val="00366E7A"/>
    <w:rsid w:val="00367FA9"/>
    <w:rsid w:val="00370E16"/>
    <w:rsid w:val="00372F2D"/>
    <w:rsid w:val="00373C3A"/>
    <w:rsid w:val="003750DD"/>
    <w:rsid w:val="003825DA"/>
    <w:rsid w:val="00382F60"/>
    <w:rsid w:val="003A5258"/>
    <w:rsid w:val="003A71B5"/>
    <w:rsid w:val="003A78DB"/>
    <w:rsid w:val="003B5741"/>
    <w:rsid w:val="003C1B8A"/>
    <w:rsid w:val="003C42F2"/>
    <w:rsid w:val="003C6D56"/>
    <w:rsid w:val="003D153D"/>
    <w:rsid w:val="003D3538"/>
    <w:rsid w:val="003D3CFB"/>
    <w:rsid w:val="003D4CDD"/>
    <w:rsid w:val="003D4D7D"/>
    <w:rsid w:val="003D5A1C"/>
    <w:rsid w:val="003D633C"/>
    <w:rsid w:val="003E3821"/>
    <w:rsid w:val="00400D83"/>
    <w:rsid w:val="00407769"/>
    <w:rsid w:val="00427126"/>
    <w:rsid w:val="00434749"/>
    <w:rsid w:val="0043559E"/>
    <w:rsid w:val="00456276"/>
    <w:rsid w:val="00474EC0"/>
    <w:rsid w:val="00476893"/>
    <w:rsid w:val="0047692E"/>
    <w:rsid w:val="00477B13"/>
    <w:rsid w:val="00481A07"/>
    <w:rsid w:val="00484120"/>
    <w:rsid w:val="00486149"/>
    <w:rsid w:val="004A1908"/>
    <w:rsid w:val="004C18B0"/>
    <w:rsid w:val="004C334F"/>
    <w:rsid w:val="004C51D3"/>
    <w:rsid w:val="004C76A5"/>
    <w:rsid w:val="004D0DA3"/>
    <w:rsid w:val="004E3522"/>
    <w:rsid w:val="004E3FD9"/>
    <w:rsid w:val="004E65E4"/>
    <w:rsid w:val="004F1812"/>
    <w:rsid w:val="00501661"/>
    <w:rsid w:val="00514B85"/>
    <w:rsid w:val="00515491"/>
    <w:rsid w:val="00522EA0"/>
    <w:rsid w:val="00522F50"/>
    <w:rsid w:val="00535D4D"/>
    <w:rsid w:val="00535EE0"/>
    <w:rsid w:val="00537F57"/>
    <w:rsid w:val="005615C3"/>
    <w:rsid w:val="00562E62"/>
    <w:rsid w:val="00563270"/>
    <w:rsid w:val="00566120"/>
    <w:rsid w:val="00567A52"/>
    <w:rsid w:val="00570535"/>
    <w:rsid w:val="00571C13"/>
    <w:rsid w:val="005755F3"/>
    <w:rsid w:val="0058603E"/>
    <w:rsid w:val="00587592"/>
    <w:rsid w:val="005A30E6"/>
    <w:rsid w:val="005A6756"/>
    <w:rsid w:val="005A698D"/>
    <w:rsid w:val="005B3FF8"/>
    <w:rsid w:val="005C2E64"/>
    <w:rsid w:val="005C3378"/>
    <w:rsid w:val="005C3510"/>
    <w:rsid w:val="005C4760"/>
    <w:rsid w:val="005C5791"/>
    <w:rsid w:val="005C6352"/>
    <w:rsid w:val="005C6BD9"/>
    <w:rsid w:val="005D283E"/>
    <w:rsid w:val="005D2EC0"/>
    <w:rsid w:val="005D6461"/>
    <w:rsid w:val="005E2EC5"/>
    <w:rsid w:val="005F6699"/>
    <w:rsid w:val="005F7291"/>
    <w:rsid w:val="006023B0"/>
    <w:rsid w:val="00607D8A"/>
    <w:rsid w:val="0061102A"/>
    <w:rsid w:val="00612264"/>
    <w:rsid w:val="00617FCE"/>
    <w:rsid w:val="00623620"/>
    <w:rsid w:val="00627397"/>
    <w:rsid w:val="006349E6"/>
    <w:rsid w:val="0064013B"/>
    <w:rsid w:val="0064118E"/>
    <w:rsid w:val="0064792F"/>
    <w:rsid w:val="006501AA"/>
    <w:rsid w:val="006543EC"/>
    <w:rsid w:val="0065723D"/>
    <w:rsid w:val="006622DA"/>
    <w:rsid w:val="006671EE"/>
    <w:rsid w:val="00672A93"/>
    <w:rsid w:val="00673522"/>
    <w:rsid w:val="006750F6"/>
    <w:rsid w:val="00686CC8"/>
    <w:rsid w:val="006915CD"/>
    <w:rsid w:val="00694099"/>
    <w:rsid w:val="00695C88"/>
    <w:rsid w:val="0069634A"/>
    <w:rsid w:val="006A1FF6"/>
    <w:rsid w:val="006A59D8"/>
    <w:rsid w:val="006C6BD3"/>
    <w:rsid w:val="006D022C"/>
    <w:rsid w:val="006D564F"/>
    <w:rsid w:val="006E1E21"/>
    <w:rsid w:val="006E4284"/>
    <w:rsid w:val="006E4FFE"/>
    <w:rsid w:val="006F48A0"/>
    <w:rsid w:val="006F5C7E"/>
    <w:rsid w:val="00700C01"/>
    <w:rsid w:val="00712D40"/>
    <w:rsid w:val="00713E10"/>
    <w:rsid w:val="00714A7A"/>
    <w:rsid w:val="007165D7"/>
    <w:rsid w:val="0073791F"/>
    <w:rsid w:val="00741B41"/>
    <w:rsid w:val="00743C1D"/>
    <w:rsid w:val="00745A35"/>
    <w:rsid w:val="0074645E"/>
    <w:rsid w:val="00747465"/>
    <w:rsid w:val="00754B97"/>
    <w:rsid w:val="0075744D"/>
    <w:rsid w:val="00762285"/>
    <w:rsid w:val="00765ACD"/>
    <w:rsid w:val="007679F9"/>
    <w:rsid w:val="00773ACC"/>
    <w:rsid w:val="0077670E"/>
    <w:rsid w:val="00776841"/>
    <w:rsid w:val="007804C4"/>
    <w:rsid w:val="00782BF5"/>
    <w:rsid w:val="0078392F"/>
    <w:rsid w:val="007839EF"/>
    <w:rsid w:val="00785585"/>
    <w:rsid w:val="0078561D"/>
    <w:rsid w:val="007A512A"/>
    <w:rsid w:val="007A5574"/>
    <w:rsid w:val="007A69A1"/>
    <w:rsid w:val="007B32E8"/>
    <w:rsid w:val="007B374F"/>
    <w:rsid w:val="007B4713"/>
    <w:rsid w:val="007B5621"/>
    <w:rsid w:val="007D3ACA"/>
    <w:rsid w:val="007D561B"/>
    <w:rsid w:val="007D71F8"/>
    <w:rsid w:val="007E61E9"/>
    <w:rsid w:val="007F7F1D"/>
    <w:rsid w:val="0080139E"/>
    <w:rsid w:val="00805D46"/>
    <w:rsid w:val="00806457"/>
    <w:rsid w:val="00816F03"/>
    <w:rsid w:val="0082338E"/>
    <w:rsid w:val="00830996"/>
    <w:rsid w:val="00843483"/>
    <w:rsid w:val="008522B7"/>
    <w:rsid w:val="00860B0E"/>
    <w:rsid w:val="00864DF2"/>
    <w:rsid w:val="00866A46"/>
    <w:rsid w:val="00870E3A"/>
    <w:rsid w:val="00873E30"/>
    <w:rsid w:val="008769B2"/>
    <w:rsid w:val="00877ABC"/>
    <w:rsid w:val="0088707E"/>
    <w:rsid w:val="00891410"/>
    <w:rsid w:val="00893D86"/>
    <w:rsid w:val="008955DE"/>
    <w:rsid w:val="008A57E6"/>
    <w:rsid w:val="008A5857"/>
    <w:rsid w:val="008B11CD"/>
    <w:rsid w:val="008C28EF"/>
    <w:rsid w:val="008D299D"/>
    <w:rsid w:val="008D5F54"/>
    <w:rsid w:val="008E6866"/>
    <w:rsid w:val="008F1217"/>
    <w:rsid w:val="008F5B43"/>
    <w:rsid w:val="009002DF"/>
    <w:rsid w:val="009004EA"/>
    <w:rsid w:val="009023C1"/>
    <w:rsid w:val="00907CB9"/>
    <w:rsid w:val="00910941"/>
    <w:rsid w:val="00911320"/>
    <w:rsid w:val="00914E3A"/>
    <w:rsid w:val="0091719D"/>
    <w:rsid w:val="009327DE"/>
    <w:rsid w:val="0094378E"/>
    <w:rsid w:val="0094492C"/>
    <w:rsid w:val="0095353A"/>
    <w:rsid w:val="0095720A"/>
    <w:rsid w:val="00960825"/>
    <w:rsid w:val="0096089F"/>
    <w:rsid w:val="00967255"/>
    <w:rsid w:val="00967660"/>
    <w:rsid w:val="00967A26"/>
    <w:rsid w:val="009803CB"/>
    <w:rsid w:val="009867E0"/>
    <w:rsid w:val="009905F9"/>
    <w:rsid w:val="00993C9F"/>
    <w:rsid w:val="009A39E6"/>
    <w:rsid w:val="009A52C1"/>
    <w:rsid w:val="009B27A5"/>
    <w:rsid w:val="009B5309"/>
    <w:rsid w:val="009B6C90"/>
    <w:rsid w:val="009C0FDE"/>
    <w:rsid w:val="009C2C50"/>
    <w:rsid w:val="009C31B2"/>
    <w:rsid w:val="009C5F64"/>
    <w:rsid w:val="009E08BC"/>
    <w:rsid w:val="009E1079"/>
    <w:rsid w:val="009E1DFE"/>
    <w:rsid w:val="009F3783"/>
    <w:rsid w:val="00A13F5B"/>
    <w:rsid w:val="00A253AE"/>
    <w:rsid w:val="00A371E2"/>
    <w:rsid w:val="00A37B9B"/>
    <w:rsid w:val="00A40A90"/>
    <w:rsid w:val="00A41496"/>
    <w:rsid w:val="00A66FEC"/>
    <w:rsid w:val="00A75C18"/>
    <w:rsid w:val="00A82226"/>
    <w:rsid w:val="00A84DC5"/>
    <w:rsid w:val="00A85AE7"/>
    <w:rsid w:val="00A86E93"/>
    <w:rsid w:val="00A97F38"/>
    <w:rsid w:val="00AA0B3C"/>
    <w:rsid w:val="00AA6246"/>
    <w:rsid w:val="00AB3892"/>
    <w:rsid w:val="00AC2042"/>
    <w:rsid w:val="00AC3E10"/>
    <w:rsid w:val="00AC4F26"/>
    <w:rsid w:val="00AD4902"/>
    <w:rsid w:val="00AE5973"/>
    <w:rsid w:val="00AF0C74"/>
    <w:rsid w:val="00B13035"/>
    <w:rsid w:val="00B1396F"/>
    <w:rsid w:val="00B15456"/>
    <w:rsid w:val="00B15EC2"/>
    <w:rsid w:val="00B206F6"/>
    <w:rsid w:val="00B25A89"/>
    <w:rsid w:val="00B32410"/>
    <w:rsid w:val="00B3344E"/>
    <w:rsid w:val="00B37C9D"/>
    <w:rsid w:val="00B41FE8"/>
    <w:rsid w:val="00B508E6"/>
    <w:rsid w:val="00B50D00"/>
    <w:rsid w:val="00B54813"/>
    <w:rsid w:val="00B65AD9"/>
    <w:rsid w:val="00B66482"/>
    <w:rsid w:val="00B6715D"/>
    <w:rsid w:val="00B71741"/>
    <w:rsid w:val="00B92AE6"/>
    <w:rsid w:val="00BA34A3"/>
    <w:rsid w:val="00BA44E0"/>
    <w:rsid w:val="00BA5010"/>
    <w:rsid w:val="00BB4BF0"/>
    <w:rsid w:val="00BB5CCC"/>
    <w:rsid w:val="00BB6A36"/>
    <w:rsid w:val="00BB75E3"/>
    <w:rsid w:val="00BC1400"/>
    <w:rsid w:val="00BC50FF"/>
    <w:rsid w:val="00BD1338"/>
    <w:rsid w:val="00BD3936"/>
    <w:rsid w:val="00BE0D5B"/>
    <w:rsid w:val="00BE293E"/>
    <w:rsid w:val="00BE489F"/>
    <w:rsid w:val="00BE6672"/>
    <w:rsid w:val="00BF1216"/>
    <w:rsid w:val="00BF16AB"/>
    <w:rsid w:val="00BF16CE"/>
    <w:rsid w:val="00BF3F47"/>
    <w:rsid w:val="00BF70D1"/>
    <w:rsid w:val="00C00580"/>
    <w:rsid w:val="00C01B2D"/>
    <w:rsid w:val="00C075E3"/>
    <w:rsid w:val="00C1284D"/>
    <w:rsid w:val="00C15270"/>
    <w:rsid w:val="00C15A85"/>
    <w:rsid w:val="00C232D5"/>
    <w:rsid w:val="00C36498"/>
    <w:rsid w:val="00C417A2"/>
    <w:rsid w:val="00C44F97"/>
    <w:rsid w:val="00C54941"/>
    <w:rsid w:val="00C62078"/>
    <w:rsid w:val="00C62BE0"/>
    <w:rsid w:val="00C65139"/>
    <w:rsid w:val="00C654D5"/>
    <w:rsid w:val="00C724F9"/>
    <w:rsid w:val="00C7627E"/>
    <w:rsid w:val="00C81BF0"/>
    <w:rsid w:val="00C820B9"/>
    <w:rsid w:val="00C909CC"/>
    <w:rsid w:val="00CB0A0E"/>
    <w:rsid w:val="00CB558E"/>
    <w:rsid w:val="00CB5A48"/>
    <w:rsid w:val="00CB7D34"/>
    <w:rsid w:val="00CC12EC"/>
    <w:rsid w:val="00CC7EAB"/>
    <w:rsid w:val="00CD295F"/>
    <w:rsid w:val="00CE1107"/>
    <w:rsid w:val="00CE115D"/>
    <w:rsid w:val="00CE2EA9"/>
    <w:rsid w:val="00CE51DB"/>
    <w:rsid w:val="00CE5C54"/>
    <w:rsid w:val="00CF083B"/>
    <w:rsid w:val="00CF2A41"/>
    <w:rsid w:val="00CF3F34"/>
    <w:rsid w:val="00CF6630"/>
    <w:rsid w:val="00CF6817"/>
    <w:rsid w:val="00CF7F40"/>
    <w:rsid w:val="00D045F9"/>
    <w:rsid w:val="00D05F36"/>
    <w:rsid w:val="00D1237D"/>
    <w:rsid w:val="00D21977"/>
    <w:rsid w:val="00D262F9"/>
    <w:rsid w:val="00D2670A"/>
    <w:rsid w:val="00D278BF"/>
    <w:rsid w:val="00D350E2"/>
    <w:rsid w:val="00D4183C"/>
    <w:rsid w:val="00D41A9C"/>
    <w:rsid w:val="00D42908"/>
    <w:rsid w:val="00D60971"/>
    <w:rsid w:val="00D62822"/>
    <w:rsid w:val="00D62B41"/>
    <w:rsid w:val="00D62FB3"/>
    <w:rsid w:val="00D63867"/>
    <w:rsid w:val="00D6415C"/>
    <w:rsid w:val="00D677AF"/>
    <w:rsid w:val="00D7350F"/>
    <w:rsid w:val="00D736A6"/>
    <w:rsid w:val="00D7376B"/>
    <w:rsid w:val="00D74374"/>
    <w:rsid w:val="00D8171A"/>
    <w:rsid w:val="00D84ECB"/>
    <w:rsid w:val="00D8526F"/>
    <w:rsid w:val="00D96488"/>
    <w:rsid w:val="00DB12C0"/>
    <w:rsid w:val="00DB708E"/>
    <w:rsid w:val="00DC26EE"/>
    <w:rsid w:val="00DD3B74"/>
    <w:rsid w:val="00DD4FC1"/>
    <w:rsid w:val="00DD5CFE"/>
    <w:rsid w:val="00DE2A00"/>
    <w:rsid w:val="00DE65E9"/>
    <w:rsid w:val="00DF5482"/>
    <w:rsid w:val="00DF5FCC"/>
    <w:rsid w:val="00E0119E"/>
    <w:rsid w:val="00E04BAA"/>
    <w:rsid w:val="00E20A86"/>
    <w:rsid w:val="00E21143"/>
    <w:rsid w:val="00E22162"/>
    <w:rsid w:val="00E262DB"/>
    <w:rsid w:val="00E300E0"/>
    <w:rsid w:val="00E34578"/>
    <w:rsid w:val="00E40ECA"/>
    <w:rsid w:val="00E625E4"/>
    <w:rsid w:val="00E64146"/>
    <w:rsid w:val="00E66FB1"/>
    <w:rsid w:val="00E7288B"/>
    <w:rsid w:val="00E74CE3"/>
    <w:rsid w:val="00E750A4"/>
    <w:rsid w:val="00E76820"/>
    <w:rsid w:val="00E83564"/>
    <w:rsid w:val="00E86D71"/>
    <w:rsid w:val="00E87FFD"/>
    <w:rsid w:val="00E975D7"/>
    <w:rsid w:val="00EA10E6"/>
    <w:rsid w:val="00EA65A8"/>
    <w:rsid w:val="00EC6777"/>
    <w:rsid w:val="00EC77D9"/>
    <w:rsid w:val="00ED1793"/>
    <w:rsid w:val="00ED5738"/>
    <w:rsid w:val="00ED6ED2"/>
    <w:rsid w:val="00ED71D5"/>
    <w:rsid w:val="00EE2497"/>
    <w:rsid w:val="00EF25EC"/>
    <w:rsid w:val="00EF396C"/>
    <w:rsid w:val="00EF4D57"/>
    <w:rsid w:val="00EF4DE7"/>
    <w:rsid w:val="00EF5E62"/>
    <w:rsid w:val="00F05949"/>
    <w:rsid w:val="00F11F85"/>
    <w:rsid w:val="00F13000"/>
    <w:rsid w:val="00F1327A"/>
    <w:rsid w:val="00F158AE"/>
    <w:rsid w:val="00F1642B"/>
    <w:rsid w:val="00F201A2"/>
    <w:rsid w:val="00F217F9"/>
    <w:rsid w:val="00F25097"/>
    <w:rsid w:val="00F26436"/>
    <w:rsid w:val="00F2699E"/>
    <w:rsid w:val="00F26DBC"/>
    <w:rsid w:val="00F312C1"/>
    <w:rsid w:val="00F31CDF"/>
    <w:rsid w:val="00F338C4"/>
    <w:rsid w:val="00F413F0"/>
    <w:rsid w:val="00F42E77"/>
    <w:rsid w:val="00F44C19"/>
    <w:rsid w:val="00F53672"/>
    <w:rsid w:val="00F76855"/>
    <w:rsid w:val="00F771A3"/>
    <w:rsid w:val="00F9000D"/>
    <w:rsid w:val="00F90F6B"/>
    <w:rsid w:val="00F93938"/>
    <w:rsid w:val="00FA5700"/>
    <w:rsid w:val="00FA6A09"/>
    <w:rsid w:val="00FB0F3B"/>
    <w:rsid w:val="00FB7113"/>
    <w:rsid w:val="00FC1CB0"/>
    <w:rsid w:val="00FC6ED2"/>
    <w:rsid w:val="00FD14AD"/>
    <w:rsid w:val="00FE5D14"/>
    <w:rsid w:val="00FE68E9"/>
    <w:rsid w:val="00FF2FC3"/>
    <w:rsid w:val="00FF6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0E095"/>
  <w15:chartTrackingRefBased/>
  <w15:docId w15:val="{B2E00D7E-467B-40C9-BBCF-5AF5A9420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6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56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56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6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6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6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6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6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6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6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56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56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6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6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6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6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6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64F"/>
    <w:rPr>
      <w:rFonts w:eastAsiaTheme="majorEastAsia" w:cstheme="majorBidi"/>
      <w:color w:val="272727" w:themeColor="text1" w:themeTint="D8"/>
    </w:rPr>
  </w:style>
  <w:style w:type="paragraph" w:styleId="Title">
    <w:name w:val="Title"/>
    <w:basedOn w:val="Normal"/>
    <w:next w:val="Normal"/>
    <w:link w:val="TitleChar"/>
    <w:uiPriority w:val="10"/>
    <w:qFormat/>
    <w:rsid w:val="006D56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6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6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6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64F"/>
    <w:pPr>
      <w:spacing w:before="160"/>
      <w:jc w:val="center"/>
    </w:pPr>
    <w:rPr>
      <w:i/>
      <w:iCs/>
      <w:color w:val="404040" w:themeColor="text1" w:themeTint="BF"/>
    </w:rPr>
  </w:style>
  <w:style w:type="character" w:customStyle="1" w:styleId="QuoteChar">
    <w:name w:val="Quote Char"/>
    <w:basedOn w:val="DefaultParagraphFont"/>
    <w:link w:val="Quote"/>
    <w:uiPriority w:val="29"/>
    <w:rsid w:val="006D564F"/>
    <w:rPr>
      <w:i/>
      <w:iCs/>
      <w:color w:val="404040" w:themeColor="text1" w:themeTint="BF"/>
    </w:rPr>
  </w:style>
  <w:style w:type="paragraph" w:styleId="ListParagraph">
    <w:name w:val="List Paragraph"/>
    <w:basedOn w:val="Normal"/>
    <w:uiPriority w:val="34"/>
    <w:qFormat/>
    <w:rsid w:val="006D564F"/>
    <w:pPr>
      <w:ind w:left="720"/>
      <w:contextualSpacing/>
    </w:pPr>
  </w:style>
  <w:style w:type="character" w:styleId="IntenseEmphasis">
    <w:name w:val="Intense Emphasis"/>
    <w:basedOn w:val="DefaultParagraphFont"/>
    <w:uiPriority w:val="21"/>
    <w:qFormat/>
    <w:rsid w:val="006D564F"/>
    <w:rPr>
      <w:i/>
      <w:iCs/>
      <w:color w:val="0F4761" w:themeColor="accent1" w:themeShade="BF"/>
    </w:rPr>
  </w:style>
  <w:style w:type="paragraph" w:styleId="IntenseQuote">
    <w:name w:val="Intense Quote"/>
    <w:basedOn w:val="Normal"/>
    <w:next w:val="Normal"/>
    <w:link w:val="IntenseQuoteChar"/>
    <w:uiPriority w:val="30"/>
    <w:qFormat/>
    <w:rsid w:val="006D56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64F"/>
    <w:rPr>
      <w:i/>
      <w:iCs/>
      <w:color w:val="0F4761" w:themeColor="accent1" w:themeShade="BF"/>
    </w:rPr>
  </w:style>
  <w:style w:type="character" w:styleId="IntenseReference">
    <w:name w:val="Intense Reference"/>
    <w:basedOn w:val="DefaultParagraphFont"/>
    <w:uiPriority w:val="32"/>
    <w:qFormat/>
    <w:rsid w:val="006D564F"/>
    <w:rPr>
      <w:b/>
      <w:bCs/>
      <w:smallCaps/>
      <w:color w:val="0F4761" w:themeColor="accent1" w:themeShade="BF"/>
      <w:spacing w:val="5"/>
    </w:rPr>
  </w:style>
  <w:style w:type="paragraph" w:styleId="FootnoteText">
    <w:name w:val="footnote text"/>
    <w:basedOn w:val="Normal"/>
    <w:link w:val="FootnoteTextChar"/>
    <w:uiPriority w:val="99"/>
    <w:semiHidden/>
    <w:unhideWhenUsed/>
    <w:rsid w:val="007768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6841"/>
    <w:rPr>
      <w:sz w:val="20"/>
      <w:szCs w:val="20"/>
    </w:rPr>
  </w:style>
  <w:style w:type="character" w:styleId="FootnoteReference">
    <w:name w:val="footnote reference"/>
    <w:basedOn w:val="DefaultParagraphFont"/>
    <w:uiPriority w:val="99"/>
    <w:semiHidden/>
    <w:unhideWhenUsed/>
    <w:rsid w:val="00776841"/>
    <w:rPr>
      <w:vertAlign w:val="superscript"/>
    </w:rPr>
  </w:style>
  <w:style w:type="paragraph" w:styleId="EndnoteText">
    <w:name w:val="endnote text"/>
    <w:basedOn w:val="Normal"/>
    <w:link w:val="EndnoteTextChar"/>
    <w:uiPriority w:val="99"/>
    <w:semiHidden/>
    <w:unhideWhenUsed/>
    <w:rsid w:val="0077684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76841"/>
    <w:rPr>
      <w:sz w:val="20"/>
      <w:szCs w:val="20"/>
    </w:rPr>
  </w:style>
  <w:style w:type="character" w:styleId="EndnoteReference">
    <w:name w:val="endnote reference"/>
    <w:basedOn w:val="DefaultParagraphFont"/>
    <w:uiPriority w:val="99"/>
    <w:semiHidden/>
    <w:unhideWhenUsed/>
    <w:rsid w:val="00776841"/>
    <w:rPr>
      <w:vertAlign w:val="superscript"/>
    </w:rPr>
  </w:style>
  <w:style w:type="character" w:styleId="Hyperlink">
    <w:name w:val="Hyperlink"/>
    <w:basedOn w:val="DefaultParagraphFont"/>
    <w:uiPriority w:val="99"/>
    <w:unhideWhenUsed/>
    <w:rsid w:val="00106068"/>
    <w:rPr>
      <w:color w:val="467886" w:themeColor="hyperlink"/>
      <w:u w:val="single"/>
    </w:rPr>
  </w:style>
  <w:style w:type="character" w:styleId="UnresolvedMention">
    <w:name w:val="Unresolved Mention"/>
    <w:basedOn w:val="DefaultParagraphFont"/>
    <w:uiPriority w:val="99"/>
    <w:semiHidden/>
    <w:unhideWhenUsed/>
    <w:rsid w:val="00106068"/>
    <w:rPr>
      <w:color w:val="605E5C"/>
      <w:shd w:val="clear" w:color="auto" w:fill="E1DFDD"/>
    </w:rPr>
  </w:style>
  <w:style w:type="character" w:styleId="FollowedHyperlink">
    <w:name w:val="FollowedHyperlink"/>
    <w:basedOn w:val="DefaultParagraphFont"/>
    <w:uiPriority w:val="99"/>
    <w:semiHidden/>
    <w:unhideWhenUsed/>
    <w:rsid w:val="00FB7113"/>
    <w:rPr>
      <w:color w:val="96607D" w:themeColor="followedHyperlink"/>
      <w:u w:val="single"/>
    </w:rPr>
  </w:style>
  <w:style w:type="paragraph" w:styleId="NormalWeb">
    <w:name w:val="Normal (Web)"/>
    <w:basedOn w:val="Normal"/>
    <w:uiPriority w:val="99"/>
    <w:semiHidden/>
    <w:unhideWhenUsed/>
    <w:rsid w:val="00816F03"/>
    <w:rPr>
      <w:rFonts w:ascii="Times New Roman" w:hAnsi="Times New Roman" w:cs="Times New Roman"/>
    </w:rPr>
  </w:style>
  <w:style w:type="paragraph" w:styleId="Header">
    <w:name w:val="header"/>
    <w:basedOn w:val="Normal"/>
    <w:link w:val="HeaderChar"/>
    <w:uiPriority w:val="99"/>
    <w:unhideWhenUsed/>
    <w:rsid w:val="003500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0D3"/>
  </w:style>
  <w:style w:type="paragraph" w:styleId="Footer">
    <w:name w:val="footer"/>
    <w:basedOn w:val="Normal"/>
    <w:link w:val="FooterChar"/>
    <w:uiPriority w:val="99"/>
    <w:unhideWhenUsed/>
    <w:rsid w:val="003500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0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jstor.org/stable/10.3764/aja.118.1.0003?searchText=the+fallen+and+their+swords&amp;searchUri=%252Faction%252FdoBasicSearch%253FQuery%253Dthe%252Bfallen%252Band%252Btheir%252Bswords%2526so%253Drel&amp;ab_segments=0%252Fspellcheck_basic_search%252Fcontrol&amp;refreqid=fastly-default%253A583a8ce302d230589f0c4db412acfb1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972/hesperia.85.4.0627.%20Accessed%2027%20Nov.%20202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archive.org/details/mycenaenarrative00schl"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jstor.org/stable/642224?searchText=shaft+graves&amp;searchUri=%2Faction%2FdoBasicSearch%3FQuery%3Dshaft%2Bgraves%26so%3Drel&amp;ab_segments=0%2Fspellcheck_basic_search%2Fcontrol&amp;refreqid=fastly-default%3A31e2938f04a780281df163ab0f53f960&amp;seq=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EFE2E8-42B7-4ACD-92F2-5049B1A8E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3795</TotalTime>
  <Pages>9</Pages>
  <Words>2570</Words>
  <Characters>14651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Edwards (2304623)</dc:creator>
  <cp:keywords/>
  <dc:description/>
  <cp:lastModifiedBy>Robert Edwards (2304623)</cp:lastModifiedBy>
  <cp:revision>559</cp:revision>
  <dcterms:created xsi:type="dcterms:W3CDTF">2025-11-25T10:45:00Z</dcterms:created>
  <dcterms:modified xsi:type="dcterms:W3CDTF">2025-11-30T21:26:00Z</dcterms:modified>
</cp:coreProperties>
</file>