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97179126"/>
        <w:docPartObj>
          <w:docPartGallery w:val="Cover Pages"/>
          <w:docPartUnique/>
        </w:docPartObj>
      </w:sdtPr>
      <w:sdtContent>
        <w:p w14:paraId="010958BE" w14:textId="4E3A1E49" w:rsidR="00C822FB" w:rsidRDefault="00C822F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05"/>
          </w:tblGrid>
          <w:tr w:rsidR="00C822FB" w14:paraId="754404A7" w14:textId="77777777" w:rsidTr="00044D41">
            <w:tc>
              <w:tcPr>
                <w:tcW w:w="7405" w:type="dxa"/>
                <w:tcMar>
                  <w:top w:w="216" w:type="dxa"/>
                  <w:left w:w="115" w:type="dxa"/>
                  <w:bottom w:w="216" w:type="dxa"/>
                  <w:right w:w="115" w:type="dxa"/>
                </w:tcMar>
              </w:tcPr>
              <w:p w14:paraId="5E9E2D7D" w14:textId="78074C91" w:rsidR="00C822FB" w:rsidRDefault="00C822FB">
                <w:pPr>
                  <w:pStyle w:val="NoSpacing"/>
                  <w:rPr>
                    <w:color w:val="2F5496" w:themeColor="accent1" w:themeShade="BF"/>
                    <w:sz w:val="24"/>
                  </w:rPr>
                </w:pPr>
              </w:p>
            </w:tc>
          </w:tr>
          <w:tr w:rsidR="00C822FB" w14:paraId="5EC556CB" w14:textId="77777777" w:rsidTr="00044D41">
            <w:tc>
              <w:tcPr>
                <w:tcW w:w="7405" w:type="dxa"/>
              </w:tcPr>
              <w:sdt>
                <w:sdtPr>
                  <w:rPr>
                    <w:rFonts w:asciiTheme="majorHAnsi" w:eastAsiaTheme="majorEastAsia" w:hAnsiTheme="majorHAnsi" w:cstheme="majorBidi"/>
                    <w:color w:val="4472C4" w:themeColor="accent1"/>
                    <w:sz w:val="88"/>
                    <w:szCs w:val="88"/>
                  </w:rPr>
                  <w:alias w:val="Title"/>
                  <w:id w:val="13406919"/>
                  <w:placeholder>
                    <w:docPart w:val="2A3D958F51BF45C999BD04FFD9BBFD0E"/>
                  </w:placeholder>
                  <w:dataBinding w:prefixMappings="xmlns:ns0='http://schemas.openxmlformats.org/package/2006/metadata/core-properties' xmlns:ns1='http://purl.org/dc/elements/1.1/'" w:xpath="/ns0:coreProperties[1]/ns1:title[1]" w:storeItemID="{6C3C8BC8-F283-45AE-878A-BAB7291924A1}"/>
                  <w:text/>
                </w:sdtPr>
                <w:sdtContent>
                  <w:p w14:paraId="4D7363B8" w14:textId="2429692A" w:rsidR="00C822FB" w:rsidRDefault="00044D41" w:rsidP="00044D41">
                    <w:pPr>
                      <w:pStyle w:val="NoSpacing"/>
                      <w:spacing w:line="216" w:lineRule="auto"/>
                      <w:jc w:val="center"/>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Case study:           The City Hotel</w:t>
                    </w:r>
                  </w:p>
                </w:sdtContent>
              </w:sdt>
            </w:tc>
          </w:tr>
          <w:tr w:rsidR="00C822FB" w14:paraId="2CA9DF15" w14:textId="77777777" w:rsidTr="00044D41">
            <w:tc>
              <w:tcPr>
                <w:tcW w:w="7405" w:type="dxa"/>
                <w:tcMar>
                  <w:top w:w="216" w:type="dxa"/>
                  <w:left w:w="115" w:type="dxa"/>
                  <w:bottom w:w="216" w:type="dxa"/>
                  <w:right w:w="115" w:type="dxa"/>
                </w:tcMar>
              </w:tcPr>
              <w:p w14:paraId="539F987D" w14:textId="5437DBD1" w:rsidR="00C822FB" w:rsidRDefault="00C822FB">
                <w:pPr>
                  <w:pStyle w:val="NoSpacing"/>
                  <w:rPr>
                    <w:color w:val="2F5496" w:themeColor="accent1" w:themeShade="BF"/>
                    <w:sz w:val="24"/>
                  </w:rPr>
                </w:pPr>
              </w:p>
            </w:tc>
          </w:tr>
        </w:tbl>
        <w:p w14:paraId="2FB91905" w14:textId="2EFCB50F" w:rsidR="00C822FB" w:rsidRDefault="00000000">
          <w:r>
            <w:rPr>
              <w:noProof/>
            </w:rPr>
            <w:pict w14:anchorId="2FBADC3D">
              <v:shapetype id="_x0000_t202" coordsize="21600,21600" o:spt="202" path="m,l,21600r21600,l21600,xe">
                <v:stroke joinstyle="miter"/>
                <v:path gradientshapeok="t" o:connecttype="rect"/>
              </v:shapetype>
              <v:shape id="_x0000_s1034" type="#_x0000_t202" style="position:absolute;margin-left:56.95pt;margin-top:559.75pt;width:337.5pt;height:114.6pt;z-index:251659264;mso-position-horizontal-relative:text;mso-position-vertical-relative:text">
                <v:textbox>
                  <w:txbxContent>
                    <w:p w14:paraId="3414383E" w14:textId="4325180A" w:rsidR="00831E25" w:rsidRDefault="00831E25" w:rsidP="00831E25">
                      <w:r>
                        <w:t xml:space="preserve">I acknowledge the use of Grammarly on </w:t>
                      </w:r>
                      <w:r w:rsidR="00830730">
                        <w:t>13</w:t>
                      </w:r>
                      <w:r w:rsidR="002C396E">
                        <w:t>/11</w:t>
                      </w:r>
                      <w:r>
                        <w:t>/2024 to check my work for readability, grammar, and syntax.</w:t>
                      </w:r>
                    </w:p>
                    <w:p w14:paraId="450F5422" w14:textId="06BE7699" w:rsidR="009F0B7A" w:rsidRDefault="00831E25" w:rsidP="00831E25">
                      <w:r>
                        <w:t>I confirm that I have not presented any AI generated text as my own. I confirm I have copies of my drafts, notes, and other resources I used before, and after the use of AI tools which I may be asked to provide in evidence.</w:t>
                      </w:r>
                    </w:p>
                  </w:txbxContent>
                </v:textbox>
              </v:shape>
            </w:pict>
          </w:r>
          <w:r>
            <w:rPr>
              <w:noProof/>
            </w:rPr>
            <w:pict w14:anchorId="4F1FD81B">
              <v:shape id="_x0000_s1030" type="#_x0000_t202" style="position:absolute;margin-left:65.85pt;margin-top:324.4pt;width:313pt;height:146pt;z-index:251658240;mso-position-horizontal-relative:text;mso-position-vertical-relative:text">
                <v:textbox>
                  <w:txbxContent>
                    <w:p w14:paraId="13B257E2" w14:textId="1BFB0890" w:rsidR="00044D41" w:rsidRPr="00E15A0A" w:rsidRDefault="00454DE5" w:rsidP="00454DE5">
                      <w:pPr>
                        <w:spacing w:line="360" w:lineRule="auto"/>
                        <w:rPr>
                          <w:rFonts w:ascii="Arial" w:hAnsi="Arial" w:cs="Arial"/>
                          <w:sz w:val="24"/>
                          <w:szCs w:val="24"/>
                        </w:rPr>
                      </w:pPr>
                      <w:r>
                        <w:rPr>
                          <w:rFonts w:ascii="Arial" w:hAnsi="Arial" w:cs="Arial"/>
                          <w:sz w:val="24"/>
                          <w:szCs w:val="24"/>
                        </w:rPr>
                        <w:t xml:space="preserve">Module: </w:t>
                      </w:r>
                      <w:r w:rsidR="00E15A0A" w:rsidRPr="00E15A0A">
                        <w:rPr>
                          <w:rFonts w:ascii="Arial" w:hAnsi="Arial" w:cs="Arial"/>
                          <w:sz w:val="24"/>
                          <w:szCs w:val="24"/>
                        </w:rPr>
                        <w:t>Financial Management for the Hotel Industry</w:t>
                      </w:r>
                    </w:p>
                    <w:p w14:paraId="34E3409B" w14:textId="08842EAB" w:rsidR="000C2BA1" w:rsidRPr="00E15A0A" w:rsidRDefault="00454DE5" w:rsidP="00454DE5">
                      <w:pPr>
                        <w:spacing w:line="360" w:lineRule="auto"/>
                        <w:rPr>
                          <w:rFonts w:ascii="Arial" w:hAnsi="Arial" w:cs="Arial"/>
                          <w:sz w:val="24"/>
                          <w:szCs w:val="24"/>
                        </w:rPr>
                      </w:pPr>
                      <w:r>
                        <w:rPr>
                          <w:rFonts w:ascii="Arial" w:hAnsi="Arial" w:cs="Arial"/>
                          <w:sz w:val="24"/>
                          <w:szCs w:val="24"/>
                        </w:rPr>
                        <w:t xml:space="preserve">Module code: </w:t>
                      </w:r>
                      <w:r w:rsidRPr="00454DE5">
                        <w:rPr>
                          <w:rFonts w:ascii="Arial" w:hAnsi="Arial" w:cs="Arial"/>
                          <w:sz w:val="24"/>
                          <w:szCs w:val="24"/>
                        </w:rPr>
                        <w:t>BMIH5007</w:t>
                      </w:r>
                    </w:p>
                    <w:p w14:paraId="1A9509D2" w14:textId="2ECADC41" w:rsidR="000C2BA1" w:rsidRPr="00E15A0A" w:rsidRDefault="00454DE5" w:rsidP="00454DE5">
                      <w:pPr>
                        <w:spacing w:line="360" w:lineRule="auto"/>
                        <w:rPr>
                          <w:rFonts w:ascii="Arial" w:hAnsi="Arial" w:cs="Arial"/>
                          <w:sz w:val="24"/>
                          <w:szCs w:val="24"/>
                        </w:rPr>
                      </w:pPr>
                      <w:r>
                        <w:rPr>
                          <w:rFonts w:ascii="Arial" w:hAnsi="Arial" w:cs="Arial"/>
                          <w:sz w:val="24"/>
                          <w:szCs w:val="24"/>
                        </w:rPr>
                        <w:t xml:space="preserve">Lecturer: </w:t>
                      </w:r>
                      <w:r w:rsidRPr="00454DE5">
                        <w:rPr>
                          <w:rFonts w:ascii="Arial" w:hAnsi="Arial" w:cs="Arial"/>
                          <w:sz w:val="24"/>
                          <w:szCs w:val="24"/>
                        </w:rPr>
                        <w:t>Tristan Hawkins</w:t>
                      </w:r>
                    </w:p>
                    <w:p w14:paraId="26AE1BF6" w14:textId="236605D9" w:rsidR="000C2BA1" w:rsidRDefault="00454DE5" w:rsidP="00454DE5">
                      <w:pPr>
                        <w:spacing w:line="360" w:lineRule="auto"/>
                        <w:rPr>
                          <w:rFonts w:ascii="Arial" w:hAnsi="Arial" w:cs="Arial"/>
                          <w:sz w:val="24"/>
                          <w:szCs w:val="24"/>
                        </w:rPr>
                      </w:pPr>
                      <w:r>
                        <w:rPr>
                          <w:rFonts w:ascii="Arial" w:hAnsi="Arial" w:cs="Arial"/>
                          <w:sz w:val="24"/>
                          <w:szCs w:val="24"/>
                        </w:rPr>
                        <w:t xml:space="preserve">Student: </w:t>
                      </w:r>
                      <w:r w:rsidR="000C2BA1" w:rsidRPr="00E15A0A">
                        <w:rPr>
                          <w:rFonts w:ascii="Arial" w:hAnsi="Arial" w:cs="Arial"/>
                          <w:sz w:val="24"/>
                          <w:szCs w:val="24"/>
                        </w:rPr>
                        <w:t>Eugen Gherasim (2242387)</w:t>
                      </w:r>
                    </w:p>
                    <w:p w14:paraId="19310EDA" w14:textId="6F949862" w:rsidR="009B7746" w:rsidRPr="00E15A0A" w:rsidRDefault="009B7746" w:rsidP="00454DE5">
                      <w:pPr>
                        <w:spacing w:line="360" w:lineRule="auto"/>
                        <w:rPr>
                          <w:rFonts w:ascii="Arial" w:hAnsi="Arial" w:cs="Arial"/>
                          <w:sz w:val="24"/>
                          <w:szCs w:val="24"/>
                        </w:rPr>
                      </w:pPr>
                      <w:r>
                        <w:rPr>
                          <w:rFonts w:ascii="Arial" w:hAnsi="Arial" w:cs="Arial"/>
                          <w:sz w:val="24"/>
                          <w:szCs w:val="24"/>
                        </w:rPr>
                        <w:t xml:space="preserve">Wordcount: </w:t>
                      </w:r>
                      <w:r w:rsidR="00F03352">
                        <w:rPr>
                          <w:rFonts w:ascii="Arial" w:hAnsi="Arial" w:cs="Arial"/>
                          <w:sz w:val="24"/>
                          <w:szCs w:val="24"/>
                        </w:rPr>
                        <w:t>1</w:t>
                      </w:r>
                      <w:r w:rsidR="00812C42">
                        <w:rPr>
                          <w:rFonts w:ascii="Arial" w:hAnsi="Arial" w:cs="Arial"/>
                          <w:sz w:val="24"/>
                          <w:szCs w:val="24"/>
                        </w:rPr>
                        <w:t>859</w:t>
                      </w:r>
                    </w:p>
                  </w:txbxContent>
                </v:textbox>
              </v:shape>
            </w:pict>
          </w:r>
          <w:r w:rsidR="00C822FB">
            <w:br w:type="page"/>
          </w:r>
        </w:p>
      </w:sdtContent>
    </w:sdt>
    <w:p w14:paraId="7CE72DD6" w14:textId="1851B727" w:rsidR="00DB656F" w:rsidRPr="00241B5B" w:rsidRDefault="009B7746" w:rsidP="00241B5B">
      <w:pPr>
        <w:spacing w:line="360" w:lineRule="auto"/>
        <w:jc w:val="both"/>
        <w:rPr>
          <w:rFonts w:ascii="Arial" w:hAnsi="Arial" w:cs="Arial"/>
          <w:b/>
          <w:bCs/>
          <w:sz w:val="24"/>
          <w:szCs w:val="24"/>
        </w:rPr>
      </w:pPr>
      <w:r w:rsidRPr="00241B5B">
        <w:rPr>
          <w:rFonts w:ascii="Arial" w:hAnsi="Arial" w:cs="Arial"/>
          <w:b/>
          <w:bCs/>
          <w:sz w:val="24"/>
          <w:szCs w:val="24"/>
        </w:rPr>
        <w:lastRenderedPageBreak/>
        <w:t>Executive summary</w:t>
      </w:r>
    </w:p>
    <w:p w14:paraId="7C58B1A7" w14:textId="52321D23" w:rsidR="00DB656F" w:rsidRPr="00241B5B" w:rsidRDefault="00DB656F" w:rsidP="00241B5B">
      <w:pPr>
        <w:spacing w:line="360" w:lineRule="auto"/>
        <w:jc w:val="both"/>
        <w:rPr>
          <w:rFonts w:ascii="Arial" w:hAnsi="Arial" w:cs="Arial"/>
          <w:sz w:val="24"/>
          <w:szCs w:val="24"/>
        </w:rPr>
      </w:pPr>
      <w:r w:rsidRPr="00241B5B">
        <w:rPr>
          <w:rFonts w:ascii="Arial" w:hAnsi="Arial" w:cs="Arial"/>
          <w:sz w:val="24"/>
          <w:szCs w:val="24"/>
        </w:rPr>
        <w:t>The City Hotel, once a profitable and stable hospitality business, has encountered substantial financial setbacks attributed to external economic factors, rising operational costs, and industry-specific challenges. This report critically assesses the hotel’s financial position, revealing a severe decline in liquidity, solvency, and profitability over the past three years. The hotel’s revenue dropped sharply due to reduced customer demand, increased operational expenses, and workforce shortages, leaving it vulnerable in a highly competitive market.</w:t>
      </w:r>
    </w:p>
    <w:p w14:paraId="49EFEFCA" w14:textId="56B2DBCE" w:rsidR="00DB656F" w:rsidRPr="00241B5B" w:rsidRDefault="00DB656F" w:rsidP="00241B5B">
      <w:pPr>
        <w:spacing w:line="360" w:lineRule="auto"/>
        <w:jc w:val="both"/>
        <w:rPr>
          <w:rFonts w:ascii="Arial" w:hAnsi="Arial" w:cs="Arial"/>
          <w:sz w:val="24"/>
          <w:szCs w:val="24"/>
        </w:rPr>
      </w:pPr>
      <w:r w:rsidRPr="00241B5B">
        <w:rPr>
          <w:rFonts w:ascii="Arial" w:hAnsi="Arial" w:cs="Arial"/>
          <w:sz w:val="24"/>
          <w:szCs w:val="24"/>
        </w:rPr>
        <w:t>Key financial metrics indicate that The City Hotel’s liquidity has weakened significantly, with its current ratio falling below 1.0 in 2023, limiting its ability to meet short-term obligations. Similarly, profitability metrics have deteriorated, showing a plunge in operating income due to elevated labour costs, supply chain disruptions, and geopolitical factors such as the Russia-Ukraine conflict. These conditions are compounded by climate-related factors, impacting travel patterns and increasing maintenance costs.</w:t>
      </w:r>
    </w:p>
    <w:p w14:paraId="14CEE6D6" w14:textId="605CC90C" w:rsidR="00DB656F" w:rsidRPr="00241B5B" w:rsidRDefault="00DB656F" w:rsidP="00241B5B">
      <w:pPr>
        <w:spacing w:line="360" w:lineRule="auto"/>
        <w:jc w:val="both"/>
        <w:rPr>
          <w:rFonts w:ascii="Arial" w:hAnsi="Arial" w:cs="Arial"/>
          <w:sz w:val="24"/>
          <w:szCs w:val="24"/>
        </w:rPr>
      </w:pPr>
      <w:r w:rsidRPr="00241B5B">
        <w:rPr>
          <w:rFonts w:ascii="Arial" w:hAnsi="Arial" w:cs="Arial"/>
          <w:sz w:val="24"/>
          <w:szCs w:val="24"/>
        </w:rPr>
        <w:t xml:space="preserve">The report recommends a targeted turnaround strategy to address these pressing issues. Key initiatives include adopting a value-based pricing model tailored to fluctuating customer demand, enhancing employee retention to mitigate service disruptions, and leveraging digital marketing to strengthen brand visibility. Furthermore, embracing sustainability initiatives and proactive social media engagement are essential to restoring customer confidence and building competitive advantage. By implementing these strategies, The City Hotel aims to </w:t>
      </w:r>
      <w:r w:rsidR="002445E1" w:rsidRPr="00241B5B">
        <w:rPr>
          <w:rFonts w:ascii="Arial" w:hAnsi="Arial" w:cs="Arial"/>
          <w:sz w:val="24"/>
          <w:szCs w:val="24"/>
        </w:rPr>
        <w:t>stabilise</w:t>
      </w:r>
      <w:r w:rsidRPr="00241B5B">
        <w:rPr>
          <w:rFonts w:ascii="Arial" w:hAnsi="Arial" w:cs="Arial"/>
          <w:sz w:val="24"/>
          <w:szCs w:val="24"/>
        </w:rPr>
        <w:t xml:space="preserve"> its operations, improve financial resilience, and position itself for long-term growth within the hospitality sector.</w:t>
      </w:r>
    </w:p>
    <w:p w14:paraId="403F1F40" w14:textId="77777777" w:rsidR="00830730" w:rsidRPr="00241B5B" w:rsidRDefault="00830730" w:rsidP="00241B5B">
      <w:pPr>
        <w:spacing w:line="360" w:lineRule="auto"/>
        <w:jc w:val="both"/>
        <w:rPr>
          <w:rFonts w:ascii="Arial" w:hAnsi="Arial" w:cs="Arial"/>
          <w:sz w:val="24"/>
          <w:szCs w:val="24"/>
        </w:rPr>
      </w:pPr>
    </w:p>
    <w:p w14:paraId="509EBA62" w14:textId="77777777" w:rsidR="00830730" w:rsidRPr="00241B5B" w:rsidRDefault="00830730" w:rsidP="00241B5B">
      <w:pPr>
        <w:spacing w:line="360" w:lineRule="auto"/>
        <w:jc w:val="both"/>
        <w:rPr>
          <w:rFonts w:ascii="Arial" w:hAnsi="Arial" w:cs="Arial"/>
          <w:sz w:val="24"/>
          <w:szCs w:val="24"/>
        </w:rPr>
      </w:pPr>
    </w:p>
    <w:p w14:paraId="74611D29" w14:textId="77777777" w:rsidR="00830730" w:rsidRPr="00241B5B" w:rsidRDefault="00830730" w:rsidP="00241B5B">
      <w:pPr>
        <w:spacing w:line="360" w:lineRule="auto"/>
        <w:jc w:val="both"/>
        <w:rPr>
          <w:rFonts w:ascii="Arial" w:hAnsi="Arial" w:cs="Arial"/>
          <w:sz w:val="24"/>
          <w:szCs w:val="24"/>
        </w:rPr>
      </w:pPr>
    </w:p>
    <w:p w14:paraId="4CA8ACBF" w14:textId="77777777" w:rsidR="00830730" w:rsidRPr="00241B5B" w:rsidRDefault="00830730" w:rsidP="00241B5B">
      <w:pPr>
        <w:spacing w:line="360" w:lineRule="auto"/>
        <w:jc w:val="both"/>
        <w:rPr>
          <w:rFonts w:ascii="Arial" w:hAnsi="Arial" w:cs="Arial"/>
          <w:sz w:val="24"/>
          <w:szCs w:val="24"/>
        </w:rPr>
      </w:pPr>
    </w:p>
    <w:p w14:paraId="52CDA15A" w14:textId="77777777" w:rsidR="00830730" w:rsidRPr="00241B5B" w:rsidRDefault="00830730" w:rsidP="00241B5B">
      <w:pPr>
        <w:spacing w:line="360" w:lineRule="auto"/>
        <w:jc w:val="both"/>
        <w:rPr>
          <w:rFonts w:ascii="Arial" w:hAnsi="Arial" w:cs="Arial"/>
          <w:sz w:val="24"/>
          <w:szCs w:val="24"/>
        </w:rPr>
      </w:pPr>
    </w:p>
    <w:p w14:paraId="5D1E66C3" w14:textId="77777777" w:rsidR="001D06BF" w:rsidRPr="00241B5B" w:rsidRDefault="001D06BF" w:rsidP="00241B5B">
      <w:pPr>
        <w:spacing w:line="360" w:lineRule="auto"/>
        <w:jc w:val="both"/>
        <w:rPr>
          <w:rFonts w:ascii="Arial" w:hAnsi="Arial" w:cs="Arial"/>
          <w:sz w:val="24"/>
          <w:szCs w:val="24"/>
        </w:rPr>
      </w:pPr>
    </w:p>
    <w:p w14:paraId="2A97AEF5" w14:textId="77777777" w:rsidR="00B539F0" w:rsidRPr="00241B5B" w:rsidRDefault="00B539F0" w:rsidP="00241B5B">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rPr>
        <w:id w:val="290795578"/>
        <w:docPartObj>
          <w:docPartGallery w:val="Table of Contents"/>
          <w:docPartUnique/>
        </w:docPartObj>
      </w:sdtPr>
      <w:sdtEndPr>
        <w:rPr>
          <w:b/>
          <w:bCs/>
          <w:noProof/>
        </w:rPr>
      </w:sdtEndPr>
      <w:sdtContent>
        <w:p w14:paraId="2BC5BF6F" w14:textId="78770293" w:rsidR="00B539F0" w:rsidRPr="00241B5B" w:rsidRDefault="00B539F0" w:rsidP="00241B5B">
          <w:pPr>
            <w:pStyle w:val="TOCHeading"/>
            <w:spacing w:line="360" w:lineRule="auto"/>
            <w:jc w:val="both"/>
            <w:rPr>
              <w:rFonts w:ascii="Arial" w:hAnsi="Arial" w:cs="Arial"/>
              <w:sz w:val="24"/>
              <w:szCs w:val="24"/>
            </w:rPr>
          </w:pPr>
          <w:r w:rsidRPr="00241B5B">
            <w:rPr>
              <w:rFonts w:ascii="Arial" w:hAnsi="Arial" w:cs="Arial"/>
              <w:sz w:val="24"/>
              <w:szCs w:val="24"/>
            </w:rPr>
            <w:t>Table of Contents</w:t>
          </w:r>
        </w:p>
        <w:p w14:paraId="3C5623E4" w14:textId="70EDE2A8" w:rsidR="007E4DAB" w:rsidRDefault="00B539F0">
          <w:pPr>
            <w:pStyle w:val="TOC1"/>
            <w:tabs>
              <w:tab w:val="right" w:leader="dot" w:pos="9016"/>
            </w:tabs>
            <w:rPr>
              <w:rFonts w:eastAsiaTheme="minorEastAsia"/>
              <w:noProof/>
              <w:sz w:val="24"/>
              <w:szCs w:val="24"/>
              <w:lang w:eastAsia="en-GB"/>
            </w:rPr>
          </w:pPr>
          <w:r w:rsidRPr="00241B5B">
            <w:rPr>
              <w:rFonts w:ascii="Arial" w:hAnsi="Arial" w:cs="Arial"/>
              <w:sz w:val="24"/>
              <w:szCs w:val="24"/>
            </w:rPr>
            <w:fldChar w:fldCharType="begin"/>
          </w:r>
          <w:r w:rsidRPr="00241B5B">
            <w:rPr>
              <w:rFonts w:ascii="Arial" w:hAnsi="Arial" w:cs="Arial"/>
              <w:sz w:val="24"/>
              <w:szCs w:val="24"/>
            </w:rPr>
            <w:instrText xml:space="preserve"> TOC \o "1-3" \h \z \u </w:instrText>
          </w:r>
          <w:r w:rsidRPr="00241B5B">
            <w:rPr>
              <w:rFonts w:ascii="Arial" w:hAnsi="Arial" w:cs="Arial"/>
              <w:sz w:val="24"/>
              <w:szCs w:val="24"/>
            </w:rPr>
            <w:fldChar w:fldCharType="separate"/>
          </w:r>
          <w:hyperlink w:anchor="_Toc182410484" w:history="1">
            <w:r w:rsidR="007E4DAB" w:rsidRPr="006E3CCC">
              <w:rPr>
                <w:rStyle w:val="Hyperlink"/>
                <w:rFonts w:ascii="Arial" w:hAnsi="Arial" w:cs="Arial"/>
                <w:noProof/>
              </w:rPr>
              <w:t>Introduction</w:t>
            </w:r>
            <w:r w:rsidR="007E4DAB">
              <w:rPr>
                <w:noProof/>
                <w:webHidden/>
              </w:rPr>
              <w:tab/>
            </w:r>
            <w:r w:rsidR="007E4DAB">
              <w:rPr>
                <w:noProof/>
                <w:webHidden/>
              </w:rPr>
              <w:fldChar w:fldCharType="begin"/>
            </w:r>
            <w:r w:rsidR="007E4DAB">
              <w:rPr>
                <w:noProof/>
                <w:webHidden/>
              </w:rPr>
              <w:instrText xml:space="preserve"> PAGEREF _Toc182410484 \h </w:instrText>
            </w:r>
            <w:r w:rsidR="007E4DAB">
              <w:rPr>
                <w:noProof/>
                <w:webHidden/>
              </w:rPr>
            </w:r>
            <w:r w:rsidR="007E4DAB">
              <w:rPr>
                <w:noProof/>
                <w:webHidden/>
              </w:rPr>
              <w:fldChar w:fldCharType="separate"/>
            </w:r>
            <w:r w:rsidR="007E4DAB">
              <w:rPr>
                <w:noProof/>
                <w:webHidden/>
              </w:rPr>
              <w:t>2</w:t>
            </w:r>
            <w:r w:rsidR="007E4DAB">
              <w:rPr>
                <w:noProof/>
                <w:webHidden/>
              </w:rPr>
              <w:fldChar w:fldCharType="end"/>
            </w:r>
          </w:hyperlink>
        </w:p>
        <w:p w14:paraId="4FABA749" w14:textId="61ECA889" w:rsidR="007E4DAB" w:rsidRDefault="007E4DAB">
          <w:pPr>
            <w:pStyle w:val="TOC1"/>
            <w:tabs>
              <w:tab w:val="right" w:leader="dot" w:pos="9016"/>
            </w:tabs>
            <w:rPr>
              <w:rFonts w:eastAsiaTheme="minorEastAsia"/>
              <w:noProof/>
              <w:sz w:val="24"/>
              <w:szCs w:val="24"/>
              <w:lang w:eastAsia="en-GB"/>
            </w:rPr>
          </w:pPr>
          <w:hyperlink w:anchor="_Toc182410485" w:history="1">
            <w:r w:rsidRPr="006E3CCC">
              <w:rPr>
                <w:rStyle w:val="Hyperlink"/>
                <w:rFonts w:ascii="Arial" w:hAnsi="Arial" w:cs="Arial"/>
                <w:noProof/>
              </w:rPr>
              <w:t>Discussions</w:t>
            </w:r>
            <w:r>
              <w:rPr>
                <w:noProof/>
                <w:webHidden/>
              </w:rPr>
              <w:tab/>
            </w:r>
            <w:r>
              <w:rPr>
                <w:noProof/>
                <w:webHidden/>
              </w:rPr>
              <w:fldChar w:fldCharType="begin"/>
            </w:r>
            <w:r>
              <w:rPr>
                <w:noProof/>
                <w:webHidden/>
              </w:rPr>
              <w:instrText xml:space="preserve"> PAGEREF _Toc182410485 \h </w:instrText>
            </w:r>
            <w:r>
              <w:rPr>
                <w:noProof/>
                <w:webHidden/>
              </w:rPr>
            </w:r>
            <w:r>
              <w:rPr>
                <w:noProof/>
                <w:webHidden/>
              </w:rPr>
              <w:fldChar w:fldCharType="separate"/>
            </w:r>
            <w:r>
              <w:rPr>
                <w:noProof/>
                <w:webHidden/>
              </w:rPr>
              <w:t>3</w:t>
            </w:r>
            <w:r>
              <w:rPr>
                <w:noProof/>
                <w:webHidden/>
              </w:rPr>
              <w:fldChar w:fldCharType="end"/>
            </w:r>
          </w:hyperlink>
        </w:p>
        <w:p w14:paraId="073D83F9" w14:textId="54B127D8" w:rsidR="007E4DAB" w:rsidRDefault="007E4DAB">
          <w:pPr>
            <w:pStyle w:val="TOC2"/>
            <w:tabs>
              <w:tab w:val="right" w:leader="dot" w:pos="9016"/>
            </w:tabs>
            <w:rPr>
              <w:rFonts w:eastAsiaTheme="minorEastAsia"/>
              <w:noProof/>
              <w:sz w:val="24"/>
              <w:szCs w:val="24"/>
              <w:lang w:eastAsia="en-GB"/>
            </w:rPr>
          </w:pPr>
          <w:hyperlink w:anchor="_Toc182410486" w:history="1">
            <w:r w:rsidRPr="006E3CCC">
              <w:rPr>
                <w:rStyle w:val="Hyperlink"/>
                <w:rFonts w:ascii="Arial" w:hAnsi="Arial" w:cs="Arial"/>
                <w:noProof/>
              </w:rPr>
              <w:t>1. Analysis of the current financial position of The City Hotel</w:t>
            </w:r>
            <w:r>
              <w:rPr>
                <w:noProof/>
                <w:webHidden/>
              </w:rPr>
              <w:tab/>
            </w:r>
            <w:r>
              <w:rPr>
                <w:noProof/>
                <w:webHidden/>
              </w:rPr>
              <w:fldChar w:fldCharType="begin"/>
            </w:r>
            <w:r>
              <w:rPr>
                <w:noProof/>
                <w:webHidden/>
              </w:rPr>
              <w:instrText xml:space="preserve"> PAGEREF _Toc182410486 \h </w:instrText>
            </w:r>
            <w:r>
              <w:rPr>
                <w:noProof/>
                <w:webHidden/>
              </w:rPr>
            </w:r>
            <w:r>
              <w:rPr>
                <w:noProof/>
                <w:webHidden/>
              </w:rPr>
              <w:fldChar w:fldCharType="separate"/>
            </w:r>
            <w:r>
              <w:rPr>
                <w:noProof/>
                <w:webHidden/>
              </w:rPr>
              <w:t>3</w:t>
            </w:r>
            <w:r>
              <w:rPr>
                <w:noProof/>
                <w:webHidden/>
              </w:rPr>
              <w:fldChar w:fldCharType="end"/>
            </w:r>
          </w:hyperlink>
        </w:p>
        <w:p w14:paraId="5DFCA2E0" w14:textId="14C64D47" w:rsidR="007E4DAB" w:rsidRDefault="007E4DAB">
          <w:pPr>
            <w:pStyle w:val="TOC3"/>
            <w:tabs>
              <w:tab w:val="right" w:leader="dot" w:pos="9016"/>
            </w:tabs>
            <w:rPr>
              <w:rFonts w:eastAsiaTheme="minorEastAsia"/>
              <w:noProof/>
              <w:sz w:val="24"/>
              <w:szCs w:val="24"/>
              <w:lang w:eastAsia="en-GB"/>
            </w:rPr>
          </w:pPr>
          <w:hyperlink w:anchor="_Toc182410487" w:history="1">
            <w:r w:rsidRPr="006E3CCC">
              <w:rPr>
                <w:rStyle w:val="Hyperlink"/>
                <w:rFonts w:ascii="Arial" w:hAnsi="Arial" w:cs="Arial"/>
                <w:noProof/>
              </w:rPr>
              <w:t>Revenue</w:t>
            </w:r>
            <w:r>
              <w:rPr>
                <w:noProof/>
                <w:webHidden/>
              </w:rPr>
              <w:tab/>
            </w:r>
            <w:r>
              <w:rPr>
                <w:noProof/>
                <w:webHidden/>
              </w:rPr>
              <w:fldChar w:fldCharType="begin"/>
            </w:r>
            <w:r>
              <w:rPr>
                <w:noProof/>
                <w:webHidden/>
              </w:rPr>
              <w:instrText xml:space="preserve"> PAGEREF _Toc182410487 \h </w:instrText>
            </w:r>
            <w:r>
              <w:rPr>
                <w:noProof/>
                <w:webHidden/>
              </w:rPr>
            </w:r>
            <w:r>
              <w:rPr>
                <w:noProof/>
                <w:webHidden/>
              </w:rPr>
              <w:fldChar w:fldCharType="separate"/>
            </w:r>
            <w:r>
              <w:rPr>
                <w:noProof/>
                <w:webHidden/>
              </w:rPr>
              <w:t>3</w:t>
            </w:r>
            <w:r>
              <w:rPr>
                <w:noProof/>
                <w:webHidden/>
              </w:rPr>
              <w:fldChar w:fldCharType="end"/>
            </w:r>
          </w:hyperlink>
        </w:p>
        <w:p w14:paraId="400146CA" w14:textId="384774E2" w:rsidR="007E4DAB" w:rsidRDefault="007E4DAB">
          <w:pPr>
            <w:pStyle w:val="TOC3"/>
            <w:tabs>
              <w:tab w:val="right" w:leader="dot" w:pos="9016"/>
            </w:tabs>
            <w:rPr>
              <w:rFonts w:eastAsiaTheme="minorEastAsia"/>
              <w:noProof/>
              <w:sz w:val="24"/>
              <w:szCs w:val="24"/>
              <w:lang w:eastAsia="en-GB"/>
            </w:rPr>
          </w:pPr>
          <w:hyperlink w:anchor="_Toc182410488" w:history="1">
            <w:r w:rsidRPr="006E3CCC">
              <w:rPr>
                <w:rStyle w:val="Hyperlink"/>
                <w:rFonts w:ascii="Arial" w:hAnsi="Arial" w:cs="Arial"/>
                <w:noProof/>
              </w:rPr>
              <w:t>Expenses</w:t>
            </w:r>
            <w:r>
              <w:rPr>
                <w:noProof/>
                <w:webHidden/>
              </w:rPr>
              <w:tab/>
            </w:r>
            <w:r>
              <w:rPr>
                <w:noProof/>
                <w:webHidden/>
              </w:rPr>
              <w:fldChar w:fldCharType="begin"/>
            </w:r>
            <w:r>
              <w:rPr>
                <w:noProof/>
                <w:webHidden/>
              </w:rPr>
              <w:instrText xml:space="preserve"> PAGEREF _Toc182410488 \h </w:instrText>
            </w:r>
            <w:r>
              <w:rPr>
                <w:noProof/>
                <w:webHidden/>
              </w:rPr>
            </w:r>
            <w:r>
              <w:rPr>
                <w:noProof/>
                <w:webHidden/>
              </w:rPr>
              <w:fldChar w:fldCharType="separate"/>
            </w:r>
            <w:r>
              <w:rPr>
                <w:noProof/>
                <w:webHidden/>
              </w:rPr>
              <w:t>4</w:t>
            </w:r>
            <w:r>
              <w:rPr>
                <w:noProof/>
                <w:webHidden/>
              </w:rPr>
              <w:fldChar w:fldCharType="end"/>
            </w:r>
          </w:hyperlink>
        </w:p>
        <w:p w14:paraId="0C057DF1" w14:textId="7998F931" w:rsidR="007E4DAB" w:rsidRDefault="007E4DAB">
          <w:pPr>
            <w:pStyle w:val="TOC3"/>
            <w:tabs>
              <w:tab w:val="right" w:leader="dot" w:pos="9016"/>
            </w:tabs>
            <w:rPr>
              <w:rFonts w:eastAsiaTheme="minorEastAsia"/>
              <w:noProof/>
              <w:sz w:val="24"/>
              <w:szCs w:val="24"/>
              <w:lang w:eastAsia="en-GB"/>
            </w:rPr>
          </w:pPr>
          <w:hyperlink w:anchor="_Toc182410489" w:history="1">
            <w:r w:rsidRPr="006E3CCC">
              <w:rPr>
                <w:rStyle w:val="Hyperlink"/>
                <w:rFonts w:ascii="Arial" w:hAnsi="Arial" w:cs="Arial"/>
                <w:noProof/>
              </w:rPr>
              <w:t>Profitability</w:t>
            </w:r>
            <w:r>
              <w:rPr>
                <w:noProof/>
                <w:webHidden/>
              </w:rPr>
              <w:tab/>
            </w:r>
            <w:r>
              <w:rPr>
                <w:noProof/>
                <w:webHidden/>
              </w:rPr>
              <w:fldChar w:fldCharType="begin"/>
            </w:r>
            <w:r>
              <w:rPr>
                <w:noProof/>
                <w:webHidden/>
              </w:rPr>
              <w:instrText xml:space="preserve"> PAGEREF _Toc182410489 \h </w:instrText>
            </w:r>
            <w:r>
              <w:rPr>
                <w:noProof/>
                <w:webHidden/>
              </w:rPr>
            </w:r>
            <w:r>
              <w:rPr>
                <w:noProof/>
                <w:webHidden/>
              </w:rPr>
              <w:fldChar w:fldCharType="separate"/>
            </w:r>
            <w:r>
              <w:rPr>
                <w:noProof/>
                <w:webHidden/>
              </w:rPr>
              <w:t>4</w:t>
            </w:r>
            <w:r>
              <w:rPr>
                <w:noProof/>
                <w:webHidden/>
              </w:rPr>
              <w:fldChar w:fldCharType="end"/>
            </w:r>
          </w:hyperlink>
        </w:p>
        <w:p w14:paraId="49BD2FC3" w14:textId="3DE225E5" w:rsidR="007E4DAB" w:rsidRDefault="007E4DAB">
          <w:pPr>
            <w:pStyle w:val="TOC3"/>
            <w:tabs>
              <w:tab w:val="right" w:leader="dot" w:pos="9016"/>
            </w:tabs>
            <w:rPr>
              <w:rFonts w:eastAsiaTheme="minorEastAsia"/>
              <w:noProof/>
              <w:sz w:val="24"/>
              <w:szCs w:val="24"/>
              <w:lang w:eastAsia="en-GB"/>
            </w:rPr>
          </w:pPr>
          <w:hyperlink w:anchor="_Toc182410490" w:history="1">
            <w:r w:rsidRPr="006E3CCC">
              <w:rPr>
                <w:rStyle w:val="Hyperlink"/>
                <w:rFonts w:ascii="Arial" w:hAnsi="Arial" w:cs="Arial"/>
                <w:noProof/>
              </w:rPr>
              <w:t>Liquidity</w:t>
            </w:r>
            <w:r>
              <w:rPr>
                <w:noProof/>
                <w:webHidden/>
              </w:rPr>
              <w:tab/>
            </w:r>
            <w:r>
              <w:rPr>
                <w:noProof/>
                <w:webHidden/>
              </w:rPr>
              <w:fldChar w:fldCharType="begin"/>
            </w:r>
            <w:r>
              <w:rPr>
                <w:noProof/>
                <w:webHidden/>
              </w:rPr>
              <w:instrText xml:space="preserve"> PAGEREF _Toc182410490 \h </w:instrText>
            </w:r>
            <w:r>
              <w:rPr>
                <w:noProof/>
                <w:webHidden/>
              </w:rPr>
            </w:r>
            <w:r>
              <w:rPr>
                <w:noProof/>
                <w:webHidden/>
              </w:rPr>
              <w:fldChar w:fldCharType="separate"/>
            </w:r>
            <w:r>
              <w:rPr>
                <w:noProof/>
                <w:webHidden/>
              </w:rPr>
              <w:t>5</w:t>
            </w:r>
            <w:r>
              <w:rPr>
                <w:noProof/>
                <w:webHidden/>
              </w:rPr>
              <w:fldChar w:fldCharType="end"/>
            </w:r>
          </w:hyperlink>
        </w:p>
        <w:p w14:paraId="79DE21EE" w14:textId="428C5A13" w:rsidR="007E4DAB" w:rsidRDefault="007E4DAB">
          <w:pPr>
            <w:pStyle w:val="TOC3"/>
            <w:tabs>
              <w:tab w:val="right" w:leader="dot" w:pos="9016"/>
            </w:tabs>
            <w:rPr>
              <w:rFonts w:eastAsiaTheme="minorEastAsia"/>
              <w:noProof/>
              <w:sz w:val="24"/>
              <w:szCs w:val="24"/>
              <w:lang w:eastAsia="en-GB"/>
            </w:rPr>
          </w:pPr>
          <w:hyperlink w:anchor="_Toc182410491" w:history="1">
            <w:r w:rsidRPr="006E3CCC">
              <w:rPr>
                <w:rStyle w:val="Hyperlink"/>
                <w:rFonts w:ascii="Arial" w:hAnsi="Arial" w:cs="Arial"/>
                <w:noProof/>
              </w:rPr>
              <w:t>Solvency</w:t>
            </w:r>
            <w:r>
              <w:rPr>
                <w:noProof/>
                <w:webHidden/>
              </w:rPr>
              <w:tab/>
            </w:r>
            <w:r>
              <w:rPr>
                <w:noProof/>
                <w:webHidden/>
              </w:rPr>
              <w:fldChar w:fldCharType="begin"/>
            </w:r>
            <w:r>
              <w:rPr>
                <w:noProof/>
                <w:webHidden/>
              </w:rPr>
              <w:instrText xml:space="preserve"> PAGEREF _Toc182410491 \h </w:instrText>
            </w:r>
            <w:r>
              <w:rPr>
                <w:noProof/>
                <w:webHidden/>
              </w:rPr>
            </w:r>
            <w:r>
              <w:rPr>
                <w:noProof/>
                <w:webHidden/>
              </w:rPr>
              <w:fldChar w:fldCharType="separate"/>
            </w:r>
            <w:r>
              <w:rPr>
                <w:noProof/>
                <w:webHidden/>
              </w:rPr>
              <w:t>6</w:t>
            </w:r>
            <w:r>
              <w:rPr>
                <w:noProof/>
                <w:webHidden/>
              </w:rPr>
              <w:fldChar w:fldCharType="end"/>
            </w:r>
          </w:hyperlink>
        </w:p>
        <w:p w14:paraId="59C89C59" w14:textId="3B3C859F" w:rsidR="007E4DAB" w:rsidRDefault="007E4DAB">
          <w:pPr>
            <w:pStyle w:val="TOC2"/>
            <w:tabs>
              <w:tab w:val="right" w:leader="dot" w:pos="9016"/>
            </w:tabs>
            <w:rPr>
              <w:rFonts w:eastAsiaTheme="minorEastAsia"/>
              <w:noProof/>
              <w:sz w:val="24"/>
              <w:szCs w:val="24"/>
              <w:lang w:eastAsia="en-GB"/>
            </w:rPr>
          </w:pPr>
          <w:hyperlink w:anchor="_Toc182410492" w:history="1">
            <w:r w:rsidRPr="006E3CCC">
              <w:rPr>
                <w:rStyle w:val="Hyperlink"/>
                <w:rFonts w:ascii="Arial" w:hAnsi="Arial" w:cs="Arial"/>
                <w:noProof/>
              </w:rPr>
              <w:t>2. Fundamental causes behind declined profit in The City Hotel</w:t>
            </w:r>
            <w:r>
              <w:rPr>
                <w:noProof/>
                <w:webHidden/>
              </w:rPr>
              <w:tab/>
            </w:r>
            <w:r>
              <w:rPr>
                <w:noProof/>
                <w:webHidden/>
              </w:rPr>
              <w:fldChar w:fldCharType="begin"/>
            </w:r>
            <w:r>
              <w:rPr>
                <w:noProof/>
                <w:webHidden/>
              </w:rPr>
              <w:instrText xml:space="preserve"> PAGEREF _Toc182410492 \h </w:instrText>
            </w:r>
            <w:r>
              <w:rPr>
                <w:noProof/>
                <w:webHidden/>
              </w:rPr>
            </w:r>
            <w:r>
              <w:rPr>
                <w:noProof/>
                <w:webHidden/>
              </w:rPr>
              <w:fldChar w:fldCharType="separate"/>
            </w:r>
            <w:r>
              <w:rPr>
                <w:noProof/>
                <w:webHidden/>
              </w:rPr>
              <w:t>7</w:t>
            </w:r>
            <w:r>
              <w:rPr>
                <w:noProof/>
                <w:webHidden/>
              </w:rPr>
              <w:fldChar w:fldCharType="end"/>
            </w:r>
          </w:hyperlink>
        </w:p>
        <w:p w14:paraId="0022E9F6" w14:textId="4CDB408E" w:rsidR="007E4DAB" w:rsidRDefault="007E4DAB">
          <w:pPr>
            <w:pStyle w:val="TOC3"/>
            <w:tabs>
              <w:tab w:val="right" w:leader="dot" w:pos="9016"/>
            </w:tabs>
            <w:rPr>
              <w:rFonts w:eastAsiaTheme="minorEastAsia"/>
              <w:noProof/>
              <w:sz w:val="24"/>
              <w:szCs w:val="24"/>
              <w:lang w:eastAsia="en-GB"/>
            </w:rPr>
          </w:pPr>
          <w:hyperlink w:anchor="_Toc182410493" w:history="1">
            <w:r w:rsidRPr="006E3CCC">
              <w:rPr>
                <w:rStyle w:val="Hyperlink"/>
                <w:rFonts w:ascii="Arial" w:hAnsi="Arial" w:cs="Arial"/>
                <w:noProof/>
              </w:rPr>
              <w:t>Geopolitics and world events</w:t>
            </w:r>
            <w:r>
              <w:rPr>
                <w:noProof/>
                <w:webHidden/>
              </w:rPr>
              <w:tab/>
            </w:r>
            <w:r>
              <w:rPr>
                <w:noProof/>
                <w:webHidden/>
              </w:rPr>
              <w:fldChar w:fldCharType="begin"/>
            </w:r>
            <w:r>
              <w:rPr>
                <w:noProof/>
                <w:webHidden/>
              </w:rPr>
              <w:instrText xml:space="preserve"> PAGEREF _Toc182410493 \h </w:instrText>
            </w:r>
            <w:r>
              <w:rPr>
                <w:noProof/>
                <w:webHidden/>
              </w:rPr>
            </w:r>
            <w:r>
              <w:rPr>
                <w:noProof/>
                <w:webHidden/>
              </w:rPr>
              <w:fldChar w:fldCharType="separate"/>
            </w:r>
            <w:r>
              <w:rPr>
                <w:noProof/>
                <w:webHidden/>
              </w:rPr>
              <w:t>7</w:t>
            </w:r>
            <w:r>
              <w:rPr>
                <w:noProof/>
                <w:webHidden/>
              </w:rPr>
              <w:fldChar w:fldCharType="end"/>
            </w:r>
          </w:hyperlink>
        </w:p>
        <w:p w14:paraId="56763DDC" w14:textId="19A6ED3C" w:rsidR="007E4DAB" w:rsidRDefault="007E4DAB">
          <w:pPr>
            <w:pStyle w:val="TOC3"/>
            <w:tabs>
              <w:tab w:val="right" w:leader="dot" w:pos="9016"/>
            </w:tabs>
            <w:rPr>
              <w:rFonts w:eastAsiaTheme="minorEastAsia"/>
              <w:noProof/>
              <w:sz w:val="24"/>
              <w:szCs w:val="24"/>
              <w:lang w:eastAsia="en-GB"/>
            </w:rPr>
          </w:pPr>
          <w:hyperlink w:anchor="_Toc182410494" w:history="1">
            <w:r w:rsidRPr="006E3CCC">
              <w:rPr>
                <w:rStyle w:val="Hyperlink"/>
                <w:rFonts w:ascii="Arial" w:hAnsi="Arial" w:cs="Arial"/>
                <w:noProof/>
              </w:rPr>
              <w:t>Global warming</w:t>
            </w:r>
            <w:r>
              <w:rPr>
                <w:noProof/>
                <w:webHidden/>
              </w:rPr>
              <w:tab/>
            </w:r>
            <w:r>
              <w:rPr>
                <w:noProof/>
                <w:webHidden/>
              </w:rPr>
              <w:fldChar w:fldCharType="begin"/>
            </w:r>
            <w:r>
              <w:rPr>
                <w:noProof/>
                <w:webHidden/>
              </w:rPr>
              <w:instrText xml:space="preserve"> PAGEREF _Toc182410494 \h </w:instrText>
            </w:r>
            <w:r>
              <w:rPr>
                <w:noProof/>
                <w:webHidden/>
              </w:rPr>
            </w:r>
            <w:r>
              <w:rPr>
                <w:noProof/>
                <w:webHidden/>
              </w:rPr>
              <w:fldChar w:fldCharType="separate"/>
            </w:r>
            <w:r>
              <w:rPr>
                <w:noProof/>
                <w:webHidden/>
              </w:rPr>
              <w:t>8</w:t>
            </w:r>
            <w:r>
              <w:rPr>
                <w:noProof/>
                <w:webHidden/>
              </w:rPr>
              <w:fldChar w:fldCharType="end"/>
            </w:r>
          </w:hyperlink>
        </w:p>
        <w:p w14:paraId="1130034F" w14:textId="0960F496" w:rsidR="007E4DAB" w:rsidRDefault="007E4DAB">
          <w:pPr>
            <w:pStyle w:val="TOC3"/>
            <w:tabs>
              <w:tab w:val="right" w:leader="dot" w:pos="9016"/>
            </w:tabs>
            <w:rPr>
              <w:rFonts w:eastAsiaTheme="minorEastAsia"/>
              <w:noProof/>
              <w:sz w:val="24"/>
              <w:szCs w:val="24"/>
              <w:lang w:eastAsia="en-GB"/>
            </w:rPr>
          </w:pPr>
          <w:hyperlink w:anchor="_Toc182410495" w:history="1">
            <w:r w:rsidRPr="006E3CCC">
              <w:rPr>
                <w:rStyle w:val="Hyperlink"/>
                <w:rFonts w:ascii="Arial" w:hAnsi="Arial" w:cs="Arial"/>
                <w:noProof/>
              </w:rPr>
              <w:t>Rising labour costs and hotel staff shortages</w:t>
            </w:r>
            <w:r>
              <w:rPr>
                <w:noProof/>
                <w:webHidden/>
              </w:rPr>
              <w:tab/>
            </w:r>
            <w:r>
              <w:rPr>
                <w:noProof/>
                <w:webHidden/>
              </w:rPr>
              <w:fldChar w:fldCharType="begin"/>
            </w:r>
            <w:r>
              <w:rPr>
                <w:noProof/>
                <w:webHidden/>
              </w:rPr>
              <w:instrText xml:space="preserve"> PAGEREF _Toc182410495 \h </w:instrText>
            </w:r>
            <w:r>
              <w:rPr>
                <w:noProof/>
                <w:webHidden/>
              </w:rPr>
            </w:r>
            <w:r>
              <w:rPr>
                <w:noProof/>
                <w:webHidden/>
              </w:rPr>
              <w:fldChar w:fldCharType="separate"/>
            </w:r>
            <w:r>
              <w:rPr>
                <w:noProof/>
                <w:webHidden/>
              </w:rPr>
              <w:t>8</w:t>
            </w:r>
            <w:r>
              <w:rPr>
                <w:noProof/>
                <w:webHidden/>
              </w:rPr>
              <w:fldChar w:fldCharType="end"/>
            </w:r>
          </w:hyperlink>
        </w:p>
        <w:p w14:paraId="79FB9C27" w14:textId="451CB74B" w:rsidR="007E4DAB" w:rsidRDefault="007E4DAB">
          <w:pPr>
            <w:pStyle w:val="TOC2"/>
            <w:tabs>
              <w:tab w:val="right" w:leader="dot" w:pos="9016"/>
            </w:tabs>
            <w:rPr>
              <w:rFonts w:eastAsiaTheme="minorEastAsia"/>
              <w:noProof/>
              <w:sz w:val="24"/>
              <w:szCs w:val="24"/>
              <w:lang w:eastAsia="en-GB"/>
            </w:rPr>
          </w:pPr>
          <w:hyperlink w:anchor="_Toc182410496" w:history="1">
            <w:r w:rsidRPr="006E3CCC">
              <w:rPr>
                <w:rStyle w:val="Hyperlink"/>
                <w:rFonts w:ascii="Arial" w:hAnsi="Arial" w:cs="Arial"/>
                <w:noProof/>
              </w:rPr>
              <w:t>3. Application of turnaround strategies for business operations</w:t>
            </w:r>
            <w:r>
              <w:rPr>
                <w:noProof/>
                <w:webHidden/>
              </w:rPr>
              <w:tab/>
            </w:r>
            <w:r>
              <w:rPr>
                <w:noProof/>
                <w:webHidden/>
              </w:rPr>
              <w:fldChar w:fldCharType="begin"/>
            </w:r>
            <w:r>
              <w:rPr>
                <w:noProof/>
                <w:webHidden/>
              </w:rPr>
              <w:instrText xml:space="preserve"> PAGEREF _Toc182410496 \h </w:instrText>
            </w:r>
            <w:r>
              <w:rPr>
                <w:noProof/>
                <w:webHidden/>
              </w:rPr>
            </w:r>
            <w:r>
              <w:rPr>
                <w:noProof/>
                <w:webHidden/>
              </w:rPr>
              <w:fldChar w:fldCharType="separate"/>
            </w:r>
            <w:r>
              <w:rPr>
                <w:noProof/>
                <w:webHidden/>
              </w:rPr>
              <w:t>9</w:t>
            </w:r>
            <w:r>
              <w:rPr>
                <w:noProof/>
                <w:webHidden/>
              </w:rPr>
              <w:fldChar w:fldCharType="end"/>
            </w:r>
          </w:hyperlink>
        </w:p>
        <w:p w14:paraId="44A275AF" w14:textId="54CA3A9F" w:rsidR="007E4DAB" w:rsidRDefault="007E4DAB">
          <w:pPr>
            <w:pStyle w:val="TOC1"/>
            <w:tabs>
              <w:tab w:val="right" w:leader="dot" w:pos="9016"/>
            </w:tabs>
            <w:rPr>
              <w:rFonts w:eastAsiaTheme="minorEastAsia"/>
              <w:noProof/>
              <w:sz w:val="24"/>
              <w:szCs w:val="24"/>
              <w:lang w:eastAsia="en-GB"/>
            </w:rPr>
          </w:pPr>
          <w:hyperlink w:anchor="_Toc182410497" w:history="1">
            <w:r w:rsidRPr="006E3CC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_Toc182410497 \h </w:instrText>
            </w:r>
            <w:r>
              <w:rPr>
                <w:noProof/>
                <w:webHidden/>
              </w:rPr>
            </w:r>
            <w:r>
              <w:rPr>
                <w:noProof/>
                <w:webHidden/>
              </w:rPr>
              <w:fldChar w:fldCharType="separate"/>
            </w:r>
            <w:r>
              <w:rPr>
                <w:noProof/>
                <w:webHidden/>
              </w:rPr>
              <w:t>10</w:t>
            </w:r>
            <w:r>
              <w:rPr>
                <w:noProof/>
                <w:webHidden/>
              </w:rPr>
              <w:fldChar w:fldCharType="end"/>
            </w:r>
          </w:hyperlink>
        </w:p>
        <w:p w14:paraId="27899B9C" w14:textId="3AC87829" w:rsidR="007E4DAB" w:rsidRDefault="007E4DAB">
          <w:pPr>
            <w:pStyle w:val="TOC1"/>
            <w:tabs>
              <w:tab w:val="right" w:leader="dot" w:pos="9016"/>
            </w:tabs>
            <w:rPr>
              <w:rFonts w:eastAsiaTheme="minorEastAsia"/>
              <w:noProof/>
              <w:sz w:val="24"/>
              <w:szCs w:val="24"/>
              <w:lang w:eastAsia="en-GB"/>
            </w:rPr>
          </w:pPr>
          <w:hyperlink w:anchor="_Toc182410498" w:history="1">
            <w:r w:rsidRPr="006E3CC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_Toc182410498 \h </w:instrText>
            </w:r>
            <w:r>
              <w:rPr>
                <w:noProof/>
                <w:webHidden/>
              </w:rPr>
            </w:r>
            <w:r>
              <w:rPr>
                <w:noProof/>
                <w:webHidden/>
              </w:rPr>
              <w:fldChar w:fldCharType="separate"/>
            </w:r>
            <w:r>
              <w:rPr>
                <w:noProof/>
                <w:webHidden/>
              </w:rPr>
              <w:t>11</w:t>
            </w:r>
            <w:r>
              <w:rPr>
                <w:noProof/>
                <w:webHidden/>
              </w:rPr>
              <w:fldChar w:fldCharType="end"/>
            </w:r>
          </w:hyperlink>
        </w:p>
        <w:p w14:paraId="5C4DD4D2" w14:textId="65236BC3" w:rsidR="00B539F0" w:rsidRPr="00241B5B" w:rsidRDefault="00B539F0" w:rsidP="00241B5B">
          <w:pPr>
            <w:spacing w:line="360" w:lineRule="auto"/>
            <w:jc w:val="both"/>
            <w:rPr>
              <w:rFonts w:ascii="Arial" w:hAnsi="Arial" w:cs="Arial"/>
              <w:sz w:val="24"/>
              <w:szCs w:val="24"/>
            </w:rPr>
          </w:pPr>
          <w:r w:rsidRPr="00241B5B">
            <w:rPr>
              <w:rFonts w:ascii="Arial" w:hAnsi="Arial" w:cs="Arial"/>
              <w:b/>
              <w:bCs/>
              <w:noProof/>
              <w:sz w:val="24"/>
              <w:szCs w:val="24"/>
            </w:rPr>
            <w:fldChar w:fldCharType="end"/>
          </w:r>
        </w:p>
      </w:sdtContent>
    </w:sdt>
    <w:p w14:paraId="10EEF9C3" w14:textId="77777777" w:rsidR="00B539F0" w:rsidRPr="00241B5B" w:rsidRDefault="00B539F0" w:rsidP="00241B5B">
      <w:pPr>
        <w:spacing w:line="360" w:lineRule="auto"/>
        <w:jc w:val="both"/>
        <w:rPr>
          <w:rFonts w:ascii="Arial" w:hAnsi="Arial" w:cs="Arial"/>
          <w:sz w:val="24"/>
          <w:szCs w:val="24"/>
        </w:rPr>
      </w:pPr>
    </w:p>
    <w:p w14:paraId="387BE6B3" w14:textId="77777777" w:rsidR="00B539F0" w:rsidRPr="00241B5B" w:rsidRDefault="00B539F0" w:rsidP="00241B5B">
      <w:pPr>
        <w:spacing w:line="360" w:lineRule="auto"/>
        <w:jc w:val="both"/>
        <w:rPr>
          <w:rFonts w:ascii="Arial" w:hAnsi="Arial" w:cs="Arial"/>
          <w:sz w:val="24"/>
          <w:szCs w:val="24"/>
        </w:rPr>
      </w:pPr>
    </w:p>
    <w:p w14:paraId="45E22317" w14:textId="77777777" w:rsidR="00B539F0" w:rsidRPr="00241B5B" w:rsidRDefault="00B539F0" w:rsidP="00241B5B">
      <w:pPr>
        <w:spacing w:line="360" w:lineRule="auto"/>
        <w:jc w:val="both"/>
        <w:rPr>
          <w:rFonts w:ascii="Arial" w:hAnsi="Arial" w:cs="Arial"/>
          <w:sz w:val="24"/>
          <w:szCs w:val="24"/>
        </w:rPr>
      </w:pPr>
    </w:p>
    <w:p w14:paraId="4BF6F7F7" w14:textId="77777777" w:rsidR="00B539F0" w:rsidRPr="00241B5B" w:rsidRDefault="00B539F0" w:rsidP="00241B5B">
      <w:pPr>
        <w:spacing w:line="360" w:lineRule="auto"/>
        <w:jc w:val="both"/>
        <w:rPr>
          <w:rFonts w:ascii="Arial" w:hAnsi="Arial" w:cs="Arial"/>
          <w:sz w:val="24"/>
          <w:szCs w:val="24"/>
        </w:rPr>
      </w:pPr>
    </w:p>
    <w:p w14:paraId="233762E6" w14:textId="77777777" w:rsidR="00B539F0" w:rsidRPr="00241B5B" w:rsidRDefault="00B539F0" w:rsidP="00241B5B">
      <w:pPr>
        <w:spacing w:line="360" w:lineRule="auto"/>
        <w:jc w:val="both"/>
        <w:rPr>
          <w:rFonts w:ascii="Arial" w:hAnsi="Arial" w:cs="Arial"/>
          <w:sz w:val="24"/>
          <w:szCs w:val="24"/>
        </w:rPr>
      </w:pPr>
    </w:p>
    <w:p w14:paraId="23D8B089" w14:textId="77777777" w:rsidR="00B539F0" w:rsidRPr="00241B5B" w:rsidRDefault="00B539F0" w:rsidP="00241B5B">
      <w:pPr>
        <w:spacing w:line="360" w:lineRule="auto"/>
        <w:jc w:val="both"/>
        <w:rPr>
          <w:rFonts w:ascii="Arial" w:hAnsi="Arial" w:cs="Arial"/>
          <w:sz w:val="24"/>
          <w:szCs w:val="24"/>
        </w:rPr>
      </w:pPr>
    </w:p>
    <w:p w14:paraId="58948CAA" w14:textId="77777777" w:rsidR="00B539F0" w:rsidRDefault="00B539F0" w:rsidP="00241B5B">
      <w:pPr>
        <w:spacing w:line="360" w:lineRule="auto"/>
        <w:jc w:val="both"/>
        <w:rPr>
          <w:rFonts w:ascii="Arial" w:hAnsi="Arial" w:cs="Arial"/>
          <w:sz w:val="24"/>
          <w:szCs w:val="24"/>
        </w:rPr>
      </w:pPr>
    </w:p>
    <w:p w14:paraId="598D4163" w14:textId="77777777" w:rsidR="007E4DAB" w:rsidRPr="00241B5B" w:rsidRDefault="007E4DAB" w:rsidP="00241B5B">
      <w:pPr>
        <w:spacing w:line="360" w:lineRule="auto"/>
        <w:jc w:val="both"/>
        <w:rPr>
          <w:rFonts w:ascii="Arial" w:hAnsi="Arial" w:cs="Arial"/>
          <w:sz w:val="24"/>
          <w:szCs w:val="24"/>
        </w:rPr>
      </w:pPr>
    </w:p>
    <w:p w14:paraId="4E3B06F9" w14:textId="77777777" w:rsidR="007E4DAB" w:rsidRPr="00241B5B" w:rsidRDefault="007E4DAB" w:rsidP="00241B5B">
      <w:pPr>
        <w:spacing w:line="360" w:lineRule="auto"/>
        <w:jc w:val="both"/>
        <w:rPr>
          <w:rFonts w:ascii="Arial" w:hAnsi="Arial" w:cs="Arial"/>
          <w:sz w:val="24"/>
          <w:szCs w:val="24"/>
        </w:rPr>
      </w:pPr>
    </w:p>
    <w:p w14:paraId="141BF78E" w14:textId="52CA31CA" w:rsidR="00B539F0" w:rsidRPr="00241B5B" w:rsidRDefault="00B539F0" w:rsidP="00241B5B">
      <w:pPr>
        <w:pStyle w:val="Heading1"/>
        <w:spacing w:line="360" w:lineRule="auto"/>
        <w:jc w:val="both"/>
        <w:rPr>
          <w:rFonts w:ascii="Arial" w:hAnsi="Arial" w:cs="Arial"/>
          <w:sz w:val="24"/>
          <w:szCs w:val="24"/>
        </w:rPr>
      </w:pPr>
      <w:bookmarkStart w:id="0" w:name="_Toc182410484"/>
      <w:r w:rsidRPr="00241B5B">
        <w:rPr>
          <w:rFonts w:ascii="Arial" w:hAnsi="Arial" w:cs="Arial"/>
          <w:sz w:val="24"/>
          <w:szCs w:val="24"/>
        </w:rPr>
        <w:lastRenderedPageBreak/>
        <w:t>Introduction</w:t>
      </w:r>
      <w:bookmarkEnd w:id="0"/>
    </w:p>
    <w:p w14:paraId="13414441" w14:textId="74EEB333" w:rsidR="00A908BC" w:rsidRPr="00241B5B" w:rsidRDefault="006A51D4" w:rsidP="00241B5B">
      <w:pPr>
        <w:spacing w:line="360" w:lineRule="auto"/>
        <w:jc w:val="both"/>
        <w:rPr>
          <w:rFonts w:ascii="Arial" w:hAnsi="Arial" w:cs="Arial"/>
          <w:sz w:val="24"/>
          <w:szCs w:val="24"/>
        </w:rPr>
      </w:pPr>
      <w:r>
        <w:rPr>
          <w:rFonts w:ascii="Arial" w:hAnsi="Arial" w:cs="Arial"/>
          <w:sz w:val="24"/>
          <w:szCs w:val="24"/>
        </w:rPr>
        <w:t>A more thorough grasp of a company’s success can be obtained by evaluating accounting roles inside</w:t>
      </w:r>
      <w:r w:rsidR="00A2587C">
        <w:rPr>
          <w:rFonts w:ascii="Arial" w:hAnsi="Arial" w:cs="Arial"/>
          <w:sz w:val="24"/>
          <w:szCs w:val="24"/>
        </w:rPr>
        <w:t xml:space="preserve"> firms by looking at both financial and non-financial </w:t>
      </w:r>
      <w:r w:rsidR="00CB55AF">
        <w:rPr>
          <w:rFonts w:ascii="Arial" w:hAnsi="Arial" w:cs="Arial"/>
          <w:sz w:val="24"/>
          <w:szCs w:val="24"/>
        </w:rPr>
        <w:t xml:space="preserve">criteria. </w:t>
      </w:r>
      <w:r w:rsidR="002C1CA4" w:rsidRPr="00241B5B">
        <w:rPr>
          <w:rFonts w:ascii="Arial" w:hAnsi="Arial" w:cs="Arial"/>
          <w:sz w:val="24"/>
          <w:szCs w:val="24"/>
        </w:rPr>
        <w:t>Metrics such as customer satisfaction, internal processes, and innovation complement traditional financial indicators, fostering growth while maintaining stability. These non-financial metrics, particularly within corporate sustainability, are recogni</w:t>
      </w:r>
      <w:r w:rsidR="00F029CD" w:rsidRPr="00241B5B">
        <w:rPr>
          <w:rFonts w:ascii="Arial" w:hAnsi="Arial" w:cs="Arial"/>
          <w:sz w:val="24"/>
          <w:szCs w:val="24"/>
        </w:rPr>
        <w:t>s</w:t>
      </w:r>
      <w:r w:rsidR="002C1CA4" w:rsidRPr="00241B5B">
        <w:rPr>
          <w:rFonts w:ascii="Arial" w:hAnsi="Arial" w:cs="Arial"/>
          <w:sz w:val="24"/>
          <w:szCs w:val="24"/>
        </w:rPr>
        <w:t xml:space="preserve">ed as crucial components for comprehensive performance </w:t>
      </w:r>
      <w:r w:rsidR="00E24D90" w:rsidRPr="00241B5B">
        <w:rPr>
          <w:rFonts w:ascii="Arial" w:hAnsi="Arial" w:cs="Arial"/>
          <w:sz w:val="24"/>
          <w:szCs w:val="24"/>
        </w:rPr>
        <w:t xml:space="preserve">(Eccles, Ioannou, </w:t>
      </w:r>
      <w:r w:rsidR="00D46505" w:rsidRPr="00241B5B">
        <w:rPr>
          <w:rFonts w:ascii="Arial" w:hAnsi="Arial" w:cs="Arial"/>
          <w:sz w:val="24"/>
          <w:szCs w:val="24"/>
        </w:rPr>
        <w:t>&amp;</w:t>
      </w:r>
      <w:r w:rsidR="00E24D90" w:rsidRPr="00241B5B">
        <w:rPr>
          <w:rFonts w:ascii="Arial" w:hAnsi="Arial" w:cs="Arial"/>
          <w:sz w:val="24"/>
          <w:szCs w:val="24"/>
        </w:rPr>
        <w:t xml:space="preserve"> Serafeim, 2014).</w:t>
      </w:r>
      <w:r w:rsidR="005B1940" w:rsidRPr="00241B5B">
        <w:rPr>
          <w:rFonts w:ascii="Arial" w:hAnsi="Arial" w:cs="Arial"/>
          <w:sz w:val="24"/>
          <w:szCs w:val="24"/>
        </w:rPr>
        <w:t xml:space="preserve"> In this report, the financial performance</w:t>
      </w:r>
      <w:r w:rsidR="00F4371D" w:rsidRPr="00241B5B">
        <w:rPr>
          <w:rFonts w:ascii="Arial" w:hAnsi="Arial" w:cs="Arial"/>
          <w:sz w:val="24"/>
          <w:szCs w:val="24"/>
        </w:rPr>
        <w:t>,</w:t>
      </w:r>
      <w:r w:rsidR="005B1940" w:rsidRPr="00241B5B">
        <w:rPr>
          <w:rFonts w:ascii="Arial" w:hAnsi="Arial" w:cs="Arial"/>
          <w:sz w:val="24"/>
          <w:szCs w:val="24"/>
        </w:rPr>
        <w:t xml:space="preserve"> including the applicability of some strategic initiatives over the business of The City Hotel</w:t>
      </w:r>
      <w:r w:rsidR="00F4371D" w:rsidRPr="00241B5B">
        <w:rPr>
          <w:rFonts w:ascii="Arial" w:hAnsi="Arial" w:cs="Arial"/>
          <w:sz w:val="24"/>
          <w:szCs w:val="24"/>
        </w:rPr>
        <w:t>,</w:t>
      </w:r>
      <w:r w:rsidR="005B1940" w:rsidRPr="00241B5B">
        <w:rPr>
          <w:rFonts w:ascii="Arial" w:hAnsi="Arial" w:cs="Arial"/>
          <w:sz w:val="24"/>
          <w:szCs w:val="24"/>
        </w:rPr>
        <w:t xml:space="preserve"> is mainly considered t</w:t>
      </w:r>
      <w:r w:rsidR="00F4371D" w:rsidRPr="00241B5B">
        <w:rPr>
          <w:rFonts w:ascii="Arial" w:hAnsi="Arial" w:cs="Arial"/>
          <w:sz w:val="24"/>
          <w:szCs w:val="24"/>
        </w:rPr>
        <w:t>o</w:t>
      </w:r>
      <w:r w:rsidR="005B1940" w:rsidRPr="00241B5B">
        <w:rPr>
          <w:rFonts w:ascii="Arial" w:hAnsi="Arial" w:cs="Arial"/>
          <w:sz w:val="24"/>
          <w:szCs w:val="24"/>
        </w:rPr>
        <w:t xml:space="preserve"> provide a positive understanding</w:t>
      </w:r>
      <w:r w:rsidR="00F4371D" w:rsidRPr="00241B5B">
        <w:rPr>
          <w:rFonts w:ascii="Arial" w:hAnsi="Arial" w:cs="Arial"/>
          <w:sz w:val="24"/>
          <w:szCs w:val="24"/>
        </w:rPr>
        <w:t>,</w:t>
      </w:r>
      <w:r w:rsidR="005B1940" w:rsidRPr="00241B5B">
        <w:rPr>
          <w:rFonts w:ascii="Arial" w:hAnsi="Arial" w:cs="Arial"/>
          <w:sz w:val="24"/>
          <w:szCs w:val="24"/>
        </w:rPr>
        <w:t xml:space="preserve"> including the value processing approach on a developing basis. </w:t>
      </w:r>
    </w:p>
    <w:p w14:paraId="7AC28A99" w14:textId="77777777" w:rsidR="00105B96" w:rsidRPr="00241B5B" w:rsidRDefault="00105B96" w:rsidP="00241B5B">
      <w:pPr>
        <w:pStyle w:val="Heading1"/>
        <w:spacing w:line="360" w:lineRule="auto"/>
        <w:jc w:val="both"/>
        <w:rPr>
          <w:rFonts w:ascii="Arial" w:hAnsi="Arial" w:cs="Arial"/>
          <w:sz w:val="24"/>
          <w:szCs w:val="24"/>
        </w:rPr>
      </w:pPr>
      <w:bookmarkStart w:id="1" w:name="_Toc182410485"/>
      <w:r w:rsidRPr="00241B5B">
        <w:rPr>
          <w:rFonts w:ascii="Arial" w:hAnsi="Arial" w:cs="Arial"/>
          <w:sz w:val="24"/>
          <w:szCs w:val="24"/>
        </w:rPr>
        <w:t>Discussions</w:t>
      </w:r>
      <w:bookmarkEnd w:id="1"/>
      <w:r w:rsidRPr="00241B5B">
        <w:rPr>
          <w:rFonts w:ascii="Arial" w:hAnsi="Arial" w:cs="Arial"/>
          <w:sz w:val="24"/>
          <w:szCs w:val="24"/>
        </w:rPr>
        <w:t xml:space="preserve"> </w:t>
      </w:r>
    </w:p>
    <w:p w14:paraId="144C1BE7" w14:textId="77777777" w:rsidR="00105B96" w:rsidRPr="00241B5B" w:rsidRDefault="00105B96" w:rsidP="00241B5B">
      <w:pPr>
        <w:pStyle w:val="Heading2"/>
        <w:spacing w:line="360" w:lineRule="auto"/>
        <w:jc w:val="both"/>
        <w:rPr>
          <w:rFonts w:ascii="Arial" w:hAnsi="Arial" w:cs="Arial"/>
          <w:sz w:val="24"/>
          <w:szCs w:val="24"/>
        </w:rPr>
      </w:pPr>
      <w:bookmarkStart w:id="2" w:name="_Toc182410486"/>
      <w:r w:rsidRPr="00241B5B">
        <w:rPr>
          <w:rFonts w:ascii="Arial" w:hAnsi="Arial" w:cs="Arial"/>
          <w:sz w:val="24"/>
          <w:szCs w:val="24"/>
        </w:rPr>
        <w:t>1. Analysis of the current financial position of The City Hotel</w:t>
      </w:r>
      <w:bookmarkEnd w:id="2"/>
    </w:p>
    <w:p w14:paraId="46D728C9" w14:textId="71EA1E63" w:rsidR="00105B96" w:rsidRPr="00241B5B" w:rsidRDefault="00105B96" w:rsidP="00241B5B">
      <w:pPr>
        <w:spacing w:line="360" w:lineRule="auto"/>
        <w:jc w:val="both"/>
        <w:rPr>
          <w:rFonts w:ascii="Arial" w:hAnsi="Arial" w:cs="Arial"/>
          <w:sz w:val="24"/>
          <w:szCs w:val="24"/>
        </w:rPr>
      </w:pPr>
      <w:r w:rsidRPr="00241B5B">
        <w:rPr>
          <w:rFonts w:ascii="Arial" w:hAnsi="Arial" w:cs="Arial"/>
          <w:sz w:val="24"/>
          <w:szCs w:val="24"/>
        </w:rPr>
        <w:t>The recognition and evaluation processing of performance management for every business is relevant to identifying the primary area of growth</w:t>
      </w:r>
      <w:r w:rsidR="00C805C9" w:rsidRPr="00241B5B">
        <w:rPr>
          <w:rFonts w:ascii="Arial" w:hAnsi="Arial" w:cs="Arial"/>
          <w:sz w:val="24"/>
          <w:szCs w:val="24"/>
        </w:rPr>
        <w:t>,</w:t>
      </w:r>
      <w:r w:rsidRPr="00241B5B">
        <w:rPr>
          <w:rFonts w:ascii="Arial" w:hAnsi="Arial" w:cs="Arial"/>
          <w:sz w:val="24"/>
          <w:szCs w:val="24"/>
        </w:rPr>
        <w:t xml:space="preserve"> including operation compatibility</w:t>
      </w:r>
      <w:r w:rsidR="00C805C9" w:rsidRPr="00241B5B">
        <w:rPr>
          <w:rFonts w:ascii="Arial" w:hAnsi="Arial" w:cs="Arial"/>
          <w:sz w:val="24"/>
          <w:szCs w:val="24"/>
        </w:rPr>
        <w:t>,</w:t>
      </w:r>
      <w:r w:rsidRPr="00241B5B">
        <w:rPr>
          <w:rFonts w:ascii="Arial" w:hAnsi="Arial" w:cs="Arial"/>
          <w:sz w:val="24"/>
          <w:szCs w:val="24"/>
        </w:rPr>
        <w:t xml:space="preserve"> in a proper manner that mainly provides </w:t>
      </w:r>
      <w:r w:rsidR="003D7AA7" w:rsidRPr="00241B5B">
        <w:rPr>
          <w:rFonts w:ascii="Arial" w:hAnsi="Arial" w:cs="Arial"/>
          <w:sz w:val="24"/>
          <w:szCs w:val="24"/>
        </w:rPr>
        <w:t>for</w:t>
      </w:r>
      <w:r w:rsidRPr="00241B5B">
        <w:rPr>
          <w:rFonts w:ascii="Arial" w:hAnsi="Arial" w:cs="Arial"/>
          <w:sz w:val="24"/>
          <w:szCs w:val="24"/>
        </w:rPr>
        <w:t xml:space="preserve"> general structural development and accountability initiatives. As per the </w:t>
      </w:r>
      <w:r w:rsidR="003D7AA7" w:rsidRPr="00241B5B">
        <w:rPr>
          <w:rFonts w:ascii="Arial" w:hAnsi="Arial" w:cs="Arial"/>
          <w:sz w:val="24"/>
          <w:szCs w:val="24"/>
        </w:rPr>
        <w:t>es</w:t>
      </w:r>
      <w:r w:rsidRPr="00241B5B">
        <w:rPr>
          <w:rFonts w:ascii="Arial" w:hAnsi="Arial" w:cs="Arial"/>
          <w:sz w:val="24"/>
          <w:szCs w:val="24"/>
        </w:rPr>
        <w:t>s</w:t>
      </w:r>
      <w:r w:rsidR="003D7AA7" w:rsidRPr="00241B5B">
        <w:rPr>
          <w:rFonts w:ascii="Arial" w:hAnsi="Arial" w:cs="Arial"/>
          <w:sz w:val="24"/>
          <w:szCs w:val="24"/>
        </w:rPr>
        <w:t>ent</w:t>
      </w:r>
      <w:r w:rsidRPr="00241B5B">
        <w:rPr>
          <w:rFonts w:ascii="Arial" w:hAnsi="Arial" w:cs="Arial"/>
          <w:sz w:val="24"/>
          <w:szCs w:val="24"/>
        </w:rPr>
        <w:t>i</w:t>
      </w:r>
      <w:r w:rsidR="003D7AA7" w:rsidRPr="00241B5B">
        <w:rPr>
          <w:rFonts w:ascii="Arial" w:hAnsi="Arial" w:cs="Arial"/>
          <w:sz w:val="24"/>
          <w:szCs w:val="24"/>
        </w:rPr>
        <w:t>al</w:t>
      </w:r>
      <w:r w:rsidRPr="00241B5B">
        <w:rPr>
          <w:rFonts w:ascii="Arial" w:hAnsi="Arial" w:cs="Arial"/>
          <w:sz w:val="24"/>
          <w:szCs w:val="24"/>
        </w:rPr>
        <w:t xml:space="preserve"> identification, the formulations of ratio analyses are defined as one of the primary strategic tools for evaluating the financial structure or results of individual </w:t>
      </w:r>
      <w:r w:rsidR="003D7AA7" w:rsidRPr="00241B5B">
        <w:rPr>
          <w:rFonts w:ascii="Arial" w:hAnsi="Arial" w:cs="Arial"/>
          <w:sz w:val="24"/>
          <w:szCs w:val="24"/>
        </w:rPr>
        <w:t>businesses more accurately, ultimately provid</w:t>
      </w:r>
      <w:r w:rsidR="00695049" w:rsidRPr="00241B5B">
        <w:rPr>
          <w:rFonts w:ascii="Arial" w:hAnsi="Arial" w:cs="Arial"/>
          <w:sz w:val="24"/>
          <w:szCs w:val="24"/>
        </w:rPr>
        <w:t xml:space="preserve">ing </w:t>
      </w:r>
      <w:r w:rsidRPr="00241B5B">
        <w:rPr>
          <w:rFonts w:ascii="Arial" w:hAnsi="Arial" w:cs="Arial"/>
          <w:sz w:val="24"/>
          <w:szCs w:val="24"/>
        </w:rPr>
        <w:t>stability guidance for determinin</w:t>
      </w:r>
      <w:r w:rsidR="00695049" w:rsidRPr="00241B5B">
        <w:rPr>
          <w:rFonts w:ascii="Arial" w:hAnsi="Arial" w:cs="Arial"/>
          <w:sz w:val="24"/>
          <w:szCs w:val="24"/>
        </w:rPr>
        <w:t>g</w:t>
      </w:r>
      <w:r w:rsidRPr="00241B5B">
        <w:rPr>
          <w:rFonts w:ascii="Arial" w:hAnsi="Arial" w:cs="Arial"/>
          <w:sz w:val="24"/>
          <w:szCs w:val="24"/>
        </w:rPr>
        <w:t xml:space="preserve"> trending initiatives </w:t>
      </w:r>
      <w:r w:rsidR="00695049" w:rsidRPr="00241B5B">
        <w:rPr>
          <w:rFonts w:ascii="Arial" w:hAnsi="Arial" w:cs="Arial"/>
          <w:sz w:val="24"/>
          <w:szCs w:val="24"/>
        </w:rPr>
        <w:t>(Corporate Finance Institute, 202</w:t>
      </w:r>
      <w:r w:rsidR="00D7633F" w:rsidRPr="00241B5B">
        <w:rPr>
          <w:rFonts w:ascii="Arial" w:hAnsi="Arial" w:cs="Arial"/>
          <w:sz w:val="24"/>
          <w:szCs w:val="24"/>
        </w:rPr>
        <w:t>3</w:t>
      </w:r>
      <w:r w:rsidR="00F327AE" w:rsidRPr="00241B5B">
        <w:rPr>
          <w:rFonts w:ascii="Arial" w:hAnsi="Arial" w:cs="Arial"/>
          <w:sz w:val="24"/>
          <w:szCs w:val="24"/>
        </w:rPr>
        <w:t>a</w:t>
      </w:r>
      <w:r w:rsidR="00695049" w:rsidRPr="00241B5B">
        <w:rPr>
          <w:rFonts w:ascii="Arial" w:hAnsi="Arial" w:cs="Arial"/>
          <w:sz w:val="24"/>
          <w:szCs w:val="24"/>
        </w:rPr>
        <w:t>)</w:t>
      </w:r>
      <w:r w:rsidRPr="00241B5B">
        <w:rPr>
          <w:rFonts w:ascii="Arial" w:hAnsi="Arial" w:cs="Arial"/>
          <w:sz w:val="24"/>
          <w:szCs w:val="24"/>
        </w:rPr>
        <w:t xml:space="preserve">. </w:t>
      </w:r>
    </w:p>
    <w:p w14:paraId="322B8591" w14:textId="77132772" w:rsidR="00F000C8" w:rsidRPr="00241B5B" w:rsidRDefault="002F33EF" w:rsidP="00241B5B">
      <w:pPr>
        <w:spacing w:line="360" w:lineRule="auto"/>
        <w:jc w:val="both"/>
        <w:rPr>
          <w:rFonts w:ascii="Arial" w:hAnsi="Arial" w:cs="Arial"/>
          <w:sz w:val="24"/>
          <w:szCs w:val="24"/>
        </w:rPr>
      </w:pPr>
      <w:r w:rsidRPr="00241B5B">
        <w:rPr>
          <w:rFonts w:ascii="Arial" w:hAnsi="Arial" w:cs="Arial"/>
          <w:sz w:val="24"/>
          <w:szCs w:val="24"/>
        </w:rPr>
        <w:t xml:space="preserve">Several financial aspects related to this </w:t>
      </w:r>
      <w:proofErr w:type="gramStart"/>
      <w:r w:rsidRPr="00241B5B">
        <w:rPr>
          <w:rFonts w:ascii="Arial" w:hAnsi="Arial" w:cs="Arial"/>
          <w:sz w:val="24"/>
          <w:szCs w:val="24"/>
        </w:rPr>
        <w:t>particular business</w:t>
      </w:r>
      <w:proofErr w:type="gramEnd"/>
      <w:r w:rsidRPr="00241B5B">
        <w:rPr>
          <w:rFonts w:ascii="Arial" w:hAnsi="Arial" w:cs="Arial"/>
          <w:sz w:val="24"/>
          <w:szCs w:val="24"/>
        </w:rPr>
        <w:t xml:space="preserve"> have been provided in relation to the primary applications </w:t>
      </w:r>
      <w:r w:rsidR="00105B96" w:rsidRPr="00241B5B">
        <w:rPr>
          <w:rFonts w:ascii="Arial" w:hAnsi="Arial" w:cs="Arial"/>
          <w:sz w:val="24"/>
          <w:szCs w:val="24"/>
        </w:rPr>
        <w:t xml:space="preserve">to identify the </w:t>
      </w:r>
      <w:r w:rsidR="00E84D26" w:rsidRPr="00241B5B">
        <w:rPr>
          <w:rFonts w:ascii="Arial" w:hAnsi="Arial" w:cs="Arial"/>
          <w:sz w:val="24"/>
          <w:szCs w:val="24"/>
        </w:rPr>
        <w:t>business's overall accountability growth position </w:t>
      </w:r>
      <w:r w:rsidR="00105B96" w:rsidRPr="00241B5B">
        <w:rPr>
          <w:rFonts w:ascii="Arial" w:hAnsi="Arial" w:cs="Arial"/>
          <w:sz w:val="24"/>
          <w:szCs w:val="24"/>
        </w:rPr>
        <w:t xml:space="preserve">in </w:t>
      </w:r>
      <w:r w:rsidRPr="00241B5B">
        <w:rPr>
          <w:rFonts w:ascii="Arial" w:hAnsi="Arial" w:cs="Arial"/>
          <w:sz w:val="24"/>
          <w:szCs w:val="24"/>
        </w:rPr>
        <w:t>terms of </w:t>
      </w:r>
      <w:r w:rsidR="00105B96" w:rsidRPr="00241B5B">
        <w:rPr>
          <w:rFonts w:ascii="Arial" w:hAnsi="Arial" w:cs="Arial"/>
          <w:sz w:val="24"/>
          <w:szCs w:val="24"/>
        </w:rPr>
        <w:t xml:space="preserve">operational prospects. </w:t>
      </w:r>
    </w:p>
    <w:p w14:paraId="506A908E" w14:textId="77777777" w:rsidR="002F33EF" w:rsidRPr="00241B5B" w:rsidRDefault="00105B96" w:rsidP="00241B5B">
      <w:pPr>
        <w:pStyle w:val="Heading3"/>
        <w:spacing w:line="360" w:lineRule="auto"/>
        <w:jc w:val="both"/>
        <w:rPr>
          <w:rStyle w:val="Heading3Char"/>
          <w:rFonts w:ascii="Arial" w:hAnsi="Arial" w:cs="Arial"/>
          <w:sz w:val="24"/>
          <w:szCs w:val="24"/>
        </w:rPr>
      </w:pPr>
      <w:bookmarkStart w:id="3" w:name="_Toc182410487"/>
      <w:r w:rsidRPr="00241B5B">
        <w:rPr>
          <w:rStyle w:val="Heading3Char"/>
          <w:rFonts w:ascii="Arial" w:hAnsi="Arial" w:cs="Arial"/>
          <w:sz w:val="24"/>
          <w:szCs w:val="24"/>
        </w:rPr>
        <w:t>Revenue</w:t>
      </w:r>
      <w:bookmarkEnd w:id="3"/>
    </w:p>
    <w:p w14:paraId="50C31147" w14:textId="57385927" w:rsidR="00A908BC" w:rsidRPr="00241B5B" w:rsidRDefault="00621B3A" w:rsidP="00241B5B">
      <w:pPr>
        <w:spacing w:line="360" w:lineRule="auto"/>
        <w:jc w:val="both"/>
        <w:rPr>
          <w:rFonts w:ascii="Arial" w:hAnsi="Arial" w:cs="Arial"/>
          <w:sz w:val="24"/>
          <w:szCs w:val="24"/>
        </w:rPr>
      </w:pPr>
      <w:r w:rsidRPr="00241B5B">
        <w:rPr>
          <w:rFonts w:ascii="Arial" w:hAnsi="Arial" w:cs="Arial"/>
          <w:sz w:val="24"/>
          <w:szCs w:val="24"/>
        </w:rPr>
        <w:t xml:space="preserve">Revenue management is a strategic approach that leverages market segmentation and pricing analytics to maximise business income by aligning pricing with customer demand and market conditions (Bodea &amp; Ferguson, 2014). </w:t>
      </w:r>
      <w:r w:rsidR="00105B96" w:rsidRPr="00241B5B">
        <w:rPr>
          <w:rFonts w:ascii="Arial" w:hAnsi="Arial" w:cs="Arial"/>
          <w:sz w:val="24"/>
          <w:szCs w:val="24"/>
        </w:rPr>
        <w:t>The primary structure related to th</w:t>
      </w:r>
      <w:r w:rsidR="00E84D26" w:rsidRPr="00241B5B">
        <w:rPr>
          <w:rFonts w:ascii="Arial" w:hAnsi="Arial" w:cs="Arial"/>
          <w:sz w:val="24"/>
          <w:szCs w:val="24"/>
        </w:rPr>
        <w:t xml:space="preserve">is </w:t>
      </w:r>
      <w:proofErr w:type="gramStart"/>
      <w:r w:rsidR="00E84D26" w:rsidRPr="00241B5B">
        <w:rPr>
          <w:rFonts w:ascii="Arial" w:hAnsi="Arial" w:cs="Arial"/>
          <w:sz w:val="24"/>
          <w:szCs w:val="24"/>
        </w:rPr>
        <w:t>particular busin</w:t>
      </w:r>
      <w:r w:rsidR="00105B96" w:rsidRPr="00241B5B">
        <w:rPr>
          <w:rFonts w:ascii="Arial" w:hAnsi="Arial" w:cs="Arial"/>
          <w:sz w:val="24"/>
          <w:szCs w:val="24"/>
        </w:rPr>
        <w:t>e</w:t>
      </w:r>
      <w:r w:rsidR="00E84D26" w:rsidRPr="00241B5B">
        <w:rPr>
          <w:rFonts w:ascii="Arial" w:hAnsi="Arial" w:cs="Arial"/>
          <w:sz w:val="24"/>
          <w:szCs w:val="24"/>
        </w:rPr>
        <w:t>ss's</w:t>
      </w:r>
      <w:proofErr w:type="gramEnd"/>
      <w:r w:rsidR="00105B96" w:rsidRPr="00241B5B">
        <w:rPr>
          <w:rFonts w:ascii="Arial" w:hAnsi="Arial" w:cs="Arial"/>
          <w:sz w:val="24"/>
          <w:szCs w:val="24"/>
        </w:rPr>
        <w:t xml:space="preserve"> present revenue initiative indicates a general growth initiative from the primary value of </w:t>
      </w:r>
      <w:r w:rsidR="009403AF" w:rsidRPr="00241B5B">
        <w:rPr>
          <w:rFonts w:ascii="Arial" w:hAnsi="Arial" w:cs="Arial"/>
          <w:sz w:val="24"/>
          <w:szCs w:val="24"/>
        </w:rPr>
        <w:t>£</w:t>
      </w:r>
      <w:r w:rsidR="00105B96" w:rsidRPr="00241B5B">
        <w:rPr>
          <w:rFonts w:ascii="Arial" w:hAnsi="Arial" w:cs="Arial"/>
          <w:sz w:val="24"/>
          <w:szCs w:val="24"/>
        </w:rPr>
        <w:t>5</w:t>
      </w:r>
      <w:r w:rsidR="009403AF" w:rsidRPr="00241B5B">
        <w:rPr>
          <w:rFonts w:ascii="Arial" w:hAnsi="Arial" w:cs="Arial"/>
          <w:sz w:val="24"/>
          <w:szCs w:val="24"/>
        </w:rPr>
        <w:t>,</w:t>
      </w:r>
      <w:r w:rsidR="00105B96" w:rsidRPr="00241B5B">
        <w:rPr>
          <w:rFonts w:ascii="Arial" w:hAnsi="Arial" w:cs="Arial"/>
          <w:sz w:val="24"/>
          <w:szCs w:val="24"/>
        </w:rPr>
        <w:t>248</w:t>
      </w:r>
      <w:r w:rsidR="009403AF" w:rsidRPr="00241B5B">
        <w:rPr>
          <w:rFonts w:ascii="Arial" w:hAnsi="Arial" w:cs="Arial"/>
          <w:sz w:val="24"/>
          <w:szCs w:val="24"/>
        </w:rPr>
        <w:t>,</w:t>
      </w:r>
      <w:r w:rsidR="00105B96" w:rsidRPr="00241B5B">
        <w:rPr>
          <w:rFonts w:ascii="Arial" w:hAnsi="Arial" w:cs="Arial"/>
          <w:sz w:val="24"/>
          <w:szCs w:val="24"/>
        </w:rPr>
        <w:t xml:space="preserve">290 in 2021 to </w:t>
      </w:r>
      <w:r w:rsidR="00FC11A7" w:rsidRPr="00241B5B">
        <w:rPr>
          <w:rFonts w:ascii="Arial" w:hAnsi="Arial" w:cs="Arial"/>
          <w:sz w:val="24"/>
          <w:szCs w:val="24"/>
        </w:rPr>
        <w:t>£</w:t>
      </w:r>
      <w:r w:rsidR="00105B96" w:rsidRPr="00241B5B">
        <w:rPr>
          <w:rFonts w:ascii="Arial" w:hAnsi="Arial" w:cs="Arial"/>
          <w:sz w:val="24"/>
          <w:szCs w:val="24"/>
        </w:rPr>
        <w:t>5</w:t>
      </w:r>
      <w:r w:rsidR="00FC11A7" w:rsidRPr="00241B5B">
        <w:rPr>
          <w:rFonts w:ascii="Arial" w:hAnsi="Arial" w:cs="Arial"/>
          <w:sz w:val="24"/>
          <w:szCs w:val="24"/>
        </w:rPr>
        <w:t>,</w:t>
      </w:r>
      <w:r w:rsidR="00105B96" w:rsidRPr="00241B5B">
        <w:rPr>
          <w:rFonts w:ascii="Arial" w:hAnsi="Arial" w:cs="Arial"/>
          <w:sz w:val="24"/>
          <w:szCs w:val="24"/>
        </w:rPr>
        <w:t>307</w:t>
      </w:r>
      <w:r w:rsidR="00FC11A7" w:rsidRPr="00241B5B">
        <w:rPr>
          <w:rFonts w:ascii="Arial" w:hAnsi="Arial" w:cs="Arial"/>
          <w:sz w:val="24"/>
          <w:szCs w:val="24"/>
        </w:rPr>
        <w:t>,</w:t>
      </w:r>
      <w:r w:rsidR="00105B96" w:rsidRPr="00241B5B">
        <w:rPr>
          <w:rFonts w:ascii="Arial" w:hAnsi="Arial" w:cs="Arial"/>
          <w:sz w:val="24"/>
          <w:szCs w:val="24"/>
        </w:rPr>
        <w:t xml:space="preserve">480 in 2022. In the current year, a significant decline </w:t>
      </w:r>
      <w:r w:rsidR="00FC11A7" w:rsidRPr="00241B5B">
        <w:rPr>
          <w:rFonts w:ascii="Arial" w:hAnsi="Arial" w:cs="Arial"/>
          <w:sz w:val="24"/>
          <w:szCs w:val="24"/>
        </w:rPr>
        <w:t xml:space="preserve">of up to £2,325,440 has been noticed, </w:t>
      </w:r>
      <w:r w:rsidR="00FC11A7" w:rsidRPr="00241B5B">
        <w:rPr>
          <w:rFonts w:ascii="Arial" w:hAnsi="Arial" w:cs="Arial"/>
          <w:sz w:val="24"/>
          <w:szCs w:val="24"/>
        </w:rPr>
        <w:lastRenderedPageBreak/>
        <w:t>represent</w:t>
      </w:r>
      <w:r w:rsidR="00A430B0" w:rsidRPr="00241B5B">
        <w:rPr>
          <w:rFonts w:ascii="Arial" w:hAnsi="Arial" w:cs="Arial"/>
          <w:sz w:val="24"/>
          <w:szCs w:val="24"/>
        </w:rPr>
        <w:t>ing</w:t>
      </w:r>
      <w:r w:rsidR="00FC11A7" w:rsidRPr="00241B5B">
        <w:rPr>
          <w:rFonts w:ascii="Arial" w:hAnsi="Arial" w:cs="Arial"/>
          <w:sz w:val="24"/>
          <w:szCs w:val="24"/>
        </w:rPr>
        <w:t xml:space="preserve"> a general uncertainty </w:t>
      </w:r>
      <w:r w:rsidR="00105B96" w:rsidRPr="00241B5B">
        <w:rPr>
          <w:rFonts w:ascii="Arial" w:hAnsi="Arial" w:cs="Arial"/>
          <w:sz w:val="24"/>
          <w:szCs w:val="24"/>
        </w:rPr>
        <w:t xml:space="preserve">regarding the market initiative with the decreased position of marketing demand. </w:t>
      </w:r>
    </w:p>
    <w:p w14:paraId="28272B90" w14:textId="77777777" w:rsidR="001D5F79" w:rsidRPr="00241B5B" w:rsidRDefault="001D5F79" w:rsidP="00241B5B">
      <w:pPr>
        <w:pStyle w:val="Heading3"/>
        <w:spacing w:line="360" w:lineRule="auto"/>
        <w:jc w:val="both"/>
        <w:rPr>
          <w:rFonts w:ascii="Arial" w:hAnsi="Arial" w:cs="Arial"/>
          <w:sz w:val="24"/>
          <w:szCs w:val="24"/>
        </w:rPr>
      </w:pPr>
      <w:bookmarkStart w:id="4" w:name="_Toc182410488"/>
      <w:r w:rsidRPr="00241B5B">
        <w:rPr>
          <w:rFonts w:ascii="Arial" w:hAnsi="Arial" w:cs="Arial"/>
          <w:sz w:val="24"/>
          <w:szCs w:val="24"/>
        </w:rPr>
        <w:t>Expenses</w:t>
      </w:r>
      <w:bookmarkEnd w:id="4"/>
    </w:p>
    <w:p w14:paraId="3F8624F9" w14:textId="38310457" w:rsidR="0075026A" w:rsidRPr="00241B5B" w:rsidRDefault="0054739A" w:rsidP="00241B5B">
      <w:pPr>
        <w:spacing w:line="360" w:lineRule="auto"/>
        <w:jc w:val="both"/>
        <w:rPr>
          <w:rFonts w:ascii="Arial" w:hAnsi="Arial" w:cs="Arial"/>
          <w:sz w:val="24"/>
          <w:szCs w:val="24"/>
        </w:rPr>
      </w:pPr>
      <w:r w:rsidRPr="00241B5B">
        <w:rPr>
          <w:rFonts w:ascii="Arial" w:hAnsi="Arial" w:cs="Arial"/>
          <w:sz w:val="24"/>
          <w:szCs w:val="24"/>
        </w:rPr>
        <w:t xml:space="preserve">The total main expenses have significantly decreased from 2021 to 2023. The total </w:t>
      </w:r>
      <w:r w:rsidR="00B24E6A" w:rsidRPr="00241B5B">
        <w:rPr>
          <w:rFonts w:ascii="Arial" w:hAnsi="Arial" w:cs="Arial"/>
          <w:sz w:val="24"/>
          <w:szCs w:val="24"/>
        </w:rPr>
        <w:t>costs</w:t>
      </w:r>
      <w:r w:rsidRPr="00241B5B">
        <w:rPr>
          <w:rFonts w:ascii="Arial" w:hAnsi="Arial" w:cs="Arial"/>
          <w:sz w:val="24"/>
          <w:szCs w:val="24"/>
        </w:rPr>
        <w:t xml:space="preserve"> were approximately £4,584,120 in 2021, £4,632,750 in 2022, and £3,544,280 in 2023. This reduction indicates cost-cutting measures, which may reflect attempts to </w:t>
      </w:r>
      <w:r w:rsidR="001E207F" w:rsidRPr="00241B5B">
        <w:rPr>
          <w:rFonts w:ascii="Arial" w:hAnsi="Arial" w:cs="Arial"/>
          <w:sz w:val="24"/>
          <w:szCs w:val="24"/>
        </w:rPr>
        <w:t>stabilise</w:t>
      </w:r>
      <w:r w:rsidRPr="00241B5B">
        <w:rPr>
          <w:rFonts w:ascii="Arial" w:hAnsi="Arial" w:cs="Arial"/>
          <w:sz w:val="24"/>
          <w:szCs w:val="24"/>
        </w:rPr>
        <w:t xml:space="preserve"> operations in response to declining revenue.</w:t>
      </w:r>
      <w:r w:rsidR="001E207F" w:rsidRPr="00241B5B">
        <w:rPr>
          <w:rFonts w:ascii="Arial" w:hAnsi="Arial" w:cs="Arial"/>
          <w:sz w:val="24"/>
          <w:szCs w:val="24"/>
        </w:rPr>
        <w:t xml:space="preserve"> </w:t>
      </w:r>
      <w:r w:rsidRPr="00241B5B">
        <w:rPr>
          <w:rFonts w:ascii="Arial" w:hAnsi="Arial" w:cs="Arial"/>
          <w:sz w:val="24"/>
          <w:szCs w:val="24"/>
        </w:rPr>
        <w:t>Despite these cuts, the expenses in 2023 were not enough to maintain profitability, as the business reported an operating income loss of £1,218,850 in 2023. Employee costs are the largest expense category. These costs decreased from £1,724,760 in 2021 to £1,233,160 in 2023. This reduction could indicate staff layoffs, reduced wages, or operational adjustments due to declining occupancy rates.</w:t>
      </w:r>
      <w:r w:rsidR="008060CC" w:rsidRPr="00241B5B">
        <w:rPr>
          <w:rFonts w:ascii="Arial" w:hAnsi="Arial" w:cs="Arial"/>
          <w:sz w:val="24"/>
          <w:szCs w:val="24"/>
        </w:rPr>
        <w:t xml:space="preserve"> </w:t>
      </w:r>
      <w:r w:rsidRPr="00241B5B">
        <w:rPr>
          <w:rFonts w:ascii="Arial" w:hAnsi="Arial" w:cs="Arial"/>
          <w:sz w:val="24"/>
          <w:szCs w:val="24"/>
        </w:rPr>
        <w:t>External expenses, another substantial cost, fell from £1,894,720 in 2021 to £1,071,030 in 2023. This may reflect reductions in outsourced services, supplier costs, or other third-party services.</w:t>
      </w:r>
      <w:r w:rsidR="007A7C94" w:rsidRPr="00241B5B">
        <w:rPr>
          <w:rFonts w:ascii="Arial" w:hAnsi="Arial" w:cs="Arial"/>
          <w:sz w:val="24"/>
          <w:szCs w:val="24"/>
        </w:rPr>
        <w:t xml:space="preserve"> </w:t>
      </w:r>
      <w:r w:rsidRPr="00241B5B">
        <w:rPr>
          <w:rFonts w:ascii="Arial" w:hAnsi="Arial" w:cs="Arial"/>
          <w:sz w:val="24"/>
          <w:szCs w:val="24"/>
        </w:rPr>
        <w:t xml:space="preserve">Depreciation and </w:t>
      </w:r>
      <w:r w:rsidR="007A7C94" w:rsidRPr="00241B5B">
        <w:rPr>
          <w:rFonts w:ascii="Arial" w:hAnsi="Arial" w:cs="Arial"/>
          <w:sz w:val="24"/>
          <w:szCs w:val="24"/>
        </w:rPr>
        <w:t>amortisation</w:t>
      </w:r>
      <w:r w:rsidRPr="00241B5B">
        <w:rPr>
          <w:rFonts w:ascii="Arial" w:hAnsi="Arial" w:cs="Arial"/>
          <w:sz w:val="24"/>
          <w:szCs w:val="24"/>
        </w:rPr>
        <w:t xml:space="preserve"> have increased significantly from £409,190 in 2021 to £661,590 in 2023, which might indicate recent investments in assets that are now depreciating, potentially contributing to cash flow challenges.</w:t>
      </w:r>
      <w:r w:rsidR="007A7C94" w:rsidRPr="00241B5B">
        <w:rPr>
          <w:rFonts w:ascii="Arial" w:hAnsi="Arial" w:cs="Arial"/>
          <w:sz w:val="24"/>
          <w:szCs w:val="24"/>
        </w:rPr>
        <w:t xml:space="preserve"> </w:t>
      </w:r>
      <w:r w:rsidRPr="00241B5B">
        <w:rPr>
          <w:rFonts w:ascii="Arial" w:hAnsi="Arial" w:cs="Arial"/>
          <w:sz w:val="24"/>
          <w:szCs w:val="24"/>
        </w:rPr>
        <w:t>Charges to Provisions have varied over the years, increasing to £55,550 in 2023 from £5,960 in 2021. This increase suggests a need to set aside funds for future expenses or anticipated liabilities, possibly due to higher risks in the current economic environment.</w:t>
      </w:r>
      <w:r w:rsidR="00566958" w:rsidRPr="00241B5B">
        <w:rPr>
          <w:rFonts w:ascii="Arial" w:hAnsi="Arial" w:cs="Arial"/>
          <w:sz w:val="24"/>
          <w:szCs w:val="24"/>
        </w:rPr>
        <w:t xml:space="preserve"> </w:t>
      </w:r>
      <w:r w:rsidRPr="00241B5B">
        <w:rPr>
          <w:rFonts w:ascii="Arial" w:hAnsi="Arial" w:cs="Arial"/>
          <w:sz w:val="24"/>
          <w:szCs w:val="24"/>
        </w:rPr>
        <w:t>The “Other operating income and expenses” line fluctuated, with a significant negative balance of £216,650 in 2023 compared to £34,780 positive in 2021. This shift could reflect unanticipated operational costs, restructuring costs, or extraordinary expenses impacting the hotel’s financial health.</w:t>
      </w:r>
    </w:p>
    <w:p w14:paraId="14C14D2A" w14:textId="77777777" w:rsidR="006F3358" w:rsidRPr="00241B5B" w:rsidRDefault="006F3358" w:rsidP="00241B5B">
      <w:pPr>
        <w:pStyle w:val="Heading3"/>
        <w:spacing w:line="360" w:lineRule="auto"/>
        <w:jc w:val="both"/>
        <w:rPr>
          <w:rFonts w:ascii="Arial" w:hAnsi="Arial" w:cs="Arial"/>
          <w:sz w:val="24"/>
          <w:szCs w:val="24"/>
        </w:rPr>
      </w:pPr>
      <w:bookmarkStart w:id="5" w:name="_Toc182410489"/>
      <w:r w:rsidRPr="00241B5B">
        <w:rPr>
          <w:rFonts w:ascii="Arial" w:hAnsi="Arial" w:cs="Arial"/>
          <w:sz w:val="24"/>
          <w:szCs w:val="24"/>
        </w:rPr>
        <w:t>Profitability</w:t>
      </w:r>
      <w:bookmarkEnd w:id="5"/>
    </w:p>
    <w:p w14:paraId="181308D9" w14:textId="678845C9" w:rsidR="00414571" w:rsidRPr="00241B5B" w:rsidRDefault="006F3358" w:rsidP="00241B5B">
      <w:pPr>
        <w:spacing w:line="360" w:lineRule="auto"/>
        <w:jc w:val="both"/>
        <w:rPr>
          <w:rFonts w:ascii="Arial" w:hAnsi="Arial" w:cs="Arial"/>
          <w:sz w:val="24"/>
          <w:szCs w:val="24"/>
        </w:rPr>
      </w:pPr>
      <w:r w:rsidRPr="00241B5B">
        <w:rPr>
          <w:rFonts w:ascii="Arial" w:hAnsi="Arial" w:cs="Arial"/>
          <w:sz w:val="24"/>
          <w:szCs w:val="24"/>
        </w:rPr>
        <w:t xml:space="preserve">This </w:t>
      </w:r>
      <w:proofErr w:type="gramStart"/>
      <w:r w:rsidRPr="00241B5B">
        <w:rPr>
          <w:rFonts w:ascii="Arial" w:hAnsi="Arial" w:cs="Arial"/>
          <w:sz w:val="24"/>
          <w:szCs w:val="24"/>
        </w:rPr>
        <w:t>particular analysis</w:t>
      </w:r>
      <w:proofErr w:type="gramEnd"/>
      <w:r w:rsidRPr="00241B5B">
        <w:rPr>
          <w:rFonts w:ascii="Arial" w:hAnsi="Arial" w:cs="Arial"/>
          <w:sz w:val="24"/>
          <w:szCs w:val="24"/>
        </w:rPr>
        <w:t xml:space="preserve"> has been initiated to identify the overall accounting contemporary positioning growth in the form of earnings, which ultimately provides investors with a proper understanding of the business contemporary positioning growth initiative</w:t>
      </w:r>
      <w:r w:rsidR="00531BB5" w:rsidRPr="00241B5B">
        <w:rPr>
          <w:rFonts w:ascii="Arial" w:hAnsi="Arial" w:cs="Arial"/>
          <w:sz w:val="24"/>
          <w:szCs w:val="24"/>
        </w:rPr>
        <w:t xml:space="preserve"> (Corporate Finance Institute, 202</w:t>
      </w:r>
      <w:r w:rsidR="00F327AE" w:rsidRPr="00241B5B">
        <w:rPr>
          <w:rFonts w:ascii="Arial" w:hAnsi="Arial" w:cs="Arial"/>
          <w:sz w:val="24"/>
          <w:szCs w:val="24"/>
        </w:rPr>
        <w:t>3b</w:t>
      </w:r>
      <w:r w:rsidR="00531BB5" w:rsidRPr="00241B5B">
        <w:rPr>
          <w:rFonts w:ascii="Arial" w:hAnsi="Arial" w:cs="Arial"/>
          <w:sz w:val="24"/>
          <w:szCs w:val="24"/>
        </w:rPr>
        <w:t>)</w:t>
      </w:r>
      <w:r w:rsidRPr="00241B5B">
        <w:rPr>
          <w:rFonts w:ascii="Arial" w:hAnsi="Arial" w:cs="Arial"/>
          <w:sz w:val="24"/>
          <w:szCs w:val="24"/>
        </w:rPr>
        <w:t xml:space="preserve">. </w:t>
      </w:r>
    </w:p>
    <w:p w14:paraId="5DBED82D" w14:textId="070DA366" w:rsidR="00386CAD" w:rsidRPr="00241B5B" w:rsidRDefault="002C2F9B" w:rsidP="00241B5B">
      <w:pPr>
        <w:spacing w:line="360" w:lineRule="auto"/>
        <w:jc w:val="both"/>
        <w:rPr>
          <w:rFonts w:ascii="Arial" w:hAnsi="Arial" w:cs="Arial"/>
          <w:sz w:val="24"/>
          <w:szCs w:val="24"/>
        </w:rPr>
      </w:pPr>
      <w:r w:rsidRPr="00241B5B">
        <w:rPr>
          <w:rFonts w:ascii="Arial" w:hAnsi="Arial" w:cs="Arial"/>
          <w:noProof/>
          <w:sz w:val="24"/>
          <w:szCs w:val="24"/>
        </w:rPr>
        <w:lastRenderedPageBreak/>
        <w:drawing>
          <wp:inline distT="0" distB="0" distL="0" distR="0" wp14:anchorId="00440550" wp14:editId="37ADBFB0">
            <wp:extent cx="5944235" cy="1713230"/>
            <wp:effectExtent l="0" t="0" r="0" b="0"/>
            <wp:docPr id="1736585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4235" cy="1713230"/>
                    </a:xfrm>
                    <a:prstGeom prst="rect">
                      <a:avLst/>
                    </a:prstGeom>
                    <a:noFill/>
                  </pic:spPr>
                </pic:pic>
              </a:graphicData>
            </a:graphic>
          </wp:inline>
        </w:drawing>
      </w:r>
    </w:p>
    <w:p w14:paraId="242DF5D2" w14:textId="42E233BA" w:rsidR="006A1AB0" w:rsidRPr="00241B5B" w:rsidRDefault="00386CAD" w:rsidP="00241B5B">
      <w:pPr>
        <w:spacing w:line="360" w:lineRule="auto"/>
        <w:jc w:val="both"/>
        <w:rPr>
          <w:rFonts w:ascii="Arial" w:hAnsi="Arial" w:cs="Arial"/>
          <w:sz w:val="24"/>
          <w:szCs w:val="24"/>
        </w:rPr>
      </w:pPr>
      <w:r w:rsidRPr="00241B5B">
        <w:rPr>
          <w:rFonts w:ascii="Arial" w:hAnsi="Arial" w:cs="Arial"/>
          <w:sz w:val="24"/>
          <w:szCs w:val="24"/>
        </w:rPr>
        <w:t xml:space="preserve">The gross profit margin remained stable over the three years, at approximately 92.2% in 2021, increasing slightly to 92.4% in 2022 and remaining at that level in 2023. This consistency indicates effective cost management </w:t>
      </w:r>
      <w:r w:rsidR="006E64FF" w:rsidRPr="00241B5B">
        <w:rPr>
          <w:rFonts w:ascii="Arial" w:hAnsi="Arial" w:cs="Arial"/>
          <w:sz w:val="24"/>
          <w:szCs w:val="24"/>
        </w:rPr>
        <w:t>co</w:t>
      </w:r>
      <w:r w:rsidRPr="00241B5B">
        <w:rPr>
          <w:rFonts w:ascii="Arial" w:hAnsi="Arial" w:cs="Arial"/>
          <w:sz w:val="24"/>
          <w:szCs w:val="24"/>
        </w:rPr>
        <w:t>n</w:t>
      </w:r>
      <w:r w:rsidR="006E64FF" w:rsidRPr="00241B5B">
        <w:rPr>
          <w:rFonts w:ascii="Arial" w:hAnsi="Arial" w:cs="Arial"/>
          <w:sz w:val="24"/>
          <w:szCs w:val="24"/>
        </w:rPr>
        <w:t>c</w:t>
      </w:r>
      <w:r w:rsidRPr="00241B5B">
        <w:rPr>
          <w:rFonts w:ascii="Arial" w:hAnsi="Arial" w:cs="Arial"/>
          <w:sz w:val="24"/>
          <w:szCs w:val="24"/>
        </w:rPr>
        <w:t>e</w:t>
      </w:r>
      <w:r w:rsidR="006E64FF" w:rsidRPr="00241B5B">
        <w:rPr>
          <w:rFonts w:ascii="Arial" w:hAnsi="Arial" w:cs="Arial"/>
          <w:sz w:val="24"/>
          <w:szCs w:val="24"/>
        </w:rPr>
        <w:t>rn</w:t>
      </w:r>
      <w:r w:rsidRPr="00241B5B">
        <w:rPr>
          <w:rFonts w:ascii="Arial" w:hAnsi="Arial" w:cs="Arial"/>
          <w:sz w:val="24"/>
          <w:szCs w:val="24"/>
        </w:rPr>
        <w:t>in</w:t>
      </w:r>
      <w:r w:rsidR="006E64FF" w:rsidRPr="00241B5B">
        <w:rPr>
          <w:rFonts w:ascii="Arial" w:hAnsi="Arial" w:cs="Arial"/>
          <w:sz w:val="24"/>
          <w:szCs w:val="24"/>
        </w:rPr>
        <w:t>g</w:t>
      </w:r>
      <w:r w:rsidRPr="00241B5B">
        <w:rPr>
          <w:rFonts w:ascii="Arial" w:hAnsi="Arial" w:cs="Arial"/>
          <w:sz w:val="24"/>
          <w:szCs w:val="24"/>
        </w:rPr>
        <w:t xml:space="preserve"> revenue, as the company was able to maintain its gross margin despite a substantial drop in revenue in 2023.</w:t>
      </w:r>
      <w:r w:rsidR="004726CA" w:rsidRPr="00241B5B">
        <w:rPr>
          <w:rFonts w:ascii="Arial" w:hAnsi="Arial" w:cs="Arial"/>
          <w:sz w:val="24"/>
          <w:szCs w:val="24"/>
        </w:rPr>
        <w:t xml:space="preserve"> </w:t>
      </w:r>
      <w:r w:rsidRPr="00241B5B">
        <w:rPr>
          <w:rFonts w:ascii="Arial" w:hAnsi="Arial" w:cs="Arial"/>
          <w:sz w:val="24"/>
          <w:szCs w:val="24"/>
        </w:rPr>
        <w:t>However, the drop in gross profit from £4,905,970 in 2022 to £2,141,940 in 2023 reflects the impact of reduced sales volume, which may be attributed to external economic challenges or market conditions affecting demand.</w:t>
      </w:r>
      <w:r w:rsidR="00F87164" w:rsidRPr="00241B5B">
        <w:rPr>
          <w:rFonts w:ascii="Arial" w:hAnsi="Arial" w:cs="Arial"/>
          <w:sz w:val="24"/>
          <w:szCs w:val="24"/>
        </w:rPr>
        <w:t xml:space="preserve"> </w:t>
      </w:r>
      <w:r w:rsidRPr="00241B5B">
        <w:rPr>
          <w:rFonts w:ascii="Arial" w:hAnsi="Arial" w:cs="Arial"/>
          <w:sz w:val="24"/>
          <w:szCs w:val="24"/>
        </w:rPr>
        <w:t>The operating profit margin was steady at 12.7% in both 2021 and 2022, suggesting stable operating efficiency during these years.</w:t>
      </w:r>
      <w:r w:rsidR="00537775" w:rsidRPr="00241B5B">
        <w:rPr>
          <w:rFonts w:ascii="Arial" w:hAnsi="Arial" w:cs="Arial"/>
          <w:sz w:val="24"/>
          <w:szCs w:val="24"/>
        </w:rPr>
        <w:t xml:space="preserve"> </w:t>
      </w:r>
      <w:r w:rsidRPr="00241B5B">
        <w:rPr>
          <w:rFonts w:ascii="Arial" w:hAnsi="Arial" w:cs="Arial"/>
          <w:sz w:val="24"/>
          <w:szCs w:val="24"/>
        </w:rPr>
        <w:t>In 2023, however, the operating profit margin plunged to -52.4% due to a substantial loss of £1,218,850. This decline signals significant financial strain, likely caused by high operating expenses relative to the reduced revenue. This may reflect challenges such as increased fixed costs, inefficiencies, or decreased demand impacting operational revenue.</w:t>
      </w:r>
    </w:p>
    <w:p w14:paraId="77429CDB" w14:textId="77777777" w:rsidR="00F46233" w:rsidRPr="00241B5B" w:rsidRDefault="00F46233" w:rsidP="00241B5B">
      <w:pPr>
        <w:pStyle w:val="Heading3"/>
        <w:spacing w:line="360" w:lineRule="auto"/>
        <w:jc w:val="both"/>
        <w:rPr>
          <w:rFonts w:ascii="Arial" w:hAnsi="Arial" w:cs="Arial"/>
          <w:sz w:val="24"/>
          <w:szCs w:val="24"/>
        </w:rPr>
      </w:pPr>
      <w:bookmarkStart w:id="6" w:name="_Toc182410490"/>
      <w:r w:rsidRPr="00241B5B">
        <w:rPr>
          <w:rFonts w:ascii="Arial" w:hAnsi="Arial" w:cs="Arial"/>
          <w:sz w:val="24"/>
          <w:szCs w:val="24"/>
        </w:rPr>
        <w:t>Liquidity</w:t>
      </w:r>
      <w:bookmarkEnd w:id="6"/>
    </w:p>
    <w:p w14:paraId="0AAF82D3" w14:textId="3E692023" w:rsidR="00537775" w:rsidRPr="00241B5B" w:rsidRDefault="00075E2C" w:rsidP="00241B5B">
      <w:pPr>
        <w:spacing w:line="360" w:lineRule="auto"/>
        <w:jc w:val="both"/>
        <w:rPr>
          <w:rFonts w:ascii="Arial" w:hAnsi="Arial" w:cs="Arial"/>
          <w:sz w:val="24"/>
          <w:szCs w:val="24"/>
        </w:rPr>
      </w:pPr>
      <w:r w:rsidRPr="00241B5B">
        <w:rPr>
          <w:rFonts w:ascii="Arial" w:hAnsi="Arial" w:cs="Arial"/>
          <w:sz w:val="24"/>
          <w:szCs w:val="24"/>
        </w:rPr>
        <w:t xml:space="preserve">Liquidity management is critical for ensuring businesses, particularly in the hospitality sector, can meet short-term obligations and maintain operational stability. Factors influencing </w:t>
      </w:r>
      <w:r w:rsidR="00DD6BB9" w:rsidRPr="00241B5B">
        <w:rPr>
          <w:rFonts w:ascii="Arial" w:hAnsi="Arial" w:cs="Arial"/>
          <w:sz w:val="24"/>
          <w:szCs w:val="24"/>
        </w:rPr>
        <w:t xml:space="preserve">hotel </w:t>
      </w:r>
      <w:r w:rsidRPr="00241B5B">
        <w:rPr>
          <w:rFonts w:ascii="Arial" w:hAnsi="Arial" w:cs="Arial"/>
          <w:sz w:val="24"/>
          <w:szCs w:val="24"/>
        </w:rPr>
        <w:t xml:space="preserve">liquidity include cash flow management, working capital structure, and responsiveness to market fluctuations, </w:t>
      </w:r>
      <w:r w:rsidR="00822974" w:rsidRPr="00241B5B">
        <w:rPr>
          <w:rFonts w:ascii="Arial" w:hAnsi="Arial" w:cs="Arial"/>
          <w:sz w:val="24"/>
          <w:szCs w:val="24"/>
        </w:rPr>
        <w:t xml:space="preserve">which </w:t>
      </w:r>
      <w:r w:rsidRPr="00241B5B">
        <w:rPr>
          <w:rFonts w:ascii="Arial" w:hAnsi="Arial" w:cs="Arial"/>
          <w:sz w:val="24"/>
          <w:szCs w:val="24"/>
        </w:rPr>
        <w:t>collectively contribut</w:t>
      </w:r>
      <w:r w:rsidR="004D5400" w:rsidRPr="00241B5B">
        <w:rPr>
          <w:rFonts w:ascii="Arial" w:hAnsi="Arial" w:cs="Arial"/>
          <w:sz w:val="24"/>
          <w:szCs w:val="24"/>
        </w:rPr>
        <w:t>e</w:t>
      </w:r>
      <w:r w:rsidRPr="00241B5B">
        <w:rPr>
          <w:rFonts w:ascii="Arial" w:hAnsi="Arial" w:cs="Arial"/>
          <w:sz w:val="24"/>
          <w:szCs w:val="24"/>
        </w:rPr>
        <w:t xml:space="preserve"> to a business's financial resilience </w:t>
      </w:r>
      <w:r w:rsidR="00F46233" w:rsidRPr="00241B5B">
        <w:rPr>
          <w:rFonts w:ascii="Arial" w:hAnsi="Arial" w:cs="Arial"/>
          <w:sz w:val="24"/>
          <w:szCs w:val="24"/>
        </w:rPr>
        <w:t xml:space="preserve">(Gomes et al, 2021). </w:t>
      </w:r>
    </w:p>
    <w:p w14:paraId="78CC9BEF" w14:textId="4447FCEB" w:rsidR="00F46233" w:rsidRPr="00241B5B" w:rsidRDefault="002168C5" w:rsidP="00241B5B">
      <w:pPr>
        <w:spacing w:line="360" w:lineRule="auto"/>
        <w:jc w:val="both"/>
        <w:rPr>
          <w:rFonts w:ascii="Arial" w:hAnsi="Arial" w:cs="Arial"/>
          <w:sz w:val="24"/>
          <w:szCs w:val="24"/>
        </w:rPr>
      </w:pPr>
      <w:r w:rsidRPr="00241B5B">
        <w:rPr>
          <w:rFonts w:ascii="Arial" w:hAnsi="Arial" w:cs="Arial"/>
          <w:noProof/>
          <w:sz w:val="24"/>
          <w:szCs w:val="24"/>
        </w:rPr>
        <w:drawing>
          <wp:inline distT="0" distB="0" distL="0" distR="0" wp14:anchorId="56591C15" wp14:editId="6CDBB8A8">
            <wp:extent cx="5944235" cy="1524000"/>
            <wp:effectExtent l="0" t="0" r="0" b="0"/>
            <wp:docPr id="20081959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4235" cy="1524000"/>
                    </a:xfrm>
                    <a:prstGeom prst="rect">
                      <a:avLst/>
                    </a:prstGeom>
                    <a:noFill/>
                  </pic:spPr>
                </pic:pic>
              </a:graphicData>
            </a:graphic>
          </wp:inline>
        </w:drawing>
      </w:r>
    </w:p>
    <w:p w14:paraId="2E89C6A5" w14:textId="636C639E" w:rsidR="00A9148A" w:rsidRPr="00241B5B" w:rsidRDefault="00346C93" w:rsidP="00241B5B">
      <w:pPr>
        <w:spacing w:line="360" w:lineRule="auto"/>
        <w:jc w:val="both"/>
        <w:rPr>
          <w:rFonts w:ascii="Arial" w:hAnsi="Arial" w:cs="Arial"/>
          <w:sz w:val="24"/>
          <w:szCs w:val="24"/>
        </w:rPr>
      </w:pPr>
      <w:r>
        <w:rPr>
          <w:rFonts w:ascii="Arial" w:hAnsi="Arial" w:cs="Arial"/>
          <w:sz w:val="24"/>
          <w:szCs w:val="24"/>
        </w:rPr>
        <w:lastRenderedPageBreak/>
        <w:t>According to the liquidity analysis, the current ratio decreased from 0.</w:t>
      </w:r>
      <w:r w:rsidR="00131FA7">
        <w:rPr>
          <w:rFonts w:ascii="Arial" w:hAnsi="Arial" w:cs="Arial"/>
          <w:sz w:val="24"/>
          <w:szCs w:val="24"/>
        </w:rPr>
        <w:t>9</w:t>
      </w:r>
      <w:r>
        <w:rPr>
          <w:rFonts w:ascii="Arial" w:hAnsi="Arial" w:cs="Arial"/>
          <w:sz w:val="24"/>
          <w:szCs w:val="24"/>
        </w:rPr>
        <w:t>67 in 2021 to 0.932 in 2022</w:t>
      </w:r>
      <w:r w:rsidR="00225712">
        <w:rPr>
          <w:rFonts w:ascii="Arial" w:hAnsi="Arial" w:cs="Arial"/>
          <w:sz w:val="24"/>
          <w:szCs w:val="24"/>
        </w:rPr>
        <w:t xml:space="preserve">, suggesting a diminished capacity to fulfil short-term commitments. </w:t>
      </w:r>
      <w:r w:rsidR="00A9148A" w:rsidRPr="00241B5B">
        <w:rPr>
          <w:rFonts w:ascii="Arial" w:hAnsi="Arial" w:cs="Arial"/>
          <w:sz w:val="24"/>
          <w:szCs w:val="24"/>
        </w:rPr>
        <w:t xml:space="preserve">Additionally, operational challenges have resulted in a lower current ratio of 0.638, which signals limited capacity for supporting business growth. </w:t>
      </w:r>
      <w:r w:rsidR="0061619B">
        <w:rPr>
          <w:rFonts w:ascii="Arial" w:hAnsi="Arial" w:cs="Arial"/>
          <w:sz w:val="24"/>
          <w:szCs w:val="24"/>
        </w:rPr>
        <w:t>A</w:t>
      </w:r>
      <w:r w:rsidR="00875D5D">
        <w:rPr>
          <w:rFonts w:ascii="Arial" w:hAnsi="Arial" w:cs="Arial"/>
          <w:sz w:val="24"/>
          <w:szCs w:val="24"/>
        </w:rPr>
        <w:t xml:space="preserve"> downward trend is also seen in </w:t>
      </w:r>
      <w:r w:rsidR="00EF205C">
        <w:rPr>
          <w:rFonts w:ascii="Arial" w:hAnsi="Arial" w:cs="Arial"/>
          <w:sz w:val="24"/>
          <w:szCs w:val="24"/>
        </w:rPr>
        <w:t>the quick ratio, which dropped</w:t>
      </w:r>
      <w:r w:rsidR="00A9148A" w:rsidRPr="00241B5B">
        <w:rPr>
          <w:rFonts w:ascii="Arial" w:hAnsi="Arial" w:cs="Arial"/>
          <w:sz w:val="24"/>
          <w:szCs w:val="24"/>
        </w:rPr>
        <w:t xml:space="preserve"> from 0.915 in 2022 to 0.624 in 2023, driven primarily by increased current liabilities, </w:t>
      </w:r>
      <w:r w:rsidR="00255180" w:rsidRPr="00241B5B">
        <w:rPr>
          <w:rFonts w:ascii="Arial" w:hAnsi="Arial" w:cs="Arial"/>
          <w:sz w:val="24"/>
          <w:szCs w:val="24"/>
        </w:rPr>
        <w:t>adding</w:t>
      </w:r>
      <w:r w:rsidR="00A9148A" w:rsidRPr="00241B5B">
        <w:rPr>
          <w:rFonts w:ascii="Arial" w:hAnsi="Arial" w:cs="Arial"/>
          <w:sz w:val="24"/>
          <w:szCs w:val="24"/>
        </w:rPr>
        <w:t xml:space="preserve"> uncertainty to the business's liquidity position.</w:t>
      </w:r>
    </w:p>
    <w:p w14:paraId="1FA45A36" w14:textId="77777777" w:rsidR="00625188" w:rsidRPr="00241B5B" w:rsidRDefault="00625188" w:rsidP="00241B5B">
      <w:pPr>
        <w:pStyle w:val="Heading3"/>
        <w:spacing w:line="360" w:lineRule="auto"/>
        <w:jc w:val="both"/>
        <w:rPr>
          <w:rFonts w:ascii="Arial" w:hAnsi="Arial" w:cs="Arial"/>
          <w:sz w:val="24"/>
          <w:szCs w:val="24"/>
        </w:rPr>
      </w:pPr>
      <w:bookmarkStart w:id="7" w:name="_Toc182410491"/>
      <w:r w:rsidRPr="00241B5B">
        <w:rPr>
          <w:rFonts w:ascii="Arial" w:hAnsi="Arial" w:cs="Arial"/>
          <w:sz w:val="24"/>
          <w:szCs w:val="24"/>
        </w:rPr>
        <w:t>Solvency</w:t>
      </w:r>
      <w:bookmarkEnd w:id="7"/>
    </w:p>
    <w:p w14:paraId="5CC6D090" w14:textId="2DCF1F0A" w:rsidR="001C62C6" w:rsidRPr="00241B5B" w:rsidRDefault="00225FC2" w:rsidP="00241B5B">
      <w:pPr>
        <w:spacing w:line="360" w:lineRule="auto"/>
        <w:jc w:val="both"/>
        <w:rPr>
          <w:rFonts w:ascii="Arial" w:hAnsi="Arial" w:cs="Arial"/>
          <w:sz w:val="24"/>
          <w:szCs w:val="24"/>
        </w:rPr>
      </w:pPr>
      <w:r w:rsidRPr="00241B5B">
        <w:rPr>
          <w:rFonts w:ascii="Arial" w:hAnsi="Arial" w:cs="Arial"/>
          <w:sz w:val="24"/>
          <w:szCs w:val="24"/>
        </w:rPr>
        <w:t xml:space="preserve">Solvency analysis in the tourism sector, as examined by </w:t>
      </w:r>
      <w:proofErr w:type="spellStart"/>
      <w:r w:rsidRPr="00241B5B">
        <w:rPr>
          <w:rFonts w:ascii="Arial" w:hAnsi="Arial" w:cs="Arial"/>
          <w:sz w:val="24"/>
          <w:szCs w:val="24"/>
        </w:rPr>
        <w:t>Akbulaev</w:t>
      </w:r>
      <w:proofErr w:type="spellEnd"/>
      <w:r w:rsidRPr="00241B5B">
        <w:rPr>
          <w:rFonts w:ascii="Arial" w:hAnsi="Arial" w:cs="Arial"/>
          <w:sz w:val="24"/>
          <w:szCs w:val="24"/>
        </w:rPr>
        <w:t xml:space="preserve">, </w:t>
      </w:r>
      <w:proofErr w:type="spellStart"/>
      <w:r w:rsidRPr="00241B5B">
        <w:rPr>
          <w:rFonts w:ascii="Arial" w:hAnsi="Arial" w:cs="Arial"/>
          <w:sz w:val="24"/>
          <w:szCs w:val="24"/>
        </w:rPr>
        <w:t>Guliyeva</w:t>
      </w:r>
      <w:proofErr w:type="spellEnd"/>
      <w:r w:rsidRPr="00241B5B">
        <w:rPr>
          <w:rFonts w:ascii="Arial" w:hAnsi="Arial" w:cs="Arial"/>
          <w:sz w:val="24"/>
          <w:szCs w:val="24"/>
        </w:rPr>
        <w:t xml:space="preserve">, and Aslanova (2020), can provide insight into leverage and financial distress risks, helping stakeholders evaluate the potential for bankruptcy within tourism enterprises. </w:t>
      </w:r>
      <w:r w:rsidR="000937E3" w:rsidRPr="00241B5B">
        <w:rPr>
          <w:rFonts w:ascii="Arial" w:hAnsi="Arial" w:cs="Arial"/>
          <w:sz w:val="24"/>
          <w:szCs w:val="24"/>
        </w:rPr>
        <w:t>This engagement is used to assess the comprehensive value and stability of the business, providing an accurate basis for determining its value position</w:t>
      </w:r>
      <w:r w:rsidR="00625188" w:rsidRPr="00241B5B">
        <w:rPr>
          <w:rFonts w:ascii="Arial" w:hAnsi="Arial" w:cs="Arial"/>
          <w:sz w:val="24"/>
          <w:szCs w:val="24"/>
        </w:rPr>
        <w:t xml:space="preserve">.  </w:t>
      </w:r>
      <w:r w:rsidR="00C02FDE" w:rsidRPr="00241B5B">
        <w:rPr>
          <w:rFonts w:ascii="Arial" w:hAnsi="Arial" w:cs="Arial"/>
          <w:noProof/>
          <w:sz w:val="24"/>
          <w:szCs w:val="24"/>
        </w:rPr>
        <w:drawing>
          <wp:inline distT="0" distB="0" distL="0" distR="0" wp14:anchorId="6CBCBB79" wp14:editId="039BC5FA">
            <wp:extent cx="5661329" cy="2491082"/>
            <wp:effectExtent l="0" t="0" r="0" b="0"/>
            <wp:docPr id="8862798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9240" cy="2494563"/>
                    </a:xfrm>
                    <a:prstGeom prst="rect">
                      <a:avLst/>
                    </a:prstGeom>
                    <a:noFill/>
                  </pic:spPr>
                </pic:pic>
              </a:graphicData>
            </a:graphic>
          </wp:inline>
        </w:drawing>
      </w:r>
    </w:p>
    <w:p w14:paraId="1AF83DA3" w14:textId="50614F3E" w:rsidR="001113CC" w:rsidRPr="00241B5B" w:rsidRDefault="00A26FFA" w:rsidP="00241B5B">
      <w:pPr>
        <w:spacing w:line="360" w:lineRule="auto"/>
        <w:jc w:val="both"/>
        <w:rPr>
          <w:rFonts w:ascii="Arial" w:hAnsi="Arial" w:cs="Arial"/>
          <w:sz w:val="24"/>
          <w:szCs w:val="24"/>
        </w:rPr>
      </w:pPr>
      <w:r w:rsidRPr="00241B5B">
        <w:rPr>
          <w:rFonts w:ascii="Arial" w:hAnsi="Arial" w:cs="Arial"/>
          <w:sz w:val="24"/>
          <w:szCs w:val="24"/>
        </w:rPr>
        <w:t xml:space="preserve">The current analysis indicates that the business's debt-to-equity ratio has </w:t>
      </w:r>
      <w:r w:rsidR="008E3DF6">
        <w:rPr>
          <w:rFonts w:ascii="Arial" w:hAnsi="Arial" w:cs="Arial"/>
          <w:sz w:val="24"/>
          <w:szCs w:val="24"/>
        </w:rPr>
        <w:t>risen</w:t>
      </w:r>
      <w:r w:rsidRPr="00241B5B">
        <w:rPr>
          <w:rFonts w:ascii="Arial" w:hAnsi="Arial" w:cs="Arial"/>
          <w:sz w:val="24"/>
          <w:szCs w:val="24"/>
        </w:rPr>
        <w:t xml:space="preserve"> from 4.348 in the previous year to 8.669 in </w:t>
      </w:r>
      <w:r w:rsidR="003D0AA8">
        <w:rPr>
          <w:rFonts w:ascii="Arial" w:hAnsi="Arial" w:cs="Arial"/>
          <w:sz w:val="24"/>
          <w:szCs w:val="24"/>
        </w:rPr>
        <w:t>2023</w:t>
      </w:r>
      <w:r w:rsidRPr="00241B5B">
        <w:rPr>
          <w:rFonts w:ascii="Arial" w:hAnsi="Arial" w:cs="Arial"/>
          <w:sz w:val="24"/>
          <w:szCs w:val="24"/>
        </w:rPr>
        <w:t xml:space="preserve">, reflecting a </w:t>
      </w:r>
      <w:r w:rsidR="003C6B54">
        <w:rPr>
          <w:rFonts w:ascii="Arial" w:hAnsi="Arial" w:cs="Arial"/>
          <w:sz w:val="24"/>
          <w:szCs w:val="24"/>
        </w:rPr>
        <w:t>greater</w:t>
      </w:r>
      <w:r w:rsidRPr="00241B5B">
        <w:rPr>
          <w:rFonts w:ascii="Arial" w:hAnsi="Arial" w:cs="Arial"/>
          <w:sz w:val="24"/>
          <w:szCs w:val="24"/>
        </w:rPr>
        <w:t xml:space="preserve"> reliance on debt financing over equity. This trend suggests an expanded level of outsourced capital relative to equity. The interest coverage ratio has also declined, indicating reduced earnings available to cover borrowing costs, likely due to decreased profitability. Additionally, the equity ratio has dropped from a previous level of 0.162, signalling a declining proportion of equity within the business's capital structure.</w:t>
      </w:r>
      <w:r w:rsidR="00985133" w:rsidRPr="00241B5B">
        <w:rPr>
          <w:rFonts w:ascii="Arial" w:hAnsi="Arial" w:cs="Arial"/>
          <w:sz w:val="24"/>
          <w:szCs w:val="24"/>
        </w:rPr>
        <w:t xml:space="preserve"> </w:t>
      </w:r>
    </w:p>
    <w:p w14:paraId="26A75FB0" w14:textId="77777777" w:rsidR="004912C8" w:rsidRPr="00241B5B" w:rsidRDefault="004912C8" w:rsidP="00241B5B">
      <w:pPr>
        <w:pStyle w:val="Heading2"/>
        <w:spacing w:line="360" w:lineRule="auto"/>
        <w:jc w:val="both"/>
        <w:rPr>
          <w:rFonts w:ascii="Arial" w:hAnsi="Arial" w:cs="Arial"/>
          <w:sz w:val="24"/>
          <w:szCs w:val="24"/>
        </w:rPr>
      </w:pPr>
      <w:bookmarkStart w:id="8" w:name="_Toc182410492"/>
      <w:r w:rsidRPr="00241B5B">
        <w:rPr>
          <w:rFonts w:ascii="Arial" w:hAnsi="Arial" w:cs="Arial"/>
          <w:sz w:val="24"/>
          <w:szCs w:val="24"/>
        </w:rPr>
        <w:lastRenderedPageBreak/>
        <w:t>2. Fundamental causes behind declined profit in The City Hotel</w:t>
      </w:r>
      <w:bookmarkEnd w:id="8"/>
    </w:p>
    <w:p w14:paraId="44A42B68" w14:textId="7B6C6052" w:rsidR="00062FA1" w:rsidRPr="00241B5B" w:rsidRDefault="009E6B33" w:rsidP="00241B5B">
      <w:pPr>
        <w:spacing w:line="360" w:lineRule="auto"/>
        <w:jc w:val="both"/>
        <w:rPr>
          <w:rFonts w:ascii="Arial" w:hAnsi="Arial" w:cs="Arial"/>
          <w:sz w:val="24"/>
          <w:szCs w:val="24"/>
        </w:rPr>
      </w:pPr>
      <w:r w:rsidRPr="00241B5B">
        <w:rPr>
          <w:rFonts w:ascii="Arial" w:hAnsi="Arial" w:cs="Arial"/>
          <w:sz w:val="24"/>
          <w:szCs w:val="24"/>
        </w:rPr>
        <w:t xml:space="preserve">Macroeconomic and microeconomic factors significantly influence business operations and strategies, contributing to the growth and stability of business structures. In the UK hospitality sector, challenges such as market uncertainty have been identified, often leading to operational inefficiencies (House of Commons Library, 2021). </w:t>
      </w:r>
      <w:r w:rsidR="00062FA1" w:rsidRPr="00241B5B">
        <w:rPr>
          <w:rFonts w:ascii="Arial" w:hAnsi="Arial" w:cs="Arial"/>
          <w:sz w:val="24"/>
          <w:szCs w:val="24"/>
        </w:rPr>
        <w:t>The primary recognitions of some of those factors which also impose a negative impact on the declining profit of this city hotel include</w:t>
      </w:r>
      <w:r w:rsidR="00BD68C5" w:rsidRPr="00241B5B">
        <w:rPr>
          <w:rFonts w:ascii="Arial" w:hAnsi="Arial" w:cs="Arial"/>
          <w:sz w:val="24"/>
          <w:szCs w:val="24"/>
        </w:rPr>
        <w:t xml:space="preserve">: </w:t>
      </w:r>
    </w:p>
    <w:p w14:paraId="04A9C7C9" w14:textId="68393CE3" w:rsidR="00D74AB9" w:rsidRPr="00241B5B" w:rsidRDefault="00062FA1" w:rsidP="00241B5B">
      <w:pPr>
        <w:spacing w:line="360" w:lineRule="auto"/>
        <w:jc w:val="both"/>
        <w:rPr>
          <w:rFonts w:ascii="Arial" w:hAnsi="Arial" w:cs="Arial"/>
          <w:b/>
          <w:bCs/>
          <w:sz w:val="24"/>
          <w:szCs w:val="24"/>
        </w:rPr>
      </w:pPr>
      <w:bookmarkStart w:id="9" w:name="_Toc182410493"/>
      <w:r w:rsidRPr="00241B5B">
        <w:rPr>
          <w:rStyle w:val="Heading3Char"/>
          <w:rFonts w:ascii="Arial" w:hAnsi="Arial" w:cs="Arial"/>
          <w:sz w:val="24"/>
          <w:szCs w:val="24"/>
        </w:rPr>
        <w:t>Geopolitics and world events</w:t>
      </w:r>
      <w:bookmarkEnd w:id="9"/>
    </w:p>
    <w:p w14:paraId="71CD4085" w14:textId="285835B9" w:rsidR="001113CC" w:rsidRPr="00241B5B" w:rsidRDefault="00062FA1" w:rsidP="00241B5B">
      <w:pPr>
        <w:spacing w:line="360" w:lineRule="auto"/>
        <w:jc w:val="both"/>
        <w:rPr>
          <w:rFonts w:ascii="Arial" w:hAnsi="Arial" w:cs="Arial"/>
          <w:sz w:val="24"/>
          <w:szCs w:val="24"/>
        </w:rPr>
      </w:pPr>
      <w:r w:rsidRPr="00241B5B">
        <w:rPr>
          <w:rFonts w:ascii="Arial" w:hAnsi="Arial" w:cs="Arial"/>
          <w:sz w:val="24"/>
          <w:szCs w:val="24"/>
        </w:rPr>
        <w:t>The applicability of geopolitical situation is relevant for every industry in the nation</w:t>
      </w:r>
      <w:r w:rsidR="00892C04" w:rsidRPr="00241B5B">
        <w:rPr>
          <w:rFonts w:ascii="Arial" w:hAnsi="Arial" w:cs="Arial"/>
          <w:sz w:val="24"/>
          <w:szCs w:val="24"/>
        </w:rPr>
        <w:t>,</w:t>
      </w:r>
      <w:r w:rsidRPr="00241B5B">
        <w:rPr>
          <w:rFonts w:ascii="Arial" w:hAnsi="Arial" w:cs="Arial"/>
          <w:sz w:val="24"/>
          <w:szCs w:val="24"/>
        </w:rPr>
        <w:t xml:space="preserve"> a</w:t>
      </w:r>
      <w:r w:rsidR="00892C04" w:rsidRPr="00241B5B">
        <w:rPr>
          <w:rFonts w:ascii="Arial" w:hAnsi="Arial" w:cs="Arial"/>
          <w:sz w:val="24"/>
          <w:szCs w:val="24"/>
        </w:rPr>
        <w:t>nd i</w:t>
      </w:r>
      <w:r w:rsidRPr="00241B5B">
        <w:rPr>
          <w:rFonts w:ascii="Arial" w:hAnsi="Arial" w:cs="Arial"/>
          <w:sz w:val="24"/>
          <w:szCs w:val="24"/>
        </w:rPr>
        <w:t>t ultimately provides stability in trade initiatives. In the present situation, the consequences of the Russia-Ukrainian war mainly negative</w:t>
      </w:r>
      <w:r w:rsidR="00BD68C5" w:rsidRPr="00241B5B">
        <w:rPr>
          <w:rFonts w:ascii="Arial" w:hAnsi="Arial" w:cs="Arial"/>
          <w:sz w:val="24"/>
          <w:szCs w:val="24"/>
        </w:rPr>
        <w:t>ly</w:t>
      </w:r>
      <w:r w:rsidRPr="00241B5B">
        <w:rPr>
          <w:rFonts w:ascii="Arial" w:hAnsi="Arial" w:cs="Arial"/>
          <w:sz w:val="24"/>
          <w:szCs w:val="24"/>
        </w:rPr>
        <w:t xml:space="preserve"> impact the supply chain engagement</w:t>
      </w:r>
      <w:r w:rsidR="006C7131" w:rsidRPr="00241B5B">
        <w:rPr>
          <w:rFonts w:ascii="Arial" w:hAnsi="Arial" w:cs="Arial"/>
          <w:sz w:val="24"/>
          <w:szCs w:val="24"/>
        </w:rPr>
        <w:t>,</w:t>
      </w:r>
      <w:r w:rsidRPr="00241B5B">
        <w:rPr>
          <w:rFonts w:ascii="Arial" w:hAnsi="Arial" w:cs="Arial"/>
          <w:sz w:val="24"/>
          <w:szCs w:val="24"/>
        </w:rPr>
        <w:t xml:space="preserve"> which initiates a certain level of uncertainty in the hospitality business. </w:t>
      </w:r>
      <w:r w:rsidR="00D04961">
        <w:rPr>
          <w:rFonts w:ascii="Arial" w:hAnsi="Arial" w:cs="Arial"/>
          <w:sz w:val="24"/>
          <w:szCs w:val="24"/>
        </w:rPr>
        <w:t>Furthermore, the inflation rate in the United Kingdom has risen to 2.2%. Similarly, the interest rates have also grown to 5.25%, creating a degree of inadequacy concerning the trade initiative participation for individual hospitality enterprises in the UK</w:t>
      </w:r>
      <w:r w:rsidR="00EF6389">
        <w:rPr>
          <w:rFonts w:ascii="Arial" w:hAnsi="Arial" w:cs="Arial"/>
          <w:sz w:val="24"/>
          <w:szCs w:val="24"/>
        </w:rPr>
        <w:t xml:space="preserve"> </w:t>
      </w:r>
      <w:r w:rsidRPr="00241B5B">
        <w:rPr>
          <w:rFonts w:ascii="Arial" w:hAnsi="Arial" w:cs="Arial"/>
          <w:sz w:val="24"/>
          <w:szCs w:val="24"/>
        </w:rPr>
        <w:t xml:space="preserve">(Rees and Anghel, 2024). </w:t>
      </w:r>
    </w:p>
    <w:p w14:paraId="6C0FE615" w14:textId="01BD4B34" w:rsidR="00FD0652" w:rsidRPr="00241B5B" w:rsidRDefault="00277F04" w:rsidP="00241B5B">
      <w:pPr>
        <w:spacing w:line="360" w:lineRule="auto"/>
        <w:jc w:val="both"/>
        <w:rPr>
          <w:rFonts w:ascii="Arial" w:hAnsi="Arial" w:cs="Arial"/>
          <w:sz w:val="24"/>
          <w:szCs w:val="24"/>
        </w:rPr>
      </w:pPr>
      <w:r w:rsidRPr="00241B5B">
        <w:rPr>
          <w:rFonts w:ascii="Arial" w:hAnsi="Arial" w:cs="Arial"/>
          <w:noProof/>
          <w:sz w:val="24"/>
          <w:szCs w:val="24"/>
        </w:rPr>
        <w:drawing>
          <wp:inline distT="0" distB="0" distL="0" distR="0" wp14:anchorId="05976FAE" wp14:editId="7812BBD8">
            <wp:extent cx="4919980" cy="3249295"/>
            <wp:effectExtent l="0" t="0" r="0" b="0"/>
            <wp:docPr id="288154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9980" cy="3249295"/>
                    </a:xfrm>
                    <a:prstGeom prst="rect">
                      <a:avLst/>
                    </a:prstGeom>
                    <a:noFill/>
                  </pic:spPr>
                </pic:pic>
              </a:graphicData>
            </a:graphic>
          </wp:inline>
        </w:drawing>
      </w:r>
    </w:p>
    <w:p w14:paraId="5EE40752" w14:textId="37F83BCE" w:rsidR="0092790F" w:rsidRPr="00241B5B" w:rsidRDefault="00BB22DC" w:rsidP="00241B5B">
      <w:pPr>
        <w:spacing w:line="360" w:lineRule="auto"/>
        <w:jc w:val="both"/>
        <w:rPr>
          <w:rStyle w:val="Heading3Char"/>
          <w:rFonts w:ascii="Arial" w:eastAsiaTheme="minorHAnsi" w:hAnsi="Arial" w:cs="Arial"/>
          <w:color w:val="auto"/>
          <w:sz w:val="24"/>
          <w:szCs w:val="24"/>
        </w:rPr>
      </w:pPr>
      <w:r w:rsidRPr="00241B5B">
        <w:rPr>
          <w:rFonts w:ascii="Arial" w:hAnsi="Arial" w:cs="Arial"/>
          <w:sz w:val="24"/>
          <w:szCs w:val="24"/>
        </w:rPr>
        <w:t xml:space="preserve">Figure 1. </w:t>
      </w:r>
      <w:r w:rsidR="0092790F" w:rsidRPr="00241B5B">
        <w:rPr>
          <w:rFonts w:ascii="Arial" w:hAnsi="Arial" w:cs="Arial"/>
          <w:sz w:val="24"/>
          <w:szCs w:val="24"/>
        </w:rPr>
        <w:t>(BBC News, 2024)</w:t>
      </w:r>
    </w:p>
    <w:p w14:paraId="4E0E2EE1" w14:textId="77777777" w:rsidR="00741D48" w:rsidRPr="00241B5B" w:rsidRDefault="00741D48" w:rsidP="00241B5B">
      <w:pPr>
        <w:spacing w:line="360" w:lineRule="auto"/>
        <w:jc w:val="both"/>
        <w:rPr>
          <w:rStyle w:val="Heading3Char"/>
          <w:rFonts w:ascii="Arial" w:hAnsi="Arial" w:cs="Arial"/>
          <w:sz w:val="24"/>
          <w:szCs w:val="24"/>
        </w:rPr>
      </w:pPr>
    </w:p>
    <w:p w14:paraId="08AA5076" w14:textId="77CEA7F4" w:rsidR="00D90B13" w:rsidRPr="00241B5B" w:rsidRDefault="00D90B13" w:rsidP="00241B5B">
      <w:pPr>
        <w:spacing w:line="360" w:lineRule="auto"/>
        <w:jc w:val="both"/>
        <w:rPr>
          <w:rFonts w:ascii="Arial" w:hAnsi="Arial" w:cs="Arial"/>
          <w:sz w:val="24"/>
          <w:szCs w:val="24"/>
        </w:rPr>
      </w:pPr>
      <w:bookmarkStart w:id="10" w:name="_Toc182410494"/>
      <w:r w:rsidRPr="00241B5B">
        <w:rPr>
          <w:rStyle w:val="Heading3Char"/>
          <w:rFonts w:ascii="Arial" w:hAnsi="Arial" w:cs="Arial"/>
          <w:sz w:val="24"/>
          <w:szCs w:val="24"/>
        </w:rPr>
        <w:lastRenderedPageBreak/>
        <w:t>Global warming</w:t>
      </w:r>
      <w:bookmarkEnd w:id="10"/>
    </w:p>
    <w:p w14:paraId="1F497CB7" w14:textId="19422384" w:rsidR="001113CC" w:rsidRPr="00241B5B" w:rsidRDefault="00F859C0" w:rsidP="00241B5B">
      <w:pPr>
        <w:spacing w:line="360" w:lineRule="auto"/>
        <w:jc w:val="both"/>
        <w:rPr>
          <w:rFonts w:ascii="Arial" w:hAnsi="Arial" w:cs="Arial"/>
          <w:sz w:val="24"/>
          <w:szCs w:val="24"/>
        </w:rPr>
      </w:pPr>
      <w:r w:rsidRPr="00241B5B">
        <w:rPr>
          <w:rFonts w:ascii="Arial" w:hAnsi="Arial" w:cs="Arial"/>
          <w:sz w:val="24"/>
          <w:szCs w:val="24"/>
        </w:rPr>
        <w:t xml:space="preserve">Global warming significantly influences tourism, as climate stability and </w:t>
      </w:r>
      <w:r w:rsidR="00857136" w:rsidRPr="00241B5B">
        <w:rPr>
          <w:rFonts w:ascii="Arial" w:hAnsi="Arial" w:cs="Arial"/>
          <w:sz w:val="24"/>
          <w:szCs w:val="24"/>
        </w:rPr>
        <w:t>favourable</w:t>
      </w:r>
      <w:r w:rsidRPr="00241B5B">
        <w:rPr>
          <w:rFonts w:ascii="Arial" w:hAnsi="Arial" w:cs="Arial"/>
          <w:sz w:val="24"/>
          <w:szCs w:val="24"/>
        </w:rPr>
        <w:t xml:space="preserve"> environmental conditions are essential for attracting visitors, which supports the hospitality sector. In the UK, data from the Met Office indicate an overall warming trend, with average annual temperatures </w:t>
      </w:r>
      <w:r w:rsidR="00C6272B" w:rsidRPr="00241B5B">
        <w:rPr>
          <w:rFonts w:ascii="Arial" w:hAnsi="Arial" w:cs="Arial"/>
          <w:sz w:val="24"/>
          <w:szCs w:val="24"/>
        </w:rPr>
        <w:t>increasing</w:t>
      </w:r>
      <w:r w:rsidRPr="00241B5B">
        <w:rPr>
          <w:rFonts w:ascii="Arial" w:hAnsi="Arial" w:cs="Arial"/>
          <w:sz w:val="24"/>
          <w:szCs w:val="24"/>
        </w:rPr>
        <w:t xml:space="preserve"> in line with global patterns since the pre-industrial period </w:t>
      </w:r>
      <w:r w:rsidR="007F11E4" w:rsidRPr="00241B5B">
        <w:rPr>
          <w:rFonts w:ascii="Arial" w:hAnsi="Arial" w:cs="Arial"/>
          <w:sz w:val="24"/>
          <w:szCs w:val="24"/>
        </w:rPr>
        <w:t xml:space="preserve">(Met Office, 2024). </w:t>
      </w:r>
      <w:r w:rsidR="001A6358">
        <w:rPr>
          <w:rFonts w:ascii="Arial" w:hAnsi="Arial" w:cs="Arial"/>
          <w:sz w:val="24"/>
          <w:szCs w:val="24"/>
        </w:rPr>
        <w:t>The provisional estimate of the UK's net greenhouse gas (GHG) emissions in 2023 was 384.2 million tonnes of carbon dioxide equivalent (</w:t>
      </w:r>
      <w:proofErr w:type="spellStart"/>
      <w:r w:rsidR="001A6358">
        <w:rPr>
          <w:rFonts w:ascii="Arial" w:hAnsi="Arial" w:cs="Arial"/>
          <w:sz w:val="24"/>
          <w:szCs w:val="24"/>
        </w:rPr>
        <w:t>MtCO</w:t>
      </w:r>
      <w:r w:rsidR="001A6358">
        <w:rPr>
          <w:rFonts w:ascii="Cambria Math" w:hAnsi="Cambria Math" w:cs="Cambria Math"/>
          <w:sz w:val="24"/>
          <w:szCs w:val="24"/>
        </w:rPr>
        <w:t>₂</w:t>
      </w:r>
      <w:r w:rsidR="001A6358">
        <w:rPr>
          <w:rFonts w:ascii="Arial" w:hAnsi="Arial" w:cs="Arial"/>
          <w:sz w:val="24"/>
          <w:szCs w:val="24"/>
        </w:rPr>
        <w:t>e</w:t>
      </w:r>
      <w:proofErr w:type="spellEnd"/>
      <w:r w:rsidR="001A6358">
        <w:rPr>
          <w:rFonts w:ascii="Arial" w:hAnsi="Arial" w:cs="Arial"/>
          <w:sz w:val="24"/>
          <w:szCs w:val="24"/>
        </w:rPr>
        <w:t xml:space="preserve">), which represents a 5.4% </w:t>
      </w:r>
      <w:r w:rsidR="00F4007E">
        <w:rPr>
          <w:rFonts w:ascii="Arial" w:hAnsi="Arial" w:cs="Arial"/>
          <w:sz w:val="24"/>
          <w:szCs w:val="24"/>
        </w:rPr>
        <w:t>reduction</w:t>
      </w:r>
      <w:r w:rsidR="001A6358">
        <w:rPr>
          <w:rFonts w:ascii="Arial" w:hAnsi="Arial" w:cs="Arial"/>
          <w:sz w:val="24"/>
          <w:szCs w:val="24"/>
        </w:rPr>
        <w:t xml:space="preserve"> compared to 2022</w:t>
      </w:r>
      <w:r w:rsidR="00F4007E">
        <w:rPr>
          <w:rFonts w:ascii="Arial" w:hAnsi="Arial" w:cs="Arial"/>
          <w:sz w:val="24"/>
          <w:szCs w:val="24"/>
        </w:rPr>
        <w:t xml:space="preserve"> </w:t>
      </w:r>
      <w:r w:rsidR="007F11E4" w:rsidRPr="00241B5B">
        <w:rPr>
          <w:rFonts w:ascii="Arial" w:hAnsi="Arial" w:cs="Arial"/>
          <w:sz w:val="24"/>
          <w:szCs w:val="24"/>
        </w:rPr>
        <w:t xml:space="preserve">(Department for Energy Security and Net Zero, 2024). These environmental shifts </w:t>
      </w:r>
      <w:r w:rsidR="009B19A4" w:rsidRPr="00241B5B">
        <w:rPr>
          <w:rFonts w:ascii="Arial" w:hAnsi="Arial" w:cs="Arial"/>
          <w:sz w:val="24"/>
          <w:szCs w:val="24"/>
        </w:rPr>
        <w:t>will</w:t>
      </w:r>
      <w:r w:rsidR="007F11E4" w:rsidRPr="00241B5B">
        <w:rPr>
          <w:rFonts w:ascii="Arial" w:hAnsi="Arial" w:cs="Arial"/>
          <w:sz w:val="24"/>
          <w:szCs w:val="24"/>
        </w:rPr>
        <w:t xml:space="preserve"> likely influence tourism trends, with potential implications for the UK hospitality industry. Although climate change is a significant factor, other variables</w:t>
      </w:r>
      <w:r w:rsidR="009B19A4" w:rsidRPr="00241B5B">
        <w:rPr>
          <w:rFonts w:ascii="Arial" w:hAnsi="Arial" w:cs="Arial"/>
          <w:sz w:val="24"/>
          <w:szCs w:val="24"/>
        </w:rPr>
        <w:t>,</w:t>
      </w:r>
      <w:r w:rsidR="007F11E4" w:rsidRPr="00241B5B">
        <w:rPr>
          <w:rFonts w:ascii="Arial" w:hAnsi="Arial" w:cs="Arial"/>
          <w:sz w:val="24"/>
          <w:szCs w:val="24"/>
        </w:rPr>
        <w:t xml:space="preserve"> such as economic conditions, geopolitical issues, and public health concerns</w:t>
      </w:r>
      <w:r w:rsidR="009B19A4" w:rsidRPr="00241B5B">
        <w:rPr>
          <w:rFonts w:ascii="Arial" w:hAnsi="Arial" w:cs="Arial"/>
          <w:sz w:val="24"/>
          <w:szCs w:val="24"/>
        </w:rPr>
        <w:t>,</w:t>
      </w:r>
      <w:r w:rsidR="007F11E4" w:rsidRPr="00241B5B">
        <w:rPr>
          <w:rFonts w:ascii="Arial" w:hAnsi="Arial" w:cs="Arial"/>
          <w:sz w:val="24"/>
          <w:szCs w:val="24"/>
        </w:rPr>
        <w:t xml:space="preserve"> also impact tourism patterns (Mota, Leite, </w:t>
      </w:r>
      <w:r w:rsidR="00DD7CB9" w:rsidRPr="00241B5B">
        <w:rPr>
          <w:rFonts w:ascii="Arial" w:hAnsi="Arial" w:cs="Arial"/>
          <w:sz w:val="24"/>
          <w:szCs w:val="24"/>
        </w:rPr>
        <w:t xml:space="preserve">&amp; </w:t>
      </w:r>
      <w:r w:rsidR="007F11E4" w:rsidRPr="00241B5B">
        <w:rPr>
          <w:rFonts w:ascii="Arial" w:hAnsi="Arial" w:cs="Arial"/>
          <w:sz w:val="24"/>
          <w:szCs w:val="24"/>
        </w:rPr>
        <w:t>Ghasemi, 2024).</w:t>
      </w:r>
    </w:p>
    <w:p w14:paraId="13839DB6" w14:textId="58318C2B" w:rsidR="00155AA3" w:rsidRPr="00241B5B" w:rsidRDefault="00B545F1" w:rsidP="00241B5B">
      <w:pPr>
        <w:spacing w:line="360" w:lineRule="auto"/>
        <w:jc w:val="both"/>
        <w:rPr>
          <w:rFonts w:ascii="Arial" w:hAnsi="Arial" w:cs="Arial"/>
          <w:sz w:val="24"/>
          <w:szCs w:val="24"/>
        </w:rPr>
      </w:pPr>
      <w:r w:rsidRPr="00241B5B">
        <w:rPr>
          <w:rFonts w:ascii="Arial" w:hAnsi="Arial" w:cs="Arial"/>
          <w:noProof/>
          <w:sz w:val="24"/>
          <w:szCs w:val="24"/>
        </w:rPr>
        <w:drawing>
          <wp:inline distT="0" distB="0" distL="0" distR="0" wp14:anchorId="00A85DC9" wp14:editId="7C9AC2D6">
            <wp:extent cx="5102860" cy="3103245"/>
            <wp:effectExtent l="0" t="0" r="0" b="0"/>
            <wp:docPr id="20140127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2860" cy="3103245"/>
                    </a:xfrm>
                    <a:prstGeom prst="rect">
                      <a:avLst/>
                    </a:prstGeom>
                    <a:noFill/>
                  </pic:spPr>
                </pic:pic>
              </a:graphicData>
            </a:graphic>
          </wp:inline>
        </w:drawing>
      </w:r>
    </w:p>
    <w:p w14:paraId="3C648C53" w14:textId="42B095B7" w:rsidR="001113CC" w:rsidRPr="00241B5B" w:rsidRDefault="00AA6F75" w:rsidP="00241B5B">
      <w:pPr>
        <w:spacing w:line="360" w:lineRule="auto"/>
        <w:jc w:val="both"/>
        <w:rPr>
          <w:rFonts w:ascii="Arial" w:hAnsi="Arial" w:cs="Arial"/>
          <w:sz w:val="24"/>
          <w:szCs w:val="24"/>
        </w:rPr>
      </w:pPr>
      <w:r w:rsidRPr="00241B5B">
        <w:rPr>
          <w:rFonts w:ascii="Arial" w:hAnsi="Arial" w:cs="Arial"/>
          <w:sz w:val="24"/>
          <w:szCs w:val="24"/>
        </w:rPr>
        <w:t>Figure 2. Annual land and water temperature anomalies (</w:t>
      </w:r>
      <w:r w:rsidR="00EE5B72" w:rsidRPr="00241B5B">
        <w:rPr>
          <w:rFonts w:ascii="Arial" w:hAnsi="Arial" w:cs="Arial"/>
          <w:sz w:val="24"/>
          <w:szCs w:val="24"/>
        </w:rPr>
        <w:t>Statista</w:t>
      </w:r>
      <w:r w:rsidRPr="00241B5B">
        <w:rPr>
          <w:rFonts w:ascii="Arial" w:hAnsi="Arial" w:cs="Arial"/>
          <w:sz w:val="24"/>
          <w:szCs w:val="24"/>
        </w:rPr>
        <w:t>, 202</w:t>
      </w:r>
      <w:r w:rsidR="00EE5B72" w:rsidRPr="00241B5B">
        <w:rPr>
          <w:rFonts w:ascii="Arial" w:hAnsi="Arial" w:cs="Arial"/>
          <w:sz w:val="24"/>
          <w:szCs w:val="24"/>
        </w:rPr>
        <w:t>4</w:t>
      </w:r>
      <w:r w:rsidRPr="00241B5B">
        <w:rPr>
          <w:rFonts w:ascii="Arial" w:hAnsi="Arial" w:cs="Arial"/>
          <w:sz w:val="24"/>
          <w:szCs w:val="24"/>
        </w:rPr>
        <w:t>).</w:t>
      </w:r>
    </w:p>
    <w:p w14:paraId="2CE68E72" w14:textId="77777777" w:rsidR="004856B3" w:rsidRPr="00241B5B" w:rsidRDefault="004856B3" w:rsidP="00241B5B">
      <w:pPr>
        <w:pStyle w:val="Heading3"/>
        <w:spacing w:line="360" w:lineRule="auto"/>
        <w:jc w:val="both"/>
        <w:rPr>
          <w:rFonts w:ascii="Arial" w:hAnsi="Arial" w:cs="Arial"/>
          <w:sz w:val="24"/>
          <w:szCs w:val="24"/>
        </w:rPr>
      </w:pPr>
      <w:bookmarkStart w:id="11" w:name="_Toc182410495"/>
      <w:r w:rsidRPr="00241B5B">
        <w:rPr>
          <w:rFonts w:ascii="Arial" w:hAnsi="Arial" w:cs="Arial"/>
          <w:sz w:val="24"/>
          <w:szCs w:val="24"/>
        </w:rPr>
        <w:t>Rising labour costs and hotel staff shortages</w:t>
      </w:r>
      <w:bookmarkEnd w:id="11"/>
    </w:p>
    <w:p w14:paraId="36402980" w14:textId="0387A3E5" w:rsidR="001113CC" w:rsidRPr="00241B5B" w:rsidRDefault="00F21227" w:rsidP="00241B5B">
      <w:pPr>
        <w:spacing w:line="360" w:lineRule="auto"/>
        <w:jc w:val="both"/>
        <w:rPr>
          <w:rFonts w:ascii="Arial" w:hAnsi="Arial" w:cs="Arial"/>
          <w:sz w:val="24"/>
          <w:szCs w:val="24"/>
        </w:rPr>
      </w:pPr>
      <w:r w:rsidRPr="00241B5B">
        <w:rPr>
          <w:rFonts w:ascii="Arial" w:hAnsi="Arial" w:cs="Arial"/>
          <w:sz w:val="24"/>
          <w:szCs w:val="24"/>
        </w:rPr>
        <w:t xml:space="preserve">Rising </w:t>
      </w:r>
      <w:r w:rsidR="00CD59CA" w:rsidRPr="00241B5B">
        <w:rPr>
          <w:rFonts w:ascii="Arial" w:hAnsi="Arial" w:cs="Arial"/>
          <w:sz w:val="24"/>
          <w:szCs w:val="24"/>
        </w:rPr>
        <w:t>labour</w:t>
      </w:r>
      <w:r w:rsidRPr="00241B5B">
        <w:rPr>
          <w:rFonts w:ascii="Arial" w:hAnsi="Arial" w:cs="Arial"/>
          <w:sz w:val="24"/>
          <w:szCs w:val="24"/>
        </w:rPr>
        <w:t xml:space="preserve"> costs and staff shortages </w:t>
      </w:r>
      <w:r w:rsidR="00CD59CA" w:rsidRPr="00241B5B">
        <w:rPr>
          <w:rFonts w:ascii="Arial" w:hAnsi="Arial" w:cs="Arial"/>
          <w:sz w:val="24"/>
          <w:szCs w:val="24"/>
        </w:rPr>
        <w:t xml:space="preserve">might </w:t>
      </w:r>
      <w:r w:rsidRPr="00241B5B">
        <w:rPr>
          <w:rFonts w:ascii="Arial" w:hAnsi="Arial" w:cs="Arial"/>
          <w:sz w:val="24"/>
          <w:szCs w:val="24"/>
        </w:rPr>
        <w:t>a</w:t>
      </w:r>
      <w:r w:rsidR="00CD59CA" w:rsidRPr="00241B5B">
        <w:rPr>
          <w:rFonts w:ascii="Arial" w:hAnsi="Arial" w:cs="Arial"/>
          <w:sz w:val="24"/>
          <w:szCs w:val="24"/>
        </w:rPr>
        <w:t>ls</w:t>
      </w:r>
      <w:r w:rsidRPr="00241B5B">
        <w:rPr>
          <w:rFonts w:ascii="Arial" w:hAnsi="Arial" w:cs="Arial"/>
          <w:sz w:val="24"/>
          <w:szCs w:val="24"/>
        </w:rPr>
        <w:t xml:space="preserve">o impact The City Hotel’s profitability. </w:t>
      </w:r>
      <w:r w:rsidR="00CD59CA" w:rsidRPr="00241B5B">
        <w:rPr>
          <w:rFonts w:ascii="Arial" w:hAnsi="Arial" w:cs="Arial"/>
          <w:sz w:val="24"/>
          <w:szCs w:val="24"/>
        </w:rPr>
        <w:t>Labour</w:t>
      </w:r>
      <w:r w:rsidRPr="00241B5B">
        <w:rPr>
          <w:rFonts w:ascii="Arial" w:hAnsi="Arial" w:cs="Arial"/>
          <w:sz w:val="24"/>
          <w:szCs w:val="24"/>
        </w:rPr>
        <w:t xml:space="preserve"> costs have increased, partly due to the UK’s minimum wage rise to £11 an hour as of 2024, directly affect</w:t>
      </w:r>
      <w:r w:rsidR="00CD59CA" w:rsidRPr="00241B5B">
        <w:rPr>
          <w:rFonts w:ascii="Arial" w:hAnsi="Arial" w:cs="Arial"/>
          <w:sz w:val="24"/>
          <w:szCs w:val="24"/>
        </w:rPr>
        <w:t>ing</w:t>
      </w:r>
      <w:r w:rsidRPr="00241B5B">
        <w:rPr>
          <w:rFonts w:ascii="Arial" w:hAnsi="Arial" w:cs="Arial"/>
          <w:sz w:val="24"/>
          <w:szCs w:val="24"/>
        </w:rPr>
        <w:t xml:space="preserve"> operational expenses (Office for National Statistics, 2024). Additionally, post-pandemic and Brexit-related workforce shortages in the hospitality sector have led to high vacancy rates, increased recruitment </w:t>
      </w:r>
      <w:r w:rsidRPr="00241B5B">
        <w:rPr>
          <w:rFonts w:ascii="Arial" w:hAnsi="Arial" w:cs="Arial"/>
          <w:sz w:val="24"/>
          <w:szCs w:val="24"/>
        </w:rPr>
        <w:lastRenderedPageBreak/>
        <w:t>expenses, and</w:t>
      </w:r>
      <w:r w:rsidR="003A6173" w:rsidRPr="00241B5B">
        <w:rPr>
          <w:rFonts w:ascii="Arial" w:hAnsi="Arial" w:cs="Arial"/>
          <w:sz w:val="24"/>
          <w:szCs w:val="24"/>
        </w:rPr>
        <w:t>,</w:t>
      </w:r>
      <w:r w:rsidRPr="00241B5B">
        <w:rPr>
          <w:rFonts w:ascii="Arial" w:hAnsi="Arial" w:cs="Arial"/>
          <w:sz w:val="24"/>
          <w:szCs w:val="24"/>
        </w:rPr>
        <w:t xml:space="preserve"> in some cases, reduced service quality and capacity. This staffing gap not only raises costs but also risks reducing customer satisfaction, further pressuring profits (</w:t>
      </w:r>
      <w:proofErr w:type="spellStart"/>
      <w:r w:rsidR="002A0705" w:rsidRPr="00241B5B">
        <w:rPr>
          <w:rFonts w:ascii="Arial" w:hAnsi="Arial" w:cs="Arial"/>
          <w:sz w:val="24"/>
          <w:szCs w:val="24"/>
        </w:rPr>
        <w:t>UKHospitality</w:t>
      </w:r>
      <w:proofErr w:type="spellEnd"/>
      <w:r w:rsidR="002A0705" w:rsidRPr="00241B5B">
        <w:rPr>
          <w:rFonts w:ascii="Arial" w:hAnsi="Arial" w:cs="Arial"/>
          <w:sz w:val="24"/>
          <w:szCs w:val="24"/>
        </w:rPr>
        <w:t>, 2023)</w:t>
      </w:r>
      <w:r w:rsidR="00DE2C77" w:rsidRPr="00241B5B">
        <w:rPr>
          <w:rFonts w:ascii="Arial" w:hAnsi="Arial" w:cs="Arial"/>
          <w:sz w:val="24"/>
          <w:szCs w:val="24"/>
        </w:rPr>
        <w:t>.</w:t>
      </w:r>
    </w:p>
    <w:p w14:paraId="6B4E8F5A" w14:textId="77777777" w:rsidR="000C2366" w:rsidRPr="00241B5B" w:rsidRDefault="000C2366" w:rsidP="00241B5B">
      <w:pPr>
        <w:pStyle w:val="Heading2"/>
        <w:spacing w:line="360" w:lineRule="auto"/>
        <w:jc w:val="both"/>
        <w:rPr>
          <w:rFonts w:ascii="Arial" w:hAnsi="Arial" w:cs="Arial"/>
          <w:sz w:val="24"/>
          <w:szCs w:val="24"/>
        </w:rPr>
      </w:pPr>
      <w:bookmarkStart w:id="12" w:name="_Toc182410496"/>
      <w:r w:rsidRPr="00241B5B">
        <w:rPr>
          <w:rFonts w:ascii="Arial" w:hAnsi="Arial" w:cs="Arial"/>
          <w:sz w:val="24"/>
          <w:szCs w:val="24"/>
        </w:rPr>
        <w:t>3. Application of turnaround strategies for business operations</w:t>
      </w:r>
      <w:bookmarkEnd w:id="12"/>
      <w:r w:rsidRPr="00241B5B">
        <w:rPr>
          <w:rFonts w:ascii="Arial" w:hAnsi="Arial" w:cs="Arial"/>
          <w:sz w:val="24"/>
          <w:szCs w:val="24"/>
        </w:rPr>
        <w:t xml:space="preserve"> </w:t>
      </w:r>
    </w:p>
    <w:p w14:paraId="3FDE6D20" w14:textId="7C27D5E6" w:rsidR="000C2366" w:rsidRPr="00241B5B" w:rsidRDefault="000C2366" w:rsidP="00241B5B">
      <w:pPr>
        <w:spacing w:line="360" w:lineRule="auto"/>
        <w:jc w:val="both"/>
        <w:rPr>
          <w:rFonts w:ascii="Arial" w:hAnsi="Arial" w:cs="Arial"/>
          <w:sz w:val="24"/>
          <w:szCs w:val="24"/>
        </w:rPr>
      </w:pPr>
      <w:r w:rsidRPr="00241B5B">
        <w:rPr>
          <w:rFonts w:ascii="Arial" w:hAnsi="Arial" w:cs="Arial"/>
          <w:sz w:val="24"/>
          <w:szCs w:val="24"/>
        </w:rPr>
        <w:t xml:space="preserve">The primary initiative related to proper strategic formulations brings </w:t>
      </w:r>
      <w:r w:rsidR="00D67E0D" w:rsidRPr="00241B5B">
        <w:rPr>
          <w:rFonts w:ascii="Arial" w:hAnsi="Arial" w:cs="Arial"/>
          <w:sz w:val="24"/>
          <w:szCs w:val="24"/>
        </w:rPr>
        <w:t>operating growth, including accountability support, and is </w:t>
      </w:r>
      <w:r w:rsidRPr="00241B5B">
        <w:rPr>
          <w:rFonts w:ascii="Arial" w:hAnsi="Arial" w:cs="Arial"/>
          <w:sz w:val="24"/>
          <w:szCs w:val="24"/>
        </w:rPr>
        <w:t xml:space="preserve">also associated with business development. </w:t>
      </w:r>
      <w:r w:rsidR="00D67E0D" w:rsidRPr="00241B5B">
        <w:rPr>
          <w:rFonts w:ascii="Arial" w:hAnsi="Arial" w:cs="Arial"/>
          <w:sz w:val="24"/>
          <w:szCs w:val="24"/>
        </w:rPr>
        <w:t>Co</w:t>
      </w:r>
      <w:r w:rsidRPr="00241B5B">
        <w:rPr>
          <w:rFonts w:ascii="Arial" w:hAnsi="Arial" w:cs="Arial"/>
          <w:sz w:val="24"/>
          <w:szCs w:val="24"/>
        </w:rPr>
        <w:t>n</w:t>
      </w:r>
      <w:r w:rsidR="00D67E0D" w:rsidRPr="00241B5B">
        <w:rPr>
          <w:rFonts w:ascii="Arial" w:hAnsi="Arial" w:cs="Arial"/>
          <w:sz w:val="24"/>
          <w:szCs w:val="24"/>
        </w:rPr>
        <w:t>c</w:t>
      </w:r>
      <w:r w:rsidRPr="00241B5B">
        <w:rPr>
          <w:rFonts w:ascii="Arial" w:hAnsi="Arial" w:cs="Arial"/>
          <w:sz w:val="24"/>
          <w:szCs w:val="24"/>
        </w:rPr>
        <w:t>e</w:t>
      </w:r>
      <w:r w:rsidR="00D67E0D" w:rsidRPr="00241B5B">
        <w:rPr>
          <w:rFonts w:ascii="Arial" w:hAnsi="Arial" w:cs="Arial"/>
          <w:sz w:val="24"/>
          <w:szCs w:val="24"/>
        </w:rPr>
        <w:t>rn</w:t>
      </w:r>
      <w:r w:rsidRPr="00241B5B">
        <w:rPr>
          <w:rFonts w:ascii="Arial" w:hAnsi="Arial" w:cs="Arial"/>
          <w:sz w:val="24"/>
          <w:szCs w:val="24"/>
        </w:rPr>
        <w:t>in</w:t>
      </w:r>
      <w:r w:rsidR="00D67E0D" w:rsidRPr="00241B5B">
        <w:rPr>
          <w:rFonts w:ascii="Arial" w:hAnsi="Arial" w:cs="Arial"/>
          <w:sz w:val="24"/>
          <w:szCs w:val="24"/>
        </w:rPr>
        <w:t>g</w:t>
      </w:r>
      <w:r w:rsidRPr="00241B5B">
        <w:rPr>
          <w:rFonts w:ascii="Arial" w:hAnsi="Arial" w:cs="Arial"/>
          <w:sz w:val="24"/>
          <w:szCs w:val="24"/>
        </w:rPr>
        <w:t xml:space="preserve"> the present declining positions of profitability and revenue standard in </w:t>
      </w:r>
      <w:r w:rsidR="00B73726" w:rsidRPr="00241B5B">
        <w:rPr>
          <w:rFonts w:ascii="Arial" w:hAnsi="Arial" w:cs="Arial"/>
          <w:sz w:val="24"/>
          <w:szCs w:val="24"/>
        </w:rPr>
        <w:t>T</w:t>
      </w:r>
      <w:r w:rsidRPr="00241B5B">
        <w:rPr>
          <w:rFonts w:ascii="Arial" w:hAnsi="Arial" w:cs="Arial"/>
          <w:sz w:val="24"/>
          <w:szCs w:val="24"/>
        </w:rPr>
        <w:t xml:space="preserve">he </w:t>
      </w:r>
      <w:r w:rsidR="00B73726" w:rsidRPr="00241B5B">
        <w:rPr>
          <w:rFonts w:ascii="Arial" w:hAnsi="Arial" w:cs="Arial"/>
          <w:sz w:val="24"/>
          <w:szCs w:val="24"/>
        </w:rPr>
        <w:t>C</w:t>
      </w:r>
      <w:r w:rsidRPr="00241B5B">
        <w:rPr>
          <w:rFonts w:ascii="Arial" w:hAnsi="Arial" w:cs="Arial"/>
          <w:sz w:val="24"/>
          <w:szCs w:val="24"/>
        </w:rPr>
        <w:t xml:space="preserve">ity </w:t>
      </w:r>
      <w:r w:rsidR="00B73726" w:rsidRPr="00241B5B">
        <w:rPr>
          <w:rFonts w:ascii="Arial" w:hAnsi="Arial" w:cs="Arial"/>
          <w:sz w:val="24"/>
          <w:szCs w:val="24"/>
        </w:rPr>
        <w:t>H</w:t>
      </w:r>
      <w:r w:rsidRPr="00241B5B">
        <w:rPr>
          <w:rFonts w:ascii="Arial" w:hAnsi="Arial" w:cs="Arial"/>
          <w:sz w:val="24"/>
          <w:szCs w:val="24"/>
        </w:rPr>
        <w:t>otel, the applied initiative of focus on the value-based pricing strategy will be supportive and formulated for the business operation and engagement purpose</w:t>
      </w:r>
      <w:r w:rsidR="0085095F" w:rsidRPr="00241B5B">
        <w:rPr>
          <w:rFonts w:ascii="Arial" w:hAnsi="Arial" w:cs="Arial"/>
          <w:sz w:val="24"/>
          <w:szCs w:val="24"/>
        </w:rPr>
        <w:t>,</w:t>
      </w:r>
      <w:r w:rsidRPr="00241B5B">
        <w:rPr>
          <w:rFonts w:ascii="Arial" w:hAnsi="Arial" w:cs="Arial"/>
          <w:sz w:val="24"/>
          <w:szCs w:val="24"/>
        </w:rPr>
        <w:t xml:space="preserve"> which will be able to provide a proper volume of stability through the discounting pricing position support (Lopez, 2020). </w:t>
      </w:r>
      <w:r w:rsidR="00ED35DD" w:rsidRPr="00241B5B">
        <w:rPr>
          <w:rFonts w:ascii="Arial" w:hAnsi="Arial" w:cs="Arial"/>
          <w:sz w:val="24"/>
          <w:szCs w:val="24"/>
        </w:rPr>
        <w:t>Applying</w:t>
      </w:r>
      <w:r w:rsidRPr="00241B5B">
        <w:rPr>
          <w:rFonts w:ascii="Arial" w:hAnsi="Arial" w:cs="Arial"/>
          <w:sz w:val="24"/>
          <w:szCs w:val="24"/>
        </w:rPr>
        <w:t xml:space="preserve"> this type of engagement on a seasonal basis will provide </w:t>
      </w:r>
      <w:r w:rsidR="00ED35DD" w:rsidRPr="00241B5B">
        <w:rPr>
          <w:rFonts w:ascii="Arial" w:hAnsi="Arial" w:cs="Arial"/>
          <w:sz w:val="24"/>
          <w:szCs w:val="24"/>
        </w:rPr>
        <w:t xml:space="preserve">appropriate </w:t>
      </w:r>
      <w:r w:rsidRPr="00241B5B">
        <w:rPr>
          <w:rFonts w:ascii="Arial" w:hAnsi="Arial" w:cs="Arial"/>
          <w:sz w:val="24"/>
          <w:szCs w:val="24"/>
        </w:rPr>
        <w:t xml:space="preserve">customer retention support with Occupancy rate expansion. </w:t>
      </w:r>
    </w:p>
    <w:p w14:paraId="530D4129" w14:textId="6FF2C0F4" w:rsidR="000C2366" w:rsidRPr="00241B5B" w:rsidRDefault="000C2366" w:rsidP="00241B5B">
      <w:pPr>
        <w:spacing w:line="360" w:lineRule="auto"/>
        <w:jc w:val="both"/>
        <w:rPr>
          <w:rFonts w:ascii="Arial" w:hAnsi="Arial" w:cs="Arial"/>
          <w:sz w:val="24"/>
          <w:szCs w:val="24"/>
        </w:rPr>
      </w:pPr>
      <w:r w:rsidRPr="00241B5B">
        <w:rPr>
          <w:rFonts w:ascii="Arial" w:hAnsi="Arial" w:cs="Arial"/>
          <w:sz w:val="24"/>
          <w:szCs w:val="24"/>
        </w:rPr>
        <w:t>Depending on the present market initiative</w:t>
      </w:r>
      <w:r w:rsidR="00BC2BD3" w:rsidRPr="00241B5B">
        <w:rPr>
          <w:rFonts w:ascii="Arial" w:hAnsi="Arial" w:cs="Arial"/>
          <w:sz w:val="24"/>
          <w:szCs w:val="24"/>
        </w:rPr>
        <w:t>, the</w:t>
      </w:r>
      <w:r w:rsidRPr="00241B5B">
        <w:rPr>
          <w:rFonts w:ascii="Arial" w:hAnsi="Arial" w:cs="Arial"/>
          <w:sz w:val="24"/>
          <w:szCs w:val="24"/>
        </w:rPr>
        <w:t xml:space="preserve"> primary importance of the engagement of employee retention structure</w:t>
      </w:r>
      <w:r w:rsidR="00BC2BD3" w:rsidRPr="00241B5B">
        <w:rPr>
          <w:rFonts w:ascii="Arial" w:hAnsi="Arial" w:cs="Arial"/>
          <w:sz w:val="24"/>
          <w:szCs w:val="24"/>
        </w:rPr>
        <w:t>,</w:t>
      </w:r>
      <w:r w:rsidRPr="00241B5B">
        <w:rPr>
          <w:rFonts w:ascii="Arial" w:hAnsi="Arial" w:cs="Arial"/>
          <w:sz w:val="24"/>
          <w:szCs w:val="24"/>
        </w:rPr>
        <w:t xml:space="preserve"> including skill enhancing support for the employees</w:t>
      </w:r>
      <w:r w:rsidR="00BC2BD3" w:rsidRPr="00241B5B">
        <w:rPr>
          <w:rFonts w:ascii="Arial" w:hAnsi="Arial" w:cs="Arial"/>
          <w:sz w:val="24"/>
          <w:szCs w:val="24"/>
        </w:rPr>
        <w:t>,</w:t>
      </w:r>
      <w:r w:rsidRPr="00241B5B">
        <w:rPr>
          <w:rFonts w:ascii="Arial" w:hAnsi="Arial" w:cs="Arial"/>
          <w:sz w:val="24"/>
          <w:szCs w:val="24"/>
        </w:rPr>
        <w:t xml:space="preserve"> will be sustainable for maintaining the service expansion benefits and internal operating stability attribute in the business more specific order (Michael and Fotiadis, 2022). The primary standard related to the applicability of cultural diversity engagement brings comprehensive guidance related to the </w:t>
      </w:r>
      <w:r w:rsidR="00832407" w:rsidRPr="00241B5B">
        <w:rPr>
          <w:rFonts w:ascii="Arial" w:hAnsi="Arial" w:cs="Arial"/>
          <w:sz w:val="24"/>
          <w:szCs w:val="24"/>
        </w:rPr>
        <w:t>benefits of employees' stability and accountability</w:t>
      </w:r>
      <w:r w:rsidR="00FB7021" w:rsidRPr="00241B5B">
        <w:rPr>
          <w:rFonts w:ascii="Arial" w:hAnsi="Arial" w:cs="Arial"/>
          <w:sz w:val="24"/>
          <w:szCs w:val="24"/>
        </w:rPr>
        <w:t xml:space="preserve">, </w:t>
      </w:r>
      <w:r w:rsidRPr="00241B5B">
        <w:rPr>
          <w:rFonts w:ascii="Arial" w:hAnsi="Arial" w:cs="Arial"/>
          <w:sz w:val="24"/>
          <w:szCs w:val="24"/>
        </w:rPr>
        <w:t xml:space="preserve">which will be sustainable for business expansions in the </w:t>
      </w:r>
      <w:r w:rsidR="00FB7021" w:rsidRPr="00241B5B">
        <w:rPr>
          <w:rFonts w:ascii="Arial" w:hAnsi="Arial" w:cs="Arial"/>
          <w:sz w:val="24"/>
          <w:szCs w:val="24"/>
        </w:rPr>
        <w:t>f</w:t>
      </w:r>
      <w:r w:rsidRPr="00241B5B">
        <w:rPr>
          <w:rFonts w:ascii="Arial" w:hAnsi="Arial" w:cs="Arial"/>
          <w:sz w:val="24"/>
          <w:szCs w:val="24"/>
        </w:rPr>
        <w:t>u</w:t>
      </w:r>
      <w:r w:rsidR="00FB7021" w:rsidRPr="00241B5B">
        <w:rPr>
          <w:rFonts w:ascii="Arial" w:hAnsi="Arial" w:cs="Arial"/>
          <w:sz w:val="24"/>
          <w:szCs w:val="24"/>
        </w:rPr>
        <w:t>ture</w:t>
      </w:r>
      <w:r w:rsidRPr="00241B5B">
        <w:rPr>
          <w:rFonts w:ascii="Arial" w:hAnsi="Arial" w:cs="Arial"/>
          <w:sz w:val="24"/>
          <w:szCs w:val="24"/>
        </w:rPr>
        <w:t xml:space="preserve"> (Reidhead, 2020). The present standard is of primary importance to the online booking initiative</w:t>
      </w:r>
      <w:r w:rsidR="00E428B8" w:rsidRPr="00241B5B">
        <w:rPr>
          <w:rFonts w:ascii="Arial" w:hAnsi="Arial" w:cs="Arial"/>
          <w:sz w:val="24"/>
          <w:szCs w:val="24"/>
        </w:rPr>
        <w:t>,</w:t>
      </w:r>
      <w:r w:rsidRPr="00241B5B">
        <w:rPr>
          <w:rFonts w:ascii="Arial" w:hAnsi="Arial" w:cs="Arial"/>
          <w:sz w:val="24"/>
          <w:szCs w:val="24"/>
        </w:rPr>
        <w:t xml:space="preserve"> including AI engagement in relation to the operational engagement in this business</w:t>
      </w:r>
      <w:r w:rsidR="00E428B8" w:rsidRPr="00241B5B">
        <w:rPr>
          <w:rFonts w:ascii="Arial" w:hAnsi="Arial" w:cs="Arial"/>
          <w:sz w:val="24"/>
          <w:szCs w:val="24"/>
        </w:rPr>
        <w:t>,</w:t>
      </w:r>
      <w:r w:rsidRPr="00241B5B">
        <w:rPr>
          <w:rFonts w:ascii="Arial" w:hAnsi="Arial" w:cs="Arial"/>
          <w:sz w:val="24"/>
          <w:szCs w:val="24"/>
        </w:rPr>
        <w:t xml:space="preserve"> which will provide a proper volume of </w:t>
      </w:r>
      <w:r w:rsidR="000B575D" w:rsidRPr="00241B5B">
        <w:rPr>
          <w:rFonts w:ascii="Arial" w:hAnsi="Arial" w:cs="Arial"/>
          <w:sz w:val="24"/>
          <w:szCs w:val="24"/>
        </w:rPr>
        <w:t>competitive</w:t>
      </w:r>
      <w:r w:rsidRPr="00241B5B">
        <w:rPr>
          <w:rFonts w:ascii="Arial" w:hAnsi="Arial" w:cs="Arial"/>
          <w:sz w:val="24"/>
          <w:szCs w:val="24"/>
        </w:rPr>
        <w:t xml:space="preserve"> advantage support for this company. </w:t>
      </w:r>
    </w:p>
    <w:p w14:paraId="45D5AFA4" w14:textId="7D6E79D1" w:rsidR="00F000C8" w:rsidRPr="00241B5B" w:rsidRDefault="00AB7575" w:rsidP="00241B5B">
      <w:pPr>
        <w:spacing w:line="360" w:lineRule="auto"/>
        <w:jc w:val="both"/>
        <w:rPr>
          <w:rFonts w:ascii="Arial" w:hAnsi="Arial" w:cs="Arial"/>
          <w:sz w:val="24"/>
          <w:szCs w:val="24"/>
        </w:rPr>
      </w:pPr>
      <w:r w:rsidRPr="00241B5B">
        <w:rPr>
          <w:rFonts w:ascii="Arial" w:hAnsi="Arial" w:cs="Arial"/>
          <w:sz w:val="24"/>
          <w:szCs w:val="24"/>
        </w:rPr>
        <w:t>Embracing sustainability can boost a hotel's reputation, build market goodwill, and attract customers who prioritise environmentally friendly practices</w:t>
      </w:r>
      <w:r w:rsidR="00CC1908" w:rsidRPr="00241B5B">
        <w:rPr>
          <w:rFonts w:ascii="Arial" w:hAnsi="Arial" w:cs="Arial"/>
          <w:sz w:val="24"/>
          <w:szCs w:val="24"/>
        </w:rPr>
        <w:t>. As rising interest rates increase the cost of bank loans, relying on stable equity financing is a prudent choice for maintaining financial flexibility and supporting sustainable growth.</w:t>
      </w:r>
      <w:r w:rsidR="00B64DAF" w:rsidRPr="00241B5B">
        <w:rPr>
          <w:rFonts w:ascii="Arial" w:hAnsi="Arial" w:cs="Arial"/>
          <w:sz w:val="24"/>
          <w:szCs w:val="24"/>
        </w:rPr>
        <w:t xml:space="preserve"> Additionally, using social media for brand promotion enables hotels to reach a wider audience, attract more customers, and boost profitability by building stronger customer connections.</w:t>
      </w:r>
      <w:r w:rsidR="00CC1908" w:rsidRPr="00241B5B">
        <w:rPr>
          <w:rFonts w:ascii="Arial" w:hAnsi="Arial" w:cs="Arial"/>
          <w:sz w:val="24"/>
          <w:szCs w:val="24"/>
        </w:rPr>
        <w:t xml:space="preserve"> </w:t>
      </w:r>
    </w:p>
    <w:p w14:paraId="08888343" w14:textId="0004C232" w:rsidR="00A11E79" w:rsidRPr="00241B5B" w:rsidRDefault="00857D29" w:rsidP="00241B5B">
      <w:pPr>
        <w:pStyle w:val="Heading1"/>
        <w:spacing w:line="360" w:lineRule="auto"/>
        <w:jc w:val="both"/>
        <w:rPr>
          <w:rFonts w:ascii="Arial" w:hAnsi="Arial" w:cs="Arial"/>
          <w:sz w:val="24"/>
          <w:szCs w:val="24"/>
        </w:rPr>
      </w:pPr>
      <w:bookmarkStart w:id="13" w:name="_Toc182410497"/>
      <w:r w:rsidRPr="00241B5B">
        <w:rPr>
          <w:rFonts w:ascii="Arial" w:hAnsi="Arial" w:cs="Arial"/>
          <w:sz w:val="24"/>
          <w:szCs w:val="24"/>
        </w:rPr>
        <w:lastRenderedPageBreak/>
        <w:t>Conclusion</w:t>
      </w:r>
      <w:bookmarkEnd w:id="13"/>
    </w:p>
    <w:p w14:paraId="3EB46103" w14:textId="387010CD" w:rsidR="009E1DB3" w:rsidRPr="00241B5B" w:rsidRDefault="00A11E79" w:rsidP="00241B5B">
      <w:pPr>
        <w:spacing w:line="360" w:lineRule="auto"/>
        <w:jc w:val="both"/>
        <w:rPr>
          <w:rFonts w:ascii="Arial" w:hAnsi="Arial" w:cs="Arial"/>
          <w:sz w:val="24"/>
          <w:szCs w:val="24"/>
        </w:rPr>
      </w:pPr>
      <w:r w:rsidRPr="00241B5B">
        <w:rPr>
          <w:rFonts w:ascii="Arial" w:hAnsi="Arial" w:cs="Arial"/>
          <w:sz w:val="24"/>
          <w:szCs w:val="24"/>
        </w:rPr>
        <w:t xml:space="preserve">In conclusion, while The City Hotel has a strong foundation in terms of location and service offerings, recent market dynamics and operational challenges have compromised its financial health. The hotel’s decline in profitability and revenue, coupled with increasing costs, presents significant obstacles to achieving sustainable growth. However, by implementing strategic initiatives focused on pricing, employee retention, and brand engagement, The City Hotel has the potential to recover and strengthen its market position. The recommended turnaround strategy aims to </w:t>
      </w:r>
      <w:r w:rsidR="00D026BB" w:rsidRPr="00241B5B">
        <w:rPr>
          <w:rFonts w:ascii="Arial" w:hAnsi="Arial" w:cs="Arial"/>
          <w:sz w:val="24"/>
          <w:szCs w:val="24"/>
        </w:rPr>
        <w:t>stabilise</w:t>
      </w:r>
      <w:r w:rsidRPr="00241B5B">
        <w:rPr>
          <w:rFonts w:ascii="Arial" w:hAnsi="Arial" w:cs="Arial"/>
          <w:sz w:val="24"/>
          <w:szCs w:val="24"/>
        </w:rPr>
        <w:t xml:space="preserve"> operations, improve cash flow, and restore profitability. </w:t>
      </w:r>
      <w:r w:rsidR="00D026BB" w:rsidRPr="00241B5B">
        <w:rPr>
          <w:rFonts w:ascii="Arial" w:hAnsi="Arial" w:cs="Arial"/>
          <w:sz w:val="24"/>
          <w:szCs w:val="24"/>
        </w:rPr>
        <w:t>Prioritising</w:t>
      </w:r>
      <w:r w:rsidRPr="00241B5B">
        <w:rPr>
          <w:rFonts w:ascii="Arial" w:hAnsi="Arial" w:cs="Arial"/>
          <w:sz w:val="24"/>
          <w:szCs w:val="24"/>
        </w:rPr>
        <w:t xml:space="preserve"> sustainability and digital outreach will further enhance the hotel’s reputation and align it with the evolving preferences of modern consumers. With these focused efforts, The City Hotel can navigate current challenges and emerge as a more resilient and competitive entity in the hospitality industry.</w:t>
      </w:r>
    </w:p>
    <w:p w14:paraId="66BBE8DD" w14:textId="77777777" w:rsidR="00241B5B" w:rsidRDefault="00241B5B" w:rsidP="00241B5B">
      <w:pPr>
        <w:spacing w:line="360" w:lineRule="auto"/>
        <w:jc w:val="both"/>
        <w:rPr>
          <w:rFonts w:ascii="Arial" w:hAnsi="Arial" w:cs="Arial"/>
          <w:sz w:val="24"/>
          <w:szCs w:val="24"/>
        </w:rPr>
      </w:pPr>
    </w:p>
    <w:p w14:paraId="1B92D1CE" w14:textId="77777777" w:rsidR="007E4DAB" w:rsidRDefault="007E4DAB" w:rsidP="00241B5B">
      <w:pPr>
        <w:spacing w:line="360" w:lineRule="auto"/>
        <w:jc w:val="both"/>
        <w:rPr>
          <w:rFonts w:ascii="Arial" w:hAnsi="Arial" w:cs="Arial"/>
          <w:sz w:val="24"/>
          <w:szCs w:val="24"/>
        </w:rPr>
      </w:pPr>
    </w:p>
    <w:p w14:paraId="6EA709A4" w14:textId="77777777" w:rsidR="007E4DAB" w:rsidRDefault="007E4DAB" w:rsidP="00241B5B">
      <w:pPr>
        <w:spacing w:line="360" w:lineRule="auto"/>
        <w:jc w:val="both"/>
        <w:rPr>
          <w:rFonts w:ascii="Arial" w:hAnsi="Arial" w:cs="Arial"/>
          <w:sz w:val="24"/>
          <w:szCs w:val="24"/>
        </w:rPr>
      </w:pPr>
    </w:p>
    <w:p w14:paraId="73A25718" w14:textId="77777777" w:rsidR="007E4DAB" w:rsidRDefault="007E4DAB" w:rsidP="00241B5B">
      <w:pPr>
        <w:spacing w:line="360" w:lineRule="auto"/>
        <w:jc w:val="both"/>
        <w:rPr>
          <w:rFonts w:ascii="Arial" w:hAnsi="Arial" w:cs="Arial"/>
          <w:sz w:val="24"/>
          <w:szCs w:val="24"/>
        </w:rPr>
      </w:pPr>
    </w:p>
    <w:p w14:paraId="70C7011A" w14:textId="77777777" w:rsidR="007E4DAB" w:rsidRDefault="007E4DAB" w:rsidP="00241B5B">
      <w:pPr>
        <w:spacing w:line="360" w:lineRule="auto"/>
        <w:jc w:val="both"/>
        <w:rPr>
          <w:rFonts w:ascii="Arial" w:hAnsi="Arial" w:cs="Arial"/>
          <w:sz w:val="24"/>
          <w:szCs w:val="24"/>
        </w:rPr>
      </w:pPr>
    </w:p>
    <w:p w14:paraId="2780606F" w14:textId="77777777" w:rsidR="007E4DAB" w:rsidRDefault="007E4DAB" w:rsidP="00241B5B">
      <w:pPr>
        <w:spacing w:line="360" w:lineRule="auto"/>
        <w:jc w:val="both"/>
        <w:rPr>
          <w:rFonts w:ascii="Arial" w:hAnsi="Arial" w:cs="Arial"/>
          <w:sz w:val="24"/>
          <w:szCs w:val="24"/>
        </w:rPr>
      </w:pPr>
    </w:p>
    <w:p w14:paraId="3B5BDCCA" w14:textId="77777777" w:rsidR="007E4DAB" w:rsidRDefault="007E4DAB" w:rsidP="00241B5B">
      <w:pPr>
        <w:spacing w:line="360" w:lineRule="auto"/>
        <w:jc w:val="both"/>
        <w:rPr>
          <w:rFonts w:ascii="Arial" w:hAnsi="Arial" w:cs="Arial"/>
          <w:sz w:val="24"/>
          <w:szCs w:val="24"/>
        </w:rPr>
      </w:pPr>
    </w:p>
    <w:p w14:paraId="71444E1D" w14:textId="77777777" w:rsidR="007E4DAB" w:rsidRDefault="007E4DAB" w:rsidP="00241B5B">
      <w:pPr>
        <w:spacing w:line="360" w:lineRule="auto"/>
        <w:jc w:val="both"/>
        <w:rPr>
          <w:rFonts w:ascii="Arial" w:hAnsi="Arial" w:cs="Arial"/>
          <w:sz w:val="24"/>
          <w:szCs w:val="24"/>
        </w:rPr>
      </w:pPr>
    </w:p>
    <w:p w14:paraId="0D2E4EEB" w14:textId="77777777" w:rsidR="007E4DAB" w:rsidRDefault="007E4DAB" w:rsidP="00241B5B">
      <w:pPr>
        <w:spacing w:line="360" w:lineRule="auto"/>
        <w:jc w:val="both"/>
        <w:rPr>
          <w:rFonts w:ascii="Arial" w:hAnsi="Arial" w:cs="Arial"/>
          <w:sz w:val="24"/>
          <w:szCs w:val="24"/>
        </w:rPr>
      </w:pPr>
    </w:p>
    <w:p w14:paraId="520384DC" w14:textId="77777777" w:rsidR="007E4DAB" w:rsidRDefault="007E4DAB" w:rsidP="00241B5B">
      <w:pPr>
        <w:spacing w:line="360" w:lineRule="auto"/>
        <w:jc w:val="both"/>
        <w:rPr>
          <w:rFonts w:ascii="Arial" w:hAnsi="Arial" w:cs="Arial"/>
          <w:sz w:val="24"/>
          <w:szCs w:val="24"/>
        </w:rPr>
      </w:pPr>
    </w:p>
    <w:p w14:paraId="408A4155" w14:textId="77777777" w:rsidR="007E4DAB" w:rsidRDefault="007E4DAB" w:rsidP="00241B5B">
      <w:pPr>
        <w:spacing w:line="360" w:lineRule="auto"/>
        <w:jc w:val="both"/>
        <w:rPr>
          <w:rFonts w:ascii="Arial" w:hAnsi="Arial" w:cs="Arial"/>
          <w:sz w:val="24"/>
          <w:szCs w:val="24"/>
        </w:rPr>
      </w:pPr>
    </w:p>
    <w:p w14:paraId="7C3F3727" w14:textId="77777777" w:rsidR="007E4DAB" w:rsidRPr="00241B5B" w:rsidRDefault="007E4DAB" w:rsidP="00241B5B">
      <w:pPr>
        <w:spacing w:line="360" w:lineRule="auto"/>
        <w:jc w:val="both"/>
        <w:rPr>
          <w:rFonts w:ascii="Arial" w:hAnsi="Arial" w:cs="Arial"/>
          <w:sz w:val="24"/>
          <w:szCs w:val="24"/>
        </w:rPr>
      </w:pPr>
    </w:p>
    <w:p w14:paraId="2F4AA87E" w14:textId="77777777" w:rsidR="00397348" w:rsidRPr="00241B5B" w:rsidRDefault="00397348" w:rsidP="00241B5B">
      <w:pPr>
        <w:spacing w:line="360" w:lineRule="auto"/>
        <w:jc w:val="both"/>
        <w:rPr>
          <w:rFonts w:ascii="Arial" w:hAnsi="Arial" w:cs="Arial"/>
          <w:sz w:val="24"/>
          <w:szCs w:val="24"/>
        </w:rPr>
      </w:pPr>
    </w:p>
    <w:p w14:paraId="2C2ECE9D" w14:textId="71826BEB" w:rsidR="006A1AB0" w:rsidRPr="00241B5B" w:rsidRDefault="006A1AB0" w:rsidP="00241B5B">
      <w:pPr>
        <w:pStyle w:val="Heading1"/>
        <w:spacing w:line="360" w:lineRule="auto"/>
        <w:jc w:val="both"/>
        <w:rPr>
          <w:rFonts w:ascii="Arial" w:hAnsi="Arial" w:cs="Arial"/>
          <w:sz w:val="24"/>
          <w:szCs w:val="24"/>
        </w:rPr>
      </w:pPr>
      <w:bookmarkStart w:id="14" w:name="_Toc182410498"/>
      <w:r w:rsidRPr="00241B5B">
        <w:rPr>
          <w:rFonts w:ascii="Arial" w:hAnsi="Arial" w:cs="Arial"/>
          <w:sz w:val="24"/>
          <w:szCs w:val="24"/>
        </w:rPr>
        <w:lastRenderedPageBreak/>
        <w:t>References</w:t>
      </w:r>
      <w:bookmarkEnd w:id="14"/>
    </w:p>
    <w:p w14:paraId="0EAC4A3E" w14:textId="6B9D6153" w:rsidR="006D7344" w:rsidRPr="00241B5B" w:rsidRDefault="005B1DE8" w:rsidP="00241B5B">
      <w:pPr>
        <w:spacing w:line="360" w:lineRule="auto"/>
        <w:jc w:val="both"/>
        <w:rPr>
          <w:rFonts w:ascii="Arial" w:hAnsi="Arial" w:cs="Arial"/>
          <w:sz w:val="24"/>
          <w:szCs w:val="24"/>
        </w:rPr>
      </w:pPr>
      <w:proofErr w:type="spellStart"/>
      <w:r w:rsidRPr="00241B5B">
        <w:rPr>
          <w:rFonts w:ascii="Arial" w:hAnsi="Arial" w:cs="Arial"/>
          <w:sz w:val="24"/>
          <w:szCs w:val="24"/>
        </w:rPr>
        <w:t>Akbulaev</w:t>
      </w:r>
      <w:proofErr w:type="spellEnd"/>
      <w:r w:rsidRPr="00241B5B">
        <w:rPr>
          <w:rFonts w:ascii="Arial" w:hAnsi="Arial" w:cs="Arial"/>
          <w:sz w:val="24"/>
          <w:szCs w:val="24"/>
        </w:rPr>
        <w:t xml:space="preserve">, N., </w:t>
      </w:r>
      <w:proofErr w:type="spellStart"/>
      <w:r w:rsidRPr="00241B5B">
        <w:rPr>
          <w:rFonts w:ascii="Arial" w:hAnsi="Arial" w:cs="Arial"/>
          <w:sz w:val="24"/>
          <w:szCs w:val="24"/>
        </w:rPr>
        <w:t>Guliyeva</w:t>
      </w:r>
      <w:proofErr w:type="spellEnd"/>
      <w:r w:rsidRPr="00241B5B">
        <w:rPr>
          <w:rFonts w:ascii="Arial" w:hAnsi="Arial" w:cs="Arial"/>
          <w:sz w:val="24"/>
          <w:szCs w:val="24"/>
        </w:rPr>
        <w:t>, N. and Aslanova, G.</w:t>
      </w:r>
      <w:r w:rsidR="00DB5F3E" w:rsidRPr="00241B5B">
        <w:rPr>
          <w:rFonts w:ascii="Arial" w:hAnsi="Arial" w:cs="Arial"/>
          <w:sz w:val="24"/>
          <w:szCs w:val="24"/>
        </w:rPr>
        <w:t xml:space="preserve"> (</w:t>
      </w:r>
      <w:r w:rsidRPr="00241B5B">
        <w:rPr>
          <w:rFonts w:ascii="Arial" w:hAnsi="Arial" w:cs="Arial"/>
          <w:sz w:val="24"/>
          <w:szCs w:val="24"/>
        </w:rPr>
        <w:t>2020</w:t>
      </w:r>
      <w:r w:rsidR="00DB5F3E" w:rsidRPr="00241B5B">
        <w:rPr>
          <w:rFonts w:ascii="Arial" w:hAnsi="Arial" w:cs="Arial"/>
          <w:sz w:val="24"/>
          <w:szCs w:val="24"/>
        </w:rPr>
        <w:t>)</w:t>
      </w:r>
      <w:r w:rsidRPr="00241B5B">
        <w:rPr>
          <w:rFonts w:ascii="Arial" w:hAnsi="Arial" w:cs="Arial"/>
          <w:sz w:val="24"/>
          <w:szCs w:val="24"/>
        </w:rPr>
        <w:t xml:space="preserve">. Economic analysis of tourism enterprise solvency and the possibility of bankruptcy: The case of the Thomas cook group. </w:t>
      </w:r>
      <w:r w:rsidRPr="00241B5B">
        <w:rPr>
          <w:rFonts w:ascii="Arial" w:hAnsi="Arial" w:cs="Arial"/>
          <w:i/>
          <w:iCs/>
          <w:sz w:val="24"/>
          <w:szCs w:val="24"/>
        </w:rPr>
        <w:t>African Journal of Hospitality, Tourism and Leisure</w:t>
      </w:r>
      <w:r w:rsidRPr="00241B5B">
        <w:rPr>
          <w:rFonts w:ascii="Arial" w:hAnsi="Arial" w:cs="Arial"/>
          <w:sz w:val="24"/>
          <w:szCs w:val="24"/>
        </w:rPr>
        <w:t xml:space="preserve">, 9(2), pp.1-12. Available at: </w:t>
      </w:r>
      <w:hyperlink r:id="rId10" w:history="1">
        <w:r w:rsidR="00E020EE" w:rsidRPr="00241B5B">
          <w:rPr>
            <w:rStyle w:val="Hyperlink"/>
            <w:rFonts w:ascii="Arial" w:hAnsi="Arial" w:cs="Arial"/>
            <w:sz w:val="24"/>
            <w:szCs w:val="24"/>
          </w:rPr>
          <w:t>https://www.ajhtl.com/uploads/7/1/6/3/7163688/article_26_vol_9_2__2020_azerbaijan.pdf</w:t>
        </w:r>
      </w:hyperlink>
      <w:r w:rsidR="006D7344" w:rsidRPr="00241B5B">
        <w:rPr>
          <w:rFonts w:ascii="Arial" w:hAnsi="Arial" w:cs="Arial"/>
          <w:sz w:val="24"/>
          <w:szCs w:val="24"/>
        </w:rPr>
        <w:t xml:space="preserve"> </w:t>
      </w:r>
      <w:r w:rsidR="003772D7" w:rsidRPr="00241B5B">
        <w:rPr>
          <w:rFonts w:ascii="Arial" w:hAnsi="Arial" w:cs="Arial"/>
          <w:sz w:val="24"/>
          <w:szCs w:val="24"/>
        </w:rPr>
        <w:t>(Accessed</w:t>
      </w:r>
      <w:r w:rsidR="00D51BBA" w:rsidRPr="00241B5B">
        <w:rPr>
          <w:rFonts w:ascii="Arial" w:hAnsi="Arial" w:cs="Arial"/>
          <w:sz w:val="24"/>
          <w:szCs w:val="24"/>
        </w:rPr>
        <w:t>:</w:t>
      </w:r>
      <w:r w:rsidR="003772D7" w:rsidRPr="00241B5B">
        <w:rPr>
          <w:rFonts w:ascii="Arial" w:hAnsi="Arial" w:cs="Arial"/>
          <w:sz w:val="24"/>
          <w:szCs w:val="24"/>
        </w:rPr>
        <w:t xml:space="preserve"> </w:t>
      </w:r>
      <w:r w:rsidR="00331FA7" w:rsidRPr="00241B5B">
        <w:rPr>
          <w:rFonts w:ascii="Arial" w:hAnsi="Arial" w:cs="Arial"/>
          <w:sz w:val="24"/>
          <w:szCs w:val="24"/>
        </w:rPr>
        <w:t>4 November 2024).</w:t>
      </w:r>
    </w:p>
    <w:p w14:paraId="06984229" w14:textId="72D9044B" w:rsidR="00BB22DC" w:rsidRPr="00241B5B" w:rsidRDefault="00BB22DC" w:rsidP="00241B5B">
      <w:pPr>
        <w:spacing w:line="360" w:lineRule="auto"/>
        <w:jc w:val="both"/>
        <w:rPr>
          <w:rFonts w:ascii="Arial" w:hAnsi="Arial" w:cs="Arial"/>
          <w:sz w:val="24"/>
          <w:szCs w:val="24"/>
        </w:rPr>
      </w:pPr>
      <w:r w:rsidRPr="00241B5B">
        <w:rPr>
          <w:rFonts w:ascii="Arial" w:hAnsi="Arial" w:cs="Arial"/>
          <w:sz w:val="24"/>
          <w:szCs w:val="24"/>
        </w:rPr>
        <w:t>BBC News</w:t>
      </w:r>
      <w:r w:rsidR="00EE6F0A" w:rsidRPr="00241B5B">
        <w:rPr>
          <w:rFonts w:ascii="Arial" w:hAnsi="Arial" w:cs="Arial"/>
          <w:sz w:val="24"/>
          <w:szCs w:val="24"/>
        </w:rPr>
        <w:t xml:space="preserve"> (</w:t>
      </w:r>
      <w:r w:rsidRPr="00241B5B">
        <w:rPr>
          <w:rFonts w:ascii="Arial" w:hAnsi="Arial" w:cs="Arial"/>
          <w:sz w:val="24"/>
          <w:szCs w:val="24"/>
        </w:rPr>
        <w:t>2024</w:t>
      </w:r>
      <w:r w:rsidR="00EE6F0A" w:rsidRPr="00241B5B">
        <w:rPr>
          <w:rFonts w:ascii="Arial" w:hAnsi="Arial" w:cs="Arial"/>
          <w:sz w:val="24"/>
          <w:szCs w:val="24"/>
        </w:rPr>
        <w:t>)</w:t>
      </w:r>
      <w:r w:rsidRPr="00241B5B">
        <w:rPr>
          <w:rFonts w:ascii="Arial" w:hAnsi="Arial" w:cs="Arial"/>
          <w:sz w:val="24"/>
          <w:szCs w:val="24"/>
        </w:rPr>
        <w:t xml:space="preserve">. UK inflation falls for third consecutive month amid energy price drops. Available at: </w:t>
      </w:r>
      <w:hyperlink r:id="rId11" w:history="1">
        <w:r w:rsidRPr="00241B5B">
          <w:rPr>
            <w:rStyle w:val="Hyperlink"/>
            <w:rFonts w:ascii="Arial" w:hAnsi="Arial" w:cs="Arial"/>
            <w:sz w:val="24"/>
            <w:szCs w:val="24"/>
          </w:rPr>
          <w:t>https://www.bbc.co.uk/news/business-12196322</w:t>
        </w:r>
      </w:hyperlink>
      <w:r w:rsidRPr="00241B5B">
        <w:rPr>
          <w:rFonts w:ascii="Arial" w:hAnsi="Arial" w:cs="Arial"/>
          <w:sz w:val="24"/>
          <w:szCs w:val="24"/>
        </w:rPr>
        <w:t xml:space="preserve">  (Accessed</w:t>
      </w:r>
      <w:r w:rsidR="00D51BBA" w:rsidRPr="00241B5B">
        <w:rPr>
          <w:rFonts w:ascii="Arial" w:hAnsi="Arial" w:cs="Arial"/>
          <w:sz w:val="24"/>
          <w:szCs w:val="24"/>
        </w:rPr>
        <w:t>:</w:t>
      </w:r>
      <w:r w:rsidRPr="00241B5B">
        <w:rPr>
          <w:rFonts w:ascii="Arial" w:hAnsi="Arial" w:cs="Arial"/>
          <w:sz w:val="24"/>
          <w:szCs w:val="24"/>
        </w:rPr>
        <w:t xml:space="preserve"> </w:t>
      </w:r>
      <w:proofErr w:type="gramStart"/>
      <w:r w:rsidRPr="00241B5B">
        <w:rPr>
          <w:rFonts w:ascii="Arial" w:hAnsi="Arial" w:cs="Arial"/>
          <w:sz w:val="24"/>
          <w:szCs w:val="24"/>
        </w:rPr>
        <w:t>7  November</w:t>
      </w:r>
      <w:proofErr w:type="gramEnd"/>
      <w:r w:rsidRPr="00241B5B">
        <w:rPr>
          <w:rFonts w:ascii="Arial" w:hAnsi="Arial" w:cs="Arial"/>
          <w:sz w:val="24"/>
          <w:szCs w:val="24"/>
        </w:rPr>
        <w:t xml:space="preserve"> 2024).</w:t>
      </w:r>
    </w:p>
    <w:p w14:paraId="03D4749B" w14:textId="4FF3EF31" w:rsidR="00392BEF" w:rsidRPr="00241B5B" w:rsidRDefault="00392BEF" w:rsidP="00241B5B">
      <w:pPr>
        <w:spacing w:line="360" w:lineRule="auto"/>
        <w:jc w:val="both"/>
        <w:rPr>
          <w:rFonts w:ascii="Arial" w:hAnsi="Arial" w:cs="Arial"/>
          <w:sz w:val="24"/>
          <w:szCs w:val="24"/>
        </w:rPr>
      </w:pPr>
      <w:r w:rsidRPr="00241B5B">
        <w:rPr>
          <w:rFonts w:ascii="Arial" w:hAnsi="Arial" w:cs="Arial"/>
          <w:sz w:val="24"/>
          <w:szCs w:val="24"/>
        </w:rPr>
        <w:t xml:space="preserve">Bodea, T. and Ferguson, M. </w:t>
      </w:r>
      <w:r w:rsidR="00EE6F0A" w:rsidRPr="00241B5B">
        <w:rPr>
          <w:rFonts w:ascii="Arial" w:hAnsi="Arial" w:cs="Arial"/>
          <w:sz w:val="24"/>
          <w:szCs w:val="24"/>
        </w:rPr>
        <w:t>(</w:t>
      </w:r>
      <w:r w:rsidRPr="00241B5B">
        <w:rPr>
          <w:rFonts w:ascii="Arial" w:hAnsi="Arial" w:cs="Arial"/>
          <w:sz w:val="24"/>
          <w:szCs w:val="24"/>
        </w:rPr>
        <w:t>2014</w:t>
      </w:r>
      <w:r w:rsidR="00EE6F0A" w:rsidRPr="00241B5B">
        <w:rPr>
          <w:rFonts w:ascii="Arial" w:hAnsi="Arial" w:cs="Arial"/>
          <w:sz w:val="24"/>
          <w:szCs w:val="24"/>
        </w:rPr>
        <w:t>)</w:t>
      </w:r>
      <w:r w:rsidRPr="00241B5B">
        <w:rPr>
          <w:rFonts w:ascii="Arial" w:hAnsi="Arial" w:cs="Arial"/>
          <w:sz w:val="24"/>
          <w:szCs w:val="24"/>
        </w:rPr>
        <w:t xml:space="preserve">. </w:t>
      </w:r>
      <w:r w:rsidRPr="00241B5B">
        <w:rPr>
          <w:rFonts w:ascii="Arial" w:hAnsi="Arial" w:cs="Arial"/>
          <w:i/>
          <w:iCs/>
          <w:sz w:val="24"/>
          <w:szCs w:val="24"/>
        </w:rPr>
        <w:t>Segmentation, Revenue Management and Pricing Analytics.</w:t>
      </w:r>
      <w:r w:rsidRPr="00241B5B">
        <w:rPr>
          <w:rFonts w:ascii="Arial" w:hAnsi="Arial" w:cs="Arial"/>
          <w:sz w:val="24"/>
          <w:szCs w:val="24"/>
        </w:rPr>
        <w:t xml:space="preserve"> New York: Routledge. Available at:</w:t>
      </w:r>
      <w:r w:rsidR="00E3126F" w:rsidRPr="00241B5B">
        <w:rPr>
          <w:rFonts w:ascii="Arial" w:hAnsi="Arial" w:cs="Arial"/>
          <w:sz w:val="24"/>
          <w:szCs w:val="24"/>
        </w:rPr>
        <w:t xml:space="preserve"> </w:t>
      </w:r>
      <w:hyperlink r:id="rId12" w:history="1">
        <w:r w:rsidR="00E3126F" w:rsidRPr="00241B5B">
          <w:rPr>
            <w:rStyle w:val="Hyperlink"/>
            <w:rFonts w:ascii="Arial" w:hAnsi="Arial" w:cs="Arial"/>
            <w:sz w:val="24"/>
            <w:szCs w:val="24"/>
          </w:rPr>
          <w:t>https://books.google.com/books/about/Segmentation_Revenue_Management_and_Pric.html?id=YvYjAwAAQBAJ</w:t>
        </w:r>
      </w:hyperlink>
      <w:r w:rsidR="00E3126F" w:rsidRPr="00241B5B">
        <w:rPr>
          <w:rFonts w:ascii="Arial" w:hAnsi="Arial" w:cs="Arial"/>
          <w:sz w:val="24"/>
          <w:szCs w:val="24"/>
        </w:rPr>
        <w:t xml:space="preserve"> </w:t>
      </w:r>
      <w:r w:rsidRPr="00241B5B">
        <w:rPr>
          <w:rFonts w:ascii="Arial" w:hAnsi="Arial" w:cs="Arial"/>
          <w:sz w:val="24"/>
          <w:szCs w:val="24"/>
        </w:rPr>
        <w:t>(Accessed</w:t>
      </w:r>
      <w:r w:rsidR="00D51BBA" w:rsidRPr="00241B5B">
        <w:rPr>
          <w:rFonts w:ascii="Arial" w:hAnsi="Arial" w:cs="Arial"/>
          <w:sz w:val="24"/>
          <w:szCs w:val="24"/>
        </w:rPr>
        <w:t>:</w:t>
      </w:r>
      <w:r w:rsidRPr="00241B5B">
        <w:rPr>
          <w:rFonts w:ascii="Arial" w:hAnsi="Arial" w:cs="Arial"/>
          <w:sz w:val="24"/>
          <w:szCs w:val="24"/>
        </w:rPr>
        <w:t xml:space="preserve"> 3  November 2024).</w:t>
      </w:r>
    </w:p>
    <w:p w14:paraId="702E82E6" w14:textId="5C26C55D" w:rsidR="00DE2EB3" w:rsidRPr="00241B5B" w:rsidRDefault="00DE2EB3" w:rsidP="00241B5B">
      <w:pPr>
        <w:spacing w:line="360" w:lineRule="auto"/>
        <w:jc w:val="both"/>
        <w:rPr>
          <w:rFonts w:ascii="Arial" w:hAnsi="Arial" w:cs="Arial"/>
          <w:sz w:val="24"/>
          <w:szCs w:val="24"/>
        </w:rPr>
      </w:pPr>
      <w:r w:rsidRPr="00241B5B">
        <w:rPr>
          <w:rFonts w:ascii="Arial" w:hAnsi="Arial" w:cs="Arial"/>
          <w:sz w:val="24"/>
          <w:szCs w:val="24"/>
        </w:rPr>
        <w:t xml:space="preserve">Corporate Finance Institute </w:t>
      </w:r>
      <w:r w:rsidR="00EE6F0A" w:rsidRPr="00241B5B">
        <w:rPr>
          <w:rFonts w:ascii="Arial" w:hAnsi="Arial" w:cs="Arial"/>
          <w:sz w:val="24"/>
          <w:szCs w:val="24"/>
        </w:rPr>
        <w:t>(</w:t>
      </w:r>
      <w:r w:rsidRPr="00241B5B">
        <w:rPr>
          <w:rFonts w:ascii="Arial" w:hAnsi="Arial" w:cs="Arial"/>
          <w:sz w:val="24"/>
          <w:szCs w:val="24"/>
        </w:rPr>
        <w:t>202</w:t>
      </w:r>
      <w:r w:rsidR="00D7633F" w:rsidRPr="00241B5B">
        <w:rPr>
          <w:rFonts w:ascii="Arial" w:hAnsi="Arial" w:cs="Arial"/>
          <w:sz w:val="24"/>
          <w:szCs w:val="24"/>
        </w:rPr>
        <w:t>3</w:t>
      </w:r>
      <w:r w:rsidR="00F327AE" w:rsidRPr="00241B5B">
        <w:rPr>
          <w:rFonts w:ascii="Arial" w:hAnsi="Arial" w:cs="Arial"/>
          <w:sz w:val="24"/>
          <w:szCs w:val="24"/>
        </w:rPr>
        <w:t>a</w:t>
      </w:r>
      <w:r w:rsidR="00EE6F0A" w:rsidRPr="00241B5B">
        <w:rPr>
          <w:rFonts w:ascii="Arial" w:hAnsi="Arial" w:cs="Arial"/>
          <w:sz w:val="24"/>
          <w:szCs w:val="24"/>
        </w:rPr>
        <w:t>)</w:t>
      </w:r>
      <w:r w:rsidRPr="00241B5B">
        <w:rPr>
          <w:rFonts w:ascii="Arial" w:hAnsi="Arial" w:cs="Arial"/>
          <w:sz w:val="24"/>
          <w:szCs w:val="24"/>
        </w:rPr>
        <w:t xml:space="preserve">. </w:t>
      </w:r>
      <w:r w:rsidRPr="00241B5B">
        <w:rPr>
          <w:rFonts w:ascii="Arial" w:hAnsi="Arial" w:cs="Arial"/>
          <w:i/>
          <w:iCs/>
          <w:sz w:val="24"/>
          <w:szCs w:val="24"/>
        </w:rPr>
        <w:t>Financial Ratios - Complete List and Guide to All Financial Ratios.</w:t>
      </w:r>
      <w:r w:rsidRPr="00241B5B">
        <w:rPr>
          <w:rFonts w:ascii="Arial" w:hAnsi="Arial" w:cs="Arial"/>
          <w:sz w:val="24"/>
          <w:szCs w:val="24"/>
        </w:rPr>
        <w:t xml:space="preserve"> Available at: </w:t>
      </w:r>
      <w:hyperlink r:id="rId13" w:history="1">
        <w:r w:rsidR="00BA2BA0" w:rsidRPr="00241B5B">
          <w:rPr>
            <w:rStyle w:val="Hyperlink"/>
            <w:rFonts w:ascii="Arial" w:hAnsi="Arial" w:cs="Arial"/>
            <w:sz w:val="24"/>
            <w:szCs w:val="24"/>
          </w:rPr>
          <w:t>https://corporatefinanceinstitute.com/resources/accounting/financial-ratios/</w:t>
        </w:r>
      </w:hyperlink>
      <w:r w:rsidR="00BA2BA0" w:rsidRPr="00241B5B">
        <w:rPr>
          <w:rFonts w:ascii="Arial" w:hAnsi="Arial" w:cs="Arial"/>
          <w:sz w:val="24"/>
          <w:szCs w:val="24"/>
        </w:rPr>
        <w:t xml:space="preserve"> </w:t>
      </w:r>
      <w:r w:rsidRPr="00241B5B">
        <w:rPr>
          <w:rFonts w:ascii="Arial" w:hAnsi="Arial" w:cs="Arial"/>
          <w:sz w:val="24"/>
          <w:szCs w:val="24"/>
        </w:rPr>
        <w:t xml:space="preserve"> </w:t>
      </w:r>
      <w:r w:rsidR="00BA2BA0" w:rsidRPr="00241B5B">
        <w:rPr>
          <w:rFonts w:ascii="Arial" w:hAnsi="Arial" w:cs="Arial"/>
          <w:sz w:val="24"/>
          <w:szCs w:val="24"/>
        </w:rPr>
        <w:t>(</w:t>
      </w:r>
      <w:r w:rsidRPr="00241B5B">
        <w:rPr>
          <w:rFonts w:ascii="Arial" w:hAnsi="Arial" w:cs="Arial"/>
          <w:sz w:val="24"/>
          <w:szCs w:val="24"/>
        </w:rPr>
        <w:t>Accessed</w:t>
      </w:r>
      <w:r w:rsidR="00D51BBA" w:rsidRPr="00241B5B">
        <w:rPr>
          <w:rFonts w:ascii="Arial" w:hAnsi="Arial" w:cs="Arial"/>
          <w:sz w:val="24"/>
          <w:szCs w:val="24"/>
        </w:rPr>
        <w:t>:</w:t>
      </w:r>
      <w:r w:rsidR="002F33EF" w:rsidRPr="00241B5B">
        <w:rPr>
          <w:rFonts w:ascii="Arial" w:hAnsi="Arial" w:cs="Arial"/>
          <w:sz w:val="24"/>
          <w:szCs w:val="24"/>
        </w:rPr>
        <w:t xml:space="preserve"> </w:t>
      </w:r>
      <w:r w:rsidR="00BA2BA0" w:rsidRPr="00241B5B">
        <w:rPr>
          <w:rFonts w:ascii="Arial" w:hAnsi="Arial" w:cs="Arial"/>
          <w:sz w:val="24"/>
          <w:szCs w:val="24"/>
        </w:rPr>
        <w:t>29</w:t>
      </w:r>
      <w:r w:rsidR="00D51BBA" w:rsidRPr="00241B5B">
        <w:rPr>
          <w:rFonts w:ascii="Arial" w:hAnsi="Arial" w:cs="Arial"/>
          <w:sz w:val="24"/>
          <w:szCs w:val="24"/>
        </w:rPr>
        <w:t xml:space="preserve"> </w:t>
      </w:r>
      <w:r w:rsidR="00BA2BA0" w:rsidRPr="00241B5B">
        <w:rPr>
          <w:rFonts w:ascii="Arial" w:hAnsi="Arial" w:cs="Arial"/>
          <w:sz w:val="24"/>
          <w:szCs w:val="24"/>
        </w:rPr>
        <w:t>October</w:t>
      </w:r>
      <w:r w:rsidRPr="00241B5B">
        <w:rPr>
          <w:rFonts w:ascii="Arial" w:hAnsi="Arial" w:cs="Arial"/>
          <w:sz w:val="24"/>
          <w:szCs w:val="24"/>
        </w:rPr>
        <w:t xml:space="preserve"> 2024</w:t>
      </w:r>
      <w:r w:rsidR="00BA2BA0" w:rsidRPr="00241B5B">
        <w:rPr>
          <w:rFonts w:ascii="Arial" w:hAnsi="Arial" w:cs="Arial"/>
          <w:sz w:val="24"/>
          <w:szCs w:val="24"/>
        </w:rPr>
        <w:t>)</w:t>
      </w:r>
      <w:r w:rsidRPr="00241B5B">
        <w:rPr>
          <w:rFonts w:ascii="Arial" w:hAnsi="Arial" w:cs="Arial"/>
          <w:sz w:val="24"/>
          <w:szCs w:val="24"/>
        </w:rPr>
        <w:t>.</w:t>
      </w:r>
    </w:p>
    <w:p w14:paraId="0B16432F" w14:textId="57617C37" w:rsidR="00F327AE" w:rsidRPr="00241B5B" w:rsidRDefault="00F327AE" w:rsidP="00241B5B">
      <w:pPr>
        <w:spacing w:line="360" w:lineRule="auto"/>
        <w:jc w:val="both"/>
        <w:rPr>
          <w:rFonts w:ascii="Arial" w:hAnsi="Arial" w:cs="Arial"/>
          <w:sz w:val="24"/>
          <w:szCs w:val="24"/>
        </w:rPr>
      </w:pPr>
      <w:r w:rsidRPr="00241B5B">
        <w:rPr>
          <w:rFonts w:ascii="Arial" w:hAnsi="Arial" w:cs="Arial"/>
          <w:sz w:val="24"/>
          <w:szCs w:val="24"/>
        </w:rPr>
        <w:t xml:space="preserve">Corporate Finance Institute (2023b). Analysis of Financial Statements. Available at: </w:t>
      </w:r>
      <w:proofErr w:type="gramStart"/>
      <w:r w:rsidRPr="00241B5B">
        <w:rPr>
          <w:rFonts w:ascii="Arial" w:hAnsi="Arial" w:cs="Arial"/>
          <w:sz w:val="24"/>
          <w:szCs w:val="24"/>
        </w:rPr>
        <w:t>https://corporatefinanceinstitute.com/resources/accounting/analysis-of-financial-statements/  (</w:t>
      </w:r>
      <w:proofErr w:type="gramEnd"/>
      <w:r w:rsidRPr="00241B5B">
        <w:rPr>
          <w:rFonts w:ascii="Arial" w:hAnsi="Arial" w:cs="Arial"/>
          <w:sz w:val="24"/>
          <w:szCs w:val="24"/>
        </w:rPr>
        <w:t>Accessed: 3 November 2024).</w:t>
      </w:r>
    </w:p>
    <w:p w14:paraId="23B72BB6" w14:textId="7B0DD69D" w:rsidR="00F77022" w:rsidRPr="00241B5B" w:rsidRDefault="00F77022" w:rsidP="00241B5B">
      <w:pPr>
        <w:spacing w:line="360" w:lineRule="auto"/>
        <w:jc w:val="both"/>
        <w:rPr>
          <w:rFonts w:ascii="Arial" w:hAnsi="Arial" w:cs="Arial"/>
          <w:sz w:val="24"/>
          <w:szCs w:val="24"/>
        </w:rPr>
      </w:pPr>
      <w:r w:rsidRPr="00241B5B">
        <w:rPr>
          <w:rFonts w:ascii="Arial" w:hAnsi="Arial" w:cs="Arial"/>
          <w:sz w:val="24"/>
          <w:szCs w:val="24"/>
        </w:rPr>
        <w:t xml:space="preserve">Department for Energy Security and Net Zero </w:t>
      </w:r>
      <w:r w:rsidR="00EE6F0A" w:rsidRPr="00241B5B">
        <w:rPr>
          <w:rFonts w:ascii="Arial" w:hAnsi="Arial" w:cs="Arial"/>
          <w:sz w:val="24"/>
          <w:szCs w:val="24"/>
        </w:rPr>
        <w:t>(</w:t>
      </w:r>
      <w:r w:rsidRPr="00241B5B">
        <w:rPr>
          <w:rFonts w:ascii="Arial" w:hAnsi="Arial" w:cs="Arial"/>
          <w:sz w:val="24"/>
          <w:szCs w:val="24"/>
        </w:rPr>
        <w:t>2024</w:t>
      </w:r>
      <w:r w:rsidR="00EE6F0A" w:rsidRPr="00241B5B">
        <w:rPr>
          <w:rFonts w:ascii="Arial" w:hAnsi="Arial" w:cs="Arial"/>
          <w:sz w:val="24"/>
          <w:szCs w:val="24"/>
        </w:rPr>
        <w:t>)</w:t>
      </w:r>
      <w:r w:rsidRPr="00241B5B">
        <w:rPr>
          <w:rFonts w:ascii="Arial" w:hAnsi="Arial" w:cs="Arial"/>
          <w:sz w:val="24"/>
          <w:szCs w:val="24"/>
        </w:rPr>
        <w:t xml:space="preserve">. </w:t>
      </w:r>
      <w:r w:rsidRPr="00241B5B">
        <w:rPr>
          <w:rFonts w:ascii="Arial" w:hAnsi="Arial" w:cs="Arial"/>
          <w:i/>
          <w:iCs/>
          <w:sz w:val="24"/>
          <w:szCs w:val="24"/>
        </w:rPr>
        <w:t>UK Greenhouse Gas Emissions Provisional Figures 2023</w:t>
      </w:r>
      <w:r w:rsidRPr="00241B5B">
        <w:rPr>
          <w:rFonts w:ascii="Arial" w:hAnsi="Arial" w:cs="Arial"/>
          <w:sz w:val="24"/>
          <w:szCs w:val="24"/>
        </w:rPr>
        <w:t>. Available at</w:t>
      </w:r>
      <w:r w:rsidR="00D51BBA" w:rsidRPr="00241B5B">
        <w:rPr>
          <w:rFonts w:ascii="Arial" w:hAnsi="Arial" w:cs="Arial"/>
          <w:sz w:val="24"/>
          <w:szCs w:val="24"/>
        </w:rPr>
        <w:t>:</w:t>
      </w:r>
      <w:r w:rsidRPr="00241B5B">
        <w:rPr>
          <w:rFonts w:ascii="Arial" w:hAnsi="Arial" w:cs="Arial"/>
          <w:sz w:val="24"/>
          <w:szCs w:val="24"/>
        </w:rPr>
        <w:t xml:space="preserve"> </w:t>
      </w:r>
      <w:hyperlink r:id="rId14" w:history="1">
        <w:r w:rsidRPr="00241B5B">
          <w:rPr>
            <w:rStyle w:val="Hyperlink"/>
            <w:rFonts w:ascii="Arial" w:hAnsi="Arial" w:cs="Arial"/>
            <w:sz w:val="24"/>
            <w:szCs w:val="24"/>
          </w:rPr>
          <w:t>https://assets.publishing.service.gov.uk/media/6604460f91a320001a82b0fd/uk-greenhouse-gas-emissions-provisional-figures-statistical-release-2023.pdf</w:t>
        </w:r>
      </w:hyperlink>
      <w:r w:rsidRPr="00241B5B">
        <w:rPr>
          <w:rFonts w:ascii="Arial" w:hAnsi="Arial" w:cs="Arial"/>
          <w:sz w:val="24"/>
          <w:szCs w:val="24"/>
        </w:rPr>
        <w:t xml:space="preserve"> </w:t>
      </w:r>
      <w:r w:rsidR="008F68FD" w:rsidRPr="00241B5B">
        <w:rPr>
          <w:rFonts w:ascii="Arial" w:hAnsi="Arial" w:cs="Arial"/>
          <w:sz w:val="24"/>
          <w:szCs w:val="24"/>
        </w:rPr>
        <w:t>(Accessed</w:t>
      </w:r>
      <w:r w:rsidR="00D51BBA" w:rsidRPr="00241B5B">
        <w:rPr>
          <w:rFonts w:ascii="Arial" w:hAnsi="Arial" w:cs="Arial"/>
          <w:sz w:val="24"/>
          <w:szCs w:val="24"/>
        </w:rPr>
        <w:t>:</w:t>
      </w:r>
      <w:r w:rsidR="008F68FD" w:rsidRPr="00241B5B">
        <w:rPr>
          <w:rFonts w:ascii="Arial" w:hAnsi="Arial" w:cs="Arial"/>
          <w:sz w:val="24"/>
          <w:szCs w:val="24"/>
        </w:rPr>
        <w:t xml:space="preserve"> </w:t>
      </w:r>
      <w:r w:rsidR="00C670DF" w:rsidRPr="00241B5B">
        <w:rPr>
          <w:rFonts w:ascii="Arial" w:hAnsi="Arial" w:cs="Arial"/>
          <w:sz w:val="24"/>
          <w:szCs w:val="24"/>
        </w:rPr>
        <w:t>11</w:t>
      </w:r>
      <w:r w:rsidR="008F68FD" w:rsidRPr="00241B5B">
        <w:rPr>
          <w:rFonts w:ascii="Arial" w:hAnsi="Arial" w:cs="Arial"/>
          <w:sz w:val="24"/>
          <w:szCs w:val="24"/>
        </w:rPr>
        <w:t xml:space="preserve"> November 2024).</w:t>
      </w:r>
    </w:p>
    <w:p w14:paraId="0991A91E" w14:textId="737B9ED4" w:rsidR="00E74216" w:rsidRPr="00241B5B" w:rsidRDefault="001F24D6" w:rsidP="00241B5B">
      <w:pPr>
        <w:spacing w:line="360" w:lineRule="auto"/>
        <w:jc w:val="both"/>
        <w:rPr>
          <w:rFonts w:ascii="Arial" w:hAnsi="Arial" w:cs="Arial"/>
          <w:sz w:val="24"/>
          <w:szCs w:val="24"/>
        </w:rPr>
      </w:pPr>
      <w:r w:rsidRPr="00241B5B">
        <w:rPr>
          <w:rFonts w:ascii="Arial" w:hAnsi="Arial" w:cs="Arial"/>
          <w:sz w:val="24"/>
          <w:szCs w:val="24"/>
        </w:rPr>
        <w:t xml:space="preserve">Eccles, R.G., Ioannou, I. and Serafeim, G. </w:t>
      </w:r>
      <w:r w:rsidR="00EE6F0A" w:rsidRPr="00241B5B">
        <w:rPr>
          <w:rFonts w:ascii="Arial" w:hAnsi="Arial" w:cs="Arial"/>
          <w:sz w:val="24"/>
          <w:szCs w:val="24"/>
        </w:rPr>
        <w:t>(</w:t>
      </w:r>
      <w:r w:rsidRPr="00241B5B">
        <w:rPr>
          <w:rFonts w:ascii="Arial" w:hAnsi="Arial" w:cs="Arial"/>
          <w:sz w:val="24"/>
          <w:szCs w:val="24"/>
        </w:rPr>
        <w:t>2014</w:t>
      </w:r>
      <w:r w:rsidR="00EE6F0A" w:rsidRPr="00241B5B">
        <w:rPr>
          <w:rFonts w:ascii="Arial" w:hAnsi="Arial" w:cs="Arial"/>
          <w:sz w:val="24"/>
          <w:szCs w:val="24"/>
        </w:rPr>
        <w:t>)</w:t>
      </w:r>
      <w:r w:rsidR="003772D7" w:rsidRPr="00241B5B">
        <w:rPr>
          <w:rFonts w:ascii="Arial" w:hAnsi="Arial" w:cs="Arial"/>
          <w:sz w:val="24"/>
          <w:szCs w:val="24"/>
        </w:rPr>
        <w:t>.</w:t>
      </w:r>
      <w:r w:rsidRPr="00241B5B">
        <w:rPr>
          <w:rFonts w:ascii="Arial" w:hAnsi="Arial" w:cs="Arial"/>
          <w:sz w:val="24"/>
          <w:szCs w:val="24"/>
        </w:rPr>
        <w:t xml:space="preserve"> ‘The Impact of Corporate Sustainability on Organizational Processes and Performance’, Management science, 60(11), pp. 2835–2857. Available at: </w:t>
      </w:r>
      <w:hyperlink r:id="rId15" w:history="1">
        <w:r w:rsidRPr="00241B5B">
          <w:rPr>
            <w:rStyle w:val="Hyperlink"/>
            <w:rFonts w:ascii="Arial" w:hAnsi="Arial" w:cs="Arial"/>
            <w:sz w:val="24"/>
            <w:szCs w:val="24"/>
          </w:rPr>
          <w:t>https://doi.org/10.1287/mnsc.2014.1984</w:t>
        </w:r>
      </w:hyperlink>
      <w:r w:rsidR="0007346A" w:rsidRPr="00241B5B">
        <w:rPr>
          <w:rFonts w:ascii="Arial" w:hAnsi="Arial" w:cs="Arial"/>
          <w:sz w:val="24"/>
          <w:szCs w:val="24"/>
        </w:rPr>
        <w:t>. (Accessed</w:t>
      </w:r>
      <w:r w:rsidR="00D51BBA" w:rsidRPr="00241B5B">
        <w:rPr>
          <w:rFonts w:ascii="Arial" w:hAnsi="Arial" w:cs="Arial"/>
          <w:sz w:val="24"/>
          <w:szCs w:val="24"/>
        </w:rPr>
        <w:t>:</w:t>
      </w:r>
      <w:r w:rsidR="0007346A" w:rsidRPr="00241B5B">
        <w:rPr>
          <w:rFonts w:ascii="Arial" w:hAnsi="Arial" w:cs="Arial"/>
          <w:sz w:val="24"/>
          <w:szCs w:val="24"/>
        </w:rPr>
        <w:t xml:space="preserve"> 29 October</w:t>
      </w:r>
      <w:r w:rsidR="00F77D8D" w:rsidRPr="00241B5B">
        <w:rPr>
          <w:rFonts w:ascii="Arial" w:hAnsi="Arial" w:cs="Arial"/>
          <w:sz w:val="24"/>
          <w:szCs w:val="24"/>
        </w:rPr>
        <w:t xml:space="preserve"> 2024</w:t>
      </w:r>
      <w:r w:rsidR="0007346A" w:rsidRPr="00241B5B">
        <w:rPr>
          <w:rFonts w:ascii="Arial" w:hAnsi="Arial" w:cs="Arial"/>
          <w:sz w:val="24"/>
          <w:szCs w:val="24"/>
        </w:rPr>
        <w:t>).</w:t>
      </w:r>
    </w:p>
    <w:p w14:paraId="3B522E6D" w14:textId="1C9584F6" w:rsidR="0033233D" w:rsidRPr="00241B5B" w:rsidRDefault="00B12FA3" w:rsidP="00241B5B">
      <w:pPr>
        <w:spacing w:line="360" w:lineRule="auto"/>
        <w:jc w:val="both"/>
        <w:rPr>
          <w:rFonts w:ascii="Arial" w:hAnsi="Arial" w:cs="Arial"/>
          <w:sz w:val="24"/>
          <w:szCs w:val="24"/>
        </w:rPr>
      </w:pPr>
      <w:r w:rsidRPr="00241B5B">
        <w:rPr>
          <w:rFonts w:ascii="Arial" w:hAnsi="Arial" w:cs="Arial"/>
          <w:sz w:val="24"/>
          <w:szCs w:val="24"/>
        </w:rPr>
        <w:lastRenderedPageBreak/>
        <w:t xml:space="preserve">Gomes, C., Malheiros, C., and Lucas, A. </w:t>
      </w:r>
      <w:r w:rsidR="00A53061" w:rsidRPr="00241B5B">
        <w:rPr>
          <w:rFonts w:ascii="Arial" w:hAnsi="Arial" w:cs="Arial"/>
          <w:sz w:val="24"/>
          <w:szCs w:val="24"/>
        </w:rPr>
        <w:t>(</w:t>
      </w:r>
      <w:r w:rsidRPr="00241B5B">
        <w:rPr>
          <w:rFonts w:ascii="Arial" w:hAnsi="Arial" w:cs="Arial"/>
          <w:sz w:val="24"/>
          <w:szCs w:val="24"/>
        </w:rPr>
        <w:t>2021</w:t>
      </w:r>
      <w:r w:rsidR="00A53061" w:rsidRPr="00241B5B">
        <w:rPr>
          <w:rFonts w:ascii="Arial" w:hAnsi="Arial" w:cs="Arial"/>
          <w:sz w:val="24"/>
          <w:szCs w:val="24"/>
        </w:rPr>
        <w:t>)</w:t>
      </w:r>
      <w:r w:rsidRPr="00241B5B">
        <w:rPr>
          <w:rFonts w:ascii="Arial" w:hAnsi="Arial" w:cs="Arial"/>
          <w:sz w:val="24"/>
          <w:szCs w:val="24"/>
        </w:rPr>
        <w:t xml:space="preserve">. </w:t>
      </w:r>
      <w:r w:rsidRPr="00241B5B">
        <w:rPr>
          <w:rFonts w:ascii="Arial" w:hAnsi="Arial" w:cs="Arial"/>
          <w:i/>
          <w:iCs/>
          <w:sz w:val="24"/>
          <w:szCs w:val="24"/>
        </w:rPr>
        <w:t>Impact Factors on Portuguese Hotels’ Liquidity.</w:t>
      </w:r>
      <w:r w:rsidRPr="00241B5B">
        <w:rPr>
          <w:rFonts w:ascii="Arial" w:hAnsi="Arial" w:cs="Arial"/>
          <w:sz w:val="24"/>
          <w:szCs w:val="24"/>
        </w:rPr>
        <w:t xml:space="preserve"> Journal of Risk and Financial Management, 14(4), p.144. Available at: </w:t>
      </w:r>
      <w:hyperlink r:id="rId16" w:history="1">
        <w:r w:rsidRPr="00241B5B">
          <w:rPr>
            <w:rStyle w:val="Hyperlink"/>
            <w:rFonts w:ascii="Arial" w:hAnsi="Arial" w:cs="Arial"/>
            <w:sz w:val="24"/>
            <w:szCs w:val="24"/>
          </w:rPr>
          <w:t>https://doi.org/10.3390/jrfm14040144</w:t>
        </w:r>
      </w:hyperlink>
      <w:r w:rsidRPr="00241B5B">
        <w:rPr>
          <w:rFonts w:ascii="Arial" w:hAnsi="Arial" w:cs="Arial"/>
          <w:sz w:val="24"/>
          <w:szCs w:val="24"/>
        </w:rPr>
        <w:t xml:space="preserve">  (Accessed</w:t>
      </w:r>
      <w:r w:rsidR="00D51BBA" w:rsidRPr="00241B5B">
        <w:rPr>
          <w:rFonts w:ascii="Arial" w:hAnsi="Arial" w:cs="Arial"/>
          <w:sz w:val="24"/>
          <w:szCs w:val="24"/>
        </w:rPr>
        <w:t>:</w:t>
      </w:r>
      <w:r w:rsidRPr="00241B5B">
        <w:rPr>
          <w:rFonts w:ascii="Arial" w:hAnsi="Arial" w:cs="Arial"/>
          <w:sz w:val="24"/>
          <w:szCs w:val="24"/>
        </w:rPr>
        <w:t xml:space="preserve"> </w:t>
      </w:r>
      <w:r w:rsidR="001113CC" w:rsidRPr="00241B5B">
        <w:rPr>
          <w:rFonts w:ascii="Arial" w:hAnsi="Arial" w:cs="Arial"/>
          <w:sz w:val="24"/>
          <w:szCs w:val="24"/>
        </w:rPr>
        <w:t>3</w:t>
      </w:r>
      <w:r w:rsidRPr="00241B5B">
        <w:rPr>
          <w:rFonts w:ascii="Arial" w:hAnsi="Arial" w:cs="Arial"/>
          <w:sz w:val="24"/>
          <w:szCs w:val="24"/>
        </w:rPr>
        <w:t xml:space="preserve"> November 2024).</w:t>
      </w:r>
    </w:p>
    <w:p w14:paraId="04C41D06" w14:textId="26920AD4" w:rsidR="00055408" w:rsidRPr="00241B5B" w:rsidRDefault="00055408" w:rsidP="00241B5B">
      <w:pPr>
        <w:spacing w:line="360" w:lineRule="auto"/>
        <w:jc w:val="both"/>
        <w:rPr>
          <w:rFonts w:ascii="Arial" w:hAnsi="Arial" w:cs="Arial"/>
          <w:sz w:val="24"/>
          <w:szCs w:val="24"/>
        </w:rPr>
      </w:pPr>
      <w:r w:rsidRPr="00241B5B">
        <w:rPr>
          <w:rFonts w:ascii="Arial" w:hAnsi="Arial" w:cs="Arial"/>
          <w:sz w:val="24"/>
          <w:szCs w:val="24"/>
        </w:rPr>
        <w:t xml:space="preserve">House of Commons Library. (2021). </w:t>
      </w:r>
      <w:r w:rsidRPr="00241B5B">
        <w:rPr>
          <w:rFonts w:ascii="Arial" w:hAnsi="Arial" w:cs="Arial"/>
          <w:i/>
          <w:iCs/>
          <w:sz w:val="24"/>
          <w:szCs w:val="24"/>
        </w:rPr>
        <w:t>Hospitality industry and Covid-19</w:t>
      </w:r>
      <w:r w:rsidRPr="00241B5B">
        <w:rPr>
          <w:rFonts w:ascii="Arial" w:hAnsi="Arial" w:cs="Arial"/>
          <w:sz w:val="24"/>
          <w:szCs w:val="24"/>
        </w:rPr>
        <w:t xml:space="preserve">. Available at: </w:t>
      </w:r>
      <w:hyperlink r:id="rId17" w:history="1">
        <w:r w:rsidRPr="00241B5B">
          <w:rPr>
            <w:rStyle w:val="Hyperlink"/>
            <w:rFonts w:ascii="Arial" w:hAnsi="Arial" w:cs="Arial"/>
            <w:sz w:val="24"/>
            <w:szCs w:val="24"/>
          </w:rPr>
          <w:t>https://commonslibrary.parliament.uk/research-briefings/cbp-9111/</w:t>
        </w:r>
      </w:hyperlink>
      <w:r w:rsidRPr="00241B5B">
        <w:rPr>
          <w:rFonts w:ascii="Arial" w:hAnsi="Arial" w:cs="Arial"/>
          <w:sz w:val="24"/>
          <w:szCs w:val="24"/>
        </w:rPr>
        <w:t xml:space="preserve">  (Accessed: 1</w:t>
      </w:r>
      <w:r w:rsidR="00522C74" w:rsidRPr="00241B5B">
        <w:rPr>
          <w:rFonts w:ascii="Arial" w:hAnsi="Arial" w:cs="Arial"/>
          <w:sz w:val="24"/>
          <w:szCs w:val="24"/>
        </w:rPr>
        <w:t>0</w:t>
      </w:r>
      <w:r w:rsidRPr="00241B5B">
        <w:rPr>
          <w:rFonts w:ascii="Arial" w:hAnsi="Arial" w:cs="Arial"/>
          <w:sz w:val="24"/>
          <w:szCs w:val="24"/>
        </w:rPr>
        <w:t xml:space="preserve"> November 2024).</w:t>
      </w:r>
    </w:p>
    <w:p w14:paraId="44A4C74D" w14:textId="5B1E8552" w:rsidR="003E6595" w:rsidRPr="00241B5B" w:rsidRDefault="003E6595" w:rsidP="00241B5B">
      <w:pPr>
        <w:spacing w:line="360" w:lineRule="auto"/>
        <w:jc w:val="both"/>
        <w:rPr>
          <w:rFonts w:ascii="Arial" w:hAnsi="Arial" w:cs="Arial"/>
          <w:sz w:val="24"/>
          <w:szCs w:val="24"/>
        </w:rPr>
      </w:pPr>
      <w:r w:rsidRPr="00241B5B">
        <w:rPr>
          <w:rFonts w:ascii="Arial" w:hAnsi="Arial" w:cs="Arial"/>
          <w:sz w:val="24"/>
          <w:szCs w:val="24"/>
        </w:rPr>
        <w:t xml:space="preserve">Lopez, S. </w:t>
      </w:r>
      <w:r w:rsidR="00A53061" w:rsidRPr="00241B5B">
        <w:rPr>
          <w:rFonts w:ascii="Arial" w:hAnsi="Arial" w:cs="Arial"/>
          <w:sz w:val="24"/>
          <w:szCs w:val="24"/>
        </w:rPr>
        <w:t>(</w:t>
      </w:r>
      <w:r w:rsidRPr="00241B5B">
        <w:rPr>
          <w:rFonts w:ascii="Arial" w:hAnsi="Arial" w:cs="Arial"/>
          <w:sz w:val="24"/>
          <w:szCs w:val="24"/>
        </w:rPr>
        <w:t>2020</w:t>
      </w:r>
      <w:r w:rsidR="00A53061" w:rsidRPr="00241B5B">
        <w:rPr>
          <w:rFonts w:ascii="Arial" w:hAnsi="Arial" w:cs="Arial"/>
          <w:sz w:val="24"/>
          <w:szCs w:val="24"/>
        </w:rPr>
        <w:t>)</w:t>
      </w:r>
      <w:r w:rsidRPr="00241B5B">
        <w:rPr>
          <w:rFonts w:ascii="Arial" w:hAnsi="Arial" w:cs="Arial"/>
          <w:sz w:val="24"/>
          <w:szCs w:val="24"/>
        </w:rPr>
        <w:t xml:space="preserve">. </w:t>
      </w:r>
      <w:r w:rsidRPr="00241B5B">
        <w:rPr>
          <w:rFonts w:ascii="Arial" w:hAnsi="Arial" w:cs="Arial"/>
          <w:i/>
          <w:iCs/>
          <w:sz w:val="24"/>
          <w:szCs w:val="24"/>
        </w:rPr>
        <w:t>Value-based marketing strategy: pricing and costs for relationship marketing</w:t>
      </w:r>
      <w:r w:rsidRPr="00241B5B">
        <w:rPr>
          <w:rFonts w:ascii="Arial" w:hAnsi="Arial" w:cs="Arial"/>
          <w:sz w:val="24"/>
          <w:szCs w:val="24"/>
        </w:rPr>
        <w:t>. Vernon Press.</w:t>
      </w:r>
      <w:r w:rsidR="00BD3BE7" w:rsidRPr="00241B5B">
        <w:rPr>
          <w:rFonts w:ascii="Arial" w:hAnsi="Arial" w:cs="Arial"/>
          <w:sz w:val="24"/>
          <w:szCs w:val="24"/>
        </w:rPr>
        <w:t xml:space="preserve"> Available at: </w:t>
      </w:r>
      <w:hyperlink r:id="rId18" w:history="1">
        <w:r w:rsidR="00BD3BE7" w:rsidRPr="00241B5B">
          <w:rPr>
            <w:rStyle w:val="Hyperlink"/>
            <w:rFonts w:ascii="Arial" w:hAnsi="Arial" w:cs="Arial"/>
            <w:sz w:val="24"/>
            <w:szCs w:val="24"/>
          </w:rPr>
          <w:t>https://vernonpress.com/book/60</w:t>
        </w:r>
      </w:hyperlink>
      <w:r w:rsidR="00BD3BE7" w:rsidRPr="00241B5B">
        <w:rPr>
          <w:rFonts w:ascii="Arial" w:hAnsi="Arial" w:cs="Arial"/>
          <w:sz w:val="24"/>
          <w:szCs w:val="24"/>
        </w:rPr>
        <w:t xml:space="preserve"> </w:t>
      </w:r>
      <w:r w:rsidR="000446F8" w:rsidRPr="00241B5B">
        <w:rPr>
          <w:rFonts w:ascii="Arial" w:hAnsi="Arial" w:cs="Arial"/>
          <w:sz w:val="24"/>
          <w:szCs w:val="24"/>
        </w:rPr>
        <w:t>(Accessed</w:t>
      </w:r>
      <w:r w:rsidR="00D51BBA" w:rsidRPr="00241B5B">
        <w:rPr>
          <w:rFonts w:ascii="Arial" w:hAnsi="Arial" w:cs="Arial"/>
          <w:sz w:val="24"/>
          <w:szCs w:val="24"/>
        </w:rPr>
        <w:t>:</w:t>
      </w:r>
      <w:r w:rsidR="000446F8" w:rsidRPr="00241B5B">
        <w:rPr>
          <w:rFonts w:ascii="Arial" w:hAnsi="Arial" w:cs="Arial"/>
          <w:sz w:val="24"/>
          <w:szCs w:val="24"/>
        </w:rPr>
        <w:t xml:space="preserve"> </w:t>
      </w:r>
      <w:r w:rsidR="00FC63CF" w:rsidRPr="00241B5B">
        <w:rPr>
          <w:rFonts w:ascii="Arial" w:hAnsi="Arial" w:cs="Arial"/>
          <w:sz w:val="24"/>
          <w:szCs w:val="24"/>
        </w:rPr>
        <w:t>11</w:t>
      </w:r>
      <w:r w:rsidR="000446F8" w:rsidRPr="00241B5B">
        <w:rPr>
          <w:rFonts w:ascii="Arial" w:hAnsi="Arial" w:cs="Arial"/>
          <w:sz w:val="24"/>
          <w:szCs w:val="24"/>
        </w:rPr>
        <w:t xml:space="preserve"> November 2024).</w:t>
      </w:r>
    </w:p>
    <w:p w14:paraId="3FBD96CF" w14:textId="330BE069" w:rsidR="00472DAA" w:rsidRPr="00241B5B" w:rsidRDefault="00472DAA" w:rsidP="00241B5B">
      <w:pPr>
        <w:spacing w:line="360" w:lineRule="auto"/>
        <w:jc w:val="both"/>
        <w:rPr>
          <w:rFonts w:ascii="Arial" w:hAnsi="Arial" w:cs="Arial"/>
          <w:sz w:val="24"/>
          <w:szCs w:val="24"/>
        </w:rPr>
      </w:pPr>
      <w:r w:rsidRPr="00241B5B">
        <w:rPr>
          <w:rFonts w:ascii="Arial" w:hAnsi="Arial" w:cs="Arial"/>
          <w:sz w:val="24"/>
          <w:szCs w:val="24"/>
        </w:rPr>
        <w:t xml:space="preserve">Met Office. (2024). </w:t>
      </w:r>
      <w:r w:rsidRPr="00241B5B">
        <w:rPr>
          <w:rFonts w:ascii="Arial" w:hAnsi="Arial" w:cs="Arial"/>
          <w:i/>
          <w:iCs/>
          <w:sz w:val="24"/>
          <w:szCs w:val="24"/>
        </w:rPr>
        <w:t>Temperature extremes and records most affected by UK’s changing climate</w:t>
      </w:r>
      <w:r w:rsidRPr="00241B5B">
        <w:rPr>
          <w:rFonts w:ascii="Arial" w:hAnsi="Arial" w:cs="Arial"/>
          <w:sz w:val="24"/>
          <w:szCs w:val="24"/>
        </w:rPr>
        <w:t xml:space="preserve">. Available at: </w:t>
      </w:r>
      <w:hyperlink r:id="rId19" w:history="1">
        <w:r w:rsidRPr="00241B5B">
          <w:rPr>
            <w:rStyle w:val="Hyperlink"/>
            <w:rFonts w:ascii="Arial" w:hAnsi="Arial" w:cs="Arial"/>
            <w:sz w:val="24"/>
            <w:szCs w:val="24"/>
          </w:rPr>
          <w:t>https://www.metoffice.gov.uk/about-us/news-and-media/media-centre/weather-and-climate-news/2024/temperature-extremes-and-records-most-affected-by-uks-changing-climate</w:t>
        </w:r>
      </w:hyperlink>
      <w:r w:rsidRPr="00241B5B">
        <w:rPr>
          <w:rFonts w:ascii="Arial" w:hAnsi="Arial" w:cs="Arial"/>
          <w:sz w:val="24"/>
          <w:szCs w:val="24"/>
        </w:rPr>
        <w:t xml:space="preserve">  (Accessed: 1</w:t>
      </w:r>
      <w:r w:rsidR="00694FF2" w:rsidRPr="00241B5B">
        <w:rPr>
          <w:rFonts w:ascii="Arial" w:hAnsi="Arial" w:cs="Arial"/>
          <w:sz w:val="24"/>
          <w:szCs w:val="24"/>
        </w:rPr>
        <w:t>1</w:t>
      </w:r>
      <w:r w:rsidRPr="00241B5B">
        <w:rPr>
          <w:rFonts w:ascii="Arial" w:hAnsi="Arial" w:cs="Arial"/>
          <w:sz w:val="24"/>
          <w:szCs w:val="24"/>
        </w:rPr>
        <w:t xml:space="preserve"> November 2024).</w:t>
      </w:r>
    </w:p>
    <w:p w14:paraId="275BB336" w14:textId="7D632602" w:rsidR="00221AA9" w:rsidRPr="00241B5B" w:rsidRDefault="00221AA9" w:rsidP="00241B5B">
      <w:pPr>
        <w:spacing w:line="360" w:lineRule="auto"/>
        <w:jc w:val="both"/>
        <w:rPr>
          <w:rFonts w:ascii="Arial" w:hAnsi="Arial" w:cs="Arial"/>
          <w:sz w:val="24"/>
          <w:szCs w:val="24"/>
        </w:rPr>
      </w:pPr>
      <w:r w:rsidRPr="00241B5B">
        <w:rPr>
          <w:rFonts w:ascii="Arial" w:hAnsi="Arial" w:cs="Arial"/>
          <w:sz w:val="24"/>
          <w:szCs w:val="24"/>
        </w:rPr>
        <w:t xml:space="preserve">Michael, N. and Fotiadis, A. (2022). Employee turnover: The hotel industry perspective. </w:t>
      </w:r>
      <w:r w:rsidRPr="00241B5B">
        <w:rPr>
          <w:rFonts w:ascii="Arial" w:hAnsi="Arial" w:cs="Arial"/>
          <w:i/>
          <w:iCs/>
          <w:sz w:val="24"/>
          <w:szCs w:val="24"/>
        </w:rPr>
        <w:t>Journal of Tourism, Heritage &amp; Services Marketing</w:t>
      </w:r>
      <w:r w:rsidRPr="00241B5B">
        <w:rPr>
          <w:rFonts w:ascii="Arial" w:hAnsi="Arial" w:cs="Arial"/>
          <w:sz w:val="24"/>
          <w:szCs w:val="24"/>
        </w:rPr>
        <w:t xml:space="preserve">, 8(1), pp.38-47. Available at: </w:t>
      </w:r>
      <w:hyperlink r:id="rId20" w:history="1">
        <w:r w:rsidR="00802FA2" w:rsidRPr="00241B5B">
          <w:rPr>
            <w:rStyle w:val="Hyperlink"/>
            <w:rFonts w:ascii="Arial" w:hAnsi="Arial" w:cs="Arial"/>
            <w:sz w:val="24"/>
            <w:szCs w:val="24"/>
          </w:rPr>
          <w:t>https://papers.ssrn.com/sol3/papers.cfm?abstract_id=4121197</w:t>
        </w:r>
      </w:hyperlink>
      <w:r w:rsidR="00802FA2" w:rsidRPr="00241B5B">
        <w:rPr>
          <w:rFonts w:ascii="Arial" w:hAnsi="Arial" w:cs="Arial"/>
          <w:sz w:val="24"/>
          <w:szCs w:val="24"/>
        </w:rPr>
        <w:t xml:space="preserve"> </w:t>
      </w:r>
      <w:r w:rsidRPr="00241B5B">
        <w:rPr>
          <w:rFonts w:ascii="Arial" w:hAnsi="Arial" w:cs="Arial"/>
          <w:sz w:val="24"/>
          <w:szCs w:val="24"/>
        </w:rPr>
        <w:t xml:space="preserve"> </w:t>
      </w:r>
      <w:r w:rsidR="00802FA2" w:rsidRPr="00241B5B">
        <w:rPr>
          <w:rFonts w:ascii="Arial" w:hAnsi="Arial" w:cs="Arial"/>
          <w:sz w:val="24"/>
          <w:szCs w:val="24"/>
        </w:rPr>
        <w:t>(</w:t>
      </w:r>
      <w:r w:rsidRPr="00241B5B">
        <w:rPr>
          <w:rFonts w:ascii="Arial" w:hAnsi="Arial" w:cs="Arial"/>
          <w:sz w:val="24"/>
          <w:szCs w:val="24"/>
        </w:rPr>
        <w:t>Accessed</w:t>
      </w:r>
      <w:r w:rsidR="000D7F01" w:rsidRPr="00241B5B">
        <w:rPr>
          <w:rFonts w:ascii="Arial" w:hAnsi="Arial" w:cs="Arial"/>
          <w:sz w:val="24"/>
          <w:szCs w:val="24"/>
        </w:rPr>
        <w:t>:</w:t>
      </w:r>
      <w:r w:rsidRPr="00241B5B">
        <w:rPr>
          <w:rFonts w:ascii="Arial" w:hAnsi="Arial" w:cs="Arial"/>
          <w:sz w:val="24"/>
          <w:szCs w:val="24"/>
        </w:rPr>
        <w:t xml:space="preserve"> </w:t>
      </w:r>
      <w:r w:rsidR="00CD16E5" w:rsidRPr="00241B5B">
        <w:rPr>
          <w:rFonts w:ascii="Arial" w:hAnsi="Arial" w:cs="Arial"/>
          <w:sz w:val="24"/>
          <w:szCs w:val="24"/>
        </w:rPr>
        <w:t>12</w:t>
      </w:r>
      <w:r w:rsidRPr="00241B5B">
        <w:rPr>
          <w:rFonts w:ascii="Arial" w:hAnsi="Arial" w:cs="Arial"/>
          <w:sz w:val="24"/>
          <w:szCs w:val="24"/>
        </w:rPr>
        <w:t xml:space="preserve"> Nov</w:t>
      </w:r>
      <w:r w:rsidR="00802FA2" w:rsidRPr="00241B5B">
        <w:rPr>
          <w:rFonts w:ascii="Arial" w:hAnsi="Arial" w:cs="Arial"/>
          <w:sz w:val="24"/>
          <w:szCs w:val="24"/>
        </w:rPr>
        <w:t>ember</w:t>
      </w:r>
      <w:r w:rsidRPr="00241B5B">
        <w:rPr>
          <w:rFonts w:ascii="Arial" w:hAnsi="Arial" w:cs="Arial"/>
          <w:sz w:val="24"/>
          <w:szCs w:val="24"/>
        </w:rPr>
        <w:t xml:space="preserve"> 2024</w:t>
      </w:r>
      <w:r w:rsidR="00802FA2" w:rsidRPr="00241B5B">
        <w:rPr>
          <w:rFonts w:ascii="Arial" w:hAnsi="Arial" w:cs="Arial"/>
          <w:sz w:val="24"/>
          <w:szCs w:val="24"/>
        </w:rPr>
        <w:t>)</w:t>
      </w:r>
      <w:r w:rsidRPr="00241B5B">
        <w:rPr>
          <w:rFonts w:ascii="Arial" w:hAnsi="Arial" w:cs="Arial"/>
          <w:sz w:val="24"/>
          <w:szCs w:val="24"/>
        </w:rPr>
        <w:t>.</w:t>
      </w:r>
    </w:p>
    <w:p w14:paraId="3D6A7078" w14:textId="5F029474" w:rsidR="00825F3D" w:rsidRPr="00241B5B" w:rsidRDefault="00825F3D" w:rsidP="00241B5B">
      <w:pPr>
        <w:spacing w:line="360" w:lineRule="auto"/>
        <w:jc w:val="both"/>
        <w:rPr>
          <w:rFonts w:ascii="Arial" w:hAnsi="Arial" w:cs="Arial"/>
          <w:sz w:val="24"/>
          <w:szCs w:val="24"/>
        </w:rPr>
      </w:pPr>
      <w:r w:rsidRPr="00241B5B">
        <w:rPr>
          <w:rFonts w:ascii="Arial" w:hAnsi="Arial" w:cs="Arial"/>
          <w:sz w:val="24"/>
          <w:szCs w:val="24"/>
        </w:rPr>
        <w:t>Mota, L., Leite, E., &amp; Ghasemi, V.</w:t>
      </w:r>
      <w:r w:rsidR="00B00B68" w:rsidRPr="00241B5B">
        <w:rPr>
          <w:rFonts w:ascii="Arial" w:hAnsi="Arial" w:cs="Arial"/>
          <w:sz w:val="24"/>
          <w:szCs w:val="24"/>
        </w:rPr>
        <w:t xml:space="preserve"> </w:t>
      </w:r>
      <w:r w:rsidR="00A53061" w:rsidRPr="00241B5B">
        <w:rPr>
          <w:rFonts w:ascii="Arial" w:hAnsi="Arial" w:cs="Arial"/>
          <w:sz w:val="24"/>
          <w:szCs w:val="24"/>
        </w:rPr>
        <w:t>(</w:t>
      </w:r>
      <w:r w:rsidRPr="00241B5B">
        <w:rPr>
          <w:rFonts w:ascii="Arial" w:hAnsi="Arial" w:cs="Arial"/>
          <w:sz w:val="24"/>
          <w:szCs w:val="24"/>
        </w:rPr>
        <w:t>2024</w:t>
      </w:r>
      <w:r w:rsidR="00A53061" w:rsidRPr="00241B5B">
        <w:rPr>
          <w:rFonts w:ascii="Arial" w:hAnsi="Arial" w:cs="Arial"/>
          <w:sz w:val="24"/>
          <w:szCs w:val="24"/>
        </w:rPr>
        <w:t>)</w:t>
      </w:r>
      <w:r w:rsidRPr="00241B5B">
        <w:rPr>
          <w:rFonts w:ascii="Arial" w:hAnsi="Arial" w:cs="Arial"/>
          <w:sz w:val="24"/>
          <w:szCs w:val="24"/>
        </w:rPr>
        <w:t xml:space="preserve">. Exploring the impact of climate change on lodging establishments: A systematic literature review. </w:t>
      </w:r>
      <w:r w:rsidRPr="00241B5B">
        <w:rPr>
          <w:rFonts w:ascii="Arial" w:hAnsi="Arial" w:cs="Arial"/>
          <w:i/>
          <w:iCs/>
          <w:sz w:val="24"/>
          <w:szCs w:val="24"/>
        </w:rPr>
        <w:t>Quality &amp; Quantity</w:t>
      </w:r>
      <w:r w:rsidRPr="00241B5B">
        <w:rPr>
          <w:rFonts w:ascii="Arial" w:hAnsi="Arial" w:cs="Arial"/>
          <w:sz w:val="24"/>
          <w:szCs w:val="24"/>
        </w:rPr>
        <w:t>, pp. 1-26.</w:t>
      </w:r>
      <w:r w:rsidR="00002E49" w:rsidRPr="00241B5B">
        <w:rPr>
          <w:rFonts w:ascii="Arial" w:hAnsi="Arial" w:cs="Arial"/>
          <w:sz w:val="24"/>
          <w:szCs w:val="24"/>
        </w:rPr>
        <w:t xml:space="preserve"> Available at: </w:t>
      </w:r>
      <w:hyperlink r:id="rId21" w:history="1">
        <w:r w:rsidR="00002E49" w:rsidRPr="00241B5B">
          <w:rPr>
            <w:rStyle w:val="Hyperlink"/>
            <w:rFonts w:ascii="Arial" w:hAnsi="Arial" w:cs="Arial"/>
            <w:sz w:val="24"/>
            <w:szCs w:val="24"/>
          </w:rPr>
          <w:t>https://link.springer.com/article/10.1007/s11135-024-01834-9</w:t>
        </w:r>
      </w:hyperlink>
      <w:r w:rsidR="00002E49" w:rsidRPr="00241B5B">
        <w:rPr>
          <w:rFonts w:ascii="Arial" w:hAnsi="Arial" w:cs="Arial"/>
          <w:sz w:val="24"/>
          <w:szCs w:val="24"/>
        </w:rPr>
        <w:t xml:space="preserve"> (Accessed: 11 November 2024). </w:t>
      </w:r>
    </w:p>
    <w:p w14:paraId="4302A534" w14:textId="44D8E328" w:rsidR="00011E38" w:rsidRPr="00241B5B" w:rsidRDefault="00011E38" w:rsidP="00241B5B">
      <w:pPr>
        <w:spacing w:line="360" w:lineRule="auto"/>
        <w:jc w:val="both"/>
        <w:rPr>
          <w:rFonts w:ascii="Arial" w:hAnsi="Arial" w:cs="Arial"/>
          <w:sz w:val="24"/>
          <w:szCs w:val="24"/>
        </w:rPr>
      </w:pPr>
      <w:r w:rsidRPr="00241B5B">
        <w:rPr>
          <w:rFonts w:ascii="Arial" w:hAnsi="Arial" w:cs="Arial"/>
          <w:sz w:val="24"/>
          <w:szCs w:val="24"/>
        </w:rPr>
        <w:t>Office for National Statistics</w:t>
      </w:r>
      <w:r w:rsidR="00B00B68" w:rsidRPr="00241B5B">
        <w:rPr>
          <w:rFonts w:ascii="Arial" w:hAnsi="Arial" w:cs="Arial"/>
          <w:sz w:val="24"/>
          <w:szCs w:val="24"/>
        </w:rPr>
        <w:t xml:space="preserve"> </w:t>
      </w:r>
      <w:r w:rsidR="00A53061" w:rsidRPr="00241B5B">
        <w:rPr>
          <w:rFonts w:ascii="Arial" w:hAnsi="Arial" w:cs="Arial"/>
          <w:sz w:val="24"/>
          <w:szCs w:val="24"/>
        </w:rPr>
        <w:t>(</w:t>
      </w:r>
      <w:r w:rsidRPr="00241B5B">
        <w:rPr>
          <w:rFonts w:ascii="Arial" w:hAnsi="Arial" w:cs="Arial"/>
          <w:sz w:val="24"/>
          <w:szCs w:val="24"/>
        </w:rPr>
        <w:t>2024</w:t>
      </w:r>
      <w:r w:rsidR="00A53061" w:rsidRPr="00241B5B">
        <w:rPr>
          <w:rFonts w:ascii="Arial" w:hAnsi="Arial" w:cs="Arial"/>
          <w:sz w:val="24"/>
          <w:szCs w:val="24"/>
        </w:rPr>
        <w:t>)</w:t>
      </w:r>
      <w:r w:rsidRPr="00241B5B">
        <w:rPr>
          <w:rFonts w:ascii="Arial" w:hAnsi="Arial" w:cs="Arial"/>
          <w:sz w:val="24"/>
          <w:szCs w:val="24"/>
        </w:rPr>
        <w:t xml:space="preserve">. </w:t>
      </w:r>
      <w:r w:rsidR="009013BB" w:rsidRPr="00241B5B">
        <w:rPr>
          <w:rFonts w:ascii="Arial" w:hAnsi="Arial" w:cs="Arial"/>
          <w:i/>
          <w:iCs/>
          <w:sz w:val="24"/>
          <w:szCs w:val="24"/>
        </w:rPr>
        <w:t>Low and high pay in the UK</w:t>
      </w:r>
      <w:r w:rsidR="009013BB" w:rsidRPr="00241B5B">
        <w:rPr>
          <w:rFonts w:ascii="Arial" w:hAnsi="Arial" w:cs="Arial"/>
          <w:sz w:val="24"/>
          <w:szCs w:val="24"/>
        </w:rPr>
        <w:t>:</w:t>
      </w:r>
      <w:r w:rsidR="009013BB" w:rsidRPr="00241B5B">
        <w:rPr>
          <w:rFonts w:ascii="Arial" w:hAnsi="Arial" w:cs="Arial"/>
          <w:i/>
          <w:iCs/>
          <w:sz w:val="24"/>
          <w:szCs w:val="24"/>
        </w:rPr>
        <w:t xml:space="preserve"> 2024</w:t>
      </w:r>
      <w:r w:rsidR="009013BB" w:rsidRPr="00241B5B">
        <w:rPr>
          <w:rFonts w:ascii="Arial" w:hAnsi="Arial" w:cs="Arial"/>
          <w:sz w:val="24"/>
          <w:szCs w:val="24"/>
        </w:rPr>
        <w:t xml:space="preserve">. Available at: </w:t>
      </w:r>
      <w:hyperlink r:id="rId22" w:history="1">
        <w:r w:rsidR="009013BB" w:rsidRPr="00241B5B">
          <w:rPr>
            <w:rStyle w:val="Hyperlink"/>
            <w:rFonts w:ascii="Arial" w:hAnsi="Arial" w:cs="Arial"/>
            <w:sz w:val="24"/>
            <w:szCs w:val="24"/>
          </w:rPr>
          <w:t>https://www.ons.gov.uk/employmentandlabourmarket/peopleinwork/earningsandworkinghours/bulletins/lowandhighpayuk/2024</w:t>
        </w:r>
      </w:hyperlink>
      <w:r w:rsidR="009013BB" w:rsidRPr="00241B5B">
        <w:rPr>
          <w:rFonts w:ascii="Arial" w:hAnsi="Arial" w:cs="Arial"/>
          <w:sz w:val="24"/>
          <w:szCs w:val="24"/>
        </w:rPr>
        <w:t xml:space="preserve"> </w:t>
      </w:r>
      <w:r w:rsidRPr="00241B5B">
        <w:rPr>
          <w:rFonts w:ascii="Arial" w:hAnsi="Arial" w:cs="Arial"/>
          <w:sz w:val="24"/>
          <w:szCs w:val="24"/>
        </w:rPr>
        <w:t>(Accessed</w:t>
      </w:r>
      <w:r w:rsidR="000D7F01" w:rsidRPr="00241B5B">
        <w:rPr>
          <w:rFonts w:ascii="Arial" w:hAnsi="Arial" w:cs="Arial"/>
          <w:sz w:val="24"/>
          <w:szCs w:val="24"/>
        </w:rPr>
        <w:t>:</w:t>
      </w:r>
      <w:r w:rsidRPr="00241B5B">
        <w:rPr>
          <w:rFonts w:ascii="Arial" w:hAnsi="Arial" w:cs="Arial"/>
          <w:sz w:val="24"/>
          <w:szCs w:val="24"/>
        </w:rPr>
        <w:t xml:space="preserve"> </w:t>
      </w:r>
      <w:r w:rsidR="00473BF2" w:rsidRPr="00241B5B">
        <w:rPr>
          <w:rFonts w:ascii="Arial" w:hAnsi="Arial" w:cs="Arial"/>
          <w:sz w:val="24"/>
          <w:szCs w:val="24"/>
        </w:rPr>
        <w:t>11</w:t>
      </w:r>
      <w:r w:rsidR="000D7F01" w:rsidRPr="00241B5B">
        <w:rPr>
          <w:rFonts w:ascii="Arial" w:hAnsi="Arial" w:cs="Arial"/>
          <w:sz w:val="24"/>
          <w:szCs w:val="24"/>
          <w:vertAlign w:val="superscript"/>
        </w:rPr>
        <w:t xml:space="preserve"> </w:t>
      </w:r>
      <w:r w:rsidRPr="00241B5B">
        <w:rPr>
          <w:rFonts w:ascii="Arial" w:hAnsi="Arial" w:cs="Arial"/>
          <w:sz w:val="24"/>
          <w:szCs w:val="24"/>
        </w:rPr>
        <w:t>November 2024).</w:t>
      </w:r>
    </w:p>
    <w:p w14:paraId="5FE26250" w14:textId="3BF9E685" w:rsidR="008D673E" w:rsidRPr="00241B5B" w:rsidRDefault="008D673E" w:rsidP="00241B5B">
      <w:pPr>
        <w:spacing w:line="360" w:lineRule="auto"/>
        <w:jc w:val="both"/>
        <w:rPr>
          <w:rFonts w:ascii="Arial" w:hAnsi="Arial" w:cs="Arial"/>
          <w:sz w:val="24"/>
          <w:szCs w:val="24"/>
        </w:rPr>
      </w:pPr>
      <w:r w:rsidRPr="00241B5B">
        <w:rPr>
          <w:rFonts w:ascii="Arial" w:hAnsi="Arial" w:cs="Arial"/>
          <w:sz w:val="24"/>
          <w:szCs w:val="24"/>
        </w:rPr>
        <w:t>Rees, T. and Anghel, I.</w:t>
      </w:r>
      <w:r w:rsidR="005333A9" w:rsidRPr="00241B5B">
        <w:rPr>
          <w:rFonts w:ascii="Arial" w:hAnsi="Arial" w:cs="Arial"/>
          <w:sz w:val="24"/>
          <w:szCs w:val="24"/>
        </w:rPr>
        <w:t xml:space="preserve"> </w:t>
      </w:r>
      <w:r w:rsidR="00A53061" w:rsidRPr="00241B5B">
        <w:rPr>
          <w:rFonts w:ascii="Arial" w:hAnsi="Arial" w:cs="Arial"/>
          <w:sz w:val="24"/>
          <w:szCs w:val="24"/>
        </w:rPr>
        <w:t>(</w:t>
      </w:r>
      <w:r w:rsidRPr="00241B5B">
        <w:rPr>
          <w:rFonts w:ascii="Arial" w:hAnsi="Arial" w:cs="Arial"/>
          <w:sz w:val="24"/>
          <w:szCs w:val="24"/>
        </w:rPr>
        <w:t>2024</w:t>
      </w:r>
      <w:r w:rsidR="00A53061" w:rsidRPr="00241B5B">
        <w:rPr>
          <w:rFonts w:ascii="Arial" w:hAnsi="Arial" w:cs="Arial"/>
          <w:sz w:val="24"/>
          <w:szCs w:val="24"/>
        </w:rPr>
        <w:t>)</w:t>
      </w:r>
      <w:r w:rsidRPr="00241B5B">
        <w:rPr>
          <w:rFonts w:ascii="Arial" w:hAnsi="Arial" w:cs="Arial"/>
          <w:sz w:val="24"/>
          <w:szCs w:val="24"/>
        </w:rPr>
        <w:t xml:space="preserve">. </w:t>
      </w:r>
      <w:r w:rsidRPr="00241B5B">
        <w:rPr>
          <w:rFonts w:ascii="Arial" w:hAnsi="Arial" w:cs="Arial"/>
          <w:i/>
          <w:iCs/>
          <w:sz w:val="24"/>
          <w:szCs w:val="24"/>
        </w:rPr>
        <w:t>UK Inflation Steady at 2.2% Leaves Door Open for More Rate Cuts.</w:t>
      </w:r>
      <w:r w:rsidRPr="00241B5B">
        <w:rPr>
          <w:rFonts w:ascii="Arial" w:hAnsi="Arial" w:cs="Arial"/>
          <w:sz w:val="24"/>
          <w:szCs w:val="24"/>
        </w:rPr>
        <w:t xml:space="preserve"> Bloomberg.com. Available at: </w:t>
      </w:r>
      <w:hyperlink r:id="rId23" w:history="1">
        <w:r w:rsidR="0018674D" w:rsidRPr="00241B5B">
          <w:rPr>
            <w:rStyle w:val="Hyperlink"/>
            <w:rFonts w:ascii="Arial" w:hAnsi="Arial" w:cs="Arial"/>
            <w:sz w:val="24"/>
            <w:szCs w:val="24"/>
          </w:rPr>
          <w:t>https://www.bloomberg.com/news/articles/2024-09-18/uk-inflation-steady-at-2-2-leaves-door-open-for-more-rate-cuts</w:t>
        </w:r>
      </w:hyperlink>
      <w:r w:rsidR="0018674D" w:rsidRPr="00241B5B">
        <w:rPr>
          <w:rFonts w:ascii="Arial" w:hAnsi="Arial" w:cs="Arial"/>
          <w:sz w:val="24"/>
          <w:szCs w:val="24"/>
        </w:rPr>
        <w:t xml:space="preserve"> </w:t>
      </w:r>
      <w:r w:rsidRPr="00241B5B">
        <w:rPr>
          <w:rFonts w:ascii="Arial" w:hAnsi="Arial" w:cs="Arial"/>
          <w:sz w:val="24"/>
          <w:szCs w:val="24"/>
        </w:rPr>
        <w:t xml:space="preserve">  </w:t>
      </w:r>
      <w:r w:rsidR="0018674D" w:rsidRPr="00241B5B">
        <w:rPr>
          <w:rFonts w:ascii="Arial" w:hAnsi="Arial" w:cs="Arial"/>
          <w:sz w:val="24"/>
          <w:szCs w:val="24"/>
        </w:rPr>
        <w:t>(</w:t>
      </w:r>
      <w:r w:rsidRPr="00241B5B">
        <w:rPr>
          <w:rFonts w:ascii="Arial" w:hAnsi="Arial" w:cs="Arial"/>
          <w:sz w:val="24"/>
          <w:szCs w:val="24"/>
        </w:rPr>
        <w:t>Accessed</w:t>
      </w:r>
      <w:r w:rsidR="000D7F01" w:rsidRPr="00241B5B">
        <w:rPr>
          <w:rFonts w:ascii="Arial" w:hAnsi="Arial" w:cs="Arial"/>
          <w:sz w:val="24"/>
          <w:szCs w:val="24"/>
        </w:rPr>
        <w:t>:</w:t>
      </w:r>
      <w:r w:rsidRPr="00241B5B">
        <w:rPr>
          <w:rFonts w:ascii="Arial" w:hAnsi="Arial" w:cs="Arial"/>
          <w:sz w:val="24"/>
          <w:szCs w:val="24"/>
        </w:rPr>
        <w:t xml:space="preserve"> </w:t>
      </w:r>
      <w:r w:rsidR="0018674D" w:rsidRPr="00241B5B">
        <w:rPr>
          <w:rFonts w:ascii="Arial" w:hAnsi="Arial" w:cs="Arial"/>
          <w:sz w:val="24"/>
          <w:szCs w:val="24"/>
        </w:rPr>
        <w:t>7 November</w:t>
      </w:r>
      <w:r w:rsidRPr="00241B5B">
        <w:rPr>
          <w:rFonts w:ascii="Arial" w:hAnsi="Arial" w:cs="Arial"/>
          <w:sz w:val="24"/>
          <w:szCs w:val="24"/>
        </w:rPr>
        <w:t xml:space="preserve"> 2024</w:t>
      </w:r>
      <w:r w:rsidR="0018674D" w:rsidRPr="00241B5B">
        <w:rPr>
          <w:rFonts w:ascii="Arial" w:hAnsi="Arial" w:cs="Arial"/>
          <w:sz w:val="24"/>
          <w:szCs w:val="24"/>
        </w:rPr>
        <w:t>)</w:t>
      </w:r>
      <w:r w:rsidRPr="00241B5B">
        <w:rPr>
          <w:rFonts w:ascii="Arial" w:hAnsi="Arial" w:cs="Arial"/>
          <w:sz w:val="24"/>
          <w:szCs w:val="24"/>
        </w:rPr>
        <w:t>.</w:t>
      </w:r>
    </w:p>
    <w:p w14:paraId="12880DDA" w14:textId="6155201B" w:rsidR="005333A9" w:rsidRPr="00241B5B" w:rsidRDefault="005333A9" w:rsidP="00241B5B">
      <w:pPr>
        <w:spacing w:line="360" w:lineRule="auto"/>
        <w:jc w:val="both"/>
        <w:rPr>
          <w:rFonts w:ascii="Arial" w:hAnsi="Arial" w:cs="Arial"/>
          <w:sz w:val="24"/>
          <w:szCs w:val="24"/>
        </w:rPr>
      </w:pPr>
      <w:r w:rsidRPr="00241B5B">
        <w:rPr>
          <w:rFonts w:ascii="Arial" w:hAnsi="Arial" w:cs="Arial"/>
          <w:sz w:val="24"/>
          <w:szCs w:val="24"/>
        </w:rPr>
        <w:t xml:space="preserve">Reidhead, C. </w:t>
      </w:r>
      <w:r w:rsidR="00A53061" w:rsidRPr="00241B5B">
        <w:rPr>
          <w:rFonts w:ascii="Arial" w:hAnsi="Arial" w:cs="Arial"/>
          <w:sz w:val="24"/>
          <w:szCs w:val="24"/>
        </w:rPr>
        <w:t>(</w:t>
      </w:r>
      <w:r w:rsidRPr="00241B5B">
        <w:rPr>
          <w:rFonts w:ascii="Arial" w:hAnsi="Arial" w:cs="Arial"/>
          <w:sz w:val="24"/>
          <w:szCs w:val="24"/>
        </w:rPr>
        <w:t>2020</w:t>
      </w:r>
      <w:r w:rsidR="00A53061" w:rsidRPr="00241B5B">
        <w:rPr>
          <w:rFonts w:ascii="Arial" w:hAnsi="Arial" w:cs="Arial"/>
          <w:sz w:val="24"/>
          <w:szCs w:val="24"/>
        </w:rPr>
        <w:t>)</w:t>
      </w:r>
      <w:r w:rsidRPr="00241B5B">
        <w:rPr>
          <w:rFonts w:ascii="Arial" w:hAnsi="Arial" w:cs="Arial"/>
          <w:sz w:val="24"/>
          <w:szCs w:val="24"/>
        </w:rPr>
        <w:t xml:space="preserve">. Impact of organisational culture on employee satisfaction: A case of Hilton Hotel, United Kingdom. </w:t>
      </w:r>
      <w:r w:rsidRPr="00241B5B">
        <w:rPr>
          <w:rFonts w:ascii="Arial" w:hAnsi="Arial" w:cs="Arial"/>
          <w:i/>
          <w:iCs/>
          <w:sz w:val="24"/>
          <w:szCs w:val="24"/>
        </w:rPr>
        <w:t>Journal of Economics and Business</w:t>
      </w:r>
      <w:r w:rsidRPr="00241B5B">
        <w:rPr>
          <w:rFonts w:ascii="Arial" w:hAnsi="Arial" w:cs="Arial"/>
          <w:sz w:val="24"/>
          <w:szCs w:val="24"/>
        </w:rPr>
        <w:t xml:space="preserve">, 3(1). </w:t>
      </w:r>
      <w:r w:rsidRPr="00241B5B">
        <w:rPr>
          <w:rFonts w:ascii="Arial" w:hAnsi="Arial" w:cs="Arial"/>
          <w:sz w:val="24"/>
          <w:szCs w:val="24"/>
        </w:rPr>
        <w:lastRenderedPageBreak/>
        <w:t xml:space="preserve">Available at: </w:t>
      </w:r>
      <w:hyperlink r:id="rId24" w:history="1">
        <w:r w:rsidR="00BE253D" w:rsidRPr="00241B5B">
          <w:rPr>
            <w:rStyle w:val="Hyperlink"/>
            <w:rFonts w:ascii="Arial" w:hAnsi="Arial" w:cs="Arial"/>
            <w:sz w:val="24"/>
            <w:szCs w:val="24"/>
          </w:rPr>
          <w:t>https://papers.ssrn.com/sol3/papers.cfm?abstract_id=3563546</w:t>
        </w:r>
      </w:hyperlink>
      <w:r w:rsidR="00BE253D" w:rsidRPr="00241B5B">
        <w:rPr>
          <w:rFonts w:ascii="Arial" w:hAnsi="Arial" w:cs="Arial"/>
          <w:sz w:val="24"/>
          <w:szCs w:val="24"/>
        </w:rPr>
        <w:t xml:space="preserve"> </w:t>
      </w:r>
      <w:r w:rsidRPr="00241B5B">
        <w:rPr>
          <w:rFonts w:ascii="Arial" w:hAnsi="Arial" w:cs="Arial"/>
          <w:sz w:val="24"/>
          <w:szCs w:val="24"/>
        </w:rPr>
        <w:t xml:space="preserve"> </w:t>
      </w:r>
      <w:r w:rsidR="00BE253D" w:rsidRPr="00241B5B">
        <w:rPr>
          <w:rFonts w:ascii="Arial" w:hAnsi="Arial" w:cs="Arial"/>
          <w:sz w:val="24"/>
          <w:szCs w:val="24"/>
        </w:rPr>
        <w:t>(</w:t>
      </w:r>
      <w:r w:rsidRPr="00241B5B">
        <w:rPr>
          <w:rFonts w:ascii="Arial" w:hAnsi="Arial" w:cs="Arial"/>
          <w:sz w:val="24"/>
          <w:szCs w:val="24"/>
        </w:rPr>
        <w:t>Accessed</w:t>
      </w:r>
      <w:r w:rsidR="00EE4734" w:rsidRPr="00241B5B">
        <w:rPr>
          <w:rFonts w:ascii="Arial" w:hAnsi="Arial" w:cs="Arial"/>
          <w:sz w:val="24"/>
          <w:szCs w:val="24"/>
        </w:rPr>
        <w:t>:</w:t>
      </w:r>
      <w:r w:rsidRPr="00241B5B">
        <w:rPr>
          <w:rFonts w:ascii="Arial" w:hAnsi="Arial" w:cs="Arial"/>
          <w:sz w:val="24"/>
          <w:szCs w:val="24"/>
        </w:rPr>
        <w:t xml:space="preserve"> </w:t>
      </w:r>
      <w:r w:rsidR="00755628" w:rsidRPr="00241B5B">
        <w:rPr>
          <w:rFonts w:ascii="Arial" w:hAnsi="Arial" w:cs="Arial"/>
          <w:sz w:val="24"/>
          <w:szCs w:val="24"/>
        </w:rPr>
        <w:t>12</w:t>
      </w:r>
      <w:r w:rsidRPr="00241B5B">
        <w:rPr>
          <w:rFonts w:ascii="Arial" w:hAnsi="Arial" w:cs="Arial"/>
          <w:sz w:val="24"/>
          <w:szCs w:val="24"/>
        </w:rPr>
        <w:t xml:space="preserve"> Nov</w:t>
      </w:r>
      <w:r w:rsidR="00EE4734" w:rsidRPr="00241B5B">
        <w:rPr>
          <w:rFonts w:ascii="Arial" w:hAnsi="Arial" w:cs="Arial"/>
          <w:sz w:val="24"/>
          <w:szCs w:val="24"/>
        </w:rPr>
        <w:t xml:space="preserve">ember </w:t>
      </w:r>
      <w:r w:rsidRPr="00241B5B">
        <w:rPr>
          <w:rFonts w:ascii="Arial" w:hAnsi="Arial" w:cs="Arial"/>
          <w:sz w:val="24"/>
          <w:szCs w:val="24"/>
        </w:rPr>
        <w:t>2024</w:t>
      </w:r>
      <w:r w:rsidR="00BE253D" w:rsidRPr="00241B5B">
        <w:rPr>
          <w:rFonts w:ascii="Arial" w:hAnsi="Arial" w:cs="Arial"/>
          <w:sz w:val="24"/>
          <w:szCs w:val="24"/>
        </w:rPr>
        <w:t>)</w:t>
      </w:r>
      <w:r w:rsidRPr="00241B5B">
        <w:rPr>
          <w:rFonts w:ascii="Arial" w:hAnsi="Arial" w:cs="Arial"/>
          <w:sz w:val="24"/>
          <w:szCs w:val="24"/>
        </w:rPr>
        <w:t>.</w:t>
      </w:r>
    </w:p>
    <w:p w14:paraId="5B3F2196" w14:textId="5A7DC8BA" w:rsidR="0033233D" w:rsidRPr="00241B5B" w:rsidRDefault="0033233D" w:rsidP="00241B5B">
      <w:pPr>
        <w:spacing w:line="360" w:lineRule="auto"/>
        <w:jc w:val="both"/>
        <w:rPr>
          <w:rFonts w:ascii="Arial" w:hAnsi="Arial" w:cs="Arial"/>
          <w:sz w:val="24"/>
          <w:szCs w:val="24"/>
        </w:rPr>
      </w:pPr>
      <w:r w:rsidRPr="00241B5B">
        <w:rPr>
          <w:rFonts w:ascii="Arial" w:hAnsi="Arial" w:cs="Arial"/>
          <w:sz w:val="24"/>
          <w:szCs w:val="24"/>
        </w:rPr>
        <w:t>Statista</w:t>
      </w:r>
      <w:r w:rsidR="00A53061" w:rsidRPr="00241B5B">
        <w:rPr>
          <w:rFonts w:ascii="Arial" w:hAnsi="Arial" w:cs="Arial"/>
          <w:sz w:val="24"/>
          <w:szCs w:val="24"/>
        </w:rPr>
        <w:t xml:space="preserve"> (</w:t>
      </w:r>
      <w:r w:rsidRPr="00241B5B">
        <w:rPr>
          <w:rFonts w:ascii="Arial" w:hAnsi="Arial" w:cs="Arial"/>
          <w:sz w:val="24"/>
          <w:szCs w:val="24"/>
        </w:rPr>
        <w:t>2024</w:t>
      </w:r>
      <w:r w:rsidR="00A53061" w:rsidRPr="00241B5B">
        <w:rPr>
          <w:rFonts w:ascii="Arial" w:hAnsi="Arial" w:cs="Arial"/>
          <w:sz w:val="24"/>
          <w:szCs w:val="24"/>
        </w:rPr>
        <w:t>)</w:t>
      </w:r>
      <w:r w:rsidRPr="00241B5B">
        <w:rPr>
          <w:rFonts w:ascii="Arial" w:hAnsi="Arial" w:cs="Arial"/>
          <w:sz w:val="24"/>
          <w:szCs w:val="24"/>
        </w:rPr>
        <w:t xml:space="preserve">. Global land and ocean temperature anomalies from 1880 to 2023, based on temperature departure from the 20th century average. Available at: </w:t>
      </w:r>
      <w:hyperlink r:id="rId25" w:history="1">
        <w:r w:rsidRPr="00241B5B">
          <w:rPr>
            <w:rStyle w:val="Hyperlink"/>
            <w:rFonts w:ascii="Arial" w:hAnsi="Arial" w:cs="Arial"/>
            <w:sz w:val="24"/>
            <w:szCs w:val="24"/>
          </w:rPr>
          <w:t>https://www.statista.com/statistics/224893/land-and-ocean-temperature-anomalies-based-on-temperature-departure/</w:t>
        </w:r>
      </w:hyperlink>
      <w:r w:rsidRPr="00241B5B">
        <w:rPr>
          <w:rFonts w:ascii="Arial" w:hAnsi="Arial" w:cs="Arial"/>
          <w:sz w:val="24"/>
          <w:szCs w:val="24"/>
        </w:rPr>
        <w:t xml:space="preserve">  (Accessed</w:t>
      </w:r>
      <w:r w:rsidR="00EE4734" w:rsidRPr="00241B5B">
        <w:rPr>
          <w:rFonts w:ascii="Arial" w:hAnsi="Arial" w:cs="Arial"/>
          <w:sz w:val="24"/>
          <w:szCs w:val="24"/>
        </w:rPr>
        <w:t xml:space="preserve">: </w:t>
      </w:r>
      <w:r w:rsidR="00002E49" w:rsidRPr="00241B5B">
        <w:rPr>
          <w:rFonts w:ascii="Arial" w:hAnsi="Arial" w:cs="Arial"/>
          <w:sz w:val="24"/>
          <w:szCs w:val="24"/>
        </w:rPr>
        <w:t>10</w:t>
      </w:r>
      <w:r w:rsidR="00EE4734" w:rsidRPr="00241B5B">
        <w:rPr>
          <w:rFonts w:ascii="Arial" w:hAnsi="Arial" w:cs="Arial"/>
          <w:sz w:val="24"/>
          <w:szCs w:val="24"/>
        </w:rPr>
        <w:t xml:space="preserve"> </w:t>
      </w:r>
      <w:r w:rsidRPr="00241B5B">
        <w:rPr>
          <w:rFonts w:ascii="Arial" w:hAnsi="Arial" w:cs="Arial"/>
          <w:sz w:val="24"/>
          <w:szCs w:val="24"/>
        </w:rPr>
        <w:t>November 2024).</w:t>
      </w:r>
    </w:p>
    <w:p w14:paraId="323E0DC8" w14:textId="4B7B264E" w:rsidR="006C6A2D" w:rsidRPr="00241B5B" w:rsidRDefault="00847B70" w:rsidP="00241B5B">
      <w:pPr>
        <w:spacing w:line="360" w:lineRule="auto"/>
        <w:jc w:val="both"/>
        <w:rPr>
          <w:rFonts w:ascii="Arial" w:hAnsi="Arial" w:cs="Arial"/>
          <w:sz w:val="24"/>
          <w:szCs w:val="24"/>
        </w:rPr>
      </w:pPr>
      <w:proofErr w:type="spellStart"/>
      <w:r w:rsidRPr="00241B5B">
        <w:rPr>
          <w:rFonts w:ascii="Arial" w:hAnsi="Arial" w:cs="Arial"/>
          <w:sz w:val="24"/>
          <w:szCs w:val="24"/>
        </w:rPr>
        <w:t>UKHospitality</w:t>
      </w:r>
      <w:proofErr w:type="spellEnd"/>
      <w:r w:rsidRPr="00241B5B">
        <w:rPr>
          <w:rFonts w:ascii="Arial" w:hAnsi="Arial" w:cs="Arial"/>
          <w:sz w:val="24"/>
          <w:szCs w:val="24"/>
        </w:rPr>
        <w:t xml:space="preserve">. (2023). </w:t>
      </w:r>
      <w:r w:rsidRPr="00241B5B">
        <w:rPr>
          <w:rFonts w:ascii="Arial" w:hAnsi="Arial" w:cs="Arial"/>
          <w:i/>
          <w:iCs/>
          <w:sz w:val="24"/>
          <w:szCs w:val="24"/>
        </w:rPr>
        <w:t>Worker shortages.</w:t>
      </w:r>
      <w:r w:rsidRPr="00241B5B">
        <w:rPr>
          <w:rFonts w:ascii="Arial" w:hAnsi="Arial" w:cs="Arial"/>
          <w:sz w:val="24"/>
          <w:szCs w:val="24"/>
        </w:rPr>
        <w:t xml:space="preserve"> Available at: </w:t>
      </w:r>
      <w:hyperlink r:id="rId26" w:history="1">
        <w:r w:rsidR="003809FC" w:rsidRPr="00241B5B">
          <w:rPr>
            <w:rStyle w:val="Hyperlink"/>
            <w:rFonts w:ascii="Arial" w:hAnsi="Arial" w:cs="Arial"/>
            <w:sz w:val="24"/>
            <w:szCs w:val="24"/>
          </w:rPr>
          <w:t>https://www.ukhospitality.org.uk/campaign/workforce/</w:t>
        </w:r>
      </w:hyperlink>
      <w:r w:rsidR="003809FC" w:rsidRPr="00241B5B">
        <w:rPr>
          <w:rFonts w:ascii="Arial" w:hAnsi="Arial" w:cs="Arial"/>
          <w:sz w:val="24"/>
          <w:szCs w:val="24"/>
        </w:rPr>
        <w:t xml:space="preserve"> </w:t>
      </w:r>
      <w:r w:rsidRPr="00241B5B">
        <w:rPr>
          <w:rFonts w:ascii="Arial" w:hAnsi="Arial" w:cs="Arial"/>
          <w:sz w:val="24"/>
          <w:szCs w:val="24"/>
        </w:rPr>
        <w:t xml:space="preserve"> (Accessed: 1</w:t>
      </w:r>
      <w:r w:rsidR="003809FC" w:rsidRPr="00241B5B">
        <w:rPr>
          <w:rFonts w:ascii="Arial" w:hAnsi="Arial" w:cs="Arial"/>
          <w:sz w:val="24"/>
          <w:szCs w:val="24"/>
        </w:rPr>
        <w:t>1</w:t>
      </w:r>
      <w:r w:rsidRPr="00241B5B">
        <w:rPr>
          <w:rFonts w:ascii="Arial" w:hAnsi="Arial" w:cs="Arial"/>
          <w:sz w:val="24"/>
          <w:szCs w:val="24"/>
        </w:rPr>
        <w:t xml:space="preserve"> November 2024).</w:t>
      </w:r>
    </w:p>
    <w:sectPr w:rsidR="006C6A2D" w:rsidRPr="00241B5B" w:rsidSect="00C822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039C1"/>
    <w:rsid w:val="00000A5F"/>
    <w:rsid w:val="00002E49"/>
    <w:rsid w:val="000039C1"/>
    <w:rsid w:val="00011E38"/>
    <w:rsid w:val="000446F8"/>
    <w:rsid w:val="00044D41"/>
    <w:rsid w:val="00055408"/>
    <w:rsid w:val="000605CB"/>
    <w:rsid w:val="00062FA1"/>
    <w:rsid w:val="0007346A"/>
    <w:rsid w:val="00075E2C"/>
    <w:rsid w:val="0008429F"/>
    <w:rsid w:val="000937E3"/>
    <w:rsid w:val="000A5A24"/>
    <w:rsid w:val="000A6AAB"/>
    <w:rsid w:val="000B575D"/>
    <w:rsid w:val="000C2366"/>
    <w:rsid w:val="000C2BA1"/>
    <w:rsid w:val="000C7D4C"/>
    <w:rsid w:val="000D7F01"/>
    <w:rsid w:val="000F000B"/>
    <w:rsid w:val="000F12F3"/>
    <w:rsid w:val="000F7308"/>
    <w:rsid w:val="00105B96"/>
    <w:rsid w:val="001113CC"/>
    <w:rsid w:val="00131FA7"/>
    <w:rsid w:val="0013248C"/>
    <w:rsid w:val="00151E11"/>
    <w:rsid w:val="00155AA3"/>
    <w:rsid w:val="0016365C"/>
    <w:rsid w:val="00174A34"/>
    <w:rsid w:val="0018674D"/>
    <w:rsid w:val="00195C4A"/>
    <w:rsid w:val="00196DC8"/>
    <w:rsid w:val="001A6358"/>
    <w:rsid w:val="001B3A88"/>
    <w:rsid w:val="001C62C6"/>
    <w:rsid w:val="001C7D42"/>
    <w:rsid w:val="001D06BF"/>
    <w:rsid w:val="001D1A91"/>
    <w:rsid w:val="001D5F79"/>
    <w:rsid w:val="001E1E55"/>
    <w:rsid w:val="001E207F"/>
    <w:rsid w:val="001E3C92"/>
    <w:rsid w:val="001F24D6"/>
    <w:rsid w:val="001F62A3"/>
    <w:rsid w:val="00211ACB"/>
    <w:rsid w:val="002168C5"/>
    <w:rsid w:val="00221AA9"/>
    <w:rsid w:val="0022520F"/>
    <w:rsid w:val="00225712"/>
    <w:rsid w:val="00225FC2"/>
    <w:rsid w:val="00230368"/>
    <w:rsid w:val="00241B5B"/>
    <w:rsid w:val="00242E8B"/>
    <w:rsid w:val="002445E1"/>
    <w:rsid w:val="00255180"/>
    <w:rsid w:val="002648AF"/>
    <w:rsid w:val="00277F04"/>
    <w:rsid w:val="00294C86"/>
    <w:rsid w:val="002A0705"/>
    <w:rsid w:val="002C1CA4"/>
    <w:rsid w:val="002C2F9B"/>
    <w:rsid w:val="002C396E"/>
    <w:rsid w:val="002C636C"/>
    <w:rsid w:val="002D56FA"/>
    <w:rsid w:val="002E7F56"/>
    <w:rsid w:val="002F2455"/>
    <w:rsid w:val="002F33EF"/>
    <w:rsid w:val="00331FA7"/>
    <w:rsid w:val="0033233D"/>
    <w:rsid w:val="00333634"/>
    <w:rsid w:val="00346C93"/>
    <w:rsid w:val="0035204C"/>
    <w:rsid w:val="00362DFC"/>
    <w:rsid w:val="003673B6"/>
    <w:rsid w:val="003772D7"/>
    <w:rsid w:val="003809FC"/>
    <w:rsid w:val="00386CAD"/>
    <w:rsid w:val="00392BEF"/>
    <w:rsid w:val="00392FF9"/>
    <w:rsid w:val="00397348"/>
    <w:rsid w:val="003A6173"/>
    <w:rsid w:val="003C6B54"/>
    <w:rsid w:val="003D0AA8"/>
    <w:rsid w:val="003D7AA7"/>
    <w:rsid w:val="003E6595"/>
    <w:rsid w:val="003F37EA"/>
    <w:rsid w:val="003F554F"/>
    <w:rsid w:val="00414571"/>
    <w:rsid w:val="00433FAE"/>
    <w:rsid w:val="00443C37"/>
    <w:rsid w:val="00454DE5"/>
    <w:rsid w:val="004726CA"/>
    <w:rsid w:val="00472DAA"/>
    <w:rsid w:val="00473BF2"/>
    <w:rsid w:val="00482943"/>
    <w:rsid w:val="004856B3"/>
    <w:rsid w:val="004912C8"/>
    <w:rsid w:val="004D50AF"/>
    <w:rsid w:val="004D5400"/>
    <w:rsid w:val="004D5AAA"/>
    <w:rsid w:val="0050512F"/>
    <w:rsid w:val="00516CD7"/>
    <w:rsid w:val="00522C74"/>
    <w:rsid w:val="005267D1"/>
    <w:rsid w:val="00531BB5"/>
    <w:rsid w:val="005333A9"/>
    <w:rsid w:val="00537775"/>
    <w:rsid w:val="0054739A"/>
    <w:rsid w:val="00550DA5"/>
    <w:rsid w:val="00566958"/>
    <w:rsid w:val="00571D0C"/>
    <w:rsid w:val="005A20DC"/>
    <w:rsid w:val="005A3ADE"/>
    <w:rsid w:val="005A6DCB"/>
    <w:rsid w:val="005B1940"/>
    <w:rsid w:val="005B1DE8"/>
    <w:rsid w:val="005B1FF3"/>
    <w:rsid w:val="005C2C98"/>
    <w:rsid w:val="005D697B"/>
    <w:rsid w:val="005D7851"/>
    <w:rsid w:val="005E0D55"/>
    <w:rsid w:val="005E1188"/>
    <w:rsid w:val="005E4392"/>
    <w:rsid w:val="005F3A12"/>
    <w:rsid w:val="005F4E98"/>
    <w:rsid w:val="0061540A"/>
    <w:rsid w:val="0061619B"/>
    <w:rsid w:val="00621B3A"/>
    <w:rsid w:val="00625188"/>
    <w:rsid w:val="006369EA"/>
    <w:rsid w:val="00694FF2"/>
    <w:rsid w:val="00695049"/>
    <w:rsid w:val="006A1AB0"/>
    <w:rsid w:val="006A3B85"/>
    <w:rsid w:val="006A51D4"/>
    <w:rsid w:val="006C6A2D"/>
    <w:rsid w:val="006C7131"/>
    <w:rsid w:val="006D1A4D"/>
    <w:rsid w:val="006D7344"/>
    <w:rsid w:val="006E64FF"/>
    <w:rsid w:val="006E7E6A"/>
    <w:rsid w:val="006F1AA9"/>
    <w:rsid w:val="006F238D"/>
    <w:rsid w:val="006F3358"/>
    <w:rsid w:val="006F4FEA"/>
    <w:rsid w:val="00740F6E"/>
    <w:rsid w:val="00741913"/>
    <w:rsid w:val="00741D48"/>
    <w:rsid w:val="0075026A"/>
    <w:rsid w:val="00755628"/>
    <w:rsid w:val="0075599F"/>
    <w:rsid w:val="00763330"/>
    <w:rsid w:val="00767A99"/>
    <w:rsid w:val="00787EA0"/>
    <w:rsid w:val="007A7C94"/>
    <w:rsid w:val="007C1CF4"/>
    <w:rsid w:val="007C47BA"/>
    <w:rsid w:val="007C6FE8"/>
    <w:rsid w:val="007D5055"/>
    <w:rsid w:val="007E4DAB"/>
    <w:rsid w:val="007F11E4"/>
    <w:rsid w:val="007F72FA"/>
    <w:rsid w:val="00802FA2"/>
    <w:rsid w:val="008060CC"/>
    <w:rsid w:val="00810745"/>
    <w:rsid w:val="00811D92"/>
    <w:rsid w:val="00812C42"/>
    <w:rsid w:val="008132FE"/>
    <w:rsid w:val="00822974"/>
    <w:rsid w:val="00825F3D"/>
    <w:rsid w:val="00830730"/>
    <w:rsid w:val="00831E25"/>
    <w:rsid w:val="00832407"/>
    <w:rsid w:val="00847B70"/>
    <w:rsid w:val="0085095F"/>
    <w:rsid w:val="00857136"/>
    <w:rsid w:val="00857D29"/>
    <w:rsid w:val="00863D7E"/>
    <w:rsid w:val="00875D5D"/>
    <w:rsid w:val="008910EC"/>
    <w:rsid w:val="00892C04"/>
    <w:rsid w:val="008A0BB5"/>
    <w:rsid w:val="008A6CF6"/>
    <w:rsid w:val="008C0D5C"/>
    <w:rsid w:val="008D0BF6"/>
    <w:rsid w:val="008D673E"/>
    <w:rsid w:val="008E3DF6"/>
    <w:rsid w:val="008E7C90"/>
    <w:rsid w:val="008F68FD"/>
    <w:rsid w:val="008F6A0B"/>
    <w:rsid w:val="009013BB"/>
    <w:rsid w:val="009029C9"/>
    <w:rsid w:val="0092790F"/>
    <w:rsid w:val="00930A0A"/>
    <w:rsid w:val="009403AF"/>
    <w:rsid w:val="0097779C"/>
    <w:rsid w:val="00985133"/>
    <w:rsid w:val="00987539"/>
    <w:rsid w:val="009972B7"/>
    <w:rsid w:val="009A5144"/>
    <w:rsid w:val="009B19A4"/>
    <w:rsid w:val="009B7746"/>
    <w:rsid w:val="009E1DB3"/>
    <w:rsid w:val="009E6B33"/>
    <w:rsid w:val="009F0B7A"/>
    <w:rsid w:val="00A07F38"/>
    <w:rsid w:val="00A11E79"/>
    <w:rsid w:val="00A228CD"/>
    <w:rsid w:val="00A2587C"/>
    <w:rsid w:val="00A26FFA"/>
    <w:rsid w:val="00A430B0"/>
    <w:rsid w:val="00A512ED"/>
    <w:rsid w:val="00A53061"/>
    <w:rsid w:val="00A63A74"/>
    <w:rsid w:val="00A711D0"/>
    <w:rsid w:val="00A71BBF"/>
    <w:rsid w:val="00A86082"/>
    <w:rsid w:val="00A908BC"/>
    <w:rsid w:val="00A9148A"/>
    <w:rsid w:val="00AA6F75"/>
    <w:rsid w:val="00AB7575"/>
    <w:rsid w:val="00AC39B2"/>
    <w:rsid w:val="00B00B68"/>
    <w:rsid w:val="00B12FA3"/>
    <w:rsid w:val="00B24E6A"/>
    <w:rsid w:val="00B409DF"/>
    <w:rsid w:val="00B42265"/>
    <w:rsid w:val="00B4554C"/>
    <w:rsid w:val="00B52133"/>
    <w:rsid w:val="00B539F0"/>
    <w:rsid w:val="00B545F1"/>
    <w:rsid w:val="00B64DAF"/>
    <w:rsid w:val="00B73726"/>
    <w:rsid w:val="00B90030"/>
    <w:rsid w:val="00B92133"/>
    <w:rsid w:val="00BA2BA0"/>
    <w:rsid w:val="00BB22DC"/>
    <w:rsid w:val="00BC13B3"/>
    <w:rsid w:val="00BC2BD3"/>
    <w:rsid w:val="00BC4A86"/>
    <w:rsid w:val="00BD3BE7"/>
    <w:rsid w:val="00BD68C5"/>
    <w:rsid w:val="00BE253D"/>
    <w:rsid w:val="00BF387D"/>
    <w:rsid w:val="00C02FDE"/>
    <w:rsid w:val="00C20B55"/>
    <w:rsid w:val="00C22EE5"/>
    <w:rsid w:val="00C56823"/>
    <w:rsid w:val="00C6272B"/>
    <w:rsid w:val="00C670DF"/>
    <w:rsid w:val="00C73092"/>
    <w:rsid w:val="00C77DED"/>
    <w:rsid w:val="00C805C9"/>
    <w:rsid w:val="00C8158D"/>
    <w:rsid w:val="00C822FB"/>
    <w:rsid w:val="00CB373F"/>
    <w:rsid w:val="00CB55AF"/>
    <w:rsid w:val="00CC1908"/>
    <w:rsid w:val="00CD16E5"/>
    <w:rsid w:val="00CD59CA"/>
    <w:rsid w:val="00D026BB"/>
    <w:rsid w:val="00D04961"/>
    <w:rsid w:val="00D04F18"/>
    <w:rsid w:val="00D172F2"/>
    <w:rsid w:val="00D20367"/>
    <w:rsid w:val="00D45800"/>
    <w:rsid w:val="00D46505"/>
    <w:rsid w:val="00D51BBA"/>
    <w:rsid w:val="00D575F1"/>
    <w:rsid w:val="00D65E38"/>
    <w:rsid w:val="00D65F83"/>
    <w:rsid w:val="00D67E0D"/>
    <w:rsid w:val="00D74AB9"/>
    <w:rsid w:val="00D7633F"/>
    <w:rsid w:val="00D830E7"/>
    <w:rsid w:val="00D90B13"/>
    <w:rsid w:val="00DB5F3E"/>
    <w:rsid w:val="00DB656F"/>
    <w:rsid w:val="00DB6692"/>
    <w:rsid w:val="00DC0A5A"/>
    <w:rsid w:val="00DC539B"/>
    <w:rsid w:val="00DD2F23"/>
    <w:rsid w:val="00DD6AAE"/>
    <w:rsid w:val="00DD6BB9"/>
    <w:rsid w:val="00DD7CB9"/>
    <w:rsid w:val="00DE2C77"/>
    <w:rsid w:val="00DE2EB3"/>
    <w:rsid w:val="00E020EE"/>
    <w:rsid w:val="00E113C6"/>
    <w:rsid w:val="00E11EA9"/>
    <w:rsid w:val="00E15A0A"/>
    <w:rsid w:val="00E173B8"/>
    <w:rsid w:val="00E24D90"/>
    <w:rsid w:val="00E3126F"/>
    <w:rsid w:val="00E428B8"/>
    <w:rsid w:val="00E45633"/>
    <w:rsid w:val="00E46470"/>
    <w:rsid w:val="00E53911"/>
    <w:rsid w:val="00E55655"/>
    <w:rsid w:val="00E74216"/>
    <w:rsid w:val="00E8196B"/>
    <w:rsid w:val="00E84D26"/>
    <w:rsid w:val="00EA638E"/>
    <w:rsid w:val="00EB479F"/>
    <w:rsid w:val="00ED35DD"/>
    <w:rsid w:val="00EE4734"/>
    <w:rsid w:val="00EE5B72"/>
    <w:rsid w:val="00EE6F0A"/>
    <w:rsid w:val="00EF205C"/>
    <w:rsid w:val="00EF44F8"/>
    <w:rsid w:val="00EF6389"/>
    <w:rsid w:val="00F000C8"/>
    <w:rsid w:val="00F00750"/>
    <w:rsid w:val="00F029CD"/>
    <w:rsid w:val="00F03352"/>
    <w:rsid w:val="00F21227"/>
    <w:rsid w:val="00F2560F"/>
    <w:rsid w:val="00F327AE"/>
    <w:rsid w:val="00F4007E"/>
    <w:rsid w:val="00F42F76"/>
    <w:rsid w:val="00F4371D"/>
    <w:rsid w:val="00F46233"/>
    <w:rsid w:val="00F62D7B"/>
    <w:rsid w:val="00F71B6E"/>
    <w:rsid w:val="00F71DE5"/>
    <w:rsid w:val="00F77022"/>
    <w:rsid w:val="00F77D8D"/>
    <w:rsid w:val="00F859C0"/>
    <w:rsid w:val="00F87164"/>
    <w:rsid w:val="00FB7021"/>
    <w:rsid w:val="00FC0B1D"/>
    <w:rsid w:val="00FC11A7"/>
    <w:rsid w:val="00FC63CF"/>
    <w:rsid w:val="00FC65BC"/>
    <w:rsid w:val="00FC67E3"/>
    <w:rsid w:val="00FD0652"/>
    <w:rsid w:val="00FF3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287B3C8D"/>
  <w15:chartTrackingRefBased/>
  <w15:docId w15:val="{5903D6E6-7629-44D4-B09E-21DD2CC54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39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039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039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39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39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39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39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39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39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9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039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039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39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39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39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39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39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39C1"/>
    <w:rPr>
      <w:rFonts w:eastAsiaTheme="majorEastAsia" w:cstheme="majorBidi"/>
      <w:color w:val="272727" w:themeColor="text1" w:themeTint="D8"/>
    </w:rPr>
  </w:style>
  <w:style w:type="paragraph" w:styleId="Title">
    <w:name w:val="Title"/>
    <w:basedOn w:val="Normal"/>
    <w:next w:val="Normal"/>
    <w:link w:val="TitleChar"/>
    <w:uiPriority w:val="10"/>
    <w:qFormat/>
    <w:rsid w:val="00003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9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39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9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39C1"/>
    <w:pPr>
      <w:spacing w:before="160"/>
      <w:jc w:val="center"/>
    </w:pPr>
    <w:rPr>
      <w:i/>
      <w:iCs/>
      <w:color w:val="404040" w:themeColor="text1" w:themeTint="BF"/>
    </w:rPr>
  </w:style>
  <w:style w:type="character" w:customStyle="1" w:styleId="QuoteChar">
    <w:name w:val="Quote Char"/>
    <w:basedOn w:val="DefaultParagraphFont"/>
    <w:link w:val="Quote"/>
    <w:uiPriority w:val="29"/>
    <w:rsid w:val="000039C1"/>
    <w:rPr>
      <w:i/>
      <w:iCs/>
      <w:color w:val="404040" w:themeColor="text1" w:themeTint="BF"/>
    </w:rPr>
  </w:style>
  <w:style w:type="paragraph" w:styleId="ListParagraph">
    <w:name w:val="List Paragraph"/>
    <w:basedOn w:val="Normal"/>
    <w:uiPriority w:val="34"/>
    <w:qFormat/>
    <w:rsid w:val="000039C1"/>
    <w:pPr>
      <w:ind w:left="720"/>
      <w:contextualSpacing/>
    </w:pPr>
  </w:style>
  <w:style w:type="character" w:styleId="IntenseEmphasis">
    <w:name w:val="Intense Emphasis"/>
    <w:basedOn w:val="DefaultParagraphFont"/>
    <w:uiPriority w:val="21"/>
    <w:qFormat/>
    <w:rsid w:val="000039C1"/>
    <w:rPr>
      <w:i/>
      <w:iCs/>
      <w:color w:val="2F5496" w:themeColor="accent1" w:themeShade="BF"/>
    </w:rPr>
  </w:style>
  <w:style w:type="paragraph" w:styleId="IntenseQuote">
    <w:name w:val="Intense Quote"/>
    <w:basedOn w:val="Normal"/>
    <w:next w:val="Normal"/>
    <w:link w:val="IntenseQuoteChar"/>
    <w:uiPriority w:val="30"/>
    <w:qFormat/>
    <w:rsid w:val="000039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39C1"/>
    <w:rPr>
      <w:i/>
      <w:iCs/>
      <w:color w:val="2F5496" w:themeColor="accent1" w:themeShade="BF"/>
    </w:rPr>
  </w:style>
  <w:style w:type="character" w:styleId="IntenseReference">
    <w:name w:val="Intense Reference"/>
    <w:basedOn w:val="DefaultParagraphFont"/>
    <w:uiPriority w:val="32"/>
    <w:qFormat/>
    <w:rsid w:val="000039C1"/>
    <w:rPr>
      <w:b/>
      <w:bCs/>
      <w:smallCaps/>
      <w:color w:val="2F5496" w:themeColor="accent1" w:themeShade="BF"/>
      <w:spacing w:val="5"/>
    </w:rPr>
  </w:style>
  <w:style w:type="paragraph" w:styleId="NoSpacing">
    <w:name w:val="No Spacing"/>
    <w:link w:val="NoSpacingChar"/>
    <w:uiPriority w:val="1"/>
    <w:qFormat/>
    <w:rsid w:val="00E11EA9"/>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11EA9"/>
    <w:rPr>
      <w:rFonts w:eastAsiaTheme="minorEastAsia"/>
      <w:kern w:val="0"/>
      <w:lang w:val="en-US"/>
    </w:rPr>
  </w:style>
  <w:style w:type="paragraph" w:styleId="TOCHeading">
    <w:name w:val="TOC Heading"/>
    <w:basedOn w:val="Heading1"/>
    <w:next w:val="Normal"/>
    <w:uiPriority w:val="39"/>
    <w:unhideWhenUsed/>
    <w:qFormat/>
    <w:rsid w:val="00B539F0"/>
    <w:pPr>
      <w:spacing w:before="240" w:after="0"/>
      <w:outlineLvl w:val="9"/>
    </w:pPr>
    <w:rPr>
      <w:kern w:val="0"/>
      <w:sz w:val="32"/>
      <w:szCs w:val="32"/>
      <w:lang w:val="en-US"/>
    </w:rPr>
  </w:style>
  <w:style w:type="character" w:styleId="Hyperlink">
    <w:name w:val="Hyperlink"/>
    <w:basedOn w:val="DefaultParagraphFont"/>
    <w:uiPriority w:val="99"/>
    <w:unhideWhenUsed/>
    <w:rsid w:val="001F24D6"/>
    <w:rPr>
      <w:color w:val="0563C1" w:themeColor="hyperlink"/>
      <w:u w:val="single"/>
    </w:rPr>
  </w:style>
  <w:style w:type="character" w:styleId="UnresolvedMention">
    <w:name w:val="Unresolved Mention"/>
    <w:basedOn w:val="DefaultParagraphFont"/>
    <w:uiPriority w:val="99"/>
    <w:semiHidden/>
    <w:unhideWhenUsed/>
    <w:rsid w:val="001F24D6"/>
    <w:rPr>
      <w:color w:val="605E5C"/>
      <w:shd w:val="clear" w:color="auto" w:fill="E1DFDD"/>
    </w:rPr>
  </w:style>
  <w:style w:type="character" w:styleId="FollowedHyperlink">
    <w:name w:val="FollowedHyperlink"/>
    <w:basedOn w:val="DefaultParagraphFont"/>
    <w:uiPriority w:val="99"/>
    <w:semiHidden/>
    <w:unhideWhenUsed/>
    <w:rsid w:val="001F24D6"/>
    <w:rPr>
      <w:color w:val="954F72" w:themeColor="followedHyperlink"/>
      <w:u w:val="single"/>
    </w:rPr>
  </w:style>
  <w:style w:type="paragraph" w:styleId="TOC1">
    <w:name w:val="toc 1"/>
    <w:basedOn w:val="Normal"/>
    <w:next w:val="Normal"/>
    <w:autoRedefine/>
    <w:uiPriority w:val="39"/>
    <w:unhideWhenUsed/>
    <w:rsid w:val="00C805C9"/>
    <w:pPr>
      <w:spacing w:after="100"/>
    </w:pPr>
  </w:style>
  <w:style w:type="paragraph" w:styleId="TOC2">
    <w:name w:val="toc 2"/>
    <w:basedOn w:val="Normal"/>
    <w:next w:val="Normal"/>
    <w:autoRedefine/>
    <w:uiPriority w:val="39"/>
    <w:unhideWhenUsed/>
    <w:rsid w:val="00C805C9"/>
    <w:pPr>
      <w:spacing w:after="100"/>
      <w:ind w:left="220"/>
    </w:pPr>
  </w:style>
  <w:style w:type="paragraph" w:styleId="TOC3">
    <w:name w:val="toc 3"/>
    <w:basedOn w:val="Normal"/>
    <w:next w:val="Normal"/>
    <w:autoRedefine/>
    <w:uiPriority w:val="39"/>
    <w:unhideWhenUsed/>
    <w:rsid w:val="00C805C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corporatefinanceinstitute.com/resources/accounting/financial-ratios/" TargetMode="External"/><Relationship Id="rId18" Type="http://schemas.openxmlformats.org/officeDocument/2006/relationships/hyperlink" Target="https://vernonpress.com/book/60" TargetMode="External"/><Relationship Id="rId26" Type="http://schemas.openxmlformats.org/officeDocument/2006/relationships/hyperlink" Target="https://www.ukhospitality.org.uk/campaign/workforce/" TargetMode="External"/><Relationship Id="rId3" Type="http://schemas.openxmlformats.org/officeDocument/2006/relationships/settings" Target="settings.xml"/><Relationship Id="rId21" Type="http://schemas.openxmlformats.org/officeDocument/2006/relationships/hyperlink" Target="https://link.springer.com/article/10.1007/s11135-024-01834-9" TargetMode="External"/><Relationship Id="rId7" Type="http://schemas.openxmlformats.org/officeDocument/2006/relationships/image" Target="media/image3.png"/><Relationship Id="rId12" Type="http://schemas.openxmlformats.org/officeDocument/2006/relationships/hyperlink" Target="https://books.google.com/books/about/Segmentation_Revenue_Management_and_Pric.html?id=YvYjAwAAQBAJ" TargetMode="External"/><Relationship Id="rId17" Type="http://schemas.openxmlformats.org/officeDocument/2006/relationships/hyperlink" Target="https://commonslibrary.parliament.uk/research-briefings/cbp-9111/" TargetMode="External"/><Relationship Id="rId25" Type="http://schemas.openxmlformats.org/officeDocument/2006/relationships/hyperlink" Target="https://www.statista.com/statistics/224893/land-and-ocean-temperature-anomalies-based-on-temperature-departure/" TargetMode="External"/><Relationship Id="rId2" Type="http://schemas.openxmlformats.org/officeDocument/2006/relationships/styles" Target="styles.xml"/><Relationship Id="rId16" Type="http://schemas.openxmlformats.org/officeDocument/2006/relationships/hyperlink" Target="https://doi.org/10.3390/jrfm14040144" TargetMode="External"/><Relationship Id="rId20" Type="http://schemas.openxmlformats.org/officeDocument/2006/relationships/hyperlink" Target="https://papers.ssrn.com/sol3/papers.cfm?abstract_id=412119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bc.co.uk/news/business-12196322" TargetMode="External"/><Relationship Id="rId24" Type="http://schemas.openxmlformats.org/officeDocument/2006/relationships/hyperlink" Target="https://papers.ssrn.com/sol3/papers.cfm?abstract_id=3563546" TargetMode="External"/><Relationship Id="rId5" Type="http://schemas.openxmlformats.org/officeDocument/2006/relationships/image" Target="media/image1.png"/><Relationship Id="rId15" Type="http://schemas.openxmlformats.org/officeDocument/2006/relationships/hyperlink" Target="https://doi.org/10.1287/mnsc.2014.1984" TargetMode="External"/><Relationship Id="rId23" Type="http://schemas.openxmlformats.org/officeDocument/2006/relationships/hyperlink" Target="https://www.bloomberg.com/news/articles/2024-09-18/uk-inflation-steady-at-2-2-leaves-door-open-for-more-rate-cuts" TargetMode="External"/><Relationship Id="rId28" Type="http://schemas.openxmlformats.org/officeDocument/2006/relationships/glossaryDocument" Target="glossary/document.xml"/><Relationship Id="rId10" Type="http://schemas.openxmlformats.org/officeDocument/2006/relationships/hyperlink" Target="https://www.ajhtl.com/uploads/7/1/6/3/7163688/article_26_vol_9_2__2020_azerbaijan.pdf" TargetMode="External"/><Relationship Id="rId19" Type="http://schemas.openxmlformats.org/officeDocument/2006/relationships/hyperlink" Target="https://www.metoffice.gov.uk/about-us/news-and-media/media-centre/weather-and-climate-news/2024/temperature-extremes-and-records-most-affected-by-uks-changing-climat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assets.publishing.service.gov.uk/media/6604460f91a320001a82b0fd/uk-greenhouse-gas-emissions-provisional-figures-statistical-release-2023.pdf" TargetMode="External"/><Relationship Id="rId22" Type="http://schemas.openxmlformats.org/officeDocument/2006/relationships/hyperlink" Target="https://www.ons.gov.uk/employmentandlabourmarket/peopleinwork/earningsandworkinghours/bulletins/lowandhighpayuk/2024"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A3D958F51BF45C999BD04FFD9BBFD0E"/>
        <w:category>
          <w:name w:val="General"/>
          <w:gallery w:val="placeholder"/>
        </w:category>
        <w:types>
          <w:type w:val="bbPlcHdr"/>
        </w:types>
        <w:behaviors>
          <w:behavior w:val="content"/>
        </w:behaviors>
        <w:guid w:val="{C0403680-8BE0-424C-9D2B-1AAB76A78694}"/>
      </w:docPartPr>
      <w:docPartBody>
        <w:p w:rsidR="00563568" w:rsidRDefault="008B6A82" w:rsidP="008B6A82">
          <w:pPr>
            <w:pStyle w:val="2A3D958F51BF45C999BD04FFD9BBFD0E"/>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A82"/>
    <w:rsid w:val="0012272C"/>
    <w:rsid w:val="00195C4A"/>
    <w:rsid w:val="002238CE"/>
    <w:rsid w:val="00563568"/>
    <w:rsid w:val="008B6A82"/>
    <w:rsid w:val="008C0D5C"/>
    <w:rsid w:val="009A3991"/>
    <w:rsid w:val="009B2061"/>
    <w:rsid w:val="00A163D0"/>
    <w:rsid w:val="00A228CD"/>
    <w:rsid w:val="00AF3587"/>
    <w:rsid w:val="00BC4A86"/>
    <w:rsid w:val="00DC539B"/>
    <w:rsid w:val="00E52434"/>
    <w:rsid w:val="00F2560F"/>
    <w:rsid w:val="00FC6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3D958F51BF45C999BD04FFD9BBFD0E">
    <w:name w:val="2A3D958F51BF45C999BD04FFD9BBFD0E"/>
    <w:rsid w:val="008B6A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BD8DE-58A8-453A-9449-24886B729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2950</Words>
  <Characters>19709</Characters>
  <Application>Microsoft Office Word</Application>
  <DocSecurity>0</DocSecurity>
  <Lines>379</Lines>
  <Paragraphs>97</Paragraphs>
  <ScaleCrop>false</ScaleCrop>
  <Company/>
  <LinksUpToDate>false</LinksUpToDate>
  <CharactersWithSpaces>22562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The City Hotel</dc:title>
  <dc:subject/>
  <dc:creator>Eugen Gherasim (2242387)</dc:creator>
  <cp:keywords/>
  <dc:description/>
  <cp:lastModifiedBy>Eugen Gherasim (2242387)</cp:lastModifiedBy>
  <cp:revision>328</cp:revision>
  <dcterms:created xsi:type="dcterms:W3CDTF">2024-11-04T18:25:00Z</dcterms:created>
  <dcterms:modified xsi:type="dcterms:W3CDTF">2024-11-13T18:27:00Z</dcterms:modified>
</cp:coreProperties>
</file>