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Times New Roman" w:cs="Times New Roman" w:hAnsi="Times New Roman" w:eastAsia="Times New Roman"/>
          <w:b w:val="1"/>
          <w:bCs w:val="1"/>
          <w:sz w:val="120"/>
          <w:szCs w:val="120"/>
        </w:rPr>
      </w:pPr>
      <w:r>
        <w:rPr>
          <w:rFonts w:ascii="Times New Roman" w:hAnsi="Times New Roman"/>
          <w:b w:val="1"/>
          <w:bCs w:val="1"/>
          <w:sz w:val="120"/>
          <w:szCs w:val="120"/>
          <w:rtl w:val="0"/>
          <w:lang w:val="en-US"/>
        </w:rPr>
        <w:t>Sioned Williams</w:t>
      </w:r>
    </w:p>
    <w:p>
      <w:pPr>
        <w:pStyle w:val="Body"/>
        <w:spacing w:line="360" w:lineRule="auto"/>
        <w:jc w:val="center"/>
        <w:rPr>
          <w:rFonts w:ascii="Times New Roman" w:cs="Times New Roman" w:hAnsi="Times New Roman" w:eastAsia="Times New Roman"/>
          <w:b w:val="1"/>
          <w:bCs w:val="1"/>
          <w:sz w:val="120"/>
          <w:szCs w:val="120"/>
        </w:rPr>
      </w:pPr>
    </w:p>
    <w:p>
      <w:pPr>
        <w:pStyle w:val="Body"/>
        <w:spacing w:line="360" w:lineRule="auto"/>
        <w:jc w:val="center"/>
        <w:rPr>
          <w:rFonts w:ascii="Times New Roman" w:cs="Times New Roman" w:hAnsi="Times New Roman" w:eastAsia="Times New Roman"/>
          <w:b w:val="1"/>
          <w:bCs w:val="1"/>
          <w:sz w:val="120"/>
          <w:szCs w:val="120"/>
        </w:rPr>
      </w:pPr>
      <w:r>
        <w:rPr>
          <w:rFonts w:ascii="Times New Roman" w:hAnsi="Times New Roman"/>
          <w:b w:val="1"/>
          <w:bCs w:val="1"/>
          <w:sz w:val="120"/>
          <w:szCs w:val="120"/>
          <w:rtl w:val="0"/>
          <w:lang w:val="en-US"/>
        </w:rPr>
        <w:t>SJIE 6006</w:t>
      </w:r>
    </w:p>
    <w:p>
      <w:pPr>
        <w:pStyle w:val="Body"/>
        <w:spacing w:line="360" w:lineRule="auto"/>
        <w:jc w:val="center"/>
        <w:rPr>
          <w:rFonts w:ascii="Times New Roman" w:cs="Times New Roman" w:hAnsi="Times New Roman" w:eastAsia="Times New Roman"/>
          <w:b w:val="1"/>
          <w:bCs w:val="1"/>
          <w:sz w:val="120"/>
          <w:szCs w:val="120"/>
        </w:rPr>
      </w:pPr>
    </w:p>
    <w:p>
      <w:pPr>
        <w:pStyle w:val="Body"/>
        <w:spacing w:line="360" w:lineRule="auto"/>
        <w:jc w:val="center"/>
        <w:rPr>
          <w:rFonts w:ascii="Times New Roman" w:cs="Times New Roman" w:hAnsi="Times New Roman" w:eastAsia="Times New Roman"/>
          <w:b w:val="1"/>
          <w:bCs w:val="1"/>
          <w:sz w:val="120"/>
          <w:szCs w:val="120"/>
        </w:rPr>
      </w:pPr>
      <w:r>
        <w:rPr>
          <w:rFonts w:ascii="Times New Roman" w:hAnsi="Times New Roman"/>
          <w:b w:val="1"/>
          <w:bCs w:val="1"/>
          <w:sz w:val="120"/>
          <w:szCs w:val="120"/>
          <w:rtl w:val="0"/>
          <w:lang w:val="en-US"/>
        </w:rPr>
        <w:t>1502410</w:t>
      </w:r>
    </w:p>
    <w:p>
      <w:pPr>
        <w:pStyle w:val="Body"/>
        <w:spacing w:line="360" w:lineRule="auto"/>
        <w:jc w:val="center"/>
        <w:rPr>
          <w:rFonts w:ascii="Times New Roman" w:cs="Times New Roman" w:hAnsi="Times New Roman" w:eastAsia="Times New Roman"/>
          <w:b w:val="1"/>
          <w:bCs w:val="1"/>
          <w:sz w:val="120"/>
          <w:szCs w:val="120"/>
        </w:rPr>
      </w:pPr>
    </w:p>
    <w:p>
      <w:pPr>
        <w:pStyle w:val="Body"/>
        <w:spacing w:line="360" w:lineRule="auto"/>
        <w:jc w:val="center"/>
        <w:rPr>
          <w:rFonts w:ascii="Times New Roman" w:cs="Times New Roman" w:hAnsi="Times New Roman" w:eastAsia="Times New Roman"/>
          <w:b w:val="1"/>
          <w:bCs w:val="1"/>
          <w:sz w:val="120"/>
          <w:szCs w:val="120"/>
        </w:rPr>
      </w:pPr>
    </w:p>
    <w:p>
      <w:pPr>
        <w:pStyle w:val="Body"/>
        <w:spacing w:line="360" w:lineRule="auto"/>
        <w:jc w:val="left"/>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Trafodwch yn feirniadol y rhywstrau ynglyn ag ymrwymiad addysgol i blant o fewn un gwlad. Cymerwch safbwynt byd-eang gan gyfeirio at bolis</w:t>
      </w:r>
      <w:r>
        <w:rPr>
          <w:rFonts w:ascii="Times New Roman" w:hAnsi="Times New Roman" w:hint="default"/>
          <w:b w:val="1"/>
          <w:bCs w:val="1"/>
          <w:sz w:val="24"/>
          <w:szCs w:val="24"/>
          <w:rtl w:val="0"/>
          <w:lang w:val="en-US"/>
        </w:rPr>
        <w:t>ï</w:t>
      </w:r>
      <w:r>
        <w:rPr>
          <w:rFonts w:ascii="Times New Roman" w:hAnsi="Times New Roman"/>
          <w:b w:val="1"/>
          <w:bCs w:val="1"/>
          <w:sz w:val="24"/>
          <w:szCs w:val="24"/>
          <w:rtl w:val="0"/>
          <w:lang w:val="en-US"/>
        </w:rPr>
        <w:t>au lleol a byd-eang, cymharwch eich casgliadau gyda'r sefyllfa i blant yn y Deyrnas Unedig.</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Yn yr aseiniad hon ystyrier y rhwystrau sydd yn bodoli i blant cael ymrwymo gydag addysg wrth edrych ar un wlad yn benodol a chymharu addysg y wlad gydag addysg y Deyrnas Unedig a Chymru. Edrychir ar y polis</w:t>
      </w:r>
      <w:r>
        <w:rPr>
          <w:rFonts w:ascii="Times New Roman" w:hAnsi="Times New Roman" w:hint="default"/>
          <w:sz w:val="24"/>
          <w:szCs w:val="24"/>
          <w:rtl w:val="0"/>
          <w:lang w:val="en-US"/>
        </w:rPr>
        <w:t>ï</w:t>
      </w:r>
      <w:r>
        <w:rPr>
          <w:rFonts w:ascii="Times New Roman" w:hAnsi="Times New Roman"/>
          <w:sz w:val="24"/>
          <w:szCs w:val="24"/>
          <w:rtl w:val="0"/>
          <w:lang w:val="en-US"/>
        </w:rPr>
        <w:t>au sydd yn bodoli ac yn effithio ar ymrwymiad addysg y wlad. Ystyrier diwylliant y wlad a sut mae'n effeithio ar addysg yno. Rhaid ystyried os yw'r wlad yn un 'HIC' (high income country) neu 'LIC' (low income country). Mae addysg yn gostus, felly mae sefyllfa arian gwlad yn hanfodol wrth ystyried sefyllfa addysg yno. Hefyd bydd yn hanfodol yn yr aseiniad i ystyried y rhwystrau mae addysg byd-eang yn gwynebu a'r r</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sydd gan lywodraethau a sefydliadau rhyngwladol i chwarae wrth geisio goroesi y rhwystrau yma. Edrychir ar werth cynaliadwyedd addysg byd-eang. Mae polisiau fel yr 'UNCRC' yn bodoli sydd yn amddiffyn hawliau pobl, plant a phobl ifanc. Gellir gweld a darllen eich hawliau yn erthyglau y 'UNCRC' neu'r 'UN Convention on the rights of the child', dyma'r sail o holl waith 'Unicef'. Dyma'r datganiad fwya cyflawn ar hawliau plant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 xml:space="preserve">chafodd ei gynhyrchu erioed, dyma hefyd y cyfamod 'human rights' sydd </w:t>
      </w:r>
      <w:r>
        <w:rPr>
          <w:rFonts w:ascii="Times New Roman" w:hAnsi="Times New Roman" w:hint="default"/>
          <w:sz w:val="24"/>
          <w:szCs w:val="24"/>
          <w:rtl w:val="0"/>
          <w:lang w:val="en-US"/>
        </w:rPr>
        <w:t>â</w:t>
      </w:r>
      <w:r>
        <w:rPr>
          <w:rFonts w:ascii="Times New Roman" w:hAnsi="Times New Roman"/>
          <w:sz w:val="24"/>
          <w:szCs w:val="24"/>
          <w:rtl w:val="0"/>
          <w:lang w:val="en-US"/>
        </w:rPr>
        <w:t xml:space="preserve">'r cadarnhad byd-eang mwyaf mewn hanes. Mae gan yr 'UNCRC' sawl erthygl sydd yn nodi ac esbonio hawliau gwahanol. Mae erthygl 29, er enghraifft yn datgan bod gan bawb yr hawl i gael addysg sydd yn datblygu eu personoliaeth, parch tuag at eraill a'r amgylchedd. I gyd, mae ganddo 54 erthygl sydd yn ymdrin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phob agwedd o fywyd plentyn ac yn gosod hawliau gwladol, gwelidyddol, economaidd, cymdeithasol a diwylliannol sydd gan bob plentyn ym mhob man. Hefyd mae'n esbonio sut mae oedolion a llywodraethau yn gorfod gweithio gyda'i gilydd er mwyn sicrhau bod bob plentyn yn gallu manteisio ar bob hawl. Maen gan bob plentyn hawliau er gwaethaf eu ethnigedd, rhyw, crefydd, iaith, galluoedd neu unrhwy statws arall. Rhaid ystyried y confensiwn yn gyfan, mae'r hawliau i gyd wedi eu cysylltu gyda'i gilydd ac nid yw un hawl yn fwy bwysig nag hawl arall. Mae gan erthygl 31, sef 'the right to relax and play' ac erthygl 13, 'the right of freedom of expression' yn gwmws yr un pwysigrwydd. Yn yr un modd mae gan erthygl 19, 'the right to be safe from violence' ac erthygl 28, 'the right to an education' yn gwmws yr un pwysigrwydd hefyd. Er eu gwahaniaethau maent i gyd yn hollol bwysig. Yr 'UNCRC' ydy'r unig sefydliad cydnabyddiedig sydd yn gweithio dros blant. Mae yna llawer o wledydd sydd yn gweld hi'n anodd i gadw at y</w:t>
      </w:r>
      <w:r>
        <w:rPr>
          <w:rFonts w:ascii="Times New Roman" w:hAnsi="Times New Roman"/>
          <w:sz w:val="24"/>
          <w:szCs w:val="24"/>
          <w:rtl w:val="0"/>
        </w:rPr>
        <w:t xml:space="preserve"> polis</w:t>
      </w:r>
      <w:r>
        <w:rPr>
          <w:rFonts w:ascii="Times New Roman" w:hAnsi="Times New Roman" w:hint="default"/>
          <w:sz w:val="24"/>
          <w:szCs w:val="24"/>
          <w:rtl w:val="0"/>
          <w:lang w:val="nl-NL"/>
        </w:rPr>
        <w:t>ï</w:t>
      </w:r>
      <w:r>
        <w:rPr>
          <w:rFonts w:ascii="Times New Roman" w:hAnsi="Times New Roman"/>
          <w:sz w:val="24"/>
          <w:szCs w:val="24"/>
          <w:rtl w:val="0"/>
          <w:lang w:val="fr-FR"/>
        </w:rPr>
        <w:t xml:space="preserve">au </w:t>
      </w:r>
      <w:r>
        <w:rPr>
          <w:rFonts w:ascii="Times New Roman" w:hAnsi="Times New Roman"/>
          <w:sz w:val="24"/>
          <w:szCs w:val="24"/>
          <w:rtl w:val="0"/>
          <w:lang w:val="en-US"/>
        </w:rPr>
        <w:t>yma am nifer o resymau gwahanol. Mae gwledydd tlawd y byd yn enwedig yn gweld hi'n anodd. Nid oes ganddynt yr arian, y cyfarpar, ac felly y gallu i wirioneiddio 'addysg i bawb'.</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Mali ydy'r wlad edrychir arni yn yr aseiniad hon. Mae Mali yn wlad fawr </w:t>
      </w:r>
      <w:r>
        <w:rPr>
          <w:rFonts w:ascii="Times New Roman" w:hAnsi="Times New Roman"/>
          <w:sz w:val="24"/>
          <w:szCs w:val="24"/>
          <w:rtl w:val="0"/>
          <w:lang w:val="en-US"/>
        </w:rPr>
        <w:t>yng nghorllewin Affrica</w:t>
      </w:r>
      <w:r>
        <w:rPr>
          <w:rFonts w:ascii="Times New Roman" w:hAnsi="Times New Roman"/>
          <w:sz w:val="24"/>
          <w:szCs w:val="24"/>
          <w:rtl w:val="0"/>
          <w:lang w:val="en-US"/>
        </w:rPr>
        <w:t xml:space="preserve"> sydd yn</w:t>
      </w:r>
      <w:r>
        <w:rPr>
          <w:rFonts w:ascii="Times New Roman" w:hAnsi="Times New Roman"/>
          <w:sz w:val="24"/>
          <w:szCs w:val="24"/>
          <w:rtl w:val="0"/>
        </w:rPr>
        <w:t xml:space="preserve"> 1.24 miliwn cilomedr sgw</w:t>
      </w:r>
      <w:r>
        <w:rPr>
          <w:rFonts w:ascii="Times New Roman" w:hAnsi="Times New Roman" w:hint="default"/>
          <w:sz w:val="24"/>
          <w:szCs w:val="24"/>
          <w:rtl w:val="0"/>
        </w:rPr>
        <w:t>â</w:t>
      </w:r>
      <w:r>
        <w:rPr>
          <w:rFonts w:ascii="Times New Roman" w:hAnsi="Times New Roman"/>
          <w:sz w:val="24"/>
          <w:szCs w:val="24"/>
          <w:rtl w:val="0"/>
        </w:rPr>
        <w:t>r</w:t>
      </w:r>
      <w:r>
        <w:rPr>
          <w:rFonts w:ascii="Times New Roman" w:hAnsi="Times New Roman"/>
          <w:sz w:val="24"/>
          <w:szCs w:val="24"/>
          <w:rtl w:val="0"/>
          <w:lang w:val="en-US"/>
        </w:rPr>
        <w:t xml:space="preserve">.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stategau 2019 mae yna </w:t>
      </w:r>
      <w:r>
        <w:rPr>
          <w:rFonts w:ascii="Times New Roman" w:hAnsi="Times New Roman"/>
          <w:sz w:val="24"/>
          <w:szCs w:val="24"/>
          <w:rtl w:val="0"/>
        </w:rPr>
        <w:t>19,575,164</w:t>
      </w:r>
      <w:r>
        <w:rPr>
          <w:rFonts w:ascii="Times New Roman" w:hAnsi="Times New Roman"/>
          <w:sz w:val="24"/>
          <w:szCs w:val="24"/>
          <w:rtl w:val="0"/>
          <w:lang w:val="en-US"/>
        </w:rPr>
        <w:t xml:space="preserve"> o bobl yn byw yn Mali. Mae'n wlad sydd yn dirgaeedig.  Yn 2012 gwnaeth gwrthdaro arfog codi ac fe gymerodd gwrthryfelwyr 'Tuareg' rheolaeth o'r wlad yn datgan gwrthgiliad o dalaith newydd, sef 'Azawad'. Er  bod Mali wedi cael ei al-ddal mae dal trafodaethau yn disgwyliedig i ddigwydd. Yn 2019 mae gan Mali'n amcangyfrifol poblogaeth o 19.69 miliwn sydd yn codiad o 2013, pan oedd poblogaeth amcangyfrifol o 14.85 miliwn ganddynt, </w:t>
      </w:r>
      <w:r>
        <w:rPr>
          <w:rFonts w:ascii="Times New Roman" w:hAnsi="Times New Roman"/>
          <w:sz w:val="24"/>
          <w:szCs w:val="24"/>
          <w:rtl w:val="0"/>
          <w:lang w:val="da-DK"/>
        </w:rPr>
        <w:t>i gymharu gyda Chymru lle</w:t>
      </w:r>
      <w:r>
        <w:rPr>
          <w:rFonts w:ascii="Times New Roman" w:hAnsi="Times New Roman"/>
          <w:sz w:val="24"/>
          <w:szCs w:val="24"/>
          <w:rtl w:val="0"/>
          <w:lang w:val="en-US"/>
        </w:rPr>
        <w:t xml:space="preserve"> yn 2018 roedd </w:t>
      </w:r>
      <w:r>
        <w:rPr>
          <w:rFonts w:ascii="Times New Roman" w:hAnsi="Times New Roman"/>
          <w:sz w:val="24"/>
          <w:szCs w:val="24"/>
          <w:rtl w:val="0"/>
        </w:rPr>
        <w:t>3,187,203</w:t>
      </w:r>
      <w:r>
        <w:rPr>
          <w:rFonts w:ascii="Times New Roman" w:hAnsi="Times New Roman"/>
          <w:sz w:val="24"/>
          <w:szCs w:val="24"/>
          <w:rtl w:val="0"/>
          <w:lang w:val="en-US"/>
        </w:rPr>
        <w:t xml:space="preserve"> o boblogaeth gyda</w:t>
      </w:r>
      <w:r>
        <w:rPr>
          <w:rFonts w:ascii="Times New Roman" w:hAnsi="Times New Roman"/>
          <w:sz w:val="24"/>
          <w:szCs w:val="24"/>
          <w:rtl w:val="0"/>
          <w:lang w:val="en-US"/>
        </w:rPr>
        <w:t xml:space="preserve"> dros 550,000 o blant o'r oedran 0 hyd at 15 a 350,000 rhwng yr oedrannau 16 - 24 yn </w:t>
      </w:r>
      <w:r>
        <w:rPr>
          <w:rFonts w:ascii="Times New Roman" w:hAnsi="Times New Roman" w:hint="default"/>
          <w:sz w:val="24"/>
          <w:szCs w:val="24"/>
          <w:rtl w:val="0"/>
        </w:rPr>
        <w:t>ô</w:t>
      </w:r>
      <w:r>
        <w:rPr>
          <w:rFonts w:ascii="Times New Roman" w:hAnsi="Times New Roman"/>
          <w:sz w:val="24"/>
          <w:szCs w:val="24"/>
          <w:rtl w:val="0"/>
          <w:lang w:val="de-DE"/>
        </w:rPr>
        <w:t>l (https://statswales.gov.wales, 2017)</w:t>
      </w:r>
      <w:r>
        <w:rPr>
          <w:rFonts w:ascii="Times New Roman" w:hAnsi="Times New Roman"/>
          <w:sz w:val="24"/>
          <w:szCs w:val="24"/>
          <w:rtl w:val="0"/>
          <w:lang w:val="en-US"/>
        </w:rPr>
        <w:t xml:space="preserve"> Mali yw'r  61af wlad mwyaf yn y byd. Mae 90% o'r bobl sy'n byw yno yn byw yn yr ardal deheuol gyda'r afonydd 'Niger' a 'Senegal' yn bell o'r anialwch 'Sahara'. Mae tua 68% o'r boblogaeth yn wledig, gyda phump allan o ddeg o bobl yn byw bywyd crwydrol. Poblogaeth ifanc iawn sydd gan Mali gyda bron hanner o'i phobl dan bumtheg blwydd oed ac oedran canolrif o 15.9. Er mae'r cyfradd ffrwythlondeb yno yn un uchel ar 6.4 i bob fenyw, mae gan Mali un o'r cyfradd marwolaethau babanod mwyaf uchel yn y byd, sef un marwolaeth i bob deg o enedigaethau fyw. Mae'r pobl o Mali yn cynwys sawl grwp ethnig 'sun-saharan', y mwyaf ydy'r 'Bambara' sydd yn rhoi cyfrif am 37% o'r poblogaeth. Iaith swyddogol Mali ydy Ffrangeg, ond mae 80% o bobl yn siarad 'Bambara' ac  mae oleua 40 o ieithoedd Affricanaidd yn cael eu defnyddio yno hefyd. Gwleler bod llawer o bobl Mali yn byw bywyd crwydrol. Bywyd crwydrol ydy byw drwy grwydro o le i le. Mae rhai llwythau crwydrol yn dilyn yr anifeiliad maent yn hela ac yn cludo eu pabelli o gwmpas gyda nhw. Maent yn symud o le i le i gael hela a chasglu planhigion gwyllt. </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Wrth ystyried sut mae'r ran fwyaf o bobl Mali yn byw mae'n amlwg bydd mynychu ysgol yn rheolaidd yn hynnod o annodd iddynt. Byddai angen sefydlu rhyw fath o system addysg yn Mali sydd yn eu galluogi i grwydro gan dyma beth yw eu diwylliant. Byddai sefydlu ysgolion yno yn ddi-bwrpas gan y byddent weithiau yn crwydro ym mhell o'r adieladau ysgol eu hun. Ni fyddai mynchu adeilad addysgol yn lythrennol o fewn eu cyrhaeddiad. Wrth gymharu hyn gyda diwylliant pobl y Deyrnas Unedig a Chymru mae'n amlwg y byddai mynychu ysgol sefydlog yn llawer haws. Yng Nghymru a'r Deyrnas Unedig mae teuluoedd yn byw mewn tai/cartrefi sefydlog, ac er maent yn gallu symud weithiau o dy i dy nid yw hyn yn ffordd o fyw iddynt. Mae ysgol lleol wastad ar gael iddynt lle mae ganddynt hawl i fynychu ac mae hyn yn gyfreithlon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yr 'education policy'. Ond yn erthygl 29 o'r 'UNCRC' mae'n datgan bod gan blant a phobl ifanc yr hawl i gael addysg o fewn lle sydd nid yn unig o fewn ysgol gwladwriaeth, sef, gallent fynychu ysgol preifat neu cael addysg gyda'i teulu.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erthygl 29 hefyd ni ddylai'r llywodraeth gwneud ysgolion/llefydd sydd wedi eu darparu gan y gwladwriaeth yr unig llefydd ar gael lle gellir cael addysg. Felly ni fyddai'r diffyg o adeiladau fel ysgolion yn ormod o rwystr i bobl Mali sydd yn byw bywyd crwydrol oherwydd gellir cael eu haddysgu o fewn cartrefi eu hunen, neu allan ar y cae, er enghraifft. Nid yw adeilad ac ystafell ddosbarth yn hanfodol felly. Yr unig peth byddai'n hanfodol byddai'r athro/athrawes neu aelod o'r teulu sydd </w:t>
      </w:r>
      <w:r>
        <w:rPr>
          <w:rFonts w:ascii="Times New Roman" w:hAnsi="Times New Roman" w:hint="default"/>
          <w:sz w:val="24"/>
          <w:szCs w:val="24"/>
          <w:rtl w:val="0"/>
          <w:lang w:val="en-US"/>
        </w:rPr>
        <w:t>â</w:t>
      </w:r>
      <w:r>
        <w:rPr>
          <w:rFonts w:ascii="Times New Roman" w:hAnsi="Times New Roman"/>
          <w:sz w:val="24"/>
          <w:szCs w:val="24"/>
          <w:rtl w:val="0"/>
          <w:lang w:val="en-US"/>
        </w:rPr>
        <w:t xml:space="preserve">'r hyfforddiant a chymwysterau sydd angen arnynt er mwyn gallu dysgu.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damcaniaeth Bronfenbrenner's 'ecological systems' byddai pobl Mali yn cael perthnasau agos gyda'r gymuned ac dyma lle byddent yn cael llawer o fewnbwn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 xml:space="preserve">fyddai'n dylanwadu ar ddatblygiad y plant.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Bronfenbrenner mae plant yn cael eu dylanwadu gan llawer o ffactorau gwahanol a pherthnasau gwahanol. Mae plant yn cael profiad o fod mewn llawer o sefyllfaoedd gwahanol, sef rhai gyda pherthnasau agos iawn yn y cartref hyd at y gymdeithas eang, ac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y 'macrosystem' lle mae'r plentyn yn dod ar draws casgliad eang o bobl yn y gymdeithas ac yn dal i brofi dylanwadau arwyddocaol. Mae patrymau diwylliant y plentyn, a'i blaenoriaethau, datblygu credoau dominyddol a syniadau gwleidyddol i gyd yn datblygu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y perthynas agos yma gyda'r gymdeithas. Yn Mali mae'r plant yno yn ymwrwymo gyda'r cymdeithas ac felly maent yn cael dylanwad enfawr ar eu datblygiad yn </w:t>
      </w:r>
      <w:r>
        <w:rPr>
          <w:rFonts w:ascii="Times New Roman" w:hAnsi="Times New Roman" w:hint="default"/>
          <w:sz w:val="24"/>
          <w:szCs w:val="24"/>
          <w:rtl w:val="0"/>
          <w:lang w:val="en-US"/>
        </w:rPr>
        <w:t>ô</w:t>
      </w:r>
      <w:r>
        <w:rPr>
          <w:rFonts w:ascii="Times New Roman" w:hAnsi="Times New Roman"/>
          <w:sz w:val="24"/>
          <w:szCs w:val="24"/>
          <w:rtl w:val="0"/>
          <w:lang w:val="en-US"/>
        </w:rPr>
        <w:t>l Bronfenbrenner. Mae'r plant yn tyfu i weld bod ei rhieni a chyn tadau yn byw y bywyd maent am fyw, y bywyd mae eu pobl wedi byw erioed. Ac nid oes pwyslais ar addysg. Ni fyddai sefydliadau yn hoff iawn o fynd i Mali a thrafod gyda'r pobl oherwydd mae'n amharchus iawn i gymryd yn ganiata</w:t>
      </w:r>
      <w:r>
        <w:rPr>
          <w:rFonts w:ascii="Times New Roman" w:hAnsi="Times New Roman" w:hint="default"/>
          <w:sz w:val="24"/>
          <w:szCs w:val="24"/>
          <w:rtl w:val="0"/>
          <w:lang w:val="en-US"/>
        </w:rPr>
        <w:t>ô</w:t>
      </w:r>
      <w:r>
        <w:rPr>
          <w:rFonts w:ascii="Times New Roman" w:hAnsi="Times New Roman"/>
          <w:sz w:val="24"/>
          <w:szCs w:val="24"/>
          <w:rtl w:val="0"/>
          <w:lang w:val="en-US"/>
        </w:rPr>
        <w:t>l eu bod nhw yn gwybod yn well a byddent yn sensitif iawn oherwydd y 'white saviour complex', nid ydynt am i bobl eu canfod fel bobl sydd yn ceisio newid ffordd bobl o fyw.</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Global learning is an approach to learning that necessitates both re</w:t>
      </w:r>
      <w:r>
        <w:rPr>
          <w:rFonts w:ascii="Times New Roman" w:hAnsi="Times New Roman"/>
          <w:sz w:val="24"/>
          <w:szCs w:val="24"/>
          <w:rtl w:val="0"/>
          <w:lang w:val="en-US"/>
        </w:rPr>
        <w:t>fl</w:t>
      </w:r>
      <w:r>
        <w:rPr>
          <w:rFonts w:ascii="Times New Roman" w:hAnsi="Times New Roman"/>
          <w:sz w:val="24"/>
          <w:szCs w:val="24"/>
          <w:rtl w:val="0"/>
          <w:lang w:val="en-US"/>
        </w:rPr>
        <w:t>ection and critical thinking on the part of the educator. It is not about reproducing bodies of knowledge about development, but rather is about engaging in a process of learning that recognises different approaches and different ways of understanding the world, and engages with them through different lenses</w:t>
      </w:r>
      <w:r>
        <w:rPr>
          <w:rFonts w:ascii="Times New Roman" w:hAnsi="Times New Roman"/>
          <w:sz w:val="24"/>
          <w:szCs w:val="24"/>
          <w:rtl w:val="0"/>
          <w:lang w:val="en-US"/>
        </w:rPr>
        <w:t>".</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w:t>
      </w:r>
      <w:r>
        <w:rPr>
          <w:rFonts w:ascii="Times New Roman" w:hAnsi="Times New Roman"/>
          <w:sz w:val="24"/>
          <w:szCs w:val="24"/>
          <w:rtl w:val="0"/>
          <w:lang w:val="en-US"/>
        </w:rPr>
        <w:t>The Theory and Practice of Global Learning</w:t>
      </w:r>
      <w:r>
        <w:rPr>
          <w:rFonts w:ascii="Times New Roman" w:hAnsi="Times New Roman"/>
          <w:sz w:val="24"/>
          <w:szCs w:val="24"/>
          <w:rtl w:val="0"/>
          <w:lang w:val="en-US"/>
        </w:rPr>
        <w:t xml:space="preserve">, </w:t>
      </w:r>
      <w:r>
        <w:rPr>
          <w:rFonts w:ascii="Times New Roman" w:hAnsi="Times New Roman"/>
          <w:sz w:val="24"/>
          <w:szCs w:val="24"/>
          <w:rtl w:val="0"/>
          <w:lang w:val="da-DK"/>
        </w:rPr>
        <w:t>Douglas Bourn</w:t>
      </w:r>
      <w:r>
        <w:rPr>
          <w:rFonts w:ascii="Times New Roman" w:hAnsi="Times New Roman"/>
          <w:sz w:val="24"/>
          <w:szCs w:val="24"/>
          <w:rtl w:val="0"/>
          <w:lang w:val="en-US"/>
        </w:rPr>
        <w:t xml:space="preserve">. </w:t>
      </w:r>
      <w:r>
        <w:rPr>
          <w:rFonts w:ascii="Times New Roman" w:hAnsi="Times New Roman"/>
          <w:sz w:val="24"/>
          <w:szCs w:val="24"/>
          <w:rtl w:val="0"/>
        </w:rPr>
        <w:t>Paper No.11</w:t>
      </w:r>
      <w:r>
        <w:rPr>
          <w:rFonts w:ascii="Times New Roman" w:hAnsi="Times New Roman"/>
          <w:sz w:val="24"/>
          <w:szCs w:val="24"/>
          <w:rtl w:val="0"/>
          <w:lang w:val="en-US"/>
        </w:rPr>
        <w:t>, 2014)</w:t>
      </w:r>
    </w:p>
    <w:p>
      <w:pPr>
        <w:pStyle w:val="Body"/>
        <w:spacing w:line="360" w:lineRule="auto"/>
        <w:jc w:val="left"/>
        <w:rPr>
          <w:rFonts w:ascii="Times New Roman" w:cs="Times New Roman" w:hAnsi="Times New Roman" w:eastAsia="Times New Roman"/>
          <w:b w:val="1"/>
          <w:bCs w:val="1"/>
          <w:sz w:val="24"/>
          <w:szCs w:val="24"/>
        </w:rPr>
      </w:pPr>
      <w:r>
        <w:rPr>
          <w:rFonts w:ascii="Times New Roman" w:hAnsi="Times New Roman"/>
          <w:sz w:val="24"/>
          <w:szCs w:val="24"/>
          <w:rtl w:val="0"/>
          <w:lang w:val="en-US"/>
        </w:rPr>
        <w:t xml:space="preserve"> Mae'r pobl yn Mali wedi bodoli a goroesi wrth fyw yr un bywyd am ganrifoedd. Ni ddylai pobl o wledydd estron ceisio newid hyn yn sydyn. Me eu diwylliant yn Mali yn hollol wahanol i ddiwylliant y Deyrnas Unedig. </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Mae addysg yn Mali wedi dirywio yn y blynyddoedd diwethaf. Mae 'Plan international' sef sefydliad humanitarian sydd yn gweithio i gynnyddu hawliau plant a chydraddoldeb rhyw y person ac i ferched, wedi bod yn gweithredu yn Mali ddar 1976. Ar hyn o bryd mae yna rhwystrau benodol sydd yn arbed plant, yn enwedig merched i weithredu eu hawliau yn y wlad. Yn benodol mae yna cyfraddau uchel o blant yn priodi a niferoedd uchel o ferched sydd ddim yn mynychu ysgol. Ond fe gwnaeth 'African charter on the rights and welfare of the child' sefydlu er mwyn amdiffyn plant Affricanaidd. Wrth gymahru hyn gyda phlant Cymru sydd yn mynychu ysgol maent yn anghredadwy. Os nad ydy plentyn yn mynychu ysgol yn rheolaidd yng Nghymru mae asiantaethau gwahanol yn gweithio gyda'r teulu er mwyn cael y plentyn n</w:t>
      </w:r>
      <w:r>
        <w:rPr>
          <w:rFonts w:ascii="Times New Roman" w:hAnsi="Times New Roman" w:hint="default"/>
          <w:sz w:val="24"/>
          <w:szCs w:val="24"/>
          <w:rtl w:val="0"/>
          <w:lang w:val="en-US"/>
        </w:rPr>
        <w:t>ô</w:t>
      </w:r>
      <w:r>
        <w:rPr>
          <w:rFonts w:ascii="Times New Roman" w:hAnsi="Times New Roman"/>
          <w:sz w:val="24"/>
          <w:szCs w:val="24"/>
          <w:rtl w:val="0"/>
          <w:lang w:val="en-US"/>
        </w:rPr>
        <w:t>l i ysgol yn gyson. Mae'r ysgolion hyd yn oed yn cael eu arsylwi gan sefydliadau proffesiynnol, sef ESTYN. Mae ESTYN wedyn yn ysgrifennu adroddiad ar yr ysgol ac maen'n mynd yn gyhoeddus wedi i'r pennaeth ei glywed. Mae'radroddiad yn torri lawr sut mae'r ysgol yn rhedeg o ddydd i ddydd, os mae arfer da yno, safon y dysgu ar draws yr ysgol a sut mae'r ysgol yn tr</w:t>
      </w:r>
      <w:r>
        <w:rPr>
          <w:rFonts w:ascii="Times New Roman" w:hAnsi="Times New Roman" w:hint="default"/>
          <w:sz w:val="24"/>
          <w:szCs w:val="24"/>
          <w:rtl w:val="0"/>
          <w:lang w:val="en-US"/>
        </w:rPr>
        <w:t>î</w:t>
      </w:r>
      <w:r>
        <w:rPr>
          <w:rFonts w:ascii="Times New Roman" w:hAnsi="Times New Roman"/>
          <w:sz w:val="24"/>
          <w:szCs w:val="24"/>
          <w:rtl w:val="0"/>
          <w:lang w:val="en-US"/>
        </w:rPr>
        <w:t xml:space="preserve">n lles y disgyblion hyd at y gwaith gweinyddol a'r gwaith papur. Mae'r ysgol yn cael ei arsylwi'n fanwl. Os nad yw'r ysgol yn cael adroddiad boddhaol mae ESTYN yn mynd i'w gweld eto. Maent yn ystyried data presenoldeb plant yn ogystal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phopeth arall. Nid oes merch na fachgen yn cael colli ysgol yn gyfreithlon.</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Roedd cynllun sector addysg trawsnewidiol Mali wedi cael ei datblygu yn dilyn cyfnod o arweinyddiaeth anghyfansoddiadol a rhyfel cartref. Er hynny mae'n anelu at gadw ati gyda'r gwaith o gynllun sector deg blynedd blaenorol ac hefyd i atgyweirio'r system addysg yn yr ardaloedd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chafodd eu effeithio gan yr wrthdaro.  Mae llywodraeath Mali yn ymroddedig i barhau y weithrediad o'i polis</w:t>
      </w:r>
      <w:r>
        <w:rPr>
          <w:rFonts w:ascii="Times New Roman" w:hAnsi="Times New Roman" w:hint="default"/>
          <w:sz w:val="24"/>
          <w:szCs w:val="24"/>
          <w:rtl w:val="0"/>
          <w:lang w:val="en-US"/>
        </w:rPr>
        <w:t>ï</w:t>
      </w:r>
      <w:r>
        <w:rPr>
          <w:rFonts w:ascii="Times New Roman" w:hAnsi="Times New Roman"/>
          <w:sz w:val="24"/>
          <w:szCs w:val="24"/>
          <w:rtl w:val="0"/>
          <w:lang w:val="en-US"/>
        </w:rPr>
        <w:t>au datblygu addysg er mwyn gwella ansawdd ac effeithiolrwydd y system addysg. Mae'r sector addysg wedi gwynebu cryn newidiadau yn ddiweddar. Rhwng 2011 a 2013 roedd y cynnydd a gwnaethant yn y flynyddoedd blaenorol wedi dirywio. Roedd y cofrestrad gros blaenaf wedi gostwng o 92% i 83.5%, tra oedd y cyfradd cwblhad wedi gostwng o 62% i 59%. Roedd yna cynllun sector addysg 'interim' sef, PIRSEF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"http://www.globalpartnership.org/fr/content/plan-interimaire-du-secteur-de-leducation-2015-2016-mali"</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fr-FR"/>
        </w:rPr>
        <w:t>Programme</w:t>
      </w:r>
      <w:r>
        <w:rPr>
          <w:rStyle w:val="Hyperlink.0"/>
          <w:rFonts w:ascii="Times New Roman" w:hAnsi="Times New Roman" w:hint="default"/>
          <w:sz w:val="24"/>
          <w:szCs w:val="24"/>
          <w:rtl w:val="0"/>
        </w:rPr>
        <w:t> </w:t>
      </w:r>
      <w:r>
        <w:rPr>
          <w:rStyle w:val="Hyperlink.0"/>
          <w:rFonts w:ascii="Times New Roman" w:hAnsi="Times New Roman"/>
          <w:sz w:val="24"/>
          <w:szCs w:val="24"/>
          <w:rtl w:val="0"/>
        </w:rPr>
        <w:t>int</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fr-FR"/>
        </w:rPr>
        <w:t>rimaire de relance du secteur de l</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fr-FR"/>
        </w:rPr>
        <w:t>ducation et de la formation professionnelle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 roedd yn ymdrin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2015-2016 ac wedi cael ei ehangu tan ddiwedd y flwyddyn 2017. Roedd yn ffocysu ar wella ansawdd, mynediad a llywodraethu yn y sector addysg. Roedd y PIRSEF yn anelu at wella ansawdd dysgu ac addysgu drwy wella cymwysterau proffesiynnol i ddysgwyr, addasu cynygion hyfforddiant a hybu ymchwil gwyddonol. Hefyd roedd yn anleu at wella mynediad at addysg trwy ailsefydlu adeiladau, recriwtio athrawon a hybu addysg gynhwysol  ac yn olaf i atgyfnerthu y llywodraethu o addysg ac hyfforddiant galwedigaethol drwy ymlygu cymdeithasau yn rheolaeth ysgol, cefnogi'r monitro a system gwerthuso a chefnogi y darpariaeth o gynllun sector addysg deg blynedd. Mae llywodraeth Mali hefyd wedi addewid i ffocysu ar leihau gwahaniaethau cenedl, sefydlu mesurau lliniaru trychineb a gwella y gallu i ddarllen ac ysgrifennu yn addysg y blynyddoedd cynnar. Mae'r llywodraeth hefyd yng nghanol datblygu cynllun sector newydd gyda chefnogaeth o grantiau bach o GPE i allu cynnal dadansoddiad y sector. (</w:t>
      </w:r>
      <w:r>
        <w:rPr>
          <w:rFonts w:ascii="Times New Roman" w:hAnsi="Times New Roman"/>
          <w:sz w:val="24"/>
          <w:szCs w:val="24"/>
          <w:rtl w:val="0"/>
          <w:lang w:val="en-US"/>
        </w:rPr>
        <w:t>https://www.globalpartnership.org/country/mali</w:t>
      </w:r>
      <w:r>
        <w:rPr>
          <w:rFonts w:ascii="Times New Roman" w:hAnsi="Times New Roman"/>
          <w:sz w:val="24"/>
          <w:szCs w:val="24"/>
          <w:rtl w:val="0"/>
          <w:lang w:val="en-US"/>
        </w:rPr>
        <w:t xml:space="preserve">) Yn </w:t>
      </w:r>
      <w:r>
        <w:rPr>
          <w:rFonts w:ascii="Times New Roman" w:hAnsi="Times New Roman" w:hint="default"/>
          <w:sz w:val="24"/>
          <w:szCs w:val="24"/>
          <w:rtl w:val="0"/>
          <w:lang w:val="en-US"/>
        </w:rPr>
        <w:t>ô</w:t>
      </w:r>
      <w:r>
        <w:rPr>
          <w:rFonts w:ascii="Times New Roman" w:hAnsi="Times New Roman"/>
          <w:sz w:val="24"/>
          <w:szCs w:val="24"/>
          <w:rtl w:val="0"/>
          <w:lang w:val="en-US"/>
        </w:rPr>
        <w:t xml:space="preserve">l erthygl 29 o'r 'UNCRC' dylai addysg plentyn neu person ifanc helpu eu meddwl, eu corff a'u talentau i fod y gorau posib. Dylai eu haddysg hefyd adeiladu eu parch tuag at bobl eraill a'r byd o'u hamgylch, yn enwedig y dylent dysgu i barchu hawliau eu hun ac hawliau pobl eraill, i barchu eu rhyddid a rhyddid pobl eraill, i barchu eu rhieni ac i hefyd parchu hunaniaeth, iaith a gwerthoedd gwledydd eraill gan gynnwys eu gwlad nhw hefyd. Mae hyn yn pwysleisio'n cryf ar bwysigrwydd addysg. Ond yn anffodus mae rhwystrau dal yn bodoli. Mae gofal iechyd yn Mali hefyd wedi gwynebu heriau sydd yn deillio o gamfaethiad llidiog o'r poblogaeth, mae hefyd wedi dioddef o ddiffyg hylendid a diffyg mynediad at lanweithdra. Mae Mali wedi rhestru fel un o'r cenhedloedd mwyaf tlawd y byd gyda'r mwyafrif o iechyd gofal yn cael eu darparu drwy gymorth estron mewn dull corff datblygiadol rhyngwladol a grwpiau cenades estron. Tu allan i brif ddinas Mali, 'Bamako', mae cyflenwad meddygol yn fring iawn ac mae'r rhai sydd yn bodoli yn aml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 xml:space="preserve">diffyg cyflenwad perthnasol o gyffuriau yn ogystal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 xml:space="preserve">meddygon proffesiynnol i allu eu gweinyddu. Yn y 1990au roedd adroddiad bod yna cynlleied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 xml:space="preserve">phump meddyg i 100,000 o drigolion. Roedd y diffyg o wasanaethau o ofal iechyd yn dangos yn yr adroddiad yn 1999 </w:t>
      </w:r>
      <w:r>
        <w:rPr>
          <w:rFonts w:ascii="Times New Roman" w:hAnsi="Times New Roman" w:hint="default"/>
          <w:sz w:val="24"/>
          <w:szCs w:val="24"/>
          <w:rtl w:val="0"/>
          <w:lang w:val="en-US"/>
        </w:rPr>
        <w:t xml:space="preserve">â </w:t>
      </w:r>
      <w:r>
        <w:rPr>
          <w:rFonts w:ascii="Times New Roman" w:hAnsi="Times New Roman"/>
          <w:sz w:val="24"/>
          <w:szCs w:val="24"/>
          <w:rtl w:val="0"/>
          <w:lang w:val="en-US"/>
        </w:rPr>
        <w:t>gwnaeth dod ar draws 36% yn unig o bobl Mali oedd o fewn radiws o bump cilomedr o adnoddau gofal iechyd. (</w:t>
      </w:r>
      <w:r>
        <w:rPr>
          <w:rFonts w:ascii="Times New Roman" w:hAnsi="Times New Roman"/>
          <w:sz w:val="24"/>
          <w:szCs w:val="24"/>
          <w:rtl w:val="0"/>
          <w:lang w:val="en-US"/>
        </w:rPr>
        <w:t>https://www.internations.org/go/moving-to-mali/living</w:t>
      </w:r>
      <w:r>
        <w:rPr>
          <w:rFonts w:ascii="Times New Roman" w:hAnsi="Times New Roman"/>
          <w:sz w:val="24"/>
          <w:szCs w:val="24"/>
          <w:rtl w:val="0"/>
          <w:lang w:val="en-US"/>
        </w:rPr>
        <w:t>, 2019)</w:t>
      </w:r>
    </w:p>
    <w:p>
      <w:pPr>
        <w:pStyle w:val="Default"/>
        <w:bidi w:val="0"/>
        <w:spacing w:line="360" w:lineRule="auto"/>
        <w:ind w:left="0" w:right="0" w:firstLine="0"/>
        <w:jc w:val="left"/>
        <w:rPr>
          <w:rFonts w:ascii="Times New Roman" w:cs="Times New Roman" w:hAnsi="Times New Roman" w:eastAsia="Times New Roman"/>
          <w:color w:val="333333"/>
          <w:sz w:val="24"/>
          <w:szCs w:val="24"/>
          <w:shd w:val="clear" w:color="auto" w:fill="ffffff"/>
          <w:rtl w:val="0"/>
        </w:rPr>
      </w:pPr>
      <w:r>
        <w:rPr>
          <w:rFonts w:ascii="Times New Roman" w:hAnsi="Times New Roman"/>
          <w:color w:val="333333"/>
          <w:sz w:val="24"/>
          <w:szCs w:val="24"/>
          <w:shd w:val="clear" w:color="auto" w:fill="ffffff"/>
          <w:rtl w:val="0"/>
          <w:lang w:val="en-US"/>
        </w:rPr>
        <w:t xml:space="preserve">Yn amlwg mae derbyn addysg yn anodd iawn i'r mwyafrif o boblogaeth Mali. Mae prinder o ddwr a gofal iechyd a dyma'r anghenion sylfaenol er mwyn goroesi. Yn </w:t>
      </w:r>
      <w:r>
        <w:rPr>
          <w:rFonts w:ascii="Times New Roman" w:hAnsi="Times New Roman" w:hint="default"/>
          <w:color w:val="333333"/>
          <w:sz w:val="24"/>
          <w:szCs w:val="24"/>
          <w:shd w:val="clear" w:color="auto" w:fill="ffffff"/>
          <w:rtl w:val="0"/>
          <w:lang w:val="en-US"/>
        </w:rPr>
        <w:t>ô</w:t>
      </w:r>
      <w:r>
        <w:rPr>
          <w:rFonts w:ascii="Times New Roman" w:hAnsi="Times New Roman"/>
          <w:color w:val="333333"/>
          <w:sz w:val="24"/>
          <w:szCs w:val="24"/>
          <w:shd w:val="clear" w:color="auto" w:fill="ffffff"/>
          <w:rtl w:val="0"/>
          <w:lang w:val="en-US"/>
        </w:rPr>
        <w:t xml:space="preserve">l damcaniaeth Maslow, 'The hierarchy of needs' nid yw pobl Mali yn cyrraedd yr anghenion sylfaenol sydd angen arnynt er mwyn ennill y cymhelliant i allu derbyn addysg a chyrraedd eu potensial. Byddai cyrraedd eu potensial a chael dyfodol llwyddiannus felly yn amhosib i lawer o bobl Mali yn </w:t>
      </w:r>
      <w:r>
        <w:rPr>
          <w:rFonts w:ascii="Times New Roman" w:hAnsi="Times New Roman" w:hint="default"/>
          <w:color w:val="333333"/>
          <w:sz w:val="24"/>
          <w:szCs w:val="24"/>
          <w:shd w:val="clear" w:color="auto" w:fill="ffffff"/>
          <w:rtl w:val="0"/>
          <w:lang w:val="en-US"/>
        </w:rPr>
        <w:t>ô</w:t>
      </w:r>
      <w:r>
        <w:rPr>
          <w:rFonts w:ascii="Times New Roman" w:hAnsi="Times New Roman"/>
          <w:color w:val="333333"/>
          <w:sz w:val="24"/>
          <w:szCs w:val="24"/>
          <w:shd w:val="clear" w:color="auto" w:fill="ffffff"/>
          <w:rtl w:val="0"/>
          <w:lang w:val="en-US"/>
        </w:rPr>
        <w:t xml:space="preserve">l Maslow. Wrth gymharu y sefyllfa yma gyda phlant sydd yn derbyn addysg yng Nghymru, maent yn ddwy sefyllfa gwahanol iawn i'w gilydd. Mae plant ynh Nghymru yn cymryd addysg yn ganiatol, mae'n gyfreithlon iddynt i fynychu ysgol llawn amser o'r tymor ar </w:t>
      </w:r>
      <w:r>
        <w:rPr>
          <w:rFonts w:ascii="Times New Roman" w:hAnsi="Times New Roman" w:hint="default"/>
          <w:color w:val="333333"/>
          <w:sz w:val="24"/>
          <w:szCs w:val="24"/>
          <w:shd w:val="clear" w:color="auto" w:fill="ffffff"/>
          <w:rtl w:val="0"/>
          <w:lang w:val="en-US"/>
        </w:rPr>
        <w:t>ô</w:t>
      </w:r>
      <w:r>
        <w:rPr>
          <w:rFonts w:ascii="Times New Roman" w:hAnsi="Times New Roman"/>
          <w:color w:val="333333"/>
          <w:sz w:val="24"/>
          <w:szCs w:val="24"/>
          <w:shd w:val="clear" w:color="auto" w:fill="ffffff"/>
          <w:rtl w:val="0"/>
          <w:lang w:val="en-US"/>
        </w:rPr>
        <w:t xml:space="preserve">l iddynt droi'n tair mlwydd oed tan eu bod yn ddeunaw blwydd oed. Mae wedyn ganddynt y dewis i fynd ymlaen i addysg pellach, sef coleg. Mae'r mwayfrif ohonynt yn derbyn y gofal, dwr, to dros eu penau, gofal iechyd ac ati. Maent yn cymryd yr holl bethau yma yn ganiataol i gymharu gyda phlant Mali sydd ddim yn gallu dibynnu ar gael dwr yn rheolaidd. Mae llawer o blant yn Nghymru sydd yn gwrthod yfed dwr oherwydd mae well ganddynt i gael pop neu 'squash' dyna pa mor freintiedig mae'r Cymry i gymharu gyda phobl Mali. Yn </w:t>
      </w:r>
      <w:r>
        <w:rPr>
          <w:rFonts w:ascii="Times New Roman" w:hAnsi="Times New Roman" w:hint="default"/>
          <w:color w:val="333333"/>
          <w:sz w:val="24"/>
          <w:szCs w:val="24"/>
          <w:shd w:val="clear" w:color="auto" w:fill="ffffff"/>
          <w:rtl w:val="0"/>
          <w:lang w:val="en-US"/>
        </w:rPr>
        <w:t>ô</w:t>
      </w:r>
      <w:r>
        <w:rPr>
          <w:rFonts w:ascii="Times New Roman" w:hAnsi="Times New Roman"/>
          <w:color w:val="333333"/>
          <w:sz w:val="24"/>
          <w:szCs w:val="24"/>
          <w:shd w:val="clear" w:color="auto" w:fill="ffffff"/>
          <w:rtl w:val="0"/>
          <w:lang w:val="en-US"/>
        </w:rPr>
        <w:t>l (Llywodraeth Cymru Welsh Government WestLaw) o dan adran 14 o'r '</w:t>
      </w:r>
      <w:r>
        <w:rPr>
          <w:rStyle w:val="Hyperlink.1"/>
          <w:rFonts w:ascii="Times New Roman" w:cs="Times New Roman" w:hAnsi="Times New Roman" w:eastAsia="Times New Roman"/>
          <w:color w:val="077fb8"/>
          <w:sz w:val="24"/>
          <w:szCs w:val="24"/>
          <w:shd w:val="clear" w:color="auto" w:fill="ffffff"/>
          <w:rtl w:val="0"/>
        </w:rPr>
        <w:fldChar w:fldCharType="begin" w:fldLock="0"/>
      </w:r>
      <w:r>
        <w:rPr>
          <w:rStyle w:val="Hyperlink.1"/>
          <w:rFonts w:ascii="Times New Roman" w:cs="Times New Roman" w:hAnsi="Times New Roman" w:eastAsia="Times New Roman"/>
          <w:color w:val="077fb8"/>
          <w:sz w:val="24"/>
          <w:szCs w:val="24"/>
          <w:shd w:val="clear" w:color="auto" w:fill="ffffff"/>
          <w:rtl w:val="0"/>
        </w:rPr>
        <w:instrText xml:space="preserve"> HYPERLINK "http://www.legislation.gov.uk/ukpga/1996/56/contents"</w:instrText>
      </w:r>
      <w:r>
        <w:rPr>
          <w:rStyle w:val="Hyperlink.1"/>
          <w:rFonts w:ascii="Times New Roman" w:cs="Times New Roman" w:hAnsi="Times New Roman" w:eastAsia="Times New Roman"/>
          <w:color w:val="077fb8"/>
          <w:sz w:val="24"/>
          <w:szCs w:val="24"/>
          <w:shd w:val="clear" w:color="auto" w:fill="ffffff"/>
          <w:rtl w:val="0"/>
        </w:rPr>
        <w:fldChar w:fldCharType="separate" w:fldLock="0"/>
      </w:r>
      <w:r>
        <w:rPr>
          <w:rStyle w:val="Hyperlink.1"/>
          <w:rFonts w:ascii="Times New Roman" w:hAnsi="Times New Roman"/>
          <w:color w:val="077fb8"/>
          <w:sz w:val="24"/>
          <w:szCs w:val="24"/>
          <w:shd w:val="clear" w:color="auto" w:fill="ffffff"/>
          <w:rtl w:val="0"/>
          <w:lang w:val="en-US"/>
        </w:rPr>
        <w:t>Education Act 1996</w:t>
      </w:r>
      <w:r>
        <w:rPr>
          <w:rFonts w:ascii="Times New Roman" w:cs="Times New Roman" w:hAnsi="Times New Roman" w:eastAsia="Times New Roman"/>
          <w:color w:val="333333"/>
          <w:sz w:val="24"/>
          <w:szCs w:val="24"/>
          <w:shd w:val="clear" w:color="auto" w:fill="ffffff"/>
          <w:rtl w:val="0"/>
        </w:rPr>
        <w:fldChar w:fldCharType="end" w:fldLock="0"/>
      </w:r>
      <w:r>
        <w:rPr>
          <w:rFonts w:ascii="Times New Roman" w:hAnsi="Times New Roman"/>
          <w:color w:val="333333"/>
          <w:sz w:val="24"/>
          <w:szCs w:val="24"/>
          <w:shd w:val="clear" w:color="auto" w:fill="ffffff"/>
          <w:rtl w:val="0"/>
          <w:lang w:val="en-US"/>
        </w:rPr>
        <w:t xml:space="preserve">' </w:t>
      </w:r>
      <w:r>
        <w:rPr>
          <w:rFonts w:ascii="Times New Roman" w:hAnsi="Times New Roman"/>
          <w:color w:val="333333"/>
          <w:sz w:val="24"/>
          <w:szCs w:val="24"/>
          <w:shd w:val="clear" w:color="auto" w:fill="ffffff"/>
          <w:rtl w:val="0"/>
        </w:rPr>
        <w:t xml:space="preserve">(EA 1996) </w:t>
      </w:r>
      <w:r>
        <w:rPr>
          <w:rFonts w:ascii="Times New Roman" w:hAnsi="Times New Roman"/>
          <w:color w:val="333333"/>
          <w:sz w:val="24"/>
          <w:szCs w:val="24"/>
          <w:shd w:val="clear" w:color="auto" w:fill="ffffff"/>
          <w:rtl w:val="0"/>
          <w:lang w:val="en-US"/>
        </w:rPr>
        <w:t>mae'r awdurdod lleol gyda chyfrifoldeb i sicrhau bod yna ysgolion cynradd ac uwchradd digonol yn eu ardal i ddarparu disyblion gyda'r cyfle o addysg addas iddynt. Ond mae adeiladu ysgolion yn gostus iawn. Mae hefyd angen adeiladwyr gwmwys i'w gwneud. Mae addysg addas wedi ei ddiffinio yn adran 14 fel un sydd yn cynnig hyfforddiant a chyfarwyddyd. Cafodd addysg addas ei ddiffinio yn adran 14 fel un y byddai yn cynnig hyfforddiant a chyfarwyddyd y byddai efallai yn ddelfrydol o fewn golwg gwahanol oedranau y disgyblion, eu gallu, eu dawn a'r gwahanol cyfnodau y byddai'n disgwyliedig iddynt i aros o fewn addysg. Gweler hefyd yn erthygl 29 o'r 'UNCRC' y datgan bod addysg i fod i baratoi plant a phobl ifanc ar gyfer bywyd gyfrifol o fewn cymdeithas sydd yn rhydd. Dylai eu dysgu sut i fyw mewn ffordd gyda ddealltwriaeth ac yn oddefgar sydd yn di-drais ac yn parchu'r amgylchedd. Ond eto, mae'n gostus i hyfforddi pobl yn addas. Felly mae'n amlwg er yr holl polis</w:t>
      </w:r>
      <w:r>
        <w:rPr>
          <w:rFonts w:ascii="Times New Roman" w:hAnsi="Times New Roman" w:hint="default"/>
          <w:color w:val="333333"/>
          <w:sz w:val="24"/>
          <w:szCs w:val="24"/>
          <w:shd w:val="clear" w:color="auto" w:fill="ffffff"/>
          <w:rtl w:val="0"/>
          <w:lang w:val="en-US"/>
        </w:rPr>
        <w:t>ï</w:t>
      </w:r>
      <w:r>
        <w:rPr>
          <w:rFonts w:ascii="Times New Roman" w:hAnsi="Times New Roman"/>
          <w:color w:val="333333"/>
          <w:sz w:val="24"/>
          <w:szCs w:val="24"/>
          <w:shd w:val="clear" w:color="auto" w:fill="ffffff"/>
          <w:rtl w:val="0"/>
          <w:lang w:val="en-US"/>
        </w:rPr>
        <w:t xml:space="preserve">au yma sydd yn datgan bod gan bob plentyn hawl i addysg a'r pwysigrwydd o gael addysg safonol mae yna dal sefyllfaeodd yn gwledydd sydd yn gwneud hi'n hynnod o annodd i ddarparu'r addysg safonol yma. </w:t>
      </w:r>
    </w:p>
    <w:p>
      <w:pPr>
        <w:pStyle w:val="Default"/>
        <w:bidi w:val="0"/>
        <w:spacing w:line="360" w:lineRule="auto"/>
        <w:ind w:left="0" w:right="0" w:firstLine="0"/>
        <w:jc w:val="left"/>
        <w:rPr>
          <w:rStyle w:val="None"/>
          <w:rFonts w:ascii="Times New Roman" w:cs="Times New Roman" w:hAnsi="Times New Roman" w:eastAsia="Times New Roman"/>
          <w:b w:val="1"/>
          <w:bCs w:val="1"/>
          <w:color w:val="333333"/>
          <w:sz w:val="24"/>
          <w:szCs w:val="24"/>
          <w:shd w:val="clear" w:color="auto" w:fill="ffffff"/>
          <w:rtl w:val="0"/>
        </w:rPr>
      </w:pPr>
      <w:r>
        <w:rPr>
          <w:rFonts w:ascii="Times New Roman" w:hAnsi="Times New Roman"/>
          <w:color w:val="333333"/>
          <w:sz w:val="24"/>
          <w:szCs w:val="24"/>
          <w:shd w:val="clear" w:color="auto" w:fill="ffffff"/>
          <w:rtl w:val="0"/>
          <w:lang w:val="en-US"/>
        </w:rPr>
        <w:t xml:space="preserve">Gweler wrth yr holl wybodaeth yma bod addysg byd-eang yn syniad sydd yn anodd i'w weithredu. Mae addysg yn gostus ac nid yw sefyllfa arianol gwledydd i gyd yn debyg. Yn ogystal </w:t>
      </w:r>
      <w:r>
        <w:rPr>
          <w:rFonts w:ascii="Times New Roman" w:hAnsi="Times New Roman" w:hint="default"/>
          <w:color w:val="333333"/>
          <w:sz w:val="24"/>
          <w:szCs w:val="24"/>
          <w:shd w:val="clear" w:color="auto" w:fill="ffffff"/>
          <w:rtl w:val="0"/>
          <w:lang w:val="en-US"/>
        </w:rPr>
        <w:t>â</w:t>
      </w:r>
      <w:r>
        <w:rPr>
          <w:rFonts w:ascii="Times New Roman" w:hAnsi="Times New Roman"/>
          <w:color w:val="333333"/>
          <w:sz w:val="24"/>
          <w:szCs w:val="24"/>
          <w:shd w:val="clear" w:color="auto" w:fill="ffffff"/>
          <w:rtl w:val="0"/>
          <w:lang w:val="en-US"/>
        </w:rPr>
        <w:t>'r sefyllfa arian nid yw diwylliant a chredoau gwledydd yn debyg chwaith. Gweler yng Nghymru a'r Deyrnas Unedig bod llawer o bolis</w:t>
      </w:r>
      <w:r>
        <w:rPr>
          <w:rFonts w:ascii="Times New Roman" w:hAnsi="Times New Roman" w:hint="default"/>
          <w:color w:val="333333"/>
          <w:sz w:val="24"/>
          <w:szCs w:val="24"/>
          <w:shd w:val="clear" w:color="auto" w:fill="ffffff"/>
          <w:rtl w:val="0"/>
          <w:lang w:val="en-US"/>
        </w:rPr>
        <w:t>ï</w:t>
      </w:r>
      <w:r>
        <w:rPr>
          <w:rFonts w:ascii="Times New Roman" w:hAnsi="Times New Roman"/>
          <w:color w:val="333333"/>
          <w:sz w:val="24"/>
          <w:szCs w:val="24"/>
          <w:shd w:val="clear" w:color="auto" w:fill="ffffff"/>
          <w:rtl w:val="0"/>
          <w:lang w:val="en-US"/>
        </w:rPr>
        <w:t>au yn bodoli er mwyn sicrhau addysg o safon da i bawb. Felly mae addysg yn un o'r pethau pwysicaf iddynt. Maent yn ystyried addysg yn rhywbeth sydd yn hanfodol ar gyfer dyfodol llwyddiannus ac hapus. Ond ar gyfer dyfodol o gwbl mae'n rhaid i bobl Mali cael yr anghenion sylfaenol yn gyntaf. I drigolion gwledydd fel Mali mae gallu cael digon o ddwr yn rhywbeth sydd yn bwysicach iddynt. Yng Nghymru mae dwr gl</w:t>
      </w:r>
      <w:r>
        <w:rPr>
          <w:rFonts w:ascii="Times New Roman" w:hAnsi="Times New Roman" w:hint="default"/>
          <w:color w:val="333333"/>
          <w:sz w:val="24"/>
          <w:szCs w:val="24"/>
          <w:shd w:val="clear" w:color="auto" w:fill="ffffff"/>
          <w:rtl w:val="0"/>
          <w:lang w:val="en-US"/>
        </w:rPr>
        <w:t>â</w:t>
      </w:r>
      <w:r>
        <w:rPr>
          <w:rFonts w:ascii="Times New Roman" w:hAnsi="Times New Roman"/>
          <w:color w:val="333333"/>
          <w:sz w:val="24"/>
          <w:szCs w:val="24"/>
          <w:shd w:val="clear" w:color="auto" w:fill="ffffff"/>
          <w:rtl w:val="0"/>
          <w:lang w:val="en-US"/>
        </w:rPr>
        <w:t xml:space="preserve">n ar gael i bawb, yn eu cartrefi ac yn eu hysgolion trwy'r dydd a phob dydd. Nid yw unrhyw blentyn yn gallu gofidio am gael addysg pan nad yw eu anghenion sylfaenol yn cael eu cwrdd. Maent hefyd yn gorfod meddwl am gael cyflenwadau meddygol cyn addysg. Dyma'r pethau mae pobl y Deyrnas Unedig a Chymru yn cael yn ddyddiol ac yn </w:t>
      </w:r>
      <w:r>
        <w:rPr>
          <w:rFonts w:ascii="Times New Roman" w:hAnsi="Times New Roman" w:hint="default"/>
          <w:color w:val="333333"/>
          <w:sz w:val="24"/>
          <w:szCs w:val="24"/>
          <w:shd w:val="clear" w:color="auto" w:fill="ffffff"/>
          <w:rtl w:val="0"/>
          <w:lang w:val="en-US"/>
        </w:rPr>
        <w:t>ô</w:t>
      </w:r>
      <w:r>
        <w:rPr>
          <w:rFonts w:ascii="Times New Roman" w:hAnsi="Times New Roman"/>
          <w:color w:val="333333"/>
          <w:sz w:val="24"/>
          <w:szCs w:val="24"/>
          <w:shd w:val="clear" w:color="auto" w:fill="ffffff"/>
          <w:rtl w:val="0"/>
          <w:lang w:val="en-US"/>
        </w:rPr>
        <w:t>l yr angen. O ganlyniad i hynny maent yn eu cymryd yn gyniataol. Dylai'r adnoddau a chyflenwadau fel dwr gl</w:t>
      </w:r>
      <w:r>
        <w:rPr>
          <w:rFonts w:ascii="Times New Roman" w:hAnsi="Times New Roman" w:hint="default"/>
          <w:color w:val="333333"/>
          <w:sz w:val="24"/>
          <w:szCs w:val="24"/>
          <w:shd w:val="clear" w:color="auto" w:fill="ffffff"/>
          <w:rtl w:val="0"/>
          <w:lang w:val="en-US"/>
        </w:rPr>
        <w:t>â</w:t>
      </w:r>
      <w:r>
        <w:rPr>
          <w:rFonts w:ascii="Times New Roman" w:hAnsi="Times New Roman"/>
          <w:color w:val="333333"/>
          <w:sz w:val="24"/>
          <w:szCs w:val="24"/>
          <w:shd w:val="clear" w:color="auto" w:fill="ffffff"/>
          <w:rtl w:val="0"/>
          <w:lang w:val="en-US"/>
        </w:rPr>
        <w:t>n, cyffuriau meddygol, meddygon eu hun , ac ati fod yn hywbeth gellir pawb eu cymryd yn gyniataol. Gan mai dyma'r pethau sydd yn anghenreidiol ar gyfer para'n fyw. Does dim pwynt wedi gallu derbyn addysg pan nad ydynt yn mynd i allau goroesi i fyw hyd at dair ar ddeg oleua. Heb os nac oni bai mae addysg yn rhywbeth bwysig ac mae'r pobl sydd yn ei cael yn anrhydeddus. Ond wrth feddwl bod pobl yn Mali yn anrhydeddus os maent yn cael digon o ddwr a bwyd yn gorfodi i edrych ar y sefyllfa o safbwynt hollol wahanol. Pan mae addysg yn bosib mae polis</w:t>
      </w:r>
      <w:r>
        <w:rPr>
          <w:rFonts w:ascii="Times New Roman" w:hAnsi="Times New Roman" w:hint="default"/>
          <w:color w:val="333333"/>
          <w:sz w:val="24"/>
          <w:szCs w:val="24"/>
          <w:shd w:val="clear" w:color="auto" w:fill="ffffff"/>
          <w:rtl w:val="0"/>
          <w:lang w:val="en-US"/>
        </w:rPr>
        <w:t>ï</w:t>
      </w:r>
      <w:r>
        <w:rPr>
          <w:rFonts w:ascii="Times New Roman" w:hAnsi="Times New Roman"/>
          <w:color w:val="333333"/>
          <w:sz w:val="24"/>
          <w:szCs w:val="24"/>
          <w:shd w:val="clear" w:color="auto" w:fill="ffffff"/>
          <w:rtl w:val="0"/>
          <w:lang w:val="en-US"/>
        </w:rPr>
        <w:t xml:space="preserve">au fel yr 'UNCRC', 'Every child has the right to an education', 'The education Act', 'Every child matters', ac yn y blaen yn ddeddfau sydd yn bendant yn gallu gwella bywydau plant a'u diogleu rhag fywyd drist ac anhapus. Ond eto, mae angen cyrraedd yr addysg yn gyntaf. Gellir Mali hala llawer fawr iawn o arian yn creu ysgolion, hyfforddi staff, ac ati ac fe fyddai unigolion yno yn hapus iawn am hyn. Ond mae'n rhaid ystyried yr unigolion y byddai'n gwylio'r ysgolion yma yn codi wrth iddynt farw o ddiffyg maith.  </w:t>
      </w:r>
    </w:p>
    <w:p>
      <w:pPr>
        <w:pStyle w:val="Default"/>
        <w:bidi w:val="0"/>
        <w:spacing w:line="360" w:lineRule="auto"/>
        <w:ind w:left="0" w:right="0" w:firstLine="0"/>
        <w:jc w:val="left"/>
        <w:rPr>
          <w:rStyle w:val="None"/>
          <w:rFonts w:ascii="Times New Roman" w:cs="Times New Roman" w:hAnsi="Times New Roman" w:eastAsia="Times New Roman"/>
          <w:b w:val="1"/>
          <w:bCs w:val="1"/>
          <w:color w:val="212121"/>
          <w:sz w:val="28"/>
          <w:szCs w:val="28"/>
          <w:shd w:val="clear" w:color="auto" w:fill="ffffff"/>
          <w:rtl w:val="0"/>
        </w:rPr>
      </w:pPr>
    </w:p>
    <w:p>
      <w:pPr>
        <w:pStyle w:val="Default"/>
        <w:bidi w:val="0"/>
        <w:ind w:left="0" w:right="0" w:firstLine="0"/>
        <w:jc w:val="left"/>
        <w:rPr>
          <w:rStyle w:val="None"/>
          <w:b w:val="1"/>
          <w:bCs w:val="1"/>
          <w:sz w:val="28"/>
          <w:szCs w:val="28"/>
          <w:shd w:val="clear" w:color="auto" w:fill="ffffff"/>
          <w:rtl w:val="0"/>
        </w:rPr>
      </w:pPr>
    </w:p>
    <w:p>
      <w:pPr>
        <w:pStyle w:val="Default"/>
        <w:bidi w:val="0"/>
        <w:spacing w:line="360" w:lineRule="auto"/>
        <w:ind w:left="0" w:right="0" w:firstLine="0"/>
        <w:jc w:val="left"/>
        <w:rPr>
          <w:rStyle w:val="None"/>
          <w:rFonts w:ascii="Times New Roman" w:cs="Times New Roman" w:hAnsi="Times New Roman" w:eastAsia="Times New Roman"/>
          <w:b w:val="1"/>
          <w:bCs w:val="1"/>
          <w:color w:val="212121"/>
          <w:sz w:val="28"/>
          <w:szCs w:val="28"/>
          <w:shd w:val="clear" w:color="auto" w:fill="ffffff"/>
          <w:rtl w:val="0"/>
        </w:rPr>
      </w:pPr>
    </w:p>
    <w:p>
      <w:pPr>
        <w:pStyle w:val="Default"/>
        <w:bidi w:val="0"/>
        <w:spacing w:line="360" w:lineRule="auto"/>
        <w:ind w:left="0" w:right="0" w:firstLine="0"/>
        <w:jc w:val="left"/>
        <w:rPr>
          <w:rStyle w:val="None"/>
          <w:rFonts w:ascii="Times New Roman" w:cs="Times New Roman" w:hAnsi="Times New Roman" w:eastAsia="Times New Roman"/>
          <w:b w:val="1"/>
          <w:bCs w:val="1"/>
          <w:color w:val="212121"/>
          <w:sz w:val="28"/>
          <w:szCs w:val="28"/>
          <w:shd w:val="clear" w:color="auto" w:fill="ffffff"/>
          <w:rtl w:val="0"/>
        </w:rPr>
      </w:pPr>
    </w:p>
    <w:p>
      <w:pPr>
        <w:pStyle w:val="Default"/>
        <w:bidi w:val="0"/>
        <w:spacing w:line="360" w:lineRule="auto"/>
        <w:ind w:left="0" w:right="0" w:firstLine="0"/>
        <w:jc w:val="left"/>
        <w:rPr>
          <w:rStyle w:val="None"/>
          <w:rFonts w:ascii="Times New Roman" w:cs="Times New Roman" w:hAnsi="Times New Roman" w:eastAsia="Times New Roman"/>
          <w:b w:val="1"/>
          <w:bCs w:val="1"/>
          <w:color w:val="212121"/>
          <w:sz w:val="28"/>
          <w:szCs w:val="28"/>
          <w:shd w:val="clear" w:color="auto" w:fill="ffffff"/>
          <w:rtl w:val="0"/>
        </w:rPr>
      </w:pPr>
    </w:p>
    <w:p>
      <w:pPr>
        <w:pStyle w:val="Default"/>
        <w:bidi w:val="0"/>
        <w:spacing w:line="360" w:lineRule="auto"/>
        <w:ind w:left="0" w:right="0" w:firstLine="0"/>
        <w:jc w:val="left"/>
        <w:rPr>
          <w:rStyle w:val="None"/>
          <w:rFonts w:ascii="Times New Roman" w:cs="Times New Roman" w:hAnsi="Times New Roman" w:eastAsia="Times New Roman"/>
          <w:b w:val="1"/>
          <w:bCs w:val="1"/>
          <w:color w:val="212121"/>
          <w:sz w:val="28"/>
          <w:szCs w:val="28"/>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color w:val="333333"/>
          <w:sz w:val="24"/>
          <w:szCs w:val="24"/>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Arial" w:cs="Arial" w:hAnsi="Arial" w:eastAsia="Arial"/>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Style w:val="None"/>
          <w:rFonts w:ascii="Times New Roman" w:cs="Times New Roman" w:hAnsi="Times New Roman" w:eastAsia="Times New Roman"/>
          <w:b w:val="1"/>
          <w:bCs w:val="1"/>
          <w:color w:val="1d1d1d"/>
          <w:sz w:val="28"/>
          <w:szCs w:val="28"/>
          <w:u w:val="single" w:color="1d1d1d"/>
          <w:shd w:val="clear" w:color="auto" w:fill="ffffff"/>
          <w:rtl w:val="0"/>
        </w:rPr>
      </w:pPr>
    </w:p>
    <w:p>
      <w:pPr>
        <w:pStyle w:val="Default"/>
        <w:bidi w:val="0"/>
        <w:ind w:left="0" w:right="0" w:firstLine="0"/>
        <w:jc w:val="left"/>
        <w:rPr>
          <w:rFonts w:ascii="Times New Roman" w:cs="Times New Roman" w:hAnsi="Times New Roman" w:eastAsia="Times New Roman"/>
          <w:b w:val="1"/>
          <w:bCs w:val="1"/>
          <w:color w:val="1d1d1d"/>
          <w:sz w:val="28"/>
          <w:szCs w:val="28"/>
          <w:u w:val="single" w:color="1d1d1d"/>
          <w:shd w:val="clear" w:color="auto" w:fill="ffffff"/>
          <w:rtl w:val="0"/>
        </w:rPr>
      </w:pPr>
      <w:r>
        <w:rPr>
          <w:rFonts w:ascii="Times New Roman" w:hAnsi="Times New Roman"/>
          <w:b w:val="1"/>
          <w:bCs w:val="1"/>
          <w:color w:val="1d1d1d"/>
          <w:sz w:val="28"/>
          <w:szCs w:val="28"/>
          <w:u w:val="single" w:color="1d1d1d"/>
          <w:shd w:val="clear" w:color="auto" w:fill="ffffff"/>
          <w:rtl w:val="0"/>
          <w:lang w:val="en-US"/>
        </w:rPr>
        <w:t>Cyfeirnodau</w:t>
      </w:r>
    </w:p>
    <w:p>
      <w:pPr>
        <w:pStyle w:val="Default"/>
        <w:bidi w:val="0"/>
        <w:ind w:left="0" w:right="0" w:firstLine="0"/>
        <w:jc w:val="left"/>
        <w:rPr>
          <w:rFonts w:ascii="Times New Roman" w:cs="Times New Roman" w:hAnsi="Times New Roman" w:eastAsia="Times New Roman"/>
          <w:color w:val="1d1d1d"/>
          <w:sz w:val="28"/>
          <w:szCs w:val="28"/>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8"/>
          <w:szCs w:val="28"/>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https://www.vocabulary.com/dictionary/nomadic</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https://www.globalpartnership.org/country/mali</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https://www.internations.org/go/moving-to-mali/living</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- 4/4/2019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https://law.gov.wales/publicservices/education/school-and-other-education-for-children/?lang=en#/publicservices/education/school-and-other-education-for-children/?tab=overview&amp;lang=en</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https://www.cypcs.org.uk/rights/uncrcarticles</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- 19/4/2019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https://www.unicef.org.uk/what-we-do/un-convention-child-rights/</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- 19/4/2019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https://education.findlaw.com/education-options/public-school.html</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- 23/4/2019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https://learning.gov.wales/docs/learningwales/publications/131016-access-to-education-for-children-with-medical-needs-en.pdf</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- 23/4/2019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https://gov.wales/announcements</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https://www.childcomwales.org.uk/wp-content/uploads/2018/10/ExecutiveSummary_ENG.pdf</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- 23/4/2019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https://statswales.gov.wales/Error/NotFound</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http://www.floridahealth.gov/AlternateSites/CMS-Kids/providers/early_steps/training/documents/bronfenbrenners_ecological.pdf</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rPr>
        <w:t>https://psycnet.apa.org/record/1992-98662-005</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- 1/4/2019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https://www.psychologynoteshq.com/bronfenbrenner-ecological-theory/</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https://www.simplypsychology.org/operant-conditioning.html</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https://www.hrzone.com/hr-glossary/what-are-motivational-theories</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https://www.psychologynoteshq.com/vygotsky-theory/</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https://www.ukpopulation.org/wales-population/</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- 4/4/2019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rPr>
        <w:t>https://plan-international.org/mali</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https://plan-uk.org/?utm_medium=PPC&amp;utm_source=Brand%20&amp;utm_campaign=Sponsorship_FY19&amp;utm_term=Homepage&amp;gclid=EAIaIQobChMI1qzA253k4QIVY7XtCh1NUA8nEAAYASAAEgLfMfD_BwE</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- 22/4/2019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de-DE"/>
        </w:rPr>
        <w:t>http://www.achpr.org/instruments/child/</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- 23/4/2019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http://web.mit.edu/urbanupgrading/upgrading/case-examples/overview-africa/country-assessments/reports/mali-report.html</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Accessed - 23/4/2019</w:t>
      </w: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p>
    <w:p>
      <w:pPr>
        <w:pStyle w:val="Default"/>
        <w:bidi w:val="0"/>
        <w:ind w:left="0" w:right="0" w:firstLine="0"/>
        <w:jc w:val="left"/>
        <w:rPr>
          <w:rFonts w:ascii="Times New Roman" w:cs="Times New Roman" w:hAnsi="Times New Roman" w:eastAsia="Times New Roman"/>
          <w:color w:val="1d1d1d"/>
          <w:sz w:val="24"/>
          <w:szCs w:val="24"/>
          <w:u w:color="1d1d1d"/>
          <w:shd w:val="clear" w:color="auto" w:fill="ffffff"/>
          <w:rtl w:val="0"/>
        </w:rPr>
      </w:pPr>
      <w:r>
        <w:rPr>
          <w:rFonts w:ascii="Times New Roman" w:hAnsi="Times New Roman"/>
          <w:color w:val="1d1d1d"/>
          <w:sz w:val="24"/>
          <w:szCs w:val="24"/>
          <w:u w:color="1d1d1d"/>
          <w:shd w:val="clear" w:color="auto" w:fill="ffffff"/>
          <w:rtl w:val="0"/>
          <w:lang w:val="en-US"/>
        </w:rPr>
        <w:t>http://discovery.ucl.ac.uk/1492723/1/DERC_ResearchPaper11-TheTheoryAndPracticeOfGlobalLearning%5B2%5D.pdf</w:t>
      </w:r>
    </w:p>
    <w:p>
      <w:pPr>
        <w:pStyle w:val="Default"/>
        <w:bidi w:val="0"/>
        <w:ind w:left="0" w:right="0" w:firstLine="0"/>
        <w:jc w:val="left"/>
        <w:rPr>
          <w:rtl w:val="0"/>
        </w:rPr>
      </w:pPr>
      <w:r>
        <w:rPr>
          <w:rFonts w:ascii="Times New Roman" w:hAnsi="Times New Roman"/>
          <w:color w:val="1d1d1d"/>
          <w:sz w:val="24"/>
          <w:szCs w:val="24"/>
          <w:u w:color="1d1d1d"/>
          <w:shd w:val="clear" w:color="auto" w:fill="ffffff"/>
          <w:rtl w:val="0"/>
          <w:lang w:val="en-US"/>
        </w:rPr>
        <w:t>Accessed - 23/4/2019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Cymraeg" w:val="‘“(〔[{〈《「『【⦅〘〖«〝︵︷︹︻︽︿﹁﹃﹇﹙﹛﹝｢"/>
  <w:noLineBreaksBefore w:lang="Cymraeg"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None">
    <w:name w:val="None"/>
  </w:style>
  <w:style w:type="character" w:styleId="Hyperlink.0">
    <w:name w:val="Hyperlink.0"/>
    <w:basedOn w:val="None"/>
    <w:next w:val="Hyperlink.0"/>
    <w:rPr>
      <w:color w:val="127ab8"/>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1">
    <w:name w:val="Hyperlink.1"/>
    <w:basedOn w:val="None"/>
    <w:next w:val="Hyperlink.1"/>
    <w:rPr>
      <w:color w:val="077fb8"/>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