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42487E" wp14:paraId="194345E1" wp14:textId="00E1F27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42487E" w:rsidR="093F10D4">
        <w:rPr>
          <w:rFonts w:ascii="Times New Roman" w:hAnsi="Times New Roman" w:eastAsia="Times New Roman" w:cs="Times New Roman"/>
          <w:b w:val="1"/>
          <w:bCs w:val="1"/>
        </w:rPr>
        <w:t xml:space="preserve"> </w:t>
      </w:r>
      <w:r w:rsidRPr="5942487E" w:rsidR="22B26E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942487E" wp14:paraId="2E7FE640" wp14:textId="2AB0307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942487E" wp14:paraId="43DAFA2D" wp14:textId="19B2977C">
      <w:pPr>
        <w:spacing w:after="0" w:afterAutospacing="off"/>
        <w:rPr>
          <w:rFonts w:ascii="Times New Roman" w:hAnsi="Times New Roman" w:eastAsia="Times New Roman" w:cs="Times New Roman"/>
          <w:b w:val="1"/>
          <w:bCs w:val="1"/>
        </w:rPr>
      </w:pPr>
    </w:p>
    <w:p xmlns:wp14="http://schemas.microsoft.com/office/word/2010/wordml" w:rsidP="5942487E" wp14:paraId="642CEB29" wp14:textId="3EC6A7BD">
      <w:pPr>
        <w:spacing w:after="0" w:afterAutospacing="off"/>
        <w:rPr>
          <w:rFonts w:ascii="Times New Roman" w:hAnsi="Times New Roman" w:eastAsia="Times New Roman" w:cs="Times New Roman"/>
          <w:b w:val="1"/>
          <w:bCs w:val="1"/>
        </w:rPr>
      </w:pPr>
    </w:p>
    <w:p xmlns:wp14="http://schemas.microsoft.com/office/word/2010/wordml" w:rsidP="5942487E" wp14:paraId="3D0315DD" wp14:textId="2767883E">
      <w:pPr>
        <w:spacing w:after="0" w:afterAutospacing="off"/>
        <w:rPr>
          <w:rFonts w:ascii="Times New Roman" w:hAnsi="Times New Roman" w:eastAsia="Times New Roman" w:cs="Times New Roman"/>
          <w:b w:val="1"/>
          <w:bCs w:val="1"/>
        </w:rPr>
      </w:pPr>
    </w:p>
    <w:p xmlns:wp14="http://schemas.microsoft.com/office/word/2010/wordml" w:rsidP="5942487E" wp14:paraId="1F176D8D" wp14:textId="56717998">
      <w:pPr>
        <w:spacing w:after="0" w:afterAutospacing="off"/>
        <w:rPr>
          <w:rFonts w:ascii="Times New Roman" w:hAnsi="Times New Roman" w:eastAsia="Times New Roman" w:cs="Times New Roman"/>
          <w:b w:val="1"/>
          <w:bCs w:val="1"/>
        </w:rPr>
      </w:pPr>
    </w:p>
    <w:p xmlns:wp14="http://schemas.microsoft.com/office/word/2010/wordml" w:rsidP="5942487E" wp14:paraId="446D4706" wp14:textId="1CED3C9A">
      <w:pPr>
        <w:spacing w:after="0" w:afterAutospacing="off"/>
        <w:rPr>
          <w:rFonts w:ascii="Times New Roman" w:hAnsi="Times New Roman" w:eastAsia="Times New Roman" w:cs="Times New Roman"/>
          <w:b w:val="1"/>
          <w:bCs w:val="1"/>
        </w:rPr>
      </w:pPr>
    </w:p>
    <w:p xmlns:wp14="http://schemas.microsoft.com/office/word/2010/wordml" w:rsidP="5942487E" wp14:paraId="3FB08D3C" wp14:textId="5E17713F">
      <w:pPr>
        <w:spacing w:after="0" w:afterAutospacing="off"/>
        <w:rPr>
          <w:rFonts w:ascii="Times New Roman" w:hAnsi="Times New Roman" w:eastAsia="Times New Roman" w:cs="Times New Roman"/>
          <w:b w:val="1"/>
          <w:bCs w:val="1"/>
        </w:rPr>
      </w:pPr>
    </w:p>
    <w:p xmlns:wp14="http://schemas.microsoft.com/office/word/2010/wordml" w:rsidP="5942487E" wp14:paraId="46BA7C8E" wp14:textId="257FD725">
      <w:pPr>
        <w:spacing w:after="0" w:afterAutospacing="off"/>
        <w:rPr>
          <w:rFonts w:ascii="Times New Roman" w:hAnsi="Times New Roman" w:eastAsia="Times New Roman" w:cs="Times New Roman"/>
          <w:b w:val="1"/>
          <w:bCs w:val="1"/>
        </w:rPr>
      </w:pPr>
    </w:p>
    <w:p xmlns:wp14="http://schemas.microsoft.com/office/word/2010/wordml" w:rsidP="5942487E" wp14:paraId="666EBE07" wp14:textId="579F9CCD">
      <w:pPr>
        <w:spacing w:after="0" w:afterAutospacing="off"/>
        <w:rPr>
          <w:rFonts w:ascii="Times New Roman" w:hAnsi="Times New Roman" w:eastAsia="Times New Roman" w:cs="Times New Roman"/>
          <w:b w:val="1"/>
          <w:bCs w:val="1"/>
        </w:rPr>
      </w:pPr>
    </w:p>
    <w:p xmlns:wp14="http://schemas.microsoft.com/office/word/2010/wordml" w:rsidP="5942487E" wp14:paraId="1B0AF1B4" wp14:textId="22B71197">
      <w:pPr>
        <w:spacing w:after="0" w:afterAutospacing="off"/>
        <w:rPr>
          <w:rFonts w:ascii="Times New Roman" w:hAnsi="Times New Roman" w:eastAsia="Times New Roman" w:cs="Times New Roman"/>
          <w:b w:val="1"/>
          <w:bCs w:val="1"/>
        </w:rPr>
      </w:pPr>
    </w:p>
    <w:p xmlns:wp14="http://schemas.microsoft.com/office/word/2010/wordml" w:rsidP="5942487E" wp14:paraId="26B96893" wp14:textId="2D78C441">
      <w:pPr>
        <w:spacing w:after="0" w:afterAutospacing="off"/>
        <w:rPr>
          <w:rFonts w:ascii="Times New Roman" w:hAnsi="Times New Roman" w:eastAsia="Times New Roman" w:cs="Times New Roman"/>
          <w:b w:val="1"/>
          <w:bCs w:val="1"/>
        </w:rPr>
      </w:pPr>
    </w:p>
    <w:p xmlns:wp14="http://schemas.microsoft.com/office/word/2010/wordml" w:rsidP="5942487E" wp14:paraId="7A8021B1" wp14:textId="268C6912">
      <w:pPr>
        <w:spacing w:after="0" w:afterAutospacing="off"/>
        <w:rPr>
          <w:rFonts w:ascii="Times New Roman" w:hAnsi="Times New Roman" w:eastAsia="Times New Roman" w:cs="Times New Roman"/>
          <w:b w:val="1"/>
          <w:bCs w:val="1"/>
        </w:rPr>
      </w:pPr>
    </w:p>
    <w:p xmlns:wp14="http://schemas.microsoft.com/office/word/2010/wordml" w:rsidP="5942487E" wp14:paraId="586CE530" wp14:textId="65F03DEB">
      <w:pPr>
        <w:spacing w:after="0" w:afterAutospacing="off"/>
        <w:rPr>
          <w:rFonts w:ascii="Times New Roman" w:hAnsi="Times New Roman" w:eastAsia="Times New Roman" w:cs="Times New Roman"/>
          <w:b w:val="1"/>
          <w:bCs w:val="1"/>
        </w:rPr>
      </w:pPr>
    </w:p>
    <w:p xmlns:wp14="http://schemas.microsoft.com/office/word/2010/wordml" w:rsidP="5942487E" wp14:paraId="4C995EBE" wp14:textId="3DA73708">
      <w:pPr>
        <w:spacing w:after="0" w:afterAutospacing="off"/>
        <w:rPr>
          <w:rFonts w:ascii="Times New Roman" w:hAnsi="Times New Roman" w:eastAsia="Times New Roman" w:cs="Times New Roman"/>
          <w:b w:val="1"/>
          <w:bCs w:val="1"/>
        </w:rPr>
      </w:pPr>
    </w:p>
    <w:p xmlns:wp14="http://schemas.microsoft.com/office/word/2010/wordml" w:rsidP="5942487E" wp14:paraId="7BE295E7" wp14:textId="141E9403">
      <w:pPr>
        <w:spacing w:after="0" w:afterAutospacing="off"/>
        <w:rPr>
          <w:rFonts w:ascii="Times New Roman" w:hAnsi="Times New Roman" w:eastAsia="Times New Roman" w:cs="Times New Roman"/>
          <w:b w:val="1"/>
          <w:bCs w:val="1"/>
        </w:rPr>
      </w:pPr>
    </w:p>
    <w:p xmlns:wp14="http://schemas.microsoft.com/office/word/2010/wordml" w:rsidP="5942487E" wp14:paraId="78B1E9F3" wp14:textId="192BA71C">
      <w:pPr>
        <w:spacing w:after="0" w:afterAutospacing="off"/>
        <w:rPr>
          <w:rFonts w:ascii="Times New Roman" w:hAnsi="Times New Roman" w:eastAsia="Times New Roman" w:cs="Times New Roman"/>
          <w:b w:val="1"/>
          <w:bCs w:val="1"/>
        </w:rPr>
      </w:pPr>
    </w:p>
    <w:p xmlns:wp14="http://schemas.microsoft.com/office/word/2010/wordml" w:rsidP="5942487E" wp14:paraId="4F99D68B" wp14:textId="670ED682">
      <w:pPr>
        <w:spacing w:after="0" w:afterAutospacing="off"/>
        <w:rPr>
          <w:rFonts w:ascii="Times New Roman" w:hAnsi="Times New Roman" w:eastAsia="Times New Roman" w:cs="Times New Roman"/>
          <w:b w:val="1"/>
          <w:bCs w:val="1"/>
        </w:rPr>
      </w:pPr>
    </w:p>
    <w:p xmlns:wp14="http://schemas.microsoft.com/office/word/2010/wordml" w:rsidP="5942487E" wp14:paraId="5D20A236" wp14:textId="4A48CF9A">
      <w:pPr>
        <w:spacing w:after="0" w:afterAutospacing="off"/>
        <w:rPr>
          <w:rFonts w:ascii="Times New Roman" w:hAnsi="Times New Roman" w:eastAsia="Times New Roman" w:cs="Times New Roman"/>
          <w:b w:val="1"/>
          <w:bCs w:val="1"/>
        </w:rPr>
      </w:pPr>
    </w:p>
    <w:p xmlns:wp14="http://schemas.microsoft.com/office/word/2010/wordml" w:rsidP="5942487E" wp14:paraId="0641ACDA" wp14:textId="5318C01F">
      <w:pPr>
        <w:spacing w:after="0" w:afterAutospacing="off"/>
        <w:rPr>
          <w:rFonts w:ascii="Times New Roman" w:hAnsi="Times New Roman" w:eastAsia="Times New Roman" w:cs="Times New Roman"/>
          <w:b w:val="1"/>
          <w:bCs w:val="1"/>
        </w:rPr>
      </w:pPr>
    </w:p>
    <w:p xmlns:wp14="http://schemas.microsoft.com/office/word/2010/wordml" w:rsidP="5942487E" wp14:paraId="0E50358E" wp14:textId="451BBF58">
      <w:pPr>
        <w:spacing w:after="0" w:afterAutospacing="off"/>
        <w:rPr>
          <w:rFonts w:ascii="Times New Roman" w:hAnsi="Times New Roman" w:eastAsia="Times New Roman" w:cs="Times New Roman"/>
          <w:b w:val="1"/>
          <w:bCs w:val="1"/>
        </w:rPr>
      </w:pPr>
    </w:p>
    <w:p xmlns:wp14="http://schemas.microsoft.com/office/word/2010/wordml" w:rsidP="5942487E" wp14:paraId="5DA86145" wp14:textId="70515C0D">
      <w:pPr>
        <w:spacing w:after="0" w:afterAutospacing="off"/>
        <w:rPr>
          <w:rFonts w:ascii="Times New Roman" w:hAnsi="Times New Roman" w:eastAsia="Times New Roman" w:cs="Times New Roman"/>
          <w:b w:val="1"/>
          <w:bCs w:val="1"/>
        </w:rPr>
      </w:pPr>
    </w:p>
    <w:p xmlns:wp14="http://schemas.microsoft.com/office/word/2010/wordml" w:rsidP="5942487E" wp14:paraId="4722D9C9" wp14:textId="3A0B2285">
      <w:pPr>
        <w:spacing w:after="0" w:afterAutospacing="off"/>
        <w:rPr>
          <w:rFonts w:ascii="Times New Roman" w:hAnsi="Times New Roman" w:eastAsia="Times New Roman" w:cs="Times New Roman"/>
          <w:b w:val="1"/>
          <w:bCs w:val="1"/>
        </w:rPr>
      </w:pPr>
    </w:p>
    <w:p xmlns:wp14="http://schemas.microsoft.com/office/word/2010/wordml" w:rsidP="5942487E" wp14:paraId="543D8F56" wp14:textId="2D42B231">
      <w:pPr>
        <w:spacing w:after="0" w:afterAutospacing="off"/>
        <w:rPr>
          <w:rFonts w:ascii="Times New Roman" w:hAnsi="Times New Roman" w:eastAsia="Times New Roman" w:cs="Times New Roman"/>
          <w:b w:val="1"/>
          <w:bCs w:val="1"/>
        </w:rPr>
      </w:pPr>
    </w:p>
    <w:p xmlns:wp14="http://schemas.microsoft.com/office/word/2010/wordml" w:rsidP="5942487E" wp14:paraId="78B8F66F" wp14:textId="59EDE9A1">
      <w:pPr>
        <w:spacing w:after="0" w:afterAutospacing="off"/>
        <w:rPr>
          <w:rFonts w:ascii="Times New Roman" w:hAnsi="Times New Roman" w:eastAsia="Times New Roman" w:cs="Times New Roman"/>
          <w:b w:val="1"/>
          <w:bCs w:val="1"/>
        </w:rPr>
      </w:pPr>
    </w:p>
    <w:p xmlns:wp14="http://schemas.microsoft.com/office/word/2010/wordml" w:rsidP="5942487E" wp14:paraId="0CF6B7EB" wp14:textId="736D61F0">
      <w:pPr>
        <w:spacing w:after="0" w:afterAutospacing="off"/>
        <w:rPr>
          <w:rFonts w:ascii="Times New Roman" w:hAnsi="Times New Roman" w:eastAsia="Times New Roman" w:cs="Times New Roman"/>
          <w:b w:val="1"/>
          <w:bCs w:val="1"/>
        </w:rPr>
      </w:pPr>
    </w:p>
    <w:p xmlns:wp14="http://schemas.microsoft.com/office/word/2010/wordml" w:rsidP="5942487E" wp14:paraId="5A511045" wp14:textId="6D227DD4">
      <w:pPr>
        <w:spacing w:after="0" w:afterAutospacing="off"/>
        <w:rPr>
          <w:rFonts w:ascii="Times New Roman" w:hAnsi="Times New Roman" w:eastAsia="Times New Roman" w:cs="Times New Roman"/>
          <w:b w:val="1"/>
          <w:bCs w:val="1"/>
        </w:rPr>
      </w:pPr>
    </w:p>
    <w:p xmlns:wp14="http://schemas.microsoft.com/office/word/2010/wordml" w:rsidP="5942487E" wp14:paraId="725E77BF" wp14:textId="31F37CBC">
      <w:pPr>
        <w:spacing w:after="0" w:afterAutospacing="off"/>
        <w:rPr>
          <w:rFonts w:ascii="Times New Roman" w:hAnsi="Times New Roman" w:eastAsia="Times New Roman" w:cs="Times New Roman"/>
          <w:b w:val="1"/>
          <w:bCs w:val="1"/>
        </w:rPr>
      </w:pPr>
    </w:p>
    <w:p xmlns:wp14="http://schemas.microsoft.com/office/word/2010/wordml" w:rsidP="5942487E" wp14:paraId="118EDEBA" wp14:textId="59019442">
      <w:pPr>
        <w:spacing w:after="0" w:afterAutospacing="off"/>
        <w:rPr>
          <w:rFonts w:ascii="Times New Roman" w:hAnsi="Times New Roman" w:eastAsia="Times New Roman" w:cs="Times New Roman"/>
          <w:b w:val="1"/>
          <w:bCs w:val="1"/>
        </w:rPr>
      </w:pPr>
    </w:p>
    <w:p xmlns:wp14="http://schemas.microsoft.com/office/word/2010/wordml" w:rsidP="5942487E" wp14:paraId="75F7677B" wp14:textId="0E4AF729">
      <w:pPr>
        <w:spacing w:after="0" w:afterAutospacing="off"/>
        <w:rPr>
          <w:rFonts w:ascii="Times New Roman" w:hAnsi="Times New Roman" w:eastAsia="Times New Roman" w:cs="Times New Roman"/>
          <w:b w:val="1"/>
          <w:bCs w:val="1"/>
        </w:rPr>
      </w:pPr>
    </w:p>
    <w:p xmlns:wp14="http://schemas.microsoft.com/office/word/2010/wordml" w:rsidP="5942487E" wp14:paraId="0186C9A9" wp14:textId="75CF78F0">
      <w:pPr>
        <w:spacing w:after="0" w:afterAutospacing="off"/>
        <w:rPr>
          <w:rFonts w:ascii="Times New Roman" w:hAnsi="Times New Roman" w:eastAsia="Times New Roman" w:cs="Times New Roman"/>
          <w:b w:val="1"/>
          <w:bCs w:val="1"/>
        </w:rPr>
      </w:pPr>
    </w:p>
    <w:p xmlns:wp14="http://schemas.microsoft.com/office/word/2010/wordml" w:rsidP="5942487E" wp14:paraId="2B102EAD" wp14:textId="2397577E">
      <w:pPr>
        <w:spacing w:after="0" w:afterAutospacing="off"/>
        <w:rPr>
          <w:rFonts w:ascii="Times New Roman" w:hAnsi="Times New Roman" w:eastAsia="Times New Roman" w:cs="Times New Roman"/>
          <w:b w:val="1"/>
          <w:bCs w:val="1"/>
        </w:rPr>
      </w:pPr>
    </w:p>
    <w:p xmlns:wp14="http://schemas.microsoft.com/office/word/2010/wordml" w:rsidP="5942487E" wp14:paraId="7FD8A55E" wp14:textId="02907A09">
      <w:pPr>
        <w:spacing w:after="0" w:afterAutospacing="off"/>
        <w:rPr>
          <w:rFonts w:ascii="Times New Roman" w:hAnsi="Times New Roman" w:eastAsia="Times New Roman" w:cs="Times New Roman"/>
          <w:b w:val="1"/>
          <w:bCs w:val="1"/>
        </w:rPr>
      </w:pPr>
    </w:p>
    <w:p xmlns:wp14="http://schemas.microsoft.com/office/word/2010/wordml" w:rsidP="5942487E" wp14:paraId="0BB0FEA2" wp14:textId="1AC9FCBF">
      <w:pPr>
        <w:spacing w:after="0" w:afterAutospacing="off"/>
        <w:rPr>
          <w:rFonts w:ascii="Times New Roman" w:hAnsi="Times New Roman" w:eastAsia="Times New Roman" w:cs="Times New Roman"/>
          <w:b w:val="1"/>
          <w:bCs w:val="1"/>
        </w:rPr>
      </w:pPr>
    </w:p>
    <w:p xmlns:wp14="http://schemas.microsoft.com/office/word/2010/wordml" w:rsidP="5942487E" wp14:paraId="5B603720" wp14:textId="3E6810B0">
      <w:pPr>
        <w:spacing w:after="0" w:afterAutospacing="off"/>
        <w:rPr>
          <w:rFonts w:ascii="Times New Roman" w:hAnsi="Times New Roman" w:eastAsia="Times New Roman" w:cs="Times New Roman"/>
          <w:b w:val="1"/>
          <w:bCs w:val="1"/>
        </w:rPr>
      </w:pPr>
    </w:p>
    <w:p xmlns:wp14="http://schemas.microsoft.com/office/word/2010/wordml" w:rsidP="5942487E" wp14:paraId="18DC7A79" wp14:textId="6879005A">
      <w:pPr>
        <w:spacing w:after="0" w:afterAutospacing="off"/>
        <w:rPr>
          <w:rFonts w:ascii="Times New Roman" w:hAnsi="Times New Roman" w:eastAsia="Times New Roman" w:cs="Times New Roman"/>
          <w:b w:val="1"/>
          <w:bCs w:val="1"/>
        </w:rPr>
      </w:pPr>
    </w:p>
    <w:p xmlns:wp14="http://schemas.microsoft.com/office/word/2010/wordml" w:rsidP="5942487E" wp14:paraId="4F77F8EA" wp14:textId="4FA4607F">
      <w:pPr>
        <w:spacing w:after="0" w:afterAutospacing="off"/>
        <w:rPr>
          <w:rFonts w:ascii="Times New Roman" w:hAnsi="Times New Roman" w:eastAsia="Times New Roman" w:cs="Times New Roman"/>
          <w:b w:val="1"/>
          <w:bCs w:val="1"/>
        </w:rPr>
      </w:pPr>
    </w:p>
    <w:p xmlns:wp14="http://schemas.microsoft.com/office/word/2010/wordml" w:rsidP="5942487E" wp14:paraId="6C625D51" wp14:textId="5F63EF4C">
      <w:pPr>
        <w:spacing w:after="0" w:afterAutospacing="off"/>
        <w:rPr>
          <w:rFonts w:ascii="Times New Roman" w:hAnsi="Times New Roman" w:eastAsia="Times New Roman" w:cs="Times New Roman"/>
          <w:b w:val="1"/>
          <w:bCs w:val="1"/>
        </w:rPr>
      </w:pPr>
    </w:p>
    <w:p xmlns:wp14="http://schemas.microsoft.com/office/word/2010/wordml" w:rsidP="5942487E" wp14:paraId="5B6E6FAD" wp14:textId="23720F85">
      <w:pPr>
        <w:spacing w:after="0" w:afterAutospacing="off"/>
        <w:rPr>
          <w:rFonts w:ascii="Times New Roman" w:hAnsi="Times New Roman" w:eastAsia="Times New Roman" w:cs="Times New Roman"/>
          <w:b w:val="1"/>
          <w:bCs w:val="1"/>
        </w:rPr>
      </w:pPr>
    </w:p>
    <w:p xmlns:wp14="http://schemas.microsoft.com/office/word/2010/wordml" w:rsidP="5942487E" wp14:paraId="1BC9F360" wp14:textId="58B3E5B3">
      <w:pPr>
        <w:spacing w:after="0" w:afterAutospacing="off"/>
        <w:rPr>
          <w:rFonts w:ascii="Times New Roman" w:hAnsi="Times New Roman" w:eastAsia="Times New Roman" w:cs="Times New Roman"/>
          <w:b w:val="1"/>
          <w:bCs w:val="1"/>
        </w:rPr>
      </w:pPr>
    </w:p>
    <w:p xmlns:wp14="http://schemas.microsoft.com/office/word/2010/wordml" w:rsidP="5942487E" wp14:paraId="5E5787A5" wp14:textId="1C3807A2">
      <w:pPr>
        <w:spacing w:after="0" w:afterAutospacing="off"/>
        <w:rPr>
          <w:rFonts w:ascii="Times New Roman" w:hAnsi="Times New Roman" w:eastAsia="Times New Roman" w:cs="Times New Roman"/>
          <w:b w:val="1"/>
          <w:bCs w:val="1"/>
        </w:rPr>
      </w:pPr>
      <w:r w:rsidRPr="5942487E" w:rsidR="093F10D4">
        <w:rPr>
          <w:rFonts w:ascii="Times New Roman" w:hAnsi="Times New Roman" w:eastAsia="Times New Roman" w:cs="Times New Roman"/>
          <w:b w:val="1"/>
          <w:bCs w:val="1"/>
        </w:rPr>
        <w:t>Part 1</w:t>
      </w:r>
    </w:p>
    <w:p w:rsidR="093F10D4" w:rsidP="5942487E" w:rsidRDefault="093F10D4" w14:paraId="26FCE043" w14:textId="0022FF02">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42487E" w:rsidR="093F10D4">
        <w:rPr>
          <w:rFonts w:ascii="Times New Roman" w:hAnsi="Times New Roman" w:eastAsia="Times New Roman" w:cs="Times New Roman"/>
          <w:noProof w:val="0"/>
          <w:sz w:val="24"/>
          <w:szCs w:val="24"/>
          <w:lang w:val="en-GB"/>
        </w:rPr>
        <w:t xml:space="preserve"> Inclusive practice is a pedagogical approach that acknowledges and celebrates student diversity, ensuring that all learners regardless of background, ability, or need are provided with </w:t>
      </w:r>
      <w:r w:rsidRPr="5942487E" w:rsidR="093F10D4">
        <w:rPr>
          <w:rFonts w:ascii="Times New Roman" w:hAnsi="Times New Roman" w:eastAsia="Times New Roman" w:cs="Times New Roman"/>
          <w:noProof w:val="0"/>
          <w:sz w:val="24"/>
          <w:szCs w:val="24"/>
          <w:lang w:val="en-GB"/>
        </w:rPr>
        <w:t>equitable</w:t>
      </w:r>
      <w:r w:rsidRPr="5942487E" w:rsidR="093F10D4">
        <w:rPr>
          <w:rFonts w:ascii="Times New Roman" w:hAnsi="Times New Roman" w:eastAsia="Times New Roman" w:cs="Times New Roman"/>
          <w:noProof w:val="0"/>
          <w:sz w:val="24"/>
          <w:szCs w:val="24"/>
          <w:lang w:val="en-GB"/>
        </w:rPr>
        <w:t xml:space="preserve"> access to learning opportunities. As defined by the Equality Challenge Unit (2013), it enables full participation in learning and allows students to </w:t>
      </w:r>
      <w:r w:rsidRPr="5942487E" w:rsidR="093F10D4">
        <w:rPr>
          <w:rFonts w:ascii="Times New Roman" w:hAnsi="Times New Roman" w:eastAsia="Times New Roman" w:cs="Times New Roman"/>
          <w:noProof w:val="0"/>
          <w:sz w:val="24"/>
          <w:szCs w:val="24"/>
          <w:lang w:val="en-GB"/>
        </w:rPr>
        <w:t>demonstrate</w:t>
      </w:r>
      <w:r w:rsidRPr="5942487E" w:rsidR="093F10D4">
        <w:rPr>
          <w:rFonts w:ascii="Times New Roman" w:hAnsi="Times New Roman" w:eastAsia="Times New Roman" w:cs="Times New Roman"/>
          <w:noProof w:val="0"/>
          <w:sz w:val="24"/>
          <w:szCs w:val="24"/>
          <w:lang w:val="en-GB"/>
        </w:rPr>
        <w:t xml:space="preserve"> their strengths during assessment. In the context of post-compulsory education and training (PCET), inclusive practice is essential for creating environments that embrace difference as the norm rather than the exception.</w:t>
      </w:r>
      <w:r>
        <w:br/>
      </w:r>
      <w:r w:rsidRPr="5942487E" w:rsidR="093F10D4">
        <w:rPr>
          <w:rFonts w:ascii="Times New Roman" w:hAnsi="Times New Roman" w:eastAsia="Times New Roman" w:cs="Times New Roman"/>
          <w:noProof w:val="0"/>
          <w:sz w:val="24"/>
          <w:szCs w:val="24"/>
          <w:lang w:val="en-GB"/>
        </w:rPr>
        <w:t xml:space="preserve"> Inclusive education in PCET demands a holistic understanding of students’ varied learning profiles and life experiences. Lecturers are not only responsible for delivering content but also for cultivating environments that respect and respond to learners’ needs. Gravells (2012) underscores that while learners may differ in age, ethnicity, ability, gender, or beliefs, they all </w:t>
      </w:r>
      <w:r w:rsidRPr="5942487E" w:rsidR="093F10D4">
        <w:rPr>
          <w:rFonts w:ascii="Times New Roman" w:hAnsi="Times New Roman" w:eastAsia="Times New Roman" w:cs="Times New Roman"/>
          <w:noProof w:val="0"/>
          <w:sz w:val="24"/>
          <w:szCs w:val="24"/>
          <w:lang w:val="en-GB"/>
        </w:rPr>
        <w:t>possess</w:t>
      </w:r>
      <w:r w:rsidRPr="5942487E" w:rsidR="093F10D4">
        <w:rPr>
          <w:rFonts w:ascii="Times New Roman" w:hAnsi="Times New Roman" w:eastAsia="Times New Roman" w:cs="Times New Roman"/>
          <w:noProof w:val="0"/>
          <w:sz w:val="24"/>
          <w:szCs w:val="24"/>
          <w:lang w:val="en-GB"/>
        </w:rPr>
        <w:t xml:space="preserve"> equal rights to learn. Creating a culture rooted in respect, flexibility, and support is paramount. According to the University of Wales Trinity Saint David’s (UWTSD) Strategic Equality Plan (2024–2028), inclusive education must be underpinned by institutional commitment to </w:t>
      </w:r>
      <w:r w:rsidRPr="5942487E" w:rsidR="093F10D4">
        <w:rPr>
          <w:rFonts w:ascii="Times New Roman" w:hAnsi="Times New Roman" w:eastAsia="Times New Roman" w:cs="Times New Roman"/>
          <w:noProof w:val="0"/>
          <w:sz w:val="24"/>
          <w:szCs w:val="24"/>
          <w:lang w:val="en-GB"/>
        </w:rPr>
        <w:t>eliminating</w:t>
      </w:r>
      <w:r w:rsidRPr="5942487E" w:rsidR="093F10D4">
        <w:rPr>
          <w:rFonts w:ascii="Times New Roman" w:hAnsi="Times New Roman" w:eastAsia="Times New Roman" w:cs="Times New Roman"/>
          <w:noProof w:val="0"/>
          <w:sz w:val="24"/>
          <w:szCs w:val="24"/>
          <w:lang w:val="en-GB"/>
        </w:rPr>
        <w:t xml:space="preserve"> barriers and enhancing participation.</w:t>
      </w:r>
      <w:r>
        <w:br/>
      </w:r>
      <w:r w:rsidRPr="5942487E" w:rsidR="093F10D4">
        <w:rPr>
          <w:rFonts w:ascii="Times New Roman" w:hAnsi="Times New Roman" w:eastAsia="Times New Roman" w:cs="Times New Roman"/>
          <w:noProof w:val="0"/>
          <w:sz w:val="24"/>
          <w:szCs w:val="24"/>
          <w:lang w:val="en-GB"/>
        </w:rPr>
        <w:t xml:space="preserve"> The legal framework for inclusive practice in the UK is robust. The Equality Act 2010 </w:t>
      </w:r>
      <w:r w:rsidRPr="5942487E" w:rsidR="093F10D4">
        <w:rPr>
          <w:rFonts w:ascii="Times New Roman" w:hAnsi="Times New Roman" w:eastAsia="Times New Roman" w:cs="Times New Roman"/>
          <w:noProof w:val="0"/>
          <w:sz w:val="24"/>
          <w:szCs w:val="24"/>
          <w:lang w:val="en-GB"/>
        </w:rPr>
        <w:t>consolidates</w:t>
      </w:r>
      <w:r w:rsidRPr="5942487E" w:rsidR="093F10D4">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previous</w:t>
      </w:r>
      <w:r w:rsidRPr="5942487E" w:rsidR="093F10D4">
        <w:rPr>
          <w:rFonts w:ascii="Times New Roman" w:hAnsi="Times New Roman" w:eastAsia="Times New Roman" w:cs="Times New Roman"/>
          <w:noProof w:val="0"/>
          <w:sz w:val="24"/>
          <w:szCs w:val="24"/>
          <w:lang w:val="en-GB"/>
        </w:rPr>
        <w:t xml:space="preserve"> anti-discrimination legislation and offers protection against direct and indirect discrimination, harassment, and victimisation across protected characteristics, including disability, race, gender reassignment, and religion or belief. Part 6 of the Act outlines institutions’ duties to prevent discrimination in admissions, teaching, and student services. Additionally, institutions must </w:t>
      </w:r>
      <w:r w:rsidRPr="5942487E" w:rsidR="093F10D4">
        <w:rPr>
          <w:rFonts w:ascii="Times New Roman" w:hAnsi="Times New Roman" w:eastAsia="Times New Roman" w:cs="Times New Roman"/>
          <w:noProof w:val="0"/>
          <w:sz w:val="24"/>
          <w:szCs w:val="24"/>
          <w:lang w:val="en-GB"/>
        </w:rPr>
        <w:t>comply with</w:t>
      </w:r>
      <w:r w:rsidRPr="5942487E" w:rsidR="093F10D4">
        <w:rPr>
          <w:rFonts w:ascii="Times New Roman" w:hAnsi="Times New Roman" w:eastAsia="Times New Roman" w:cs="Times New Roman"/>
          <w:noProof w:val="0"/>
          <w:sz w:val="24"/>
          <w:szCs w:val="24"/>
          <w:lang w:val="en-GB"/>
        </w:rPr>
        <w:t xml:space="preserve"> the Public Sector Equality Duty (PSED), which requires “due regard” to </w:t>
      </w:r>
      <w:r w:rsidRPr="5942487E" w:rsidR="093F10D4">
        <w:rPr>
          <w:rFonts w:ascii="Times New Roman" w:hAnsi="Times New Roman" w:eastAsia="Times New Roman" w:cs="Times New Roman"/>
          <w:noProof w:val="0"/>
          <w:sz w:val="24"/>
          <w:szCs w:val="24"/>
          <w:lang w:val="en-GB"/>
        </w:rPr>
        <w:t>eliminating</w:t>
      </w:r>
      <w:r w:rsidRPr="5942487E" w:rsidR="093F10D4">
        <w:rPr>
          <w:rFonts w:ascii="Times New Roman" w:hAnsi="Times New Roman" w:eastAsia="Times New Roman" w:cs="Times New Roman"/>
          <w:noProof w:val="0"/>
          <w:sz w:val="24"/>
          <w:szCs w:val="24"/>
          <w:lang w:val="en-GB"/>
        </w:rPr>
        <w:t xml:space="preserve"> discrimination and advancing equality of opportunity (Equality Act 2010, p.149).</w:t>
      </w:r>
      <w:r>
        <w:br/>
      </w:r>
      <w:r w:rsidRPr="5942487E" w:rsidR="093F10D4">
        <w:rPr>
          <w:rFonts w:ascii="Times New Roman" w:hAnsi="Times New Roman" w:eastAsia="Times New Roman" w:cs="Times New Roman"/>
          <w:noProof w:val="0"/>
          <w:sz w:val="24"/>
          <w:szCs w:val="24"/>
          <w:lang w:val="en-GB"/>
        </w:rPr>
        <w:t xml:space="preserve"> Complementing this is the Children and Families Act 2014, which introduced Special Educational Needs and Disability (SEND) reforms aimed at giving young people more control over the services they access. The SEND Code of Practice (DfE/</w:t>
      </w:r>
      <w:r w:rsidRPr="5942487E" w:rsidR="093F10D4">
        <w:rPr>
          <w:rFonts w:ascii="Times New Roman" w:hAnsi="Times New Roman" w:eastAsia="Times New Roman" w:cs="Times New Roman"/>
          <w:noProof w:val="0"/>
          <w:sz w:val="24"/>
          <w:szCs w:val="24"/>
          <w:lang w:val="en-GB"/>
        </w:rPr>
        <w:t>DoH</w:t>
      </w:r>
      <w:r w:rsidRPr="5942487E" w:rsidR="093F10D4">
        <w:rPr>
          <w:rFonts w:ascii="Times New Roman" w:hAnsi="Times New Roman" w:eastAsia="Times New Roman" w:cs="Times New Roman"/>
          <w:noProof w:val="0"/>
          <w:sz w:val="24"/>
          <w:szCs w:val="24"/>
          <w:lang w:val="en-GB"/>
        </w:rPr>
        <w:t xml:space="preserve">, 2014) extends to age 25 and applies to further education settings, placing duties on institutions to work collaboratively with learners and families to create Education, </w:t>
      </w:r>
      <w:r w:rsidRPr="5942487E" w:rsidR="093F10D4">
        <w:rPr>
          <w:rFonts w:ascii="Times New Roman" w:hAnsi="Times New Roman" w:eastAsia="Times New Roman" w:cs="Times New Roman"/>
          <w:noProof w:val="0"/>
          <w:sz w:val="24"/>
          <w:szCs w:val="24"/>
          <w:lang w:val="en-GB"/>
        </w:rPr>
        <w:t>Health</w:t>
      </w:r>
      <w:r w:rsidRPr="5942487E" w:rsidR="093F10D4">
        <w:rPr>
          <w:rFonts w:ascii="Times New Roman" w:hAnsi="Times New Roman" w:eastAsia="Times New Roman" w:cs="Times New Roman"/>
          <w:noProof w:val="0"/>
          <w:sz w:val="24"/>
          <w:szCs w:val="24"/>
          <w:lang w:val="en-GB"/>
        </w:rPr>
        <w:t xml:space="preserve"> and Care Plans (EHCPs). In Wales, the Well-being of Future Generations (Wales) Act 2015 also influences inclusive practice by mandating that public bodies promote long-term, preventative approaches to social inclusion.</w:t>
      </w:r>
      <w:r>
        <w:br/>
      </w:r>
      <w:r w:rsidRPr="5942487E" w:rsidR="093F10D4">
        <w:rPr>
          <w:rFonts w:ascii="Times New Roman" w:hAnsi="Times New Roman" w:eastAsia="Times New Roman" w:cs="Times New Roman"/>
          <w:noProof w:val="0"/>
          <w:sz w:val="24"/>
          <w:szCs w:val="24"/>
          <w:lang w:val="en-GB"/>
        </w:rPr>
        <w:t xml:space="preserve"> Despite these frameworks, persistent inequalities </w:t>
      </w:r>
      <w:r w:rsidRPr="5942487E" w:rsidR="093F10D4">
        <w:rPr>
          <w:rFonts w:ascii="Times New Roman" w:hAnsi="Times New Roman" w:eastAsia="Times New Roman" w:cs="Times New Roman"/>
          <w:noProof w:val="0"/>
          <w:sz w:val="24"/>
          <w:szCs w:val="24"/>
          <w:lang w:val="en-GB"/>
        </w:rPr>
        <w:t>remain</w:t>
      </w:r>
      <w:r w:rsidRPr="5942487E" w:rsidR="093F10D4">
        <w:rPr>
          <w:rFonts w:ascii="Times New Roman" w:hAnsi="Times New Roman" w:eastAsia="Times New Roman" w:cs="Times New Roman"/>
          <w:noProof w:val="0"/>
          <w:sz w:val="24"/>
          <w:szCs w:val="24"/>
          <w:lang w:val="en-GB"/>
        </w:rPr>
        <w:t>. For example, the Education Policy Institute’s 2024 report highlighted that 11% of 16–18-year-old in Wales were not in education, employment, or training—an increase from previous years. The report also found gendered and ethnic disparities in higher education participation, with young Welsh men and learners from minority backgrounds significantly underrepresented (Robson, 2024). These statistics reveal the need for the post-compulsory classroom institutions to take proactive, evidence-based steps to address these gaps.</w:t>
      </w:r>
      <w:r>
        <w:br/>
      </w:r>
      <w:r w:rsidRPr="5942487E" w:rsidR="093F10D4">
        <w:rPr>
          <w:rFonts w:ascii="Times New Roman" w:hAnsi="Times New Roman" w:eastAsia="Times New Roman" w:cs="Times New Roman"/>
          <w:noProof w:val="0"/>
          <w:sz w:val="24"/>
          <w:szCs w:val="24"/>
          <w:lang w:val="en-GB"/>
        </w:rPr>
        <w:t xml:space="preserve"> Inclusive practice is not limited to legal compliance but involves reflective and responsive approaches to curriculum design, teaching strategies, and learner support. Petty (2014) argues that educators should create a “resilient learning culture” that promotes self-belief, pride in identity, and the motivation to succeed. This aligns with the Professional Standards for Further Education in Wales (Educators Wales, 2023), which emphasise commitment to learners’ well-being, respect for diversity, and collaborative practice.</w:t>
      </w:r>
      <w:r>
        <w:br/>
      </w:r>
      <w:r w:rsidRPr="5942487E" w:rsidR="237C0DCF">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 xml:space="preserve">In practical terms, inclusive teaching in further and higher education involves differentiating instruction to suit various learning styles and </w:t>
      </w:r>
      <w:r w:rsidRPr="5942487E" w:rsidR="093F10D4">
        <w:rPr>
          <w:rFonts w:ascii="Times New Roman" w:hAnsi="Times New Roman" w:eastAsia="Times New Roman" w:cs="Times New Roman"/>
          <w:noProof w:val="0"/>
          <w:sz w:val="24"/>
          <w:szCs w:val="24"/>
          <w:lang w:val="en-GB"/>
        </w:rPr>
        <w:t>providing</w:t>
      </w:r>
      <w:r w:rsidRPr="5942487E" w:rsidR="093F10D4">
        <w:rPr>
          <w:rFonts w:ascii="Times New Roman" w:hAnsi="Times New Roman" w:eastAsia="Times New Roman" w:cs="Times New Roman"/>
          <w:noProof w:val="0"/>
          <w:sz w:val="24"/>
          <w:szCs w:val="24"/>
          <w:lang w:val="en-GB"/>
        </w:rPr>
        <w:t xml:space="preserve"> flexible assessment opportunities. Wilson (2014) notes that lecturers must be sensitive to emotional and social factors that affect learning, such as financial hardship, language barriers, or mental health needs. Institutions can support this by adopting Universal Design for Learning (UDL) principles, ensuring that learning materials are accessible in multiple formats and teaching strategies incorporate visual, auditory, and kinaesthetic elements (Hodkinson, 2019).</w:t>
      </w:r>
      <w:r>
        <w:br/>
      </w:r>
      <w:r w:rsidRPr="5942487E" w:rsidR="5D80B7EC">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Lecturers should also challenge discriminatory behaviours and foster inclusive dialogue. Peer and Reid (2021) suggest that inclusive classrooms are characterised by empathy, active listening, and collaborative learning, which help mitigate feelings of isolation and exclusion. Institutional policies must support this through clear anti-harassment protocols and staff training on unconscious bias and inclusive pedagogy.</w:t>
      </w:r>
      <w:r>
        <w:br/>
      </w:r>
      <w:r w:rsidRPr="5942487E" w:rsidR="3EDE9EE7">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 xml:space="preserve">Inclusivity in </w:t>
      </w:r>
      <w:r w:rsidRPr="5942487E" w:rsidR="2CD7DECD">
        <w:rPr>
          <w:rFonts w:ascii="Times New Roman" w:hAnsi="Times New Roman" w:eastAsia="Times New Roman" w:cs="Times New Roman"/>
          <w:noProof w:val="0"/>
          <w:sz w:val="24"/>
          <w:szCs w:val="24"/>
          <w:lang w:val="en-GB"/>
        </w:rPr>
        <w:t>the post-compulsory classroom</w:t>
      </w:r>
      <w:r w:rsidRPr="5942487E" w:rsidR="093F10D4">
        <w:rPr>
          <w:rFonts w:ascii="Times New Roman" w:hAnsi="Times New Roman" w:eastAsia="Times New Roman" w:cs="Times New Roman"/>
          <w:noProof w:val="0"/>
          <w:sz w:val="24"/>
          <w:szCs w:val="24"/>
          <w:lang w:val="en-GB"/>
        </w:rPr>
        <w:t xml:space="preserve"> must also engage with current socio-political challenges. For example, the Counterterrorism and Security Act 2015 introduced the Prevent Duty, </w:t>
      </w:r>
      <w:r w:rsidRPr="5942487E" w:rsidR="093F10D4">
        <w:rPr>
          <w:rFonts w:ascii="Times New Roman" w:hAnsi="Times New Roman" w:eastAsia="Times New Roman" w:cs="Times New Roman"/>
          <w:noProof w:val="0"/>
          <w:sz w:val="24"/>
          <w:szCs w:val="24"/>
          <w:lang w:val="en-GB"/>
        </w:rPr>
        <w:t>obligating</w:t>
      </w:r>
      <w:r w:rsidRPr="5942487E" w:rsidR="093F10D4">
        <w:rPr>
          <w:rFonts w:ascii="Times New Roman" w:hAnsi="Times New Roman" w:eastAsia="Times New Roman" w:cs="Times New Roman"/>
          <w:noProof w:val="0"/>
          <w:sz w:val="24"/>
          <w:szCs w:val="24"/>
          <w:lang w:val="en-GB"/>
        </w:rPr>
        <w:t xml:space="preserve"> institutions to address radicalisation risks. While controversial, its implementation should not compromise inclusivity. Educators must balance safeguarding duties with the need to protect students' rights and </w:t>
      </w:r>
      <w:r w:rsidRPr="5942487E" w:rsidR="093F10D4">
        <w:rPr>
          <w:rFonts w:ascii="Times New Roman" w:hAnsi="Times New Roman" w:eastAsia="Times New Roman" w:cs="Times New Roman"/>
          <w:noProof w:val="0"/>
          <w:sz w:val="24"/>
          <w:szCs w:val="24"/>
          <w:lang w:val="en-GB"/>
        </w:rPr>
        <w:t>maintain</w:t>
      </w:r>
      <w:r w:rsidRPr="5942487E" w:rsidR="093F10D4">
        <w:rPr>
          <w:rFonts w:ascii="Times New Roman" w:hAnsi="Times New Roman" w:eastAsia="Times New Roman" w:cs="Times New Roman"/>
          <w:noProof w:val="0"/>
          <w:sz w:val="24"/>
          <w:szCs w:val="24"/>
          <w:lang w:val="en-GB"/>
        </w:rPr>
        <w:t xml:space="preserve"> respectful environments (DfE, 2015).</w:t>
      </w:r>
      <w:r>
        <w:br/>
      </w:r>
      <w:r w:rsidRPr="5942487E" w:rsidR="48696AA4">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Moreover, inclusive practice should reflect broader societal diversity. The UK Resource Centre for Women in Science, Engineering and Technology advocates for better representation of women in STEM fields—a goal that education institutions can support by promoting diverse role models and challenging gendered assumptions in curricula (David, 2013).</w:t>
      </w:r>
      <w:r>
        <w:br/>
      </w:r>
      <w:r w:rsidRPr="5942487E" w:rsidR="7C7B8DF0">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 xml:space="preserve">Strategic equality planning is critical. The UWTSD Strategic Equality Plan (2024–28) highlights the importance of using high-quality data to evaluate progress and set measurable goals. For inclusivity to be embedded, institutions must align policy with practice, </w:t>
      </w:r>
      <w:r w:rsidRPr="5942487E" w:rsidR="093F10D4">
        <w:rPr>
          <w:rFonts w:ascii="Times New Roman" w:hAnsi="Times New Roman" w:eastAsia="Times New Roman" w:cs="Times New Roman"/>
          <w:noProof w:val="0"/>
          <w:sz w:val="24"/>
          <w:szCs w:val="24"/>
          <w:lang w:val="en-GB"/>
        </w:rPr>
        <w:t>monitor</w:t>
      </w:r>
      <w:r w:rsidRPr="5942487E" w:rsidR="093F10D4">
        <w:rPr>
          <w:rFonts w:ascii="Times New Roman" w:hAnsi="Times New Roman" w:eastAsia="Times New Roman" w:cs="Times New Roman"/>
          <w:noProof w:val="0"/>
          <w:sz w:val="24"/>
          <w:szCs w:val="24"/>
          <w:lang w:val="en-GB"/>
        </w:rPr>
        <w:t xml:space="preserve"> outcomes, and actively engage staff and students in shaping inclusive strategies.</w:t>
      </w:r>
      <w:r>
        <w:br/>
      </w:r>
      <w:r w:rsidRPr="5942487E" w:rsidR="7666A46A">
        <w:rPr>
          <w:rFonts w:ascii="Times New Roman" w:hAnsi="Times New Roman" w:eastAsia="Times New Roman" w:cs="Times New Roman"/>
          <w:noProof w:val="0"/>
          <w:sz w:val="24"/>
          <w:szCs w:val="24"/>
          <w:lang w:val="en-GB"/>
        </w:rPr>
        <w:t xml:space="preserve"> </w:t>
      </w:r>
      <w:r w:rsidRPr="5942487E" w:rsidR="093F10D4">
        <w:rPr>
          <w:rFonts w:ascii="Times New Roman" w:hAnsi="Times New Roman" w:eastAsia="Times New Roman" w:cs="Times New Roman"/>
          <w:noProof w:val="0"/>
          <w:sz w:val="24"/>
          <w:szCs w:val="24"/>
          <w:lang w:val="en-GB"/>
        </w:rPr>
        <w:t>In conclusion, inclusive practice in the post-compulsory classroom is multidimensional. It requires alignment with legal duties, institutional values, and pedagogical strategies. It involves recognising student diversity, removing barriers to participation, and creating learning environments that empower all learners. Educators must be both legally compliant and ethically committed to promoting equality and social justice. Through collaboration, critical reflection, and continuous development, inclusive practice becomes a core value of effective teaching in</w:t>
      </w:r>
      <w:r w:rsidRPr="5942487E" w:rsidR="6CADDFC5">
        <w:rPr>
          <w:rFonts w:ascii="Times New Roman" w:hAnsi="Times New Roman" w:eastAsia="Times New Roman" w:cs="Times New Roman"/>
          <w:noProof w:val="0"/>
          <w:sz w:val="24"/>
          <w:szCs w:val="24"/>
          <w:lang w:val="en-GB"/>
        </w:rPr>
        <w:t xml:space="preserve"> the post-compulsory classroom</w:t>
      </w:r>
      <w:r w:rsidRPr="5942487E" w:rsidR="093F10D4">
        <w:rPr>
          <w:rFonts w:ascii="Times New Roman" w:hAnsi="Times New Roman" w:eastAsia="Times New Roman" w:cs="Times New Roman"/>
          <w:noProof w:val="0"/>
          <w:sz w:val="24"/>
          <w:szCs w:val="24"/>
          <w:lang w:val="en-GB"/>
        </w:rPr>
        <w:t>.</w:t>
      </w:r>
    </w:p>
    <w:p w:rsidR="0F3B8EBB" w:rsidP="5942487E" w:rsidRDefault="0F3B8EBB" w14:paraId="2EFF7F6E" w14:textId="1DA9C9AD">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42487E" w:rsidR="0F3B8EBB">
        <w:rPr>
          <w:rFonts w:ascii="Times New Roman" w:hAnsi="Times New Roman" w:eastAsia="Times New Roman" w:cs="Times New Roman"/>
          <w:noProof w:val="0"/>
          <w:sz w:val="24"/>
          <w:szCs w:val="24"/>
          <w:lang w:val="en-GB"/>
        </w:rPr>
        <w:t xml:space="preserve">  </w:t>
      </w:r>
      <w:r w:rsidRPr="5942487E" w:rsidR="0F3B8EB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2</w:t>
      </w:r>
    </w:p>
    <w:p w:rsidR="0F3B8EBB" w:rsidP="5942487E" w:rsidRDefault="0F3B8EBB" w14:paraId="72C2CEF0" w14:textId="2876853A">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Iwan </w:t>
      </w:r>
    </w:p>
    <w:p w:rsidR="0F3B8EBB" w:rsidP="5942487E" w:rsidRDefault="0F3B8EBB" w14:paraId="7F330A85" w14:textId="215FD604">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Iwan is a first-generation university student from a disadvantaged Welsh background studying in the Business School at UWTSD. He is struggling with financial hardship, balancing part-time work and academic responsibilities. Despite support from his family, their limited financial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capacity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has placed increased pressure on him. Iwan is concerned that taking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work to meet his living costs will affect his studies, and he is already falling behind. His situation is not unique; students from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economically disadvantaged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backgrounds face systemic barriers in accessing and succeeding in higher education (Robson, 2024).</w:t>
      </w:r>
    </w:p>
    <w:p w:rsidR="0F3B8EBB" w:rsidP="5942487E" w:rsidRDefault="0F3B8EBB" w14:paraId="7FE3291B" w14:textId="545FACF9">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In my role as Iwan’s lecturer, I must apply inclusive practices that consider the impact of poverty on learning. The Professional Standards for Further Education Teachers in Wales instruct educators to “demonstrate commitment to learners, their learning, safety and well-being” and to “value and promote equality and inclusion” (Educators Wales, 2023, p.11). These standards reflect responsibilities under the Equality Act 2010, which requires educational providers to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eliminate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disadvantage arising from socio-economic hardship through reasonable adjustments.</w:t>
      </w:r>
    </w:p>
    <w:p w:rsidR="0F3B8EBB" w:rsidP="5942487E" w:rsidRDefault="0F3B8EBB" w14:paraId="50DCB358" w14:textId="57CFD0E8">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My first step would be to meet with Iwan privately to discuss his concerns empathetically, assess his needs,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identify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what immediate support is available. This is vital not only for building trust but also for promoting learner voice, a key principle in inclusive pedagogy (Peer &amp; Reid, 2021).</w:t>
      </w:r>
    </w:p>
    <w:p w:rsidR="0F3B8EBB" w:rsidP="5942487E" w:rsidRDefault="0F3B8EBB" w14:paraId="3E7A904D" w14:textId="39F6352D">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Following this, I would:</w:t>
      </w:r>
    </w:p>
    <w:p w:rsidR="0F3B8EBB" w:rsidP="5942487E" w:rsidRDefault="0F3B8EBB" w14:paraId="18A745D7" w14:textId="76B3C769">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Refer Iwan to UWTSD’s Student Money Support Team for targeted advice and application for financial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assistance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such as the Hardship Fund or University Bursaries.</w:t>
      </w:r>
    </w:p>
    <w:p w:rsidR="0F3B8EBB" w:rsidP="5942487E" w:rsidRDefault="0F3B8EBB" w14:paraId="187E975C" w14:textId="16BD615D">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Guide him to the Fee and Access Plan pages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assist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him with navigating resources, including budgeting tools and emergency loans (UWTSD, 2024).</w:t>
      </w:r>
    </w:p>
    <w:p w:rsidR="0F3B8EBB" w:rsidP="5942487E" w:rsidRDefault="0F3B8EBB" w14:paraId="4A3E08D3" w14:textId="761B8BA6">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Collaborate with student services to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determine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whether Iwan meets the criteria for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learning support or a tailored Individual Learning Plan (ILP).</w:t>
      </w:r>
    </w:p>
    <w:p w:rsidR="0F3B8EBB" w:rsidP="5942487E" w:rsidRDefault="0F3B8EBB" w14:paraId="0B25E8DA" w14:textId="3F65C27E">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Offer flexible submission deadlines under extenuating circumstances and review his module load to avoid overwhelming him.</w:t>
      </w:r>
    </w:p>
    <w:p w:rsidR="0F3B8EBB" w:rsidP="5942487E" w:rsidRDefault="0F3B8EBB" w14:paraId="16DCAE11" w14:textId="21477E29">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These steps are aligned with institutional inclusion policies and help mitigate the indirect disadvantage caused by socio-economic background (UWTSD Strategic Equality Plan, 2024–2028). According to the Well-being of Future Generations (Wales) Act 2015, education providers must improve the social well-being of learners, particularly those from underrepresented or economically marginalised groups.</w:t>
      </w:r>
    </w:p>
    <w:p w:rsidR="0F3B8EBB" w:rsidP="5942487E" w:rsidRDefault="0F3B8EBB" w14:paraId="5E41F2CD" w14:textId="230D8EBA">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Academically, I would provide Iwan with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scaffolding, such as weekly check-ins, signposting to academic writing and time-management workshops, and formative feedback. I would also explore digital solutions such as recording lectures and sharing asynchronous resources to enable flexible learning—a strategy recommended by Hodkinson (2019) for supporting learners with external pressures.</w:t>
      </w:r>
    </w:p>
    <w:p w:rsidR="0F3B8EBB" w:rsidP="5942487E" w:rsidRDefault="0F3B8EBB" w14:paraId="647D9FC0" w14:textId="45B69F4B">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Creating a learning environment where financial hardship is acknowledged without stigma is key to student retention. According to Gravells (2012), supporting inclusion also means recognising hidden barriers such as financial stress and their emotional toll. I would promote peer support and encourage Iwan’s participation in group-based learning to enhance engagement without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costs.</w:t>
      </w:r>
    </w:p>
    <w:p w:rsidR="0F3B8EBB" w:rsidP="5942487E" w:rsidRDefault="0F3B8EBB" w14:paraId="2ECF469E" w14:textId="3D5407E7">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Iwan’s case exemplifies how socio-economic disadvantage can threaten both academic performance and emotional well-being. Through tailored support, flexible academic arrangements,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appropriate referrals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I can help ensure that his financial hardship does not become an insurmountable barrier to achievement. This holistic, learner-centred response embodies both the ethos of inclusive education and the legal and professional obligations of a PCET practitioner.</w:t>
      </w:r>
    </w:p>
    <w:p w:rsidR="0F3B8EBB" w:rsidP="5942487E" w:rsidRDefault="0F3B8EBB" w14:paraId="16A94DE0" w14:textId="2D3BE19B">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Efa</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0F3B8EBB" w:rsidP="5942487E" w:rsidRDefault="0F3B8EBB" w14:paraId="2AF2D774" w14:textId="27717F5B">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Efa is a first-year student who contacted me via email expressing her intention to leave the course due to experiencing racism and social isolation. She reported that her peers and some lecturers often dismiss her contributions, claim not to understand her, and justify discriminatory remarks as ‘banter’ or jokes. She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frequently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finds herself excluded from group tasks and social interactions, which has deeply affected her confidence, self-esteem, and sense of belonging. Her experience highlights the continuing presence of structural and interpersonal racism within higher education settings, a concern also raised in recent sector-wide reviews (Hodkinson, 2019).</w:t>
      </w:r>
    </w:p>
    <w:p w:rsidR="0F3B8EBB" w:rsidP="5942487E" w:rsidRDefault="0F3B8EBB" w14:paraId="1FC1F90E" w14:textId="52E727B3">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As a practitioner in post-compulsory education, I have both a professional and legal responsibility to address discrimination and foster an inclusive, respectful learning environment. Under the Equality Act 2010, educational institutions have a duty to prevent and address harassment and victimisation based on protected characteristics, including race. This is further echoed in the University of Wales Trinity Saint David’s Strategic Equality Plan (2024–2028), which commits to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eliminating</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barriers faced by ethnically minoritised students and creating a culture of dignity and respect.</w:t>
      </w:r>
    </w:p>
    <w:p w:rsidR="0F3B8EBB" w:rsidP="5942487E" w:rsidRDefault="0F3B8EBB" w14:paraId="6F8D93FB" w14:textId="693E723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My first response to Efa would be to invite her for a confidential meeting to listen to her concerns empathetically and without judgment. I would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validate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her experiences and assure her that such behaviour is unacceptable and not reflective of our institutional values. According to Peer and Reid (2021), emotional well-being is a prerequisite for academic success, particularly for learners from minoritised backgrounds.</w:t>
      </w:r>
    </w:p>
    <w:p w:rsidR="0F3B8EBB" w:rsidP="5942487E" w:rsidRDefault="0F3B8EBB" w14:paraId="41D688AA" w14:textId="3FE204F3">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 would then:</w:t>
      </w:r>
    </w:p>
    <w:p w:rsidR="0F3B8EBB" w:rsidP="5942487E" w:rsidRDefault="0F3B8EBB" w14:paraId="09F45864" w14:textId="0B45BDA2">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Encourage Efa to formally report the incidents through the university’s harassment or safeguarding procedures, offering support throughout the process.</w:t>
      </w:r>
    </w:p>
    <w:p w:rsidR="0F3B8EBB" w:rsidP="5942487E" w:rsidRDefault="0F3B8EBB" w14:paraId="77CD1DC4" w14:textId="3D250BDA">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Refer her to the Student Wellbeing Services for emotional and counselling support.</w:t>
      </w:r>
    </w:p>
    <w:p w:rsidR="0F3B8EBB" w:rsidP="5942487E" w:rsidRDefault="0F3B8EBB" w14:paraId="2FBA8D93" w14:textId="29812692">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Inform the Equality,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Diversity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and Inclusion (EDI) officer to ensure institutional awareness and intervention.</w:t>
      </w:r>
    </w:p>
    <w:p w:rsidR="0F3B8EBB" w:rsidP="5942487E" w:rsidRDefault="0F3B8EBB" w14:paraId="2E4991DB" w14:textId="45DE417A">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Consider anonymous feedback mechanisms and reflective exercises for the whole cohort to address classroom culture without further exposing Efa.</w:t>
      </w:r>
    </w:p>
    <w:p w:rsidR="0F3B8EBB" w:rsidP="5942487E" w:rsidRDefault="0F3B8EBB" w14:paraId="581957F1" w14:textId="55ED4F26">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Academically, I would conduct a learning needs assessment to explore Efa’s preferred learning styles, language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proficiency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and study skills. As English is not her first language, she may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benefit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from tailored academic support such as English for Academic Purposes (EAP) workshops. Inclusive practice also involves adjusting teaching strategies</w:t>
      </w:r>
      <w:r w:rsidRPr="5942487E" w:rsidR="6EE8FD2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such as using closed captions, avoiding colloquialisms, and providing multiple means of engagement</w:t>
      </w:r>
      <w:r w:rsidRPr="5942487E" w:rsidR="5FAF08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to ensure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equitable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access (Gravells, 2012).</w:t>
      </w:r>
    </w:p>
    <w:p w:rsidR="0F3B8EBB" w:rsidP="5942487E" w:rsidRDefault="0F3B8EBB" w14:paraId="30A22712" w14:textId="6DD25A7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Social inclusion is equally important. I would actively encourage group work that values diverse perspectives, assign rotating roles to ensure equal participation, and reinforce ground rules for respectful communication. According to the Professional Standards for FE Teachers in Wales (2023), educators must “promote inclusion and collaborative relationships” while “challenging discriminatory behaviour in all its forms.”</w:t>
      </w:r>
    </w:p>
    <w:p w:rsidR="0F3B8EBB" w:rsidP="5942487E" w:rsidRDefault="0F3B8EBB" w14:paraId="5B71416F" w14:textId="517F2BC2">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 Well-being of Future Generations (Wales) Act 2015 places a duty on institutions to foster cohesive and inclusive communities. Additionally, the Equality Act 2010, Part 6, Section 91, makes it unlawful for educational providers to treat a student unfairly based on race or to subject them to any form of detriment. Efa’s experience, if left unaddressed, not only breaches this legislation but risks institutional reputation and student retention.</w:t>
      </w:r>
    </w:p>
    <w:p w:rsidR="0F3B8EBB" w:rsidP="5942487E" w:rsidRDefault="0F3B8EBB" w14:paraId="2A21EB17" w14:textId="2D3131CE">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Efa’s situation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demonstrates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how racism, even when subtle or disguised as humour, can severely disrupt a learner’s academic journey and personal development. My response must be multi-layered</w:t>
      </w:r>
      <w:r w:rsidRPr="5942487E" w:rsidR="77FF9A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emotional, academic,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institutional</w:t>
      </w:r>
      <w:r w:rsidRPr="5942487E" w:rsidR="5923BF3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grounded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in inclusive values, legal duties, and professional ethics. Supporting Efa through targeted intervention and inclusive teaching practice ensures she is not only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retained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but empowered to thrive.</w:t>
      </w:r>
    </w:p>
    <w:p w:rsidR="0F3B8EBB" w:rsidP="5942487E" w:rsidRDefault="0F3B8EBB" w14:paraId="3A2F45BC" w14:textId="54E155A7">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Dafydd</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0F3B8EBB" w:rsidP="5942487E" w:rsidRDefault="0F3B8EBB" w14:paraId="6DFBE995" w14:textId="0848DCE6">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is an applicant to my business programme at the University of Wales Trinity Saint David. He has cerebral palsy and partial sight (though not registered as blind). He uses crutches and tires easily, and although he manages his education independently, he finds note-taking difficult due to reduced typing speed and mobility in his left arm. Dafydd’s case reflects the necessity for inclusive planning and anticipatory adjustments under the Equality Act 2010, which places a legal duty on educators to ensure that disabled students are not placed at a disadvantage.</w:t>
      </w:r>
    </w:p>
    <w:p w:rsidR="0F3B8EBB" w:rsidP="5942487E" w:rsidRDefault="0F3B8EBB" w14:paraId="0A6EC9BF" w14:textId="05B80D11">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As an inclusive practitioner, my role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begins before Dafydd enters the classroom.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In accordance with</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 Special Educational Needs and Disability Code of Practice (2014) and the Children and Families Act 2014, higher education providers must ensure that students with disabilities receive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appropriate support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and have equal access to learning. I would start by collaborating with our Student Support Services and Disability Team to organise a pre-enrolment planning meeting. This enables the institution to put a personalised Individual Learning Plan (ILP) in place based on Dafydd’s needs, preferences, and aspirations.</w:t>
      </w:r>
    </w:p>
    <w:p w:rsidR="0F3B8EBB" w:rsidP="5942487E" w:rsidRDefault="0F3B8EBB" w14:paraId="77E63AA8" w14:textId="4E42644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may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benefit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from assistive technologies such as screen magnification software, speech-to-text tools, and adapted keyboards. I would ensure all learning materials are available in accessible digital formats and use sans serif fonts with high-contrast colour schemes on presentation slides to aid visual accessibility. According to Peer and Reid (2021), the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appropriate use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of assistive technologies significantly enhances independent learning for students with physical and sensory impairments.</w:t>
      </w:r>
    </w:p>
    <w:p w:rsidR="0F3B8EBB" w:rsidP="5942487E" w:rsidRDefault="0F3B8EBB" w14:paraId="18B08655" w14:textId="25A3A30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Furthermore, I would record lectures and upload resources on the university’s virtual learning environment in advance to support flexible access. Group discussions flipped learning techniques, and project-based tasks can reduce the reliance on fast-paced notetaking while offering inclusive opportunities to contribute through listening, speaking, or visual media.</w:t>
      </w:r>
    </w:p>
    <w:p w:rsidR="0F3B8EBB" w:rsidP="5942487E" w:rsidRDefault="0F3B8EBB" w14:paraId="66964765" w14:textId="38C996B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values his independence. Respecting this, I would include him in all decisions about support and not make assumptions about what he needs. As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stated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in the Professional Standards for FE Teachers in Wales (2023), educators must “maintain learners’ dignity, safety, and independence,” and “engage in collaborative partnerships with learners and other professionals.”</w:t>
      </w:r>
    </w:p>
    <w:p w:rsidR="0F3B8EBB" w:rsidP="5942487E" w:rsidRDefault="0F3B8EBB" w14:paraId="265BEFED" w14:textId="1273613D">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To support his classroom integration, I would promote peer collaboration by forming inclusive study groups and fostering a respectful classroom ethos. I would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monitor</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for signs of physical fatigue and ensure that classroom seating arrangements accommodate his mobility needs. Reasonable adjustments to assessment may include extended deadlines, use of assistive software, or offering oral presentations in place of written reports, in line with university accessibility policies.</w:t>
      </w:r>
    </w:p>
    <w:p w:rsidR="0F3B8EBB" w:rsidP="5942487E" w:rsidRDefault="0F3B8EBB" w14:paraId="6FA184B1" w14:textId="7678F871">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 UWTSD Strategic Equality Plan (2024–2028) commits to developing accessible learning environments for all students, emphasising anticipatory adjustments and inclusive curriculum design. Additionally, under the Well-being of Future Generations (Wales) Act 2015, educators must support learners’ physical, emotional, and academic wellbeing.</w:t>
      </w:r>
    </w:p>
    <w:p w:rsidR="0F3B8EBB" w:rsidP="5942487E" w:rsidRDefault="0F3B8EBB" w14:paraId="1017AE8E" w14:textId="366B40EE">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Dafydd’s case highlights the importance of proactive, student-centred planning to meet physical and sensory needs without compromising autonomy. Through universal design, assistive technology, and inclusive pedagogy, I can ensure Dafydd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participates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fully in the learning process and feels valued and supported. My approach would reflect both legislative duties and the moral imperative to create an inclusive, empowering learning environment for all.</w:t>
      </w:r>
    </w:p>
    <w:p w:rsidR="5942487E" w:rsidP="5942487E" w:rsidRDefault="5942487E" w14:paraId="24214BA5" w14:textId="19FB877C">
      <w:pPr>
        <w:spacing w:before="240" w:beforeAutospacing="off" w:after="0" w:afterAutospacing="off" w:line="360" w:lineRule="auto"/>
        <w:rPr>
          <w:rFonts w:ascii="Times New Roman" w:hAnsi="Times New Roman" w:eastAsia="Times New Roman" w:cs="Times New Roman"/>
          <w:noProof w:val="0"/>
          <w:color w:val="auto"/>
          <w:sz w:val="24"/>
          <w:szCs w:val="24"/>
          <w:lang w:val="en-GB"/>
        </w:rPr>
      </w:pPr>
    </w:p>
    <w:p w:rsidR="5942487E" w:rsidP="5942487E" w:rsidRDefault="5942487E" w14:paraId="21D177D4" w14:textId="5CC7152E">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15345469" w14:textId="31EE47DD">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6D83A6F" w14:textId="2FD6B17E">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ED62B3C" w14:textId="6F66FC86">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18796EE" w14:textId="6C0633E8">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6303F45D" w14:textId="3469DD95">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2D2D9B1" w14:textId="6373A9AA">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17DE2F2A" w14:textId="055F22C8">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0FE356AA" w14:textId="77F0AB01">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64B679B5" w14:textId="4936BAF5">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01F18649" w14:textId="72D97C35">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26F8B6B" w14:textId="17E33DC9">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1E1DE352" w14:textId="253AB8BD">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1D61A3B" w14:textId="2A184D1B">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DFD169B" w14:textId="3B741368">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D1A5770" w14:textId="5596109E">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46CD2F8" w14:textId="78BDE640">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2B561FF3" w14:textId="6EDA4C53">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78C27471" w14:textId="54E9BD93">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5DD7EB15" w14:textId="6EA0396D">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0C1EE4E8" w14:textId="2311CCE8">
      <w:pPr>
        <w:spacing w:after="0" w:afterAutospacing="off" w:line="360" w:lineRule="auto"/>
        <w:rPr>
          <w:rFonts w:ascii="Times New Roman" w:hAnsi="Times New Roman" w:eastAsia="Times New Roman" w:cs="Times New Roman"/>
          <w:b w:val="0"/>
          <w:bCs w:val="0"/>
          <w:color w:val="auto"/>
          <w:sz w:val="24"/>
          <w:szCs w:val="24"/>
        </w:rPr>
      </w:pPr>
    </w:p>
    <w:p w:rsidR="2E1AC31D" w:rsidP="5942487E" w:rsidRDefault="2E1AC31D" w14:paraId="19B8CDD3" w14:textId="555EC1C5">
      <w:pPr>
        <w:spacing w:before="240" w:beforeAutospacing="off" w:after="240" w:afterAutospacing="off" w:line="279" w:lineRule="auto"/>
        <w:jc w:val="left"/>
        <w:rPr>
          <w:rFonts w:ascii="Times New Roman" w:hAnsi="Times New Roman" w:eastAsia="Times New Roman" w:cs="Times New Roman"/>
          <w:noProof w:val="0"/>
          <w:sz w:val="24"/>
          <w:szCs w:val="24"/>
          <w:lang w:val="en-GB"/>
        </w:rPr>
      </w:pPr>
      <w:r w:rsidRPr="5942487E" w:rsidR="2E1AC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total word count for my assignment (excluding direct quotations) is 2,473.</w:t>
      </w:r>
    </w:p>
    <w:p w:rsidR="5942487E" w:rsidP="5942487E" w:rsidRDefault="5942487E" w14:paraId="1E5F85EA" w14:textId="663BCCDC">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761288D" w14:textId="77B36CE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2B1A4002" w14:textId="23A17D2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1620BB91" w14:textId="2F2D43D4">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064545B" w14:textId="76D923D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4A77DE0" w14:textId="3B7B38C5">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7D8EC825" w14:textId="59D80B61">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55D4FE6" w14:textId="556BA0AA">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C8730D4" w14:textId="4EC817E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6966B6B" w14:textId="444EC18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726799A2" w14:textId="59A94279">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935CCAF" w14:textId="2379257D">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1D3AA46" w14:textId="3FACAF32">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E26BCBD" w14:textId="2B367B7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04D2123" w14:textId="23ACB953">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34A1377E" w14:textId="25A079C8">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1AC31D" w:rsidP="5942487E" w:rsidRDefault="2E1AC31D" w14:paraId="7350BCEB" w14:textId="68C4590E">
      <w:pPr>
        <w:spacing w:before="240" w:beforeAutospacing="off" w:after="24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942487E" w:rsidR="2E1AC3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Reference list:</w:t>
      </w:r>
    </w:p>
    <w:p w:rsidR="132DE4DE" w:rsidP="5942487E" w:rsidRDefault="132DE4DE" w14:paraId="55853091" w14:textId="621AF99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Avis, J., Fisher, R. and Thompson, R. (2019) </w:t>
      </w:r>
      <w:r w:rsidRPr="5942487E" w:rsidR="132DE4DE">
        <w:rPr>
          <w:rFonts w:ascii="Times New Roman" w:hAnsi="Times New Roman" w:eastAsia="Times New Roman" w:cs="Times New Roman"/>
          <w:i w:val="1"/>
          <w:iCs w:val="1"/>
          <w:noProof w:val="0"/>
          <w:sz w:val="24"/>
          <w:szCs w:val="24"/>
          <w:lang w:val="en-GB"/>
        </w:rPr>
        <w:t>Teaching in lifelong learning: A guide to theory and practice</w:t>
      </w:r>
      <w:r w:rsidRPr="5942487E" w:rsidR="132DE4DE">
        <w:rPr>
          <w:rFonts w:ascii="Times New Roman" w:hAnsi="Times New Roman" w:eastAsia="Times New Roman" w:cs="Times New Roman"/>
          <w:noProof w:val="0"/>
          <w:sz w:val="24"/>
          <w:szCs w:val="24"/>
          <w:lang w:val="en-GB"/>
        </w:rPr>
        <w:t>. 3rd edn. London: Open University Press.</w:t>
      </w:r>
    </w:p>
    <w:p w:rsidR="132DE4DE" w:rsidP="5942487E" w:rsidRDefault="132DE4DE" w14:paraId="0A0BDC5C" w14:textId="6B7A49DF">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Children and Families Act 2014, c.6. Available at: </w:t>
      </w:r>
      <w:hyperlink r:id="R5d9f53fdee2e4f78">
        <w:r w:rsidRPr="5942487E" w:rsidR="132DE4DE">
          <w:rPr>
            <w:rStyle w:val="Hyperlink"/>
            <w:rFonts w:ascii="Times New Roman" w:hAnsi="Times New Roman" w:eastAsia="Times New Roman" w:cs="Times New Roman"/>
            <w:noProof w:val="0"/>
            <w:sz w:val="24"/>
            <w:szCs w:val="24"/>
            <w:lang w:val="en-GB"/>
          </w:rPr>
          <w:t>https://www.legislation.gov.uk/ukpga/2014/6/contents</w:t>
        </w:r>
      </w:hyperlink>
      <w:r w:rsidRPr="5942487E" w:rsidR="132DE4DE">
        <w:rPr>
          <w:rFonts w:ascii="Times New Roman" w:hAnsi="Times New Roman" w:eastAsia="Times New Roman" w:cs="Times New Roman"/>
          <w:noProof w:val="0"/>
          <w:sz w:val="24"/>
          <w:szCs w:val="24"/>
          <w:lang w:val="en-GB"/>
        </w:rPr>
        <w:t xml:space="preserve"> (Accessed: 25 January 2025).</w:t>
      </w:r>
    </w:p>
    <w:p w:rsidR="132DE4DE" w:rsidP="5942487E" w:rsidRDefault="132DE4DE" w14:paraId="502D067C" w14:textId="3349225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Counter-Terrorism and Security Act 2015, c.6. Available at: </w:t>
      </w:r>
      <w:hyperlink r:id="Re76dc0c2aa64443c">
        <w:r w:rsidRPr="5942487E" w:rsidR="132DE4DE">
          <w:rPr>
            <w:rStyle w:val="Hyperlink"/>
            <w:rFonts w:ascii="Times New Roman" w:hAnsi="Times New Roman" w:eastAsia="Times New Roman" w:cs="Times New Roman"/>
            <w:noProof w:val="0"/>
            <w:sz w:val="24"/>
            <w:szCs w:val="24"/>
            <w:lang w:val="en-GB"/>
          </w:rPr>
          <w:t>https://www.legislation.gov.uk/ukpga/2015/6/contents</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443081EA" w14:textId="2642C8C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David, M. (2013) </w:t>
      </w:r>
      <w:r w:rsidRPr="5942487E" w:rsidR="132DE4DE">
        <w:rPr>
          <w:rFonts w:ascii="Times New Roman" w:hAnsi="Times New Roman" w:eastAsia="Times New Roman" w:cs="Times New Roman"/>
          <w:i w:val="1"/>
          <w:iCs w:val="1"/>
          <w:noProof w:val="0"/>
          <w:sz w:val="24"/>
          <w:szCs w:val="24"/>
          <w:lang w:val="en-GB"/>
        </w:rPr>
        <w:t>Improving the participation of women in science, engineering and technology</w:t>
      </w:r>
      <w:r w:rsidRPr="5942487E" w:rsidR="132DE4DE">
        <w:rPr>
          <w:rFonts w:ascii="Times New Roman" w:hAnsi="Times New Roman" w:eastAsia="Times New Roman" w:cs="Times New Roman"/>
          <w:noProof w:val="0"/>
          <w:sz w:val="24"/>
          <w:szCs w:val="24"/>
          <w:lang w:val="en-GB"/>
        </w:rPr>
        <w:t>. London: UKRC.</w:t>
      </w:r>
    </w:p>
    <w:p w:rsidR="132DE4DE" w:rsidP="5942487E" w:rsidRDefault="132DE4DE" w14:paraId="2872D5C3" w14:textId="2886AD7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Department for Education and Department of Health (2014) </w:t>
      </w:r>
      <w:r w:rsidRPr="5942487E" w:rsidR="132DE4DE">
        <w:rPr>
          <w:rFonts w:ascii="Times New Roman" w:hAnsi="Times New Roman" w:eastAsia="Times New Roman" w:cs="Times New Roman"/>
          <w:i w:val="1"/>
          <w:iCs w:val="1"/>
          <w:noProof w:val="0"/>
          <w:sz w:val="24"/>
          <w:szCs w:val="24"/>
          <w:lang w:val="en-GB"/>
        </w:rPr>
        <w:t>SEND Code of Practice: 0 to 25 years</w:t>
      </w:r>
      <w:r w:rsidRPr="5942487E" w:rsidR="132DE4DE">
        <w:rPr>
          <w:rFonts w:ascii="Times New Roman" w:hAnsi="Times New Roman" w:eastAsia="Times New Roman" w:cs="Times New Roman"/>
          <w:noProof w:val="0"/>
          <w:sz w:val="24"/>
          <w:szCs w:val="24"/>
          <w:lang w:val="en-GB"/>
        </w:rPr>
        <w:t xml:space="preserve">. Available at: </w:t>
      </w:r>
      <w:hyperlink r:id="Rbba45a4d421745b5">
        <w:r w:rsidRPr="5942487E" w:rsidR="132DE4DE">
          <w:rPr>
            <w:rStyle w:val="Hyperlink"/>
            <w:rFonts w:ascii="Times New Roman" w:hAnsi="Times New Roman" w:eastAsia="Times New Roman" w:cs="Times New Roman"/>
            <w:noProof w:val="0"/>
            <w:sz w:val="24"/>
            <w:szCs w:val="24"/>
            <w:lang w:val="en-GB"/>
          </w:rPr>
          <w:t>https://www.gov.uk/government/publications/send-code-of-practice-0-to-25</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5F6EE77A" w14:textId="33274EBD">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Department for Education (2015) </w:t>
      </w:r>
      <w:r w:rsidRPr="5942487E" w:rsidR="132DE4DE">
        <w:rPr>
          <w:rFonts w:ascii="Times New Roman" w:hAnsi="Times New Roman" w:eastAsia="Times New Roman" w:cs="Times New Roman"/>
          <w:i w:val="1"/>
          <w:iCs w:val="1"/>
          <w:noProof w:val="0"/>
          <w:sz w:val="24"/>
          <w:szCs w:val="24"/>
          <w:lang w:val="en-GB"/>
        </w:rPr>
        <w:t>The Prevent Duty: Departmental advice for schools and childcare providers</w:t>
      </w:r>
      <w:r w:rsidRPr="5942487E" w:rsidR="132DE4DE">
        <w:rPr>
          <w:rFonts w:ascii="Times New Roman" w:hAnsi="Times New Roman" w:eastAsia="Times New Roman" w:cs="Times New Roman"/>
          <w:noProof w:val="0"/>
          <w:sz w:val="24"/>
          <w:szCs w:val="24"/>
          <w:lang w:val="en-GB"/>
        </w:rPr>
        <w:t xml:space="preserve">. Available at: </w:t>
      </w:r>
      <w:hyperlink r:id="R89cd142112d345d4">
        <w:r w:rsidRPr="5942487E" w:rsidR="132DE4DE">
          <w:rPr>
            <w:rStyle w:val="Hyperlink"/>
            <w:rFonts w:ascii="Times New Roman" w:hAnsi="Times New Roman" w:eastAsia="Times New Roman" w:cs="Times New Roman"/>
            <w:noProof w:val="0"/>
            <w:sz w:val="24"/>
            <w:szCs w:val="24"/>
            <w:lang w:val="en-GB"/>
          </w:rPr>
          <w:t>https://www.gov.uk/government/publications/prevent-duty-guidance</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742C5FF3" w14:textId="7938ED2C">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Educators Wales (2023) </w:t>
      </w:r>
      <w:r w:rsidRPr="5942487E" w:rsidR="132DE4DE">
        <w:rPr>
          <w:rFonts w:ascii="Times New Roman" w:hAnsi="Times New Roman" w:eastAsia="Times New Roman" w:cs="Times New Roman"/>
          <w:i w:val="1"/>
          <w:iCs w:val="1"/>
          <w:noProof w:val="0"/>
          <w:sz w:val="24"/>
          <w:szCs w:val="24"/>
          <w:lang w:val="en-GB"/>
        </w:rPr>
        <w:t>Professional standards for further education teachers, work-based learning practitioners and adult learning practitioners in Wales</w:t>
      </w:r>
      <w:r w:rsidRPr="5942487E" w:rsidR="132DE4DE">
        <w:rPr>
          <w:rFonts w:ascii="Times New Roman" w:hAnsi="Times New Roman" w:eastAsia="Times New Roman" w:cs="Times New Roman"/>
          <w:noProof w:val="0"/>
          <w:sz w:val="24"/>
          <w:szCs w:val="24"/>
          <w:lang w:val="en-GB"/>
        </w:rPr>
        <w:t xml:space="preserve">. Available at: </w:t>
      </w:r>
      <w:hyperlink r:id="R564ec4d6c1814e41">
        <w:r w:rsidRPr="5942487E" w:rsidR="132DE4DE">
          <w:rPr>
            <w:rStyle w:val="Hyperlink"/>
            <w:rFonts w:ascii="Times New Roman" w:hAnsi="Times New Roman" w:eastAsia="Times New Roman" w:cs="Times New Roman"/>
            <w:noProof w:val="0"/>
            <w:sz w:val="24"/>
            <w:szCs w:val="24"/>
            <w:lang w:val="en-GB"/>
          </w:rPr>
          <w:t>https://educators.wales/leaders-professional-standards</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07F8828F" w14:textId="6426AFED">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Equality Act 2010, c.15. Available at: </w:t>
      </w:r>
      <w:hyperlink r:id="R7d57d494713348f8">
        <w:r w:rsidRPr="5942487E" w:rsidR="132DE4DE">
          <w:rPr>
            <w:rStyle w:val="Hyperlink"/>
            <w:rFonts w:ascii="Times New Roman" w:hAnsi="Times New Roman" w:eastAsia="Times New Roman" w:cs="Times New Roman"/>
            <w:noProof w:val="0"/>
            <w:sz w:val="24"/>
            <w:szCs w:val="24"/>
            <w:lang w:val="en-GB"/>
          </w:rPr>
          <w:t>https://www.legislation.gov.uk/ukpga/2010/15/contents</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5402776F" w14:textId="072D3F6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Gravells, A. (2012) </w:t>
      </w:r>
      <w:r w:rsidRPr="5942487E" w:rsidR="132DE4DE">
        <w:rPr>
          <w:rFonts w:ascii="Times New Roman" w:hAnsi="Times New Roman" w:eastAsia="Times New Roman" w:cs="Times New Roman"/>
          <w:i w:val="1"/>
          <w:iCs w:val="1"/>
          <w:noProof w:val="0"/>
          <w:sz w:val="24"/>
          <w:szCs w:val="24"/>
          <w:lang w:val="en-GB"/>
        </w:rPr>
        <w:t>Preparing to teach in the lifelong learning sector</w:t>
      </w:r>
      <w:r w:rsidRPr="5942487E" w:rsidR="132DE4DE">
        <w:rPr>
          <w:rFonts w:ascii="Times New Roman" w:hAnsi="Times New Roman" w:eastAsia="Times New Roman" w:cs="Times New Roman"/>
          <w:noProof w:val="0"/>
          <w:sz w:val="24"/>
          <w:szCs w:val="24"/>
          <w:lang w:val="en-GB"/>
        </w:rPr>
        <w:t>. 5th edn. London: Learning Matters.</w:t>
      </w:r>
    </w:p>
    <w:p w:rsidR="132DE4DE" w:rsidP="5942487E" w:rsidRDefault="132DE4DE" w14:paraId="6DCA9ED9" w14:textId="6A3CCAB3">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HM Government (2015) </w:t>
      </w:r>
      <w:r w:rsidRPr="5942487E" w:rsidR="132DE4DE">
        <w:rPr>
          <w:rFonts w:ascii="Times New Roman" w:hAnsi="Times New Roman" w:eastAsia="Times New Roman" w:cs="Times New Roman"/>
          <w:i w:val="1"/>
          <w:iCs w:val="1"/>
          <w:noProof w:val="0"/>
          <w:sz w:val="24"/>
          <w:szCs w:val="24"/>
          <w:lang w:val="en-GB"/>
        </w:rPr>
        <w:t>Working together to safeguard children: A guide to inter-agency working to safeguard and promote the welfare of children</w:t>
      </w:r>
      <w:r w:rsidRPr="5942487E" w:rsidR="132DE4DE">
        <w:rPr>
          <w:rFonts w:ascii="Times New Roman" w:hAnsi="Times New Roman" w:eastAsia="Times New Roman" w:cs="Times New Roman"/>
          <w:noProof w:val="0"/>
          <w:sz w:val="24"/>
          <w:szCs w:val="24"/>
          <w:lang w:val="en-GB"/>
        </w:rPr>
        <w:t xml:space="preserve">. Available at: </w:t>
      </w:r>
      <w:hyperlink r:id="Rdf87b56cc8dc4370">
        <w:r w:rsidRPr="5942487E" w:rsidR="132DE4DE">
          <w:rPr>
            <w:rStyle w:val="Hyperlink"/>
            <w:rFonts w:ascii="Times New Roman" w:hAnsi="Times New Roman" w:eastAsia="Times New Roman" w:cs="Times New Roman"/>
            <w:noProof w:val="0"/>
            <w:sz w:val="24"/>
            <w:szCs w:val="24"/>
            <w:lang w:val="en-GB"/>
          </w:rPr>
          <w:t>https://www.gov.uk/government/publications/working-together-to-safeguard-children--2</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28648635" w14:textId="6689F72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Hodkinson, A. (2019) </w:t>
      </w:r>
      <w:r w:rsidRPr="5942487E" w:rsidR="132DE4DE">
        <w:rPr>
          <w:rFonts w:ascii="Times New Roman" w:hAnsi="Times New Roman" w:eastAsia="Times New Roman" w:cs="Times New Roman"/>
          <w:i w:val="1"/>
          <w:iCs w:val="1"/>
          <w:noProof w:val="0"/>
          <w:sz w:val="24"/>
          <w:szCs w:val="24"/>
          <w:lang w:val="en-GB"/>
        </w:rPr>
        <w:t>Key issues in special educational needs, disability and inclusion</w:t>
      </w:r>
      <w:r w:rsidRPr="5942487E" w:rsidR="132DE4DE">
        <w:rPr>
          <w:rFonts w:ascii="Times New Roman" w:hAnsi="Times New Roman" w:eastAsia="Times New Roman" w:cs="Times New Roman"/>
          <w:noProof w:val="0"/>
          <w:sz w:val="24"/>
          <w:szCs w:val="24"/>
          <w:lang w:val="en-GB"/>
        </w:rPr>
        <w:t>. 3rd edn. London: SAGE Publications Ltd.</w:t>
      </w:r>
    </w:p>
    <w:p w:rsidR="132DE4DE" w:rsidP="5942487E" w:rsidRDefault="132DE4DE" w14:paraId="681237C3" w14:textId="5431ACD3">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Peer, L. and Reid, G. (2021) </w:t>
      </w:r>
      <w:r w:rsidRPr="5942487E" w:rsidR="132DE4DE">
        <w:rPr>
          <w:rFonts w:ascii="Times New Roman" w:hAnsi="Times New Roman" w:eastAsia="Times New Roman" w:cs="Times New Roman"/>
          <w:i w:val="1"/>
          <w:iCs w:val="1"/>
          <w:noProof w:val="0"/>
          <w:sz w:val="24"/>
          <w:szCs w:val="24"/>
          <w:lang w:val="en-GB"/>
        </w:rPr>
        <w:t>Special educational needs: A guide for inclusive practice</w:t>
      </w:r>
      <w:r w:rsidRPr="5942487E" w:rsidR="132DE4DE">
        <w:rPr>
          <w:rFonts w:ascii="Times New Roman" w:hAnsi="Times New Roman" w:eastAsia="Times New Roman" w:cs="Times New Roman"/>
          <w:noProof w:val="0"/>
          <w:sz w:val="24"/>
          <w:szCs w:val="24"/>
          <w:lang w:val="en-GB"/>
        </w:rPr>
        <w:t>. 3rd edn. London: SAGE Publications Ltd.</w:t>
      </w:r>
    </w:p>
    <w:p w:rsidR="132DE4DE" w:rsidP="5942487E" w:rsidRDefault="132DE4DE" w14:paraId="6E71D30C" w14:textId="0A971B7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Petty, G. (2014) </w:t>
      </w:r>
      <w:r w:rsidRPr="5942487E" w:rsidR="132DE4DE">
        <w:rPr>
          <w:rFonts w:ascii="Times New Roman" w:hAnsi="Times New Roman" w:eastAsia="Times New Roman" w:cs="Times New Roman"/>
          <w:i w:val="1"/>
          <w:iCs w:val="1"/>
          <w:noProof w:val="0"/>
          <w:sz w:val="24"/>
          <w:szCs w:val="24"/>
          <w:lang w:val="en-GB"/>
        </w:rPr>
        <w:t>Teaching today: A practical guide</w:t>
      </w:r>
      <w:r w:rsidRPr="5942487E" w:rsidR="132DE4DE">
        <w:rPr>
          <w:rFonts w:ascii="Times New Roman" w:hAnsi="Times New Roman" w:eastAsia="Times New Roman" w:cs="Times New Roman"/>
          <w:noProof w:val="0"/>
          <w:sz w:val="24"/>
          <w:szCs w:val="24"/>
          <w:lang w:val="en-GB"/>
        </w:rPr>
        <w:t>. 5th edn. Oxford: Oxford University Press.</w:t>
      </w:r>
    </w:p>
    <w:p w:rsidR="132DE4DE" w:rsidP="5942487E" w:rsidRDefault="132DE4DE" w14:paraId="44AA18D1" w14:textId="04295655">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Reece, I. and Walker, S. (2007) </w:t>
      </w:r>
      <w:r w:rsidRPr="5942487E" w:rsidR="132DE4DE">
        <w:rPr>
          <w:rFonts w:ascii="Times New Roman" w:hAnsi="Times New Roman" w:eastAsia="Times New Roman" w:cs="Times New Roman"/>
          <w:i w:val="1"/>
          <w:iCs w:val="1"/>
          <w:noProof w:val="0"/>
          <w:sz w:val="24"/>
          <w:szCs w:val="24"/>
          <w:lang w:val="en-GB"/>
        </w:rPr>
        <w:t>Teaching, training and learning</w:t>
      </w:r>
      <w:r w:rsidRPr="5942487E" w:rsidR="132DE4DE">
        <w:rPr>
          <w:rFonts w:ascii="Times New Roman" w:hAnsi="Times New Roman" w:eastAsia="Times New Roman" w:cs="Times New Roman"/>
          <w:noProof w:val="0"/>
          <w:sz w:val="24"/>
          <w:szCs w:val="24"/>
          <w:lang w:val="en-GB"/>
        </w:rPr>
        <w:t>. 6th edn. Great Britain: Business Education Publishers Limited.</w:t>
      </w:r>
    </w:p>
    <w:p w:rsidR="132DE4DE" w:rsidP="5942487E" w:rsidRDefault="132DE4DE" w14:paraId="17E8D066" w14:textId="110F9B2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Robson, J., Sibieta, L., Khandekar, S., Neagu, M., Robinson, D. and Relly, S. (2024) </w:t>
      </w:r>
      <w:r w:rsidRPr="5942487E" w:rsidR="132DE4DE">
        <w:rPr>
          <w:rFonts w:ascii="Times New Roman" w:hAnsi="Times New Roman" w:eastAsia="Times New Roman" w:cs="Times New Roman"/>
          <w:i w:val="1"/>
          <w:iCs w:val="1"/>
          <w:noProof w:val="0"/>
          <w:sz w:val="24"/>
          <w:szCs w:val="24"/>
          <w:lang w:val="en-GB"/>
        </w:rPr>
        <w:t>Comparing policies, participation and inequalities across UK post-16 education and training landscapes</w:t>
      </w:r>
      <w:r w:rsidRPr="5942487E" w:rsidR="132DE4DE">
        <w:rPr>
          <w:rFonts w:ascii="Times New Roman" w:hAnsi="Times New Roman" w:eastAsia="Times New Roman" w:cs="Times New Roman"/>
          <w:noProof w:val="0"/>
          <w:sz w:val="24"/>
          <w:szCs w:val="24"/>
          <w:lang w:val="en-GB"/>
        </w:rPr>
        <w:t>. Oxford: SKOPE.</w:t>
      </w:r>
    </w:p>
    <w:p w:rsidR="132DE4DE" w:rsidP="5942487E" w:rsidRDefault="132DE4DE" w14:paraId="3C18E288" w14:textId="39FF1000">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The Equality Act (Sexual Orientation) Regulations 2007 No. 1263. Available at: </w:t>
      </w:r>
      <w:hyperlink r:id="Rf5f9db3408b74bbf">
        <w:r w:rsidRPr="5942487E" w:rsidR="132DE4DE">
          <w:rPr>
            <w:rStyle w:val="Hyperlink"/>
            <w:rFonts w:ascii="Times New Roman" w:hAnsi="Times New Roman" w:eastAsia="Times New Roman" w:cs="Times New Roman"/>
            <w:noProof w:val="0"/>
            <w:sz w:val="24"/>
            <w:szCs w:val="24"/>
            <w:lang w:val="en-GB"/>
          </w:rPr>
          <w:t>https://www.legislation.gov.uk/uksi/2007/1263/contents/made</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36136C2E" w14:textId="509F6F4E">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The Well-being of Future Generations (Wales) Act 2015, anaw 2. Available at: </w:t>
      </w:r>
      <w:hyperlink r:id="R3b1852a6b3154991">
        <w:r w:rsidRPr="5942487E" w:rsidR="132DE4DE">
          <w:rPr>
            <w:rStyle w:val="Hyperlink"/>
            <w:rFonts w:ascii="Times New Roman" w:hAnsi="Times New Roman" w:eastAsia="Times New Roman" w:cs="Times New Roman"/>
            <w:noProof w:val="0"/>
            <w:sz w:val="24"/>
            <w:szCs w:val="24"/>
            <w:lang w:val="en-GB"/>
          </w:rPr>
          <w:t>https://www.legislation.gov.uk/anaw/2015/2/contents</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24D594A1" w14:textId="5D4B5511">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University of Wales Trinity Saint David (2024) </w:t>
      </w:r>
      <w:r w:rsidRPr="5942487E" w:rsidR="132DE4DE">
        <w:rPr>
          <w:rFonts w:ascii="Times New Roman" w:hAnsi="Times New Roman" w:eastAsia="Times New Roman" w:cs="Times New Roman"/>
          <w:i w:val="1"/>
          <w:iCs w:val="1"/>
          <w:noProof w:val="0"/>
          <w:sz w:val="24"/>
          <w:szCs w:val="24"/>
          <w:lang w:val="en-GB"/>
        </w:rPr>
        <w:t>Strategic Equality Plan 2024–2028</w:t>
      </w:r>
      <w:r w:rsidRPr="5942487E" w:rsidR="132DE4DE">
        <w:rPr>
          <w:rFonts w:ascii="Times New Roman" w:hAnsi="Times New Roman" w:eastAsia="Times New Roman" w:cs="Times New Roman"/>
          <w:noProof w:val="0"/>
          <w:sz w:val="24"/>
          <w:szCs w:val="24"/>
          <w:lang w:val="en-GB"/>
        </w:rPr>
        <w:t xml:space="preserve">. Available at: </w:t>
      </w:r>
      <w:hyperlink r:id="R4295ab1a077f4b6b">
        <w:r w:rsidRPr="5942487E" w:rsidR="132DE4DE">
          <w:rPr>
            <w:rStyle w:val="Hyperlink"/>
            <w:rFonts w:ascii="Times New Roman" w:hAnsi="Times New Roman" w:eastAsia="Times New Roman" w:cs="Times New Roman"/>
            <w:noProof w:val="0"/>
            <w:sz w:val="24"/>
            <w:szCs w:val="24"/>
            <w:lang w:val="en-GB"/>
          </w:rPr>
          <w:t>https://www.uwtsd.ac.uk/media/2555</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38444609" w14:textId="564BC181">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Wales Centre for Public Policy (2024) </w:t>
      </w:r>
      <w:r w:rsidRPr="5942487E" w:rsidR="132DE4DE">
        <w:rPr>
          <w:rFonts w:ascii="Times New Roman" w:hAnsi="Times New Roman" w:eastAsia="Times New Roman" w:cs="Times New Roman"/>
          <w:i w:val="1"/>
          <w:iCs w:val="1"/>
          <w:noProof w:val="0"/>
          <w:sz w:val="24"/>
          <w:szCs w:val="24"/>
          <w:lang w:val="en-GB"/>
        </w:rPr>
        <w:t>Understanding inequity in tertiary education: Expert reflections on the challenges and how to overcome them</w:t>
      </w:r>
      <w:r w:rsidRPr="5942487E" w:rsidR="132DE4DE">
        <w:rPr>
          <w:rFonts w:ascii="Times New Roman" w:hAnsi="Times New Roman" w:eastAsia="Times New Roman" w:cs="Times New Roman"/>
          <w:noProof w:val="0"/>
          <w:sz w:val="24"/>
          <w:szCs w:val="24"/>
          <w:lang w:val="en-GB"/>
        </w:rPr>
        <w:t xml:space="preserve">. Available at: </w:t>
      </w:r>
      <w:hyperlink r:id="R1ca00b8c8a674ced">
        <w:r w:rsidRPr="5942487E" w:rsidR="132DE4DE">
          <w:rPr>
            <w:rStyle w:val="Hyperlink"/>
            <w:rFonts w:ascii="Times New Roman" w:hAnsi="Times New Roman" w:eastAsia="Times New Roman" w:cs="Times New Roman"/>
            <w:noProof w:val="0"/>
            <w:sz w:val="24"/>
            <w:szCs w:val="24"/>
            <w:lang w:val="en-GB"/>
          </w:rPr>
          <w:t>https://www.wcpp.org.uk</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5704965D" w14:textId="4B9221C7">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Wilson, L. (2014) </w:t>
      </w:r>
      <w:r w:rsidRPr="5942487E" w:rsidR="132DE4DE">
        <w:rPr>
          <w:rFonts w:ascii="Times New Roman" w:hAnsi="Times New Roman" w:eastAsia="Times New Roman" w:cs="Times New Roman"/>
          <w:i w:val="1"/>
          <w:iCs w:val="1"/>
          <w:noProof w:val="0"/>
          <w:sz w:val="24"/>
          <w:szCs w:val="24"/>
          <w:lang w:val="en-GB"/>
        </w:rPr>
        <w:t>Practical teaching: A guide to teaching in the education and training sector</w:t>
      </w:r>
      <w:r w:rsidRPr="5942487E" w:rsidR="132DE4DE">
        <w:rPr>
          <w:rFonts w:ascii="Times New Roman" w:hAnsi="Times New Roman" w:eastAsia="Times New Roman" w:cs="Times New Roman"/>
          <w:noProof w:val="0"/>
          <w:sz w:val="24"/>
          <w:szCs w:val="24"/>
          <w:lang w:val="en-GB"/>
        </w:rPr>
        <w:t>. 2nd edn. London: Cengage Learning.</w:t>
      </w:r>
    </w:p>
    <w:p w:rsidR="5942487E" w:rsidP="5942487E" w:rsidRDefault="5942487E" w14:paraId="5AA42AF3" w14:textId="59EBDC0F">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78CA2B66" w14:textId="25716E3A">
      <w:pPr>
        <w:spacing w:after="0" w:afterAutospacing="off" w:line="360" w:lineRule="auto"/>
        <w:rPr>
          <w:rFonts w:ascii="Times New Roman" w:hAnsi="Times New Roman" w:eastAsia="Times New Roman" w:cs="Times New Roman"/>
          <w:b w:val="0"/>
          <w:bCs w:val="0"/>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5154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73e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85448"/>
    <w:rsid w:val="0319C9A3"/>
    <w:rsid w:val="093F10D4"/>
    <w:rsid w:val="0D4DF410"/>
    <w:rsid w:val="0E94BF44"/>
    <w:rsid w:val="0F3B8EBB"/>
    <w:rsid w:val="0F7C689A"/>
    <w:rsid w:val="0F9E2A87"/>
    <w:rsid w:val="132DE4DE"/>
    <w:rsid w:val="140BA117"/>
    <w:rsid w:val="1FF0CC9C"/>
    <w:rsid w:val="22B26E5D"/>
    <w:rsid w:val="237C0DCF"/>
    <w:rsid w:val="26C7EA07"/>
    <w:rsid w:val="2CD7DECD"/>
    <w:rsid w:val="2E1AC31D"/>
    <w:rsid w:val="2F625C2F"/>
    <w:rsid w:val="3EDE9EE7"/>
    <w:rsid w:val="40B8DA7D"/>
    <w:rsid w:val="48696AA4"/>
    <w:rsid w:val="4C64994B"/>
    <w:rsid w:val="5923BF36"/>
    <w:rsid w:val="5942487E"/>
    <w:rsid w:val="5D80B7EC"/>
    <w:rsid w:val="5FAF0847"/>
    <w:rsid w:val="63BB19FC"/>
    <w:rsid w:val="67885448"/>
    <w:rsid w:val="6CADDFC5"/>
    <w:rsid w:val="6EE8FD25"/>
    <w:rsid w:val="7666A46A"/>
    <w:rsid w:val="77FF9AB4"/>
    <w:rsid w:val="7C1E19F5"/>
    <w:rsid w:val="7C7B8DF0"/>
    <w:rsid w:val="7EC77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85448"/>
  <w15:chartTrackingRefBased/>
  <w15:docId w15:val="{6793C2AF-BCA5-4729-9EDE-B24941E566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942487E"/>
    <w:pPr>
      <w:spacing/>
      <w:ind w:left="720"/>
      <w:contextualSpacing/>
    </w:pPr>
  </w:style>
  <w:style w:type="character" w:styleId="Hyperlink">
    <w:uiPriority w:val="99"/>
    <w:name w:val="Hyperlink"/>
    <w:basedOn w:val="DefaultParagraphFont"/>
    <w:unhideWhenUsed/>
    <w:rsid w:val="594248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6/contents" TargetMode="External" Id="R5d9f53fdee2e4f78" /><Relationship Type="http://schemas.openxmlformats.org/officeDocument/2006/relationships/hyperlink" Target="https://www.legislation.gov.uk/ukpga/2015/6/contents" TargetMode="External" Id="Re76dc0c2aa64443c" /><Relationship Type="http://schemas.openxmlformats.org/officeDocument/2006/relationships/hyperlink" Target="https://www.gov.uk/government/publications/send-code-of-practice-0-to-25" TargetMode="External" Id="Rbba45a4d421745b5" /><Relationship Type="http://schemas.openxmlformats.org/officeDocument/2006/relationships/hyperlink" Target="https://www.gov.uk/government/publications/prevent-duty-guidance" TargetMode="External" Id="R89cd142112d345d4" /><Relationship Type="http://schemas.openxmlformats.org/officeDocument/2006/relationships/hyperlink" Target="https://educators.wales/leaders-professional-standards" TargetMode="External" Id="R564ec4d6c1814e41" /><Relationship Type="http://schemas.openxmlformats.org/officeDocument/2006/relationships/hyperlink" Target="https://www.legislation.gov.uk/ukpga/2010/15/contents" TargetMode="External" Id="R7d57d494713348f8" /><Relationship Type="http://schemas.openxmlformats.org/officeDocument/2006/relationships/hyperlink" Target="https://www.gov.uk/government/publications/working-together-to-safeguard-children--2" TargetMode="External" Id="Rdf87b56cc8dc4370" /><Relationship Type="http://schemas.openxmlformats.org/officeDocument/2006/relationships/hyperlink" Target="https://www.legislation.gov.uk/uksi/2007/1263/contents/made" TargetMode="External" Id="Rf5f9db3408b74bbf" /><Relationship Type="http://schemas.openxmlformats.org/officeDocument/2006/relationships/hyperlink" Target="https://www.legislation.gov.uk/anaw/2015/2/contents" TargetMode="External" Id="R3b1852a6b3154991" /><Relationship Type="http://schemas.openxmlformats.org/officeDocument/2006/relationships/hyperlink" Target="https://www.uwtsd.ac.uk/media/2555" TargetMode="External" Id="R4295ab1a077f4b6b" /><Relationship Type="http://schemas.openxmlformats.org/officeDocument/2006/relationships/hyperlink" Target="https://www.wcpp.org.uk/" TargetMode="External" Id="R1ca00b8c8a674ced" /><Relationship Type="http://schemas.openxmlformats.org/officeDocument/2006/relationships/numbering" Target="/word/numbering.xml" Id="Rf2ac5a5d70094f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Snizhana Oliinichenko (2406093)</dc:creator>
  <keywords/>
  <dc:description/>
  <lastModifiedBy>Snizhana Oliinichenko (2406093)</lastModifiedBy>
  <revision>2</revision>
  <dcterms:created xsi:type="dcterms:W3CDTF">2025-05-29T10:59:28.7138185Z</dcterms:created>
  <dcterms:modified xsi:type="dcterms:W3CDTF">2025-05-29T11:57:53.3305125Z</dcterms:modified>
</coreProperties>
</file>