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3B936" w14:textId="77777777" w:rsidR="00FE0B32" w:rsidRDefault="00FE0B32" w:rsidP="00EA3B06">
      <w:pPr>
        <w:spacing w:before="1440" w:after="240" w:line="360" w:lineRule="auto"/>
        <w:jc w:val="center"/>
        <w:rPr>
          <w:b/>
          <w:bCs/>
          <w:color w:val="1F3864"/>
          <w:sz w:val="32"/>
          <w:szCs w:val="32"/>
        </w:rPr>
      </w:pPr>
      <w:r>
        <w:rPr>
          <w:noProof/>
        </w:rPr>
        <w:drawing>
          <wp:inline distT="0" distB="0" distL="0" distR="0" wp14:anchorId="0A8D7CFE" wp14:editId="761FB881">
            <wp:extent cx="3429000" cy="1130300"/>
            <wp:effectExtent l="0" t="0" r="0" b="0"/>
            <wp:docPr id="1309012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1130300"/>
                    </a:xfrm>
                    <a:prstGeom prst="rect">
                      <a:avLst/>
                    </a:prstGeom>
                    <a:noFill/>
                    <a:ln>
                      <a:noFill/>
                    </a:ln>
                  </pic:spPr>
                </pic:pic>
              </a:graphicData>
            </a:graphic>
          </wp:inline>
        </w:drawing>
      </w:r>
    </w:p>
    <w:p w14:paraId="05F5DCE1" w14:textId="32D2C671" w:rsidR="00BE35A0" w:rsidRPr="00EA3B06" w:rsidRDefault="003171BD" w:rsidP="00EA3B06">
      <w:pPr>
        <w:spacing w:before="1440" w:after="240" w:line="360" w:lineRule="auto"/>
        <w:jc w:val="center"/>
        <w:rPr>
          <w:sz w:val="32"/>
          <w:szCs w:val="32"/>
        </w:rPr>
      </w:pPr>
      <w:r>
        <w:rPr>
          <w:b/>
          <w:bCs/>
          <w:color w:val="1F3864"/>
          <w:sz w:val="32"/>
          <w:szCs w:val="32"/>
        </w:rPr>
        <w:t>MSc Public Health and Social Care in Practice</w:t>
      </w:r>
    </w:p>
    <w:p w14:paraId="44276227" w14:textId="77777777" w:rsidR="00BE35A0" w:rsidRPr="00EA3B06" w:rsidRDefault="003171BD" w:rsidP="00EA3B06">
      <w:pPr>
        <w:spacing w:after="240" w:line="360" w:lineRule="auto"/>
        <w:jc w:val="center"/>
        <w:rPr>
          <w:sz w:val="32"/>
          <w:szCs w:val="32"/>
        </w:rPr>
      </w:pPr>
      <w:r>
        <w:rPr>
          <w:sz w:val="32"/>
          <w:szCs w:val="32"/>
        </w:rPr>
        <w:t xml:space="preserve">Module: Practice-Based Research | Module Code: LCHS7008 </w:t>
      </w:r>
    </w:p>
    <w:p w14:paraId="35ED57C6" w14:textId="77777777" w:rsidR="00BE35A0" w:rsidRPr="00EA3B06" w:rsidRDefault="00BE35A0" w:rsidP="00EA3B06">
      <w:pPr>
        <w:spacing w:after="80" w:line="360" w:lineRule="auto"/>
        <w:jc w:val="center"/>
        <w:rPr>
          <w:sz w:val="32"/>
          <w:szCs w:val="32"/>
        </w:rPr>
      </w:pPr>
    </w:p>
    <w:p w14:paraId="6D4D0618" w14:textId="77777777" w:rsidR="00BE35A0" w:rsidRPr="00EA3B06" w:rsidRDefault="00470CEF" w:rsidP="00EA3B06">
      <w:pPr>
        <w:spacing w:before="480" w:after="480" w:line="360" w:lineRule="auto"/>
        <w:jc w:val="center"/>
        <w:rPr>
          <w:sz w:val="32"/>
          <w:szCs w:val="32"/>
        </w:rPr>
      </w:pPr>
      <w:r>
        <w:rPr>
          <w:b/>
          <w:bCs/>
          <w:color w:val="1F3864"/>
          <w:sz w:val="32"/>
          <w:szCs w:val="32"/>
        </w:rPr>
        <w:t>An Analysis of Barriers to Accessing Primary Healthcare Services Among Homeless Adults (Aged 18 and Over) in England: A Systematic Review</w:t>
      </w:r>
    </w:p>
    <w:p w14:paraId="3EEFA547" w14:textId="77777777" w:rsidR="00BE35A0" w:rsidRPr="00EA3B06" w:rsidRDefault="00BE35A0" w:rsidP="00EA3B06">
      <w:pPr>
        <w:spacing w:after="80" w:line="360" w:lineRule="auto"/>
        <w:jc w:val="center"/>
        <w:rPr>
          <w:sz w:val="32"/>
          <w:szCs w:val="32"/>
        </w:rPr>
      </w:pPr>
    </w:p>
    <w:p w14:paraId="0AA477A1" w14:textId="77777777" w:rsidR="00BE35A0" w:rsidRPr="00EA3B06" w:rsidRDefault="003171BD" w:rsidP="00EA3B06">
      <w:pPr>
        <w:spacing w:before="240" w:after="120" w:line="360" w:lineRule="auto"/>
        <w:jc w:val="center"/>
        <w:rPr>
          <w:sz w:val="32"/>
          <w:szCs w:val="32"/>
        </w:rPr>
      </w:pPr>
      <w:r>
        <w:rPr>
          <w:i/>
          <w:iCs/>
          <w:sz w:val="32"/>
          <w:szCs w:val="32"/>
        </w:rPr>
        <w:t>Component 2 — Written Research Proposal</w:t>
      </w:r>
    </w:p>
    <w:p w14:paraId="628DFF01" w14:textId="77777777" w:rsidR="00BE35A0" w:rsidRPr="00EA3B06" w:rsidRDefault="00BE35A0" w:rsidP="00EA3B06">
      <w:pPr>
        <w:spacing w:after="80" w:line="360" w:lineRule="auto"/>
        <w:jc w:val="center"/>
        <w:rPr>
          <w:sz w:val="32"/>
          <w:szCs w:val="32"/>
        </w:rPr>
      </w:pPr>
    </w:p>
    <w:p w14:paraId="7C7CA6F2" w14:textId="77777777" w:rsidR="00BE35A0" w:rsidRPr="00EA3B06" w:rsidRDefault="003171BD" w:rsidP="00EA3B06">
      <w:pPr>
        <w:spacing w:before="480" w:after="120" w:line="360" w:lineRule="auto"/>
        <w:jc w:val="center"/>
        <w:rPr>
          <w:sz w:val="32"/>
          <w:szCs w:val="32"/>
        </w:rPr>
      </w:pPr>
      <w:r>
        <w:rPr>
          <w:b/>
          <w:bCs/>
          <w:sz w:val="32"/>
          <w:szCs w:val="32"/>
        </w:rPr>
        <w:t>Student Name: Krishna Snehalgiri Goswami</w:t>
      </w:r>
    </w:p>
    <w:p w14:paraId="551D8D18" w14:textId="77777777" w:rsidR="00BE35A0" w:rsidRPr="00EA3B06" w:rsidRDefault="003171BD" w:rsidP="00EA3B06">
      <w:pPr>
        <w:spacing w:after="120" w:line="360" w:lineRule="auto"/>
        <w:jc w:val="center"/>
        <w:rPr>
          <w:sz w:val="32"/>
          <w:szCs w:val="32"/>
        </w:rPr>
      </w:pPr>
      <w:r>
        <w:rPr>
          <w:b/>
          <w:bCs/>
          <w:sz w:val="32"/>
          <w:szCs w:val="32"/>
        </w:rPr>
        <w:t xml:space="preserve">Student Number: </w:t>
      </w:r>
      <w:r>
        <w:rPr>
          <w:sz w:val="32"/>
          <w:szCs w:val="32"/>
        </w:rPr>
        <w:t>2436890</w:t>
      </w:r>
    </w:p>
    <w:p w14:paraId="69EA4D77" w14:textId="1EB5367E" w:rsidR="00BE35A0" w:rsidRPr="00FE0B32" w:rsidRDefault="003171BD" w:rsidP="00FE0B32">
      <w:pPr>
        <w:spacing w:after="120" w:line="360" w:lineRule="auto"/>
        <w:jc w:val="center"/>
        <w:rPr>
          <w:sz w:val="32"/>
          <w:szCs w:val="32"/>
        </w:rPr>
      </w:pPr>
      <w:r>
        <w:rPr>
          <w:sz w:val="32"/>
          <w:szCs w:val="32"/>
        </w:rPr>
        <w:t>Lecturer: Dr Diola Bijlhout</w:t>
      </w:r>
      <w:r>
        <w:br w:type="page"/>
      </w:r>
    </w:p>
    <w:p w14:paraId="5CAAC00C" w14:textId="77777777" w:rsidR="00BE35A0" w:rsidRPr="00EA3B06" w:rsidRDefault="003171BD" w:rsidP="00EA3B06">
      <w:pPr>
        <w:pStyle w:val="Heading1"/>
        <w:spacing w:line="360" w:lineRule="auto"/>
        <w:jc w:val="both"/>
        <w:rPr>
          <w:sz w:val="22"/>
          <w:szCs w:val="22"/>
        </w:rPr>
      </w:pPr>
      <w:r>
        <w:rPr>
          <w:sz w:val="22"/>
          <w:szCs w:val="22"/>
        </w:rPr>
        <w:lastRenderedPageBreak/>
        <w:t>1. Prevalence of the Problem</w:t>
      </w:r>
    </w:p>
    <w:p w14:paraId="1D9662D4" w14:textId="77777777" w:rsidR="00BE35A0" w:rsidRPr="00EA3B06" w:rsidRDefault="0083537A" w:rsidP="00EA3B06">
      <w:pPr>
        <w:spacing w:after="160" w:line="360" w:lineRule="auto"/>
        <w:jc w:val="both"/>
      </w:pPr>
      <w:r>
        <w:t>Homelessness is one of the most severe public health issues in England. According to Fitzpatrick et al. (2023), since the COVID-19 pandemic, statutory homelessness acceptances have been on the increase, fuelled by the cost of accommodation and lack of welfare. According to the Office for National Statistics (2022), homeless men had a mean age at death of 45 years and women 43 years compared to 76 and 81 years respectively - a more than 30 years preventable mortality discrepancy. Homeless Link (2014) found 73% of homeless adults reported a physical health problem and 80% a mental health issue, many experiencing both alongside substance misuse, termed tri-morbidity. Aldridge et al. (2018) confirmed standardised mortality ratios of 7.9 for men and 11.9 for women — figures that likely underestimate the true burden, as ONS recording at death is widely acknowledged as incomplete (Office for National Statistics, 2022). This disproportionate health burden, combined with persistent barriers to access to primary care, constitutes the central justification for this research.</w:t>
      </w:r>
    </w:p>
    <w:p w14:paraId="2D5A2A05" w14:textId="77777777" w:rsidR="00BE35A0" w:rsidRPr="00EA3B06" w:rsidRDefault="003171BD" w:rsidP="00EA3B06">
      <w:pPr>
        <w:pStyle w:val="Heading1"/>
        <w:spacing w:line="360" w:lineRule="auto"/>
        <w:jc w:val="both"/>
        <w:rPr>
          <w:sz w:val="22"/>
          <w:szCs w:val="22"/>
        </w:rPr>
      </w:pPr>
      <w:r>
        <w:rPr>
          <w:sz w:val="22"/>
          <w:szCs w:val="22"/>
        </w:rPr>
        <w:t>2. Introduction and Literature-Based Background</w:t>
      </w:r>
    </w:p>
    <w:p w14:paraId="770AD4D5" w14:textId="77777777" w:rsidR="00AC6F8B" w:rsidRPr="00EA3B06" w:rsidRDefault="00AC6F8B" w:rsidP="00EA3B06">
      <w:pPr>
        <w:spacing w:after="160" w:line="360" w:lineRule="auto"/>
        <w:jc w:val="both"/>
      </w:pPr>
      <w:r>
        <w:t>In England, homelessness is a condition of rough sleeping, temporary accommodation, sofa surfing, and hostel residence, all of which have unique disadvantages to accessing healthcare (Crisis, 2022). In a qualitative study involving 22 homeless people in the West Midlands, Gunner et al. (2019) discovered that the participants systematically did not receive an invitation to register with GP services, even though NHS England policy allowed registration with or without regard to residential status. Although useful, the small sample size restricts the applicability to the wider English population. A cross-sectional survey of 2,505 homeless people in 19 locations across England revealed that rough sleepers were 55% less likely to be GP-registered than those in accommodation, with downstream effects on hospital admission and emergency service usage (Elwell-Sutton et al., 2017). Cross-sectional designs are unable to prove causality, but it is not known if low registration is the cause of worse results or a manifestation of inviability.</w:t>
      </w:r>
    </w:p>
    <w:p w14:paraId="7593F978" w14:textId="77777777" w:rsidR="00AC6F8B" w:rsidRPr="00EA3B06" w:rsidRDefault="00AC6F8B" w:rsidP="00EA3B06">
      <w:pPr>
        <w:spacing w:after="160" w:line="360" w:lineRule="auto"/>
        <w:jc w:val="both"/>
      </w:pPr>
      <w:r>
        <w:t xml:space="preserve">The inverse care law presented by Hart (1971), which states that the availability of healthcare is inversely proportional to the need of the population, is still acutely relevant today. Homeless adults face some of the highest health needs of any population group, whilst consistently accessing the least care (Hewett and Halligan, 2010; Hwang, 2001). Marmot (2018) suggested that inclusion health needs intervention on the upstream structural level, addressing the underlying social conditions that generate homelessness and bad health. Research by Fazel, Geddes and Kushel (2014) reported high rates of infectious disease, mental illness, substance abuse, and non-communicable conditions in homeless communities around the world. The </w:t>
      </w:r>
      <w:r>
        <w:lastRenderedPageBreak/>
        <w:t>study by Lewer et al. (2019) proved that homeless people in London and Birmingham were significantly more likely to report chronic obstructive pulmonary disease, epilepsy, and heart disease than the most deprived housed populations, evidencing homelessness as a determinant of health on their own. In their study, Rogans-Watson et al. (2020) revealed that homeless adults in London hostels have health profiles two to three decades beyond their chronological age. Shulman et al. (2018) discovered that primary care often lacks and leads to a terminal disease, highlighting the life-or-death implications of care exclusion.</w:t>
      </w:r>
    </w:p>
    <w:p w14:paraId="48D667CE" w14:textId="77777777" w:rsidR="00AC6F8B" w:rsidRPr="00EA3B06" w:rsidRDefault="001A5AC0" w:rsidP="00EA3B06">
      <w:pPr>
        <w:spacing w:after="160" w:line="360" w:lineRule="auto"/>
        <w:jc w:val="both"/>
      </w:pPr>
      <w:r>
        <w:t>It is important to recognise that barriers are not universally experienced. Gunner et al. (2019) indicate that some of the participants have had no trouble accessing services, meaning that severity depends on the type of homelessness and access to services locally. As Rae and Rees (2015) have discovered, engagement and institutional barriers depended on individual factors such as prior negative service encounters, low health-seeking behaviour, and perceptions of unworthiness, which formed a multifaceted, multilevel interaction. Stafford and Wood (2017) affirmed that social determinants, such as poverty and social exclusion, need to be complemented with institutional barriers, whereas Bramley et al. (2015) presented the way in which severe and multiple disadvantages increase access challenges. Bramley and Fitzpatrick (2018) determined that individuals with mental health problems, prior care experience, and substance misuse histories are at the highest risk of homelessness in the UK, which echoed the self-reinforcement between vulnerabilities and healthcare exclusion.</w:t>
      </w:r>
    </w:p>
    <w:p w14:paraId="64592360" w14:textId="0DB169FE" w:rsidR="00BE35A0" w:rsidRPr="00EA3B06" w:rsidRDefault="00AC6F8B" w:rsidP="00EA3B06">
      <w:pPr>
        <w:spacing w:after="160" w:line="360" w:lineRule="auto"/>
        <w:jc w:val="both"/>
      </w:pPr>
      <w:r>
        <w:t xml:space="preserve">Structural barriers have still remained in place despite the Department of Health's (2010) inclusion health framework and the strategy on rough sleeping provided by MHCLG (2018) (Luchenski et al., 2018). Lewer et al. (2021) showed that homeless inpatients were readmitted at 2.49 times the rate of housed patients, a quantifiable impact of primary care loss. The study by Heaslip et al. (2022) revealed inadequate signposting, excessive waiting times, and anxiety to be some of the remaining impediments, implying that despite the policy frameworks, implementation still lagged short of the expectations laid out in the NICE (2022) guidance. These results determine the multidimensional, systemic </w:t>
      </w:r>
      <w:r w:rsidR="00B73A39">
        <w:t>characteristic</w:t>
      </w:r>
      <w:r>
        <w:t xml:space="preserve"> of obstacles to primary healthcare among homeless adults in England.</w:t>
      </w:r>
    </w:p>
    <w:p w14:paraId="4AAEF609" w14:textId="77777777" w:rsidR="00BE35A0" w:rsidRPr="00EA3B06" w:rsidRDefault="003171BD" w:rsidP="00EA3B06">
      <w:pPr>
        <w:pStyle w:val="Heading1"/>
        <w:spacing w:line="360" w:lineRule="auto"/>
        <w:jc w:val="both"/>
        <w:rPr>
          <w:sz w:val="22"/>
          <w:szCs w:val="22"/>
        </w:rPr>
      </w:pPr>
      <w:r>
        <w:rPr>
          <w:sz w:val="22"/>
          <w:szCs w:val="22"/>
        </w:rPr>
        <w:t>3. Rationale, Research Question, Aim and Objectives</w:t>
      </w:r>
    </w:p>
    <w:p w14:paraId="3521A125" w14:textId="77777777" w:rsidR="00BE35A0" w:rsidRPr="00EA3B06" w:rsidRDefault="006B52C2" w:rsidP="00EA3B06">
      <w:pPr>
        <w:spacing w:after="160" w:line="360" w:lineRule="auto"/>
        <w:jc w:val="both"/>
      </w:pPr>
      <w:r>
        <w:t xml:space="preserve">Although some evidence continues to accumulate, there is still scattered literature across disciplines, practices and contexts, and no synthesis of England-specific barriers to primary healthcare access takes an integrated approach. The topicality of the study cannot be overestimated: in England, statutory homelessness increased dramatically since 2021 (Fitzpatrick et al., 2023), NICE Guideline NG214 was released only recently (in 2022), and the NHS Long Term Plan (NHS England, 2019) has committed to the systematic provision of </w:t>
      </w:r>
      <w:r>
        <w:lastRenderedPageBreak/>
        <w:t>inclusion health outcomes, but primary care exclusion indicates implementation remains inconsistent.</w:t>
      </w:r>
    </w:p>
    <w:p w14:paraId="662FD52A" w14:textId="77777777" w:rsidR="00BE35A0" w:rsidRPr="00EA3B06" w:rsidRDefault="00CA1618" w:rsidP="00EA3B06">
      <w:pPr>
        <w:spacing w:after="160" w:line="360" w:lineRule="auto"/>
        <w:jc w:val="both"/>
      </w:pPr>
      <w:r>
        <w:t>Since this study is desk-based and structured, a formal directional hypothesis is not presented. Nevertheless, the assumption is that there are structural, institutional, and individual barriers to homeless adults in England, and that no one intervention will be adequate to resolve healthcare exclusion without policy changes that are coordinated and systemic. This thematic structure informs the thematic organisation of literature synthesis.</w:t>
      </w:r>
    </w:p>
    <w:p w14:paraId="5411AC76" w14:textId="77777777" w:rsidR="00BE35A0" w:rsidRPr="00EA3B06" w:rsidRDefault="003171BD" w:rsidP="00EA3B06">
      <w:pPr>
        <w:spacing w:after="160" w:line="360" w:lineRule="auto"/>
        <w:jc w:val="both"/>
      </w:pPr>
      <w:r>
        <w:rPr>
          <w:b/>
          <w:bCs/>
        </w:rPr>
        <w:t xml:space="preserve">Research Question: </w:t>
      </w:r>
      <w:r>
        <w:t>How do structural, institutional, and individual-level barriers influence access to primary healthcare services among homeless adults in England?</w:t>
      </w:r>
    </w:p>
    <w:p w14:paraId="4511FC8A" w14:textId="77777777" w:rsidR="00BE35A0" w:rsidRPr="00EA3B06" w:rsidRDefault="003171BD" w:rsidP="00EA3B06">
      <w:pPr>
        <w:spacing w:after="160" w:line="360" w:lineRule="auto"/>
        <w:jc w:val="both"/>
      </w:pPr>
      <w:r>
        <w:rPr>
          <w:b/>
          <w:bCs/>
        </w:rPr>
        <w:t xml:space="preserve">Aim: </w:t>
      </w:r>
      <w:r>
        <w:t>To systematically review and synthesise evidence on the barriers affecting access to primary healthcare services among homeless adults in England.</w:t>
      </w:r>
    </w:p>
    <w:p w14:paraId="5E121385" w14:textId="77777777" w:rsidR="00BE35A0" w:rsidRPr="00EA3B06" w:rsidRDefault="003171BD" w:rsidP="00EA3B06">
      <w:pPr>
        <w:spacing w:after="160" w:line="360" w:lineRule="auto"/>
        <w:jc w:val="both"/>
      </w:pPr>
      <w:r>
        <w:rPr>
          <w:b/>
          <w:bCs/>
        </w:rPr>
        <w:t>Objectives:</w:t>
      </w:r>
    </w:p>
    <w:p w14:paraId="7683C9E7" w14:textId="77777777" w:rsidR="00BE35A0" w:rsidRPr="00EA3B06" w:rsidRDefault="003C78B9" w:rsidP="00EA3B06">
      <w:pPr>
        <w:pStyle w:val="ListParagraph"/>
        <w:numPr>
          <w:ilvl w:val="0"/>
          <w:numId w:val="2"/>
        </w:numPr>
        <w:spacing w:line="360" w:lineRule="auto"/>
        <w:jc w:val="both"/>
      </w:pPr>
      <w:r>
        <w:t>To determine and synthesise important structural, institutional and individual-level barriers to primary healthcare among homeless adults in England.</w:t>
      </w:r>
    </w:p>
    <w:p w14:paraId="38E59509" w14:textId="77777777" w:rsidR="00BE35A0" w:rsidRPr="00EA3B06" w:rsidRDefault="00F9761A" w:rsidP="00EA3B06">
      <w:pPr>
        <w:pStyle w:val="ListParagraph"/>
        <w:numPr>
          <w:ilvl w:val="0"/>
          <w:numId w:val="2"/>
        </w:numPr>
        <w:spacing w:line="360" w:lineRule="auto"/>
        <w:jc w:val="both"/>
      </w:pPr>
      <w:r>
        <w:t>To investigate the impact of healthcare policy, service design, and registration on the homeless people's access to GP and community health services in England.</w:t>
      </w:r>
    </w:p>
    <w:p w14:paraId="5A934652" w14:textId="77777777" w:rsidR="00BE35A0" w:rsidRPr="00EA3B06" w:rsidRDefault="00EC21A7" w:rsidP="00EA3B06">
      <w:pPr>
        <w:pStyle w:val="ListParagraph"/>
        <w:numPr>
          <w:ilvl w:val="0"/>
          <w:numId w:val="2"/>
        </w:numPr>
        <w:spacing w:line="360" w:lineRule="auto"/>
        <w:jc w:val="both"/>
      </w:pPr>
      <w:r>
        <w:t>To critically evaluate the methodological quality of quantitative and qualitative evidence on healthcare exclusion among homeless adults in England</w:t>
      </w:r>
    </w:p>
    <w:p w14:paraId="5EFD9FA3" w14:textId="77777777" w:rsidR="00BE35A0" w:rsidRPr="00EA3B06" w:rsidRDefault="005E7C99" w:rsidP="00EA3B06">
      <w:pPr>
        <w:pStyle w:val="ListParagraph"/>
        <w:numPr>
          <w:ilvl w:val="0"/>
          <w:numId w:val="2"/>
        </w:numPr>
        <w:spacing w:line="360" w:lineRule="auto"/>
        <w:jc w:val="both"/>
      </w:pPr>
      <w:r>
        <w:t>To examine possible solutions and policy recommendations implied in the literature aimed at enhancing access to primary healthcare for homeless adults in England.</w:t>
      </w:r>
    </w:p>
    <w:p w14:paraId="42E226FA" w14:textId="77777777" w:rsidR="00BE35A0" w:rsidRPr="00EA3B06" w:rsidRDefault="00BE35A0" w:rsidP="00EA3B06">
      <w:pPr>
        <w:spacing w:after="80" w:line="360" w:lineRule="auto"/>
        <w:jc w:val="both"/>
      </w:pPr>
    </w:p>
    <w:p w14:paraId="78FE1AD6" w14:textId="77777777" w:rsidR="00BE35A0" w:rsidRPr="00EA3B06" w:rsidRDefault="003171BD" w:rsidP="00EA3B06">
      <w:pPr>
        <w:pStyle w:val="Heading1"/>
        <w:spacing w:line="360" w:lineRule="auto"/>
        <w:jc w:val="both"/>
        <w:rPr>
          <w:sz w:val="22"/>
          <w:szCs w:val="22"/>
        </w:rPr>
      </w:pPr>
      <w:r>
        <w:rPr>
          <w:sz w:val="22"/>
          <w:szCs w:val="22"/>
        </w:rPr>
        <w:t>4. Research Methodology</w:t>
      </w:r>
    </w:p>
    <w:p w14:paraId="475871A9" w14:textId="77777777" w:rsidR="00BE35A0" w:rsidRPr="00EA3B06" w:rsidRDefault="00073A6A" w:rsidP="00EA3B06">
      <w:pPr>
        <w:spacing w:after="160" w:line="360" w:lineRule="auto"/>
        <w:jc w:val="both"/>
      </w:pPr>
      <w:r>
        <w:t xml:space="preserve">The proposed methodology follows an interpretivist epistemological stance and constructivist ontology perspective where knowledge and social reality, including healthcare exclusion, are created through human experience and situational meaning instead of precise, quantifiable facts (Bryman, 2016). Interpretivism fits here since the research question aims to learn about the messy and situational complexity of hindrances to healthcare access, not to measure a fixed outcome variable. The rationale of the desk-based method is practical and philosophical: it allows studying a large and heterogeneous body of published knowledge rigorously and without putting a highly vulnerable population at risk of new dangers of primary data collection (Aveyard, 2019). One acknowledged weakness of this method is that it is completely reliant on the quality and completeness of existing published literature, which in turn is influenced by well-reported challenges in methodology, such as the inability to recruit hidden and transient </w:t>
      </w:r>
      <w:r>
        <w:lastRenderedPageBreak/>
        <w:t>populations in primary studies. This will be clearly recognized during the synthesis process. The constructivist approach would be especially appropriate to this research context since healthcare exclusion among homeless adults is not an objectively quantifiable variable, but rather a factor influenced by stigma, institutional dynamics of power, and the lived experience of marginalisation phenomena, which are socially constructed and, therefore, best explored using an interpretivist perspective (Bryman, 2016).</w:t>
      </w:r>
    </w:p>
    <w:p w14:paraId="270D4C38" w14:textId="77777777" w:rsidR="00BE35A0" w:rsidRPr="00EA3B06" w:rsidRDefault="003171BD" w:rsidP="00EA3B06">
      <w:pPr>
        <w:pStyle w:val="Heading1"/>
        <w:spacing w:line="360" w:lineRule="auto"/>
        <w:jc w:val="both"/>
        <w:rPr>
          <w:sz w:val="22"/>
          <w:szCs w:val="22"/>
        </w:rPr>
      </w:pPr>
      <w:r>
        <w:rPr>
          <w:sz w:val="22"/>
          <w:szCs w:val="22"/>
        </w:rPr>
        <w:t>5. Research Design</w:t>
      </w:r>
    </w:p>
    <w:p w14:paraId="4431C26E" w14:textId="77777777" w:rsidR="00BE35A0" w:rsidRPr="00EA3B06" w:rsidRDefault="00975E60" w:rsidP="00EA3B06">
      <w:pPr>
        <w:spacing w:after="160" w:line="360" w:lineRule="auto"/>
        <w:jc w:val="both"/>
      </w:pPr>
      <w:r>
        <w:t>This study employs a systematic review design, which follows a secondary research approach. A systematic review is selected because it applies a rigorous, transparent, and reproducible protocol for identifying, appraising, and synthesising published evidence on a clearly defined research question (Aveyard, 2019). A scoping review was also considered; although a scoping review is mostly interested in mapping the scope of the literature, it does not include the critical synthesis and evaluation of results (Bryman, 2016), which cannot fulfil the analytic goals of this proposal. The systematic review will be thematically aligned with three levels of barriers determined throughout the literature: structural, institutional, and individual and new policy suggestions. This framework draws conceptually on Marmot et al.'s (2020) social determinants of health model and Luchenski et al.'s (2018) inclusion health framework. PRISMA reporting guidelines will be followed to provide methodological transparency in the reporting.</w:t>
      </w:r>
    </w:p>
    <w:p w14:paraId="43FCD7BE" w14:textId="77777777" w:rsidR="00BE35A0" w:rsidRPr="00EA3B06" w:rsidRDefault="003171BD" w:rsidP="00EA3B06">
      <w:pPr>
        <w:pStyle w:val="Heading1"/>
        <w:spacing w:line="360" w:lineRule="auto"/>
        <w:jc w:val="both"/>
        <w:rPr>
          <w:sz w:val="22"/>
          <w:szCs w:val="22"/>
        </w:rPr>
      </w:pPr>
      <w:r>
        <w:rPr>
          <w:sz w:val="22"/>
          <w:szCs w:val="22"/>
        </w:rPr>
        <w:t>6. Study Selection and Eligibility Criteria</w:t>
      </w:r>
    </w:p>
    <w:p w14:paraId="55ED6F6F" w14:textId="77777777" w:rsidR="00BE35A0" w:rsidRPr="00EA3B06" w:rsidRDefault="00084424" w:rsidP="00EA3B06">
      <w:pPr>
        <w:spacing w:after="160" w:line="360" w:lineRule="auto"/>
        <w:jc w:val="both"/>
      </w:pPr>
      <w:r>
        <w:t>As this is a systematic review, papers will be selected following a strict, pre-defined eligibility process. This ensures the evidence base is relevant, reproducible, and free from selection bias (Aveyard, 2019).</w:t>
      </w:r>
    </w:p>
    <w:p w14:paraId="10D8E63F" w14:textId="77777777" w:rsidR="00BE35A0" w:rsidRPr="00EA3B06" w:rsidRDefault="003171BD" w:rsidP="00EA3B06">
      <w:pPr>
        <w:spacing w:after="160" w:line="360" w:lineRule="auto"/>
        <w:jc w:val="both"/>
      </w:pPr>
      <w:r>
        <w:rPr>
          <w:b/>
          <w:bCs/>
        </w:rPr>
        <w:t>Inclusion criteria:</w:t>
      </w:r>
    </w:p>
    <w:p w14:paraId="6C05A818" w14:textId="77777777" w:rsidR="00BE35A0" w:rsidRPr="00EA3B06" w:rsidRDefault="000604A2" w:rsidP="00EA3B06">
      <w:pPr>
        <w:pStyle w:val="ListParagraph"/>
        <w:numPr>
          <w:ilvl w:val="0"/>
          <w:numId w:val="3"/>
        </w:numPr>
        <w:spacing w:line="360" w:lineRule="auto"/>
        <w:jc w:val="both"/>
      </w:pPr>
      <w:r>
        <w:t>Research, reports and policy documents on homelessness and primary healthcare access in England or the wider UK.</w:t>
      </w:r>
    </w:p>
    <w:p w14:paraId="300E9D2D" w14:textId="77777777" w:rsidR="00BE35A0" w:rsidRPr="00EA3B06" w:rsidRDefault="002B6CFE" w:rsidP="00EA3B06">
      <w:pPr>
        <w:pStyle w:val="ListParagraph"/>
        <w:numPr>
          <w:ilvl w:val="0"/>
          <w:numId w:val="3"/>
        </w:numPr>
        <w:spacing w:line="360" w:lineRule="auto"/>
        <w:jc w:val="both"/>
      </w:pPr>
      <w:r>
        <w:t>Peer-reviewed journals and governmental, NHS England, NICE, and third-sector organisations.</w:t>
      </w:r>
    </w:p>
    <w:p w14:paraId="3BB095F3" w14:textId="77777777" w:rsidR="00BE35A0" w:rsidRPr="00EA3B06" w:rsidRDefault="007A41DB" w:rsidP="00FA196E">
      <w:pPr>
        <w:pStyle w:val="ListParagraph"/>
        <w:numPr>
          <w:ilvl w:val="0"/>
          <w:numId w:val="3"/>
        </w:numPr>
        <w:spacing w:line="360" w:lineRule="auto"/>
        <w:jc w:val="both"/>
      </w:pPr>
      <w:r>
        <w:t>Publications dating back to 2010-2026. The 2010 threshold was chosen as post-2012 law (Health and Social Care Act 2012 and other acts such as the Homelessness Reduction Act 2017) significantly reorganised the policy landscape, so pre-2010 studies are not as directly relevant to the modern English context.</w:t>
      </w:r>
    </w:p>
    <w:p w14:paraId="00755383" w14:textId="77777777" w:rsidR="00BE35A0" w:rsidRPr="00EA3B06" w:rsidRDefault="0022302A" w:rsidP="00EA3B06">
      <w:pPr>
        <w:pStyle w:val="ListParagraph"/>
        <w:numPr>
          <w:ilvl w:val="0"/>
          <w:numId w:val="3"/>
        </w:numPr>
        <w:spacing w:line="360" w:lineRule="auto"/>
        <w:jc w:val="both"/>
      </w:pPr>
      <w:r>
        <w:t>English-language publications only, to create consistency of analysis and interpretation reliability.</w:t>
      </w:r>
    </w:p>
    <w:p w14:paraId="30117FF7" w14:textId="77777777" w:rsidR="00BE35A0" w:rsidRPr="00EA3B06" w:rsidRDefault="00BE35A0" w:rsidP="00EA3B06">
      <w:pPr>
        <w:spacing w:after="80" w:line="360" w:lineRule="auto"/>
        <w:jc w:val="both"/>
      </w:pPr>
    </w:p>
    <w:p w14:paraId="2A66E320" w14:textId="77777777" w:rsidR="00BE35A0" w:rsidRPr="00EA3B06" w:rsidRDefault="003171BD" w:rsidP="00EA3B06">
      <w:pPr>
        <w:spacing w:after="160" w:line="360" w:lineRule="auto"/>
        <w:jc w:val="both"/>
      </w:pPr>
      <w:r>
        <w:rPr>
          <w:b/>
          <w:bCs/>
        </w:rPr>
        <w:t>Exclusion criteria:</w:t>
      </w:r>
    </w:p>
    <w:p w14:paraId="4824110A" w14:textId="77777777" w:rsidR="00BE35A0" w:rsidRPr="00EA3B06" w:rsidRDefault="00BB482C" w:rsidP="00EA3B06">
      <w:pPr>
        <w:pStyle w:val="ListParagraph"/>
        <w:numPr>
          <w:ilvl w:val="0"/>
          <w:numId w:val="3"/>
        </w:numPr>
        <w:spacing w:line="360" w:lineRule="auto"/>
        <w:jc w:val="both"/>
      </w:pPr>
      <w:r>
        <w:t>Literature that is children or youth-specific (they are below 18) and does not involve adult-specific services, since the obstacles and services to these groups are quite different.</w:t>
      </w:r>
    </w:p>
    <w:p w14:paraId="2AAE76A0" w14:textId="77777777" w:rsidR="00BE35A0" w:rsidRPr="00EA3B06" w:rsidRDefault="008150C8" w:rsidP="00EA3B06">
      <w:pPr>
        <w:pStyle w:val="ListParagraph"/>
        <w:numPr>
          <w:ilvl w:val="0"/>
          <w:numId w:val="3"/>
        </w:numPr>
        <w:spacing w:line="360" w:lineRule="auto"/>
        <w:jc w:val="both"/>
      </w:pPr>
      <w:r>
        <w:t>Articles irrelevant to primary healthcare or the English or UK setting.</w:t>
      </w:r>
    </w:p>
    <w:p w14:paraId="0209ACF3" w14:textId="77777777" w:rsidR="00BE35A0" w:rsidRPr="00EA3B06" w:rsidRDefault="00024252" w:rsidP="00EA3B06">
      <w:pPr>
        <w:pStyle w:val="ListParagraph"/>
        <w:numPr>
          <w:ilvl w:val="0"/>
          <w:numId w:val="3"/>
        </w:numPr>
        <w:spacing w:line="360" w:lineRule="auto"/>
        <w:jc w:val="both"/>
      </w:pPr>
      <w:r>
        <w:t>Unempirically or policy-grounded opinion pieces.</w:t>
      </w:r>
    </w:p>
    <w:p w14:paraId="483C8B11" w14:textId="77777777" w:rsidR="00BE35A0" w:rsidRDefault="006E5349" w:rsidP="00EA3B06">
      <w:pPr>
        <w:pStyle w:val="ListParagraph"/>
        <w:numPr>
          <w:ilvl w:val="0"/>
          <w:numId w:val="3"/>
        </w:numPr>
        <w:spacing w:line="360" w:lineRule="auto"/>
        <w:jc w:val="both"/>
      </w:pPr>
      <w:r>
        <w:t>Grey literature from unverifiable or non-credible sources.</w:t>
      </w:r>
    </w:p>
    <w:p w14:paraId="55AFEC22" w14:textId="3D1BA16E" w:rsidR="00A32E5E" w:rsidRDefault="00B73A39" w:rsidP="00EA3B06">
      <w:pPr>
        <w:pStyle w:val="ListParagraph"/>
        <w:numPr>
          <w:ilvl w:val="0"/>
          <w:numId w:val="3"/>
        </w:numPr>
        <w:spacing w:line="360" w:lineRule="auto"/>
        <w:jc w:val="both"/>
      </w:pPr>
      <w:r>
        <w:t>Non-peer-reviewed</w:t>
      </w:r>
      <w:r w:rsidR="00A32E5E">
        <w:t xml:space="preserve"> articles, including opinion pieces and editorials without empirical basis.</w:t>
      </w:r>
    </w:p>
    <w:p w14:paraId="5902C6D7" w14:textId="1E8E6BA3" w:rsidR="0061548A" w:rsidRPr="00EA3B06" w:rsidRDefault="0061548A" w:rsidP="00EA3B06">
      <w:pPr>
        <w:pStyle w:val="ListParagraph"/>
        <w:numPr>
          <w:ilvl w:val="0"/>
          <w:numId w:val="3"/>
        </w:numPr>
        <w:spacing w:line="360" w:lineRule="auto"/>
        <w:jc w:val="both"/>
      </w:pPr>
      <w:r>
        <w:t xml:space="preserve">Papers published before 2010, as the policy landscape </w:t>
      </w:r>
      <w:r w:rsidR="00B73A39">
        <w:t>before</w:t>
      </w:r>
      <w:r>
        <w:t xml:space="preserve"> this date is not directly applicable to the modern English context.</w:t>
      </w:r>
    </w:p>
    <w:p w14:paraId="5A9314EC" w14:textId="77777777" w:rsidR="00BE35A0" w:rsidRPr="00EA3B06" w:rsidRDefault="00BE35A0" w:rsidP="00EA3B06">
      <w:pPr>
        <w:spacing w:after="80" w:line="360" w:lineRule="auto"/>
        <w:jc w:val="both"/>
      </w:pPr>
    </w:p>
    <w:p w14:paraId="57969460" w14:textId="77777777" w:rsidR="00BE35A0" w:rsidRPr="00EA3B06" w:rsidRDefault="005565F5" w:rsidP="00EA3B06">
      <w:pPr>
        <w:spacing w:after="160" w:line="360" w:lineRule="auto"/>
        <w:jc w:val="both"/>
      </w:pPr>
      <w:r>
        <w:t>This method of systematic and criterion-based selection of literature guarantees the relevance, credibility, and adequate diversity of the evidence base to answer the research question (Bryman, 2016). Critical Appraisal Skills Programme (CASP) frameworks relevant to each study design will assess the quality of included peer-reviewed studies.</w:t>
      </w:r>
    </w:p>
    <w:p w14:paraId="46C6FD44" w14:textId="77777777" w:rsidR="00BE35A0" w:rsidRPr="00EA3B06" w:rsidRDefault="003171BD" w:rsidP="00EA3B06">
      <w:pPr>
        <w:pStyle w:val="Heading1"/>
        <w:spacing w:line="360" w:lineRule="auto"/>
        <w:jc w:val="both"/>
        <w:rPr>
          <w:sz w:val="22"/>
          <w:szCs w:val="22"/>
        </w:rPr>
      </w:pPr>
      <w:r>
        <w:rPr>
          <w:sz w:val="22"/>
          <w:szCs w:val="22"/>
        </w:rPr>
        <w:t>7. Materials, Data Collection Method and Procedure</w:t>
      </w:r>
    </w:p>
    <w:p w14:paraId="5AEF041A" w14:textId="77777777" w:rsidR="00BE35A0" w:rsidRPr="00EA3B06" w:rsidRDefault="00936C2F" w:rsidP="00EA3B06">
      <w:pPr>
        <w:spacing w:after="160" w:line="360" w:lineRule="auto"/>
        <w:jc w:val="both"/>
      </w:pPr>
      <w:r>
        <w:t>The four research objectives will direct the literature search directly because they frame the theme of the review, i.e., the need to identify evidence-based practices to address structural, institutional and individual barriers to primary healthcare access.</w:t>
      </w:r>
    </w:p>
    <w:p w14:paraId="1E7D3097" w14:textId="77777777" w:rsidR="00BE35A0" w:rsidRPr="00EA3B06" w:rsidRDefault="00843E2B" w:rsidP="00EA3B06">
      <w:pPr>
        <w:spacing w:after="160" w:line="360" w:lineRule="auto"/>
        <w:jc w:val="both"/>
      </w:pPr>
      <w:r>
        <w:t>The study will draw upon five electronic databases: MEDLINE, CINAHL, PsycINFO, EMBASE, and Google Scholar. Grey literature is to be obtained directly from NHS England, NICE, ONS, MHCLG, Crisis, Homeless Link, and Joseph Rowntree Foundation.</w:t>
      </w:r>
    </w:p>
    <w:p w14:paraId="43BDCDD9" w14:textId="77777777" w:rsidR="00BE35A0" w:rsidRPr="00EA3B06" w:rsidRDefault="0027083D" w:rsidP="00EA3B06">
      <w:pPr>
        <w:spacing w:after="160" w:line="360" w:lineRule="auto"/>
        <w:jc w:val="both"/>
      </w:pPr>
      <w:r>
        <w:t>The Boolean search strategy will be followed:</w:t>
      </w:r>
    </w:p>
    <w:p w14:paraId="638ED220" w14:textId="77777777" w:rsidR="00BE35A0" w:rsidRPr="00EA3B06" w:rsidRDefault="003171BD" w:rsidP="00EA3B06">
      <w:pPr>
        <w:pStyle w:val="ListParagraph"/>
        <w:numPr>
          <w:ilvl w:val="0"/>
          <w:numId w:val="3"/>
        </w:numPr>
        <w:spacing w:line="360" w:lineRule="auto"/>
        <w:jc w:val="both"/>
      </w:pPr>
      <w:r>
        <w:t>("homeless*" OR "rough sleep*" OR "people experiencing homelessness")</w:t>
      </w:r>
    </w:p>
    <w:p w14:paraId="791FFCB9" w14:textId="77777777" w:rsidR="00BE35A0" w:rsidRPr="00EA3B06" w:rsidRDefault="003171BD" w:rsidP="00EA3B06">
      <w:pPr>
        <w:pStyle w:val="ListParagraph"/>
        <w:numPr>
          <w:ilvl w:val="0"/>
          <w:numId w:val="3"/>
        </w:numPr>
        <w:spacing w:line="360" w:lineRule="auto"/>
        <w:jc w:val="both"/>
      </w:pPr>
      <w:r>
        <w:t>AND ("primary care" OR "general practice" OR "GP" OR "primary healthcare")</w:t>
      </w:r>
    </w:p>
    <w:p w14:paraId="5B2F4303" w14:textId="77777777" w:rsidR="00BE35A0" w:rsidRPr="00EA3B06" w:rsidRDefault="003171BD" w:rsidP="00EA3B06">
      <w:pPr>
        <w:pStyle w:val="ListParagraph"/>
        <w:numPr>
          <w:ilvl w:val="0"/>
          <w:numId w:val="3"/>
        </w:numPr>
        <w:spacing w:line="360" w:lineRule="auto"/>
        <w:jc w:val="both"/>
      </w:pPr>
      <w:r>
        <w:t>AND ("barriers" OR "access" OR "exclusion" OR "registration")</w:t>
      </w:r>
    </w:p>
    <w:p w14:paraId="3F2AA308" w14:textId="77777777" w:rsidR="00BE35A0" w:rsidRPr="00EA3B06" w:rsidRDefault="003171BD" w:rsidP="00EA3B06">
      <w:pPr>
        <w:pStyle w:val="ListParagraph"/>
        <w:numPr>
          <w:ilvl w:val="0"/>
          <w:numId w:val="3"/>
        </w:numPr>
        <w:spacing w:line="360" w:lineRule="auto"/>
        <w:jc w:val="both"/>
      </w:pPr>
      <w:r>
        <w:t>AND ("England" OR "United Kingdom")</w:t>
      </w:r>
    </w:p>
    <w:p w14:paraId="61BD34AF" w14:textId="77777777" w:rsidR="00BE35A0" w:rsidRPr="00EA3B06" w:rsidRDefault="00BE35A0" w:rsidP="00EA3B06">
      <w:pPr>
        <w:spacing w:after="80" w:line="360" w:lineRule="auto"/>
        <w:jc w:val="both"/>
      </w:pPr>
    </w:p>
    <w:p w14:paraId="329B020E" w14:textId="77777777" w:rsidR="00BE35A0" w:rsidRPr="00EA3B06" w:rsidRDefault="00280136" w:rsidP="00EA3B06">
      <w:pPr>
        <w:spacing w:after="160" w:line="360" w:lineRule="auto"/>
        <w:jc w:val="both"/>
      </w:pPr>
      <w:r>
        <w:t xml:space="preserve">Searches will be limited to publications from 2010 onwards. Snowball searching of reference lists within key papers will supplement database searches. All identified sources will be </w:t>
      </w:r>
      <w:r>
        <w:lastRenderedPageBreak/>
        <w:t>screened at the title and abstract level, with relevant papers retrieved in full text. Standardised data extraction template will be used to extricate author, year, study design, population, setting, and key findings of each research objective. Appraisal of quality will follow CASP frameworks based on each study design (Aveyard, 2019).</w:t>
      </w:r>
    </w:p>
    <w:p w14:paraId="7FAA9CD0" w14:textId="77777777" w:rsidR="00BE35A0" w:rsidRPr="00EA3B06" w:rsidRDefault="003171BD" w:rsidP="00EA3B06">
      <w:pPr>
        <w:pStyle w:val="Heading1"/>
        <w:spacing w:line="360" w:lineRule="auto"/>
        <w:jc w:val="both"/>
        <w:rPr>
          <w:sz w:val="22"/>
          <w:szCs w:val="22"/>
        </w:rPr>
      </w:pPr>
      <w:r>
        <w:rPr>
          <w:sz w:val="22"/>
          <w:szCs w:val="22"/>
        </w:rPr>
        <w:t>8. Proposed Data Analysis Technique</w:t>
      </w:r>
    </w:p>
    <w:p w14:paraId="4F4ECD93" w14:textId="77777777" w:rsidR="00BE35A0" w:rsidRPr="00EA3B06" w:rsidRDefault="001614C4" w:rsidP="00EA3B06">
      <w:pPr>
        <w:spacing w:after="160" w:line="360" w:lineRule="auto"/>
        <w:jc w:val="both"/>
      </w:pPr>
      <w:r>
        <w:t>Thematic analysis as the primary analytical instrument will be divided into three iterative steps: line-by-line coding of the results, arranging findings into descriptive themes, and creation of analytical ones that generate more than a description (Aveyard, 2019). They will be structured around three levels of barriers, incorporating a social determinant of health model by Marmot et al. (2020) and an inclusion health framework by Luchenski et al. (2018), to structure the themes.</w:t>
      </w:r>
    </w:p>
    <w:p w14:paraId="1D315D8A" w14:textId="77777777" w:rsidR="00BE35A0" w:rsidRPr="00EA3B06" w:rsidRDefault="00BA254C" w:rsidP="00EA3B06">
      <w:pPr>
        <w:spacing w:after="160" w:line="360" w:lineRule="auto"/>
        <w:jc w:val="both"/>
      </w:pPr>
      <w:r>
        <w:t>One of the important issues is the methodological dissimilarity of the evidence base. To exemplify, qualitative research like Gunner et al. (2019) that examined 22 homeless people in the West Midlands offers an intensive understanding of lived experiences, but cannot be generalised to the rest of the population in England because of small samples. Cross-sectional quantitative studies like Elwell-Sutton et al. (2017) provide breadth in statistics but are not able to determine causality between GP registration and health outcomes; therefore, the direction of that correlation cannot be determined based on that body of evidence. The matched cohort design by Lewer et al. (2021) will be more causal in inference, but talks specifically about hospital readmission and not primary care access per se, hence, requiring conclusions to be inferred, which should be interpreted as such. Results will thus be critically synthesised, conscious of the relative quality of evidence, such that both the quantifiable level and experience of healthcare exclusion are contained within the framework of analysis.</w:t>
      </w:r>
    </w:p>
    <w:p w14:paraId="09DE4882" w14:textId="77777777" w:rsidR="00BE35A0" w:rsidRPr="00EA3B06" w:rsidRDefault="003171BD" w:rsidP="00EA3B06">
      <w:pPr>
        <w:pStyle w:val="Heading1"/>
        <w:spacing w:line="360" w:lineRule="auto"/>
        <w:jc w:val="both"/>
        <w:rPr>
          <w:sz w:val="22"/>
          <w:szCs w:val="22"/>
        </w:rPr>
      </w:pPr>
      <w:r>
        <w:rPr>
          <w:sz w:val="22"/>
          <w:szCs w:val="22"/>
        </w:rPr>
        <w:t>9. Ethical Considerations</w:t>
      </w:r>
    </w:p>
    <w:p w14:paraId="2F9060BE" w14:textId="77777777" w:rsidR="00A803D9" w:rsidRPr="00EA3B06" w:rsidRDefault="00A803D9" w:rsidP="00EA3B06">
      <w:pPr>
        <w:spacing w:after="160" w:line="360" w:lineRule="auto"/>
        <w:jc w:val="both"/>
      </w:pPr>
      <w:r>
        <w:t>Even though no primary data will be collected in this study, there will be greater ethical responsibilities. Research integrity requires all sources to be accurately cited, findings represented faithfully, and contradictory evidence not suppressed in favour of a predetermined conclusion (Bryman, 2016). An important requirement in secondary research dealing with vulnerable groups is the possibility of strengthening stigma by framing and language. The proposal undertakes to use non-stigmatising, person-centred language in all present and ensure the use of sources that entertain the perspectives of lived experience, as promoted by Cornes et al. (2014).</w:t>
      </w:r>
    </w:p>
    <w:p w14:paraId="50DC37BB" w14:textId="77777777" w:rsidR="00A803D9" w:rsidRPr="00EA3B06" w:rsidRDefault="00A803D9" w:rsidP="00EA3B06">
      <w:pPr>
        <w:spacing w:after="160" w:line="360" w:lineRule="auto"/>
        <w:jc w:val="both"/>
      </w:pPr>
      <w:r>
        <w:lastRenderedPageBreak/>
        <w:t>Positionality of the researcher should be taken seriously. It is imperative to be conscious of the assumptions and possible biases of the researcher to treat evidence without bias (Bryman, 2016). To reduce bias, a detailed and open search procedure will be observed, so that sources that report opposing or inconclusive results, e.g., Heaslip et al. (2022), who established that poor signposting and anxiety did not permit access but instead confirmatory evidence, are not disregarded. This commitment ensures trustworthiness and replicability (Aveyard, 2019).</w:t>
      </w:r>
    </w:p>
    <w:p w14:paraId="2B52F18D" w14:textId="77777777" w:rsidR="00BE35A0" w:rsidRPr="00EA3B06" w:rsidRDefault="00A803D9" w:rsidP="00EA3B06">
      <w:pPr>
        <w:spacing w:after="160" w:line="360" w:lineRule="auto"/>
        <w:jc w:val="both"/>
      </w:pPr>
      <w:r>
        <w:t>As stipulated in Learning Outcome 4, professional integrity is not localised solely to procedural compliance but is an ethical responsibility of care in the manner in which the marginalised population is depicted in research literature. A desk-based study does not need any formal NHS ethics clearance; the Ethics Form PG2 will be returned by Week 12 according to university regulations.</w:t>
      </w:r>
    </w:p>
    <w:p w14:paraId="2809884A" w14:textId="77777777" w:rsidR="00BE35A0" w:rsidRPr="00EA3B06" w:rsidRDefault="003171BD" w:rsidP="00EA3B06">
      <w:pPr>
        <w:pStyle w:val="Heading1"/>
        <w:spacing w:line="360" w:lineRule="auto"/>
        <w:jc w:val="both"/>
        <w:rPr>
          <w:sz w:val="22"/>
          <w:szCs w:val="22"/>
        </w:rPr>
      </w:pPr>
      <w:r>
        <w:rPr>
          <w:sz w:val="22"/>
          <w:szCs w:val="22"/>
        </w:rPr>
        <w:t>10. Implications of Research</w:t>
      </w:r>
    </w:p>
    <w:p w14:paraId="10BE3F19" w14:textId="533D8BA1" w:rsidR="00AA148A" w:rsidRPr="00EA3B06" w:rsidRDefault="00AA148A" w:rsidP="00EA3B06">
      <w:pPr>
        <w:spacing w:after="160" w:line="360" w:lineRule="auto"/>
        <w:jc w:val="both"/>
      </w:pPr>
      <w:r>
        <w:t>This research has immense policy, practice and scholarship implications. Findings will strengthen the implementation of NICE Guideline NG214 (2022), especially tips on proactive outreach, trauma-informed care, and adaptable registration. Marmot (2018) suggested that inclusion health must address structural inequality, i.</w:t>
      </w:r>
      <w:r w:rsidR="00B73A39">
        <w:t>e.</w:t>
      </w:r>
      <w:r>
        <w:t xml:space="preserve"> poverty, low housing, and social alienation, as the determinants of homelessness and non-access to healthcare. Even though the NHS Long Term Plan (NHS England, 2019) and the Department of Health (2010) make such commitments, the problem of exclusion, as documented by Elwell-Sutton et al. (2017), continues. Lewer et al. (2021) revealed an incidence of homeless inpatients rehospitalised 2.49 times as often as housed patients.</w:t>
      </w:r>
    </w:p>
    <w:p w14:paraId="6D876F1B" w14:textId="77777777" w:rsidR="00AA148A" w:rsidRPr="00EA3B06" w:rsidRDefault="00AA148A" w:rsidP="00EA3B06">
      <w:pPr>
        <w:spacing w:after="160" w:line="360" w:lineRule="auto"/>
        <w:jc w:val="both"/>
      </w:pPr>
      <w:r>
        <w:t>Best practice would be housing first models and specialist outreach services. The Specialist Primary Healthcare Centre of Homeless people (SPHCPH), assessed by Gunner et al. (2019) in the West Midlands, which offers flexible and non-judgmental care with a high assessment of service users (thus positive ratings in comparison to mainstream GP experiences), achieved this because of the absence of registration requirements (Luchenski et al., 2018). Stafford and Wood (2017) contended that these models should consider social determinants too, including housing, income and social inclusion, to solve the primary care gains to make lasting improvements.</w:t>
      </w:r>
    </w:p>
    <w:p w14:paraId="7FBE5484" w14:textId="77777777" w:rsidR="00BE35A0" w:rsidRPr="00EA3B06" w:rsidRDefault="00800AE0" w:rsidP="00EA3B06">
      <w:pPr>
        <w:spacing w:after="160" w:line="360" w:lineRule="auto"/>
        <w:jc w:val="both"/>
      </w:pPr>
      <w:r>
        <w:t>For health professionals, findings offer guidance on reducing institutional barriers reported by Heaslip et al. (2022), such as strict appointment systems and compulsory address regulations. This paper also adds an England-based synthesis to Aldridge et al. (2018), Fazel, Geddes and Kushel (2014) and Bramley and Fitzpatrick (2018), to provide a standpoint of dissertation research during the course of Term 3.</w:t>
      </w:r>
    </w:p>
    <w:p w14:paraId="4E9B8B01" w14:textId="7B4F18F3" w:rsidR="00D01433" w:rsidRDefault="003171BD" w:rsidP="00DB3131">
      <w:pPr>
        <w:pStyle w:val="Heading1"/>
        <w:spacing w:line="360" w:lineRule="auto"/>
        <w:jc w:val="both"/>
        <w:rPr>
          <w:sz w:val="22"/>
          <w:szCs w:val="22"/>
        </w:rPr>
      </w:pPr>
      <w:r>
        <w:rPr>
          <w:sz w:val="22"/>
          <w:szCs w:val="22"/>
        </w:rPr>
        <w:lastRenderedPageBreak/>
        <w:t>11. Plan of Work and Time Schedule — Gantt Chart</w:t>
      </w:r>
    </w:p>
    <w:p w14:paraId="6D0B782C" w14:textId="77777777" w:rsidR="00DB3131" w:rsidRDefault="00DB3131" w:rsidP="00DB3131"/>
    <w:p w14:paraId="13908C7C" w14:textId="0419764D" w:rsidR="00DB3131" w:rsidRDefault="00DB3131" w:rsidP="00DB3131">
      <w:r w:rsidRPr="00DB3131">
        <w:rPr>
          <w:noProof/>
        </w:rPr>
        <w:drawing>
          <wp:inline distT="0" distB="0" distL="0" distR="0" wp14:anchorId="5FDC1EBE" wp14:editId="0D07525B">
            <wp:extent cx="5731510" cy="2670810"/>
            <wp:effectExtent l="0" t="0" r="2540" b="0"/>
            <wp:docPr id="1440629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29118" name=""/>
                    <pic:cNvPicPr/>
                  </pic:nvPicPr>
                  <pic:blipFill>
                    <a:blip r:embed="rId8"/>
                    <a:stretch>
                      <a:fillRect/>
                    </a:stretch>
                  </pic:blipFill>
                  <pic:spPr>
                    <a:xfrm>
                      <a:off x="0" y="0"/>
                      <a:ext cx="5731510" cy="2670810"/>
                    </a:xfrm>
                    <a:prstGeom prst="rect">
                      <a:avLst/>
                    </a:prstGeom>
                  </pic:spPr>
                </pic:pic>
              </a:graphicData>
            </a:graphic>
          </wp:inline>
        </w:drawing>
      </w:r>
    </w:p>
    <w:p w14:paraId="3A11C772" w14:textId="77777777" w:rsidR="00DB3131" w:rsidRPr="00DB3131" w:rsidRDefault="00DB3131" w:rsidP="00DB3131"/>
    <w:p w14:paraId="40307A55" w14:textId="77777777" w:rsidR="00BE35A0" w:rsidRPr="00EA3B06" w:rsidRDefault="003171BD" w:rsidP="00EA3B06">
      <w:pPr>
        <w:pStyle w:val="Heading1"/>
        <w:spacing w:line="360" w:lineRule="auto"/>
        <w:jc w:val="both"/>
        <w:rPr>
          <w:sz w:val="22"/>
          <w:szCs w:val="22"/>
        </w:rPr>
      </w:pPr>
      <w:r>
        <w:rPr>
          <w:sz w:val="22"/>
          <w:szCs w:val="22"/>
        </w:rPr>
        <w:t>Reference List</w:t>
      </w:r>
    </w:p>
    <w:p w14:paraId="1ED1E7F9" w14:textId="77777777" w:rsidR="00157607" w:rsidRPr="00EA3B06" w:rsidRDefault="00157607" w:rsidP="00EA3B06">
      <w:pPr>
        <w:spacing w:before="40" w:after="120" w:line="360" w:lineRule="auto"/>
        <w:jc w:val="both"/>
      </w:pPr>
      <w:r>
        <w:t xml:space="preserve">Aldridge, R.W., Story, A., Hwang, S.W., Nordentoft, M., Luchenski, S.A., Hartwell, G., Tweed, E.J., Lewer, D., Katikireddi, S.V. and Hayward, A.C. (2018) 'Morbidity and mortality in homeless individuals, prisoners, sex workers, and individuals with substance use disorders in high-income countries: a systematic review and meta-analysis', </w:t>
      </w:r>
      <w:r>
        <w:rPr>
          <w:i/>
          <w:iCs/>
        </w:rPr>
        <w:t>The Lancet</w:t>
      </w:r>
      <w:r>
        <w:t>, 391(10117), pp. 241–250.</w:t>
      </w:r>
    </w:p>
    <w:p w14:paraId="75BCEDCE" w14:textId="77777777" w:rsidR="00157607" w:rsidRPr="00EA3B06" w:rsidRDefault="00157607" w:rsidP="00EA3B06">
      <w:pPr>
        <w:spacing w:before="40" w:after="120" w:line="360" w:lineRule="auto"/>
        <w:jc w:val="both"/>
      </w:pPr>
      <w:r>
        <w:t xml:space="preserve">Aveyard, H. (2019) </w:t>
      </w:r>
      <w:r>
        <w:rPr>
          <w:i/>
          <w:iCs/>
        </w:rPr>
        <w:t>Doing a literature review in health and social care: a practical guide</w:t>
      </w:r>
      <w:r>
        <w:t>. 4th edn. Maidenhead: Open University Press.</w:t>
      </w:r>
    </w:p>
    <w:p w14:paraId="6BFBFA6F" w14:textId="77777777" w:rsidR="00157607" w:rsidRPr="00EA3B06" w:rsidRDefault="00157607" w:rsidP="00EA3B06">
      <w:pPr>
        <w:spacing w:before="40" w:after="120" w:line="360" w:lineRule="auto"/>
        <w:jc w:val="both"/>
      </w:pPr>
      <w:r>
        <w:t xml:space="preserve">Bramley, G. and Fitzpatrick, S. (2018) 'Homelessness in the UK: who is most at risk?', </w:t>
      </w:r>
      <w:r>
        <w:rPr>
          <w:i/>
          <w:iCs/>
        </w:rPr>
        <w:t>Housing Studies</w:t>
      </w:r>
      <w:r>
        <w:t>, 33(1), pp. 96–116.</w:t>
      </w:r>
    </w:p>
    <w:p w14:paraId="3CC3653E" w14:textId="77777777" w:rsidR="00157607" w:rsidRPr="00EA3B06" w:rsidRDefault="00157607" w:rsidP="00EA3B06">
      <w:pPr>
        <w:spacing w:before="40" w:after="120" w:line="360" w:lineRule="auto"/>
        <w:jc w:val="both"/>
      </w:pPr>
      <w:r>
        <w:t xml:space="preserve">Bramley, G., Fitzpatrick, S., Edwards, J., Ford, D., Johnsen, S., Sosenko, F. and Watkins, D. (2015) </w:t>
      </w:r>
      <w:r>
        <w:rPr>
          <w:i/>
          <w:iCs/>
        </w:rPr>
        <w:t>Hard edges: mapping severe and multiple disadvantage in England</w:t>
      </w:r>
      <w:r>
        <w:t xml:space="preserve">. London: Lankelly Chase Foundation. Available at: </w:t>
      </w:r>
      <w:hyperlink r:id="rId9" w:history="1">
        <w:r>
          <w:rPr>
            <w:rStyle w:val="Hyperlink"/>
          </w:rPr>
          <w:t>https://lankellychase.org.uk/resources/publications/hard-edges/</w:t>
        </w:r>
      </w:hyperlink>
      <w:r>
        <w:t xml:space="preserve"> (Accessed: 10 April 2026).</w:t>
      </w:r>
    </w:p>
    <w:p w14:paraId="2F0FCB2C" w14:textId="77777777" w:rsidR="00157607" w:rsidRPr="00EA3B06" w:rsidRDefault="00157607" w:rsidP="00EA3B06">
      <w:pPr>
        <w:spacing w:before="40" w:after="120" w:line="360" w:lineRule="auto"/>
        <w:jc w:val="both"/>
      </w:pPr>
      <w:r>
        <w:t xml:space="preserve">Bryman, A. (2016) </w:t>
      </w:r>
      <w:r>
        <w:rPr>
          <w:i/>
          <w:iCs/>
        </w:rPr>
        <w:t>Social research methods</w:t>
      </w:r>
      <w:r>
        <w:t>. 5th edn. Oxford: Oxford University Press.</w:t>
      </w:r>
    </w:p>
    <w:p w14:paraId="0BF2340C" w14:textId="77777777" w:rsidR="00157607" w:rsidRPr="00EA3B06" w:rsidRDefault="00157607" w:rsidP="00EA3B06">
      <w:pPr>
        <w:spacing w:before="40" w:after="120" w:line="360" w:lineRule="auto"/>
        <w:jc w:val="both"/>
      </w:pPr>
      <w:r>
        <w:t xml:space="preserve">Cornes, M., Manthorpe, J., Joly, L. and Clark, M. (2014) 'Better together: working towards integrated health and social care for people who are homeless', </w:t>
      </w:r>
      <w:r>
        <w:rPr>
          <w:i/>
          <w:iCs/>
        </w:rPr>
        <w:t>British Journal of General Practice</w:t>
      </w:r>
      <w:r>
        <w:t>, 64(622), pp. 256–257.</w:t>
      </w:r>
    </w:p>
    <w:p w14:paraId="65C37AC3" w14:textId="77777777" w:rsidR="00157607" w:rsidRPr="00EA3B06" w:rsidRDefault="00157607" w:rsidP="00EA3B06">
      <w:pPr>
        <w:spacing w:before="40" w:after="120" w:line="360" w:lineRule="auto"/>
        <w:jc w:val="both"/>
      </w:pPr>
      <w:r>
        <w:lastRenderedPageBreak/>
        <w:t xml:space="preserve">Crisis (2022) </w:t>
      </w:r>
      <w:r>
        <w:rPr>
          <w:i/>
          <w:iCs/>
        </w:rPr>
        <w:t>The homelessness monitor: England 2022</w:t>
      </w:r>
      <w:r>
        <w:t xml:space="preserve">. London: Crisis. Available at: </w:t>
      </w:r>
      <w:hyperlink r:id="rId10" w:history="1">
        <w:r>
          <w:rPr>
            <w:rStyle w:val="Hyperlink"/>
          </w:rPr>
          <w:t>https://www.crisis.org.uk/ending-homelessness/homelessness-knowledge-hub/homelessness-monitor/england</w:t>
        </w:r>
      </w:hyperlink>
      <w:r>
        <w:t xml:space="preserve"> (Accessed: 11 April 2026).</w:t>
      </w:r>
    </w:p>
    <w:p w14:paraId="174972D8" w14:textId="77777777" w:rsidR="00157607" w:rsidRPr="00EA3B06" w:rsidRDefault="00157607" w:rsidP="00EA3B06">
      <w:pPr>
        <w:spacing w:before="40" w:after="120" w:line="360" w:lineRule="auto"/>
        <w:jc w:val="both"/>
      </w:pPr>
      <w:r>
        <w:t xml:space="preserve">Department of Health (2010) </w:t>
      </w:r>
      <w:r>
        <w:rPr>
          <w:i/>
          <w:iCs/>
        </w:rPr>
        <w:t>Inclusion health: improving primary care for socially excluded people</w:t>
      </w:r>
      <w:r>
        <w:t xml:space="preserve">. London: Department of Health. Available at: </w:t>
      </w:r>
      <w:hyperlink r:id="rId11" w:history="1">
        <w:r>
          <w:rPr>
            <w:rStyle w:val="Hyperlink"/>
          </w:rPr>
          <w:t>https://assets.publishing.service.gov.uk</w:t>
        </w:r>
      </w:hyperlink>
      <w:r>
        <w:t xml:space="preserve"> (Accessed: 9 April 2026).</w:t>
      </w:r>
    </w:p>
    <w:p w14:paraId="77C78070" w14:textId="77777777" w:rsidR="00157607" w:rsidRPr="00EA3B06" w:rsidRDefault="00157607" w:rsidP="00EA3B06">
      <w:pPr>
        <w:spacing w:before="40" w:after="120" w:line="360" w:lineRule="auto"/>
        <w:jc w:val="both"/>
      </w:pPr>
      <w:r>
        <w:t xml:space="preserve">Elwell-Sutton, T., Fok, J., Albanese, F., Mathie, H. and Holland, R. (2017) 'Factors associated with access to care and healthcare utilization in the homeless population of England', </w:t>
      </w:r>
      <w:r>
        <w:rPr>
          <w:i/>
          <w:iCs/>
        </w:rPr>
        <w:t>Journal of Public Health</w:t>
      </w:r>
      <w:r>
        <w:t>, 39(1), pp. 26–33.</w:t>
      </w:r>
    </w:p>
    <w:p w14:paraId="3B973CD4" w14:textId="77777777" w:rsidR="00157607" w:rsidRPr="00EA3B06" w:rsidRDefault="00157607" w:rsidP="00EA3B06">
      <w:pPr>
        <w:spacing w:before="40" w:after="120" w:line="360" w:lineRule="auto"/>
        <w:jc w:val="both"/>
      </w:pPr>
      <w:r>
        <w:t xml:space="preserve">Fazel, S., Geddes, J.R. and Kushel, M. (2014) 'The health of homeless people in high-income countries: descriptive epidemiology, health consequences, and clinical and policy recommendations', </w:t>
      </w:r>
      <w:r>
        <w:rPr>
          <w:i/>
          <w:iCs/>
        </w:rPr>
        <w:t>The Lancet</w:t>
      </w:r>
      <w:r>
        <w:t>, 384(9953), pp. 1529–1540.</w:t>
      </w:r>
    </w:p>
    <w:p w14:paraId="34055979" w14:textId="77777777" w:rsidR="00157607" w:rsidRPr="00EA3B06" w:rsidRDefault="00157607" w:rsidP="00EA3B06">
      <w:pPr>
        <w:spacing w:before="40" w:after="120" w:line="360" w:lineRule="auto"/>
        <w:jc w:val="both"/>
      </w:pPr>
      <w:r>
        <w:t xml:space="preserve">Fitzpatrick, S., Pawson, H., Bramley, G., Wood, J. and Watts, B. (2023) </w:t>
      </w:r>
      <w:r>
        <w:rPr>
          <w:i/>
          <w:iCs/>
        </w:rPr>
        <w:t>The homelessness monitor: England 2023</w:t>
      </w:r>
      <w:r>
        <w:t xml:space="preserve">. London: Crisis and Joseph Rowntree Foundation. Available at: </w:t>
      </w:r>
      <w:hyperlink r:id="rId12" w:history="1">
        <w:r>
          <w:rPr>
            <w:rStyle w:val="Hyperlink"/>
          </w:rPr>
          <w:t>https://www.crisis.org.uk/ending-homelessness/homelessness-knowledge-hub/homelessness-monitor/england/the-homelessness-monitor-england-2023/</w:t>
        </w:r>
      </w:hyperlink>
      <w:r>
        <w:t xml:space="preserve"> (Accessed: 7 April 2026).</w:t>
      </w:r>
    </w:p>
    <w:p w14:paraId="4C46433C" w14:textId="77777777" w:rsidR="00157607" w:rsidRPr="00EA3B06" w:rsidRDefault="00157607" w:rsidP="00EA3B06">
      <w:pPr>
        <w:spacing w:before="40" w:after="120" w:line="360" w:lineRule="auto"/>
        <w:jc w:val="both"/>
      </w:pPr>
      <w:r>
        <w:t xml:space="preserve">Gunner, E., Chandan, S.K., Marwick, S., Saunders, K., Burwood, S., Yahyouche, A. and Paudyal, V. (2019) 'Provision and accessibility of primary healthcare services for people who are homeless: a qualitative study of patient perspectives in the UK', </w:t>
      </w:r>
      <w:r>
        <w:rPr>
          <w:i/>
          <w:iCs/>
        </w:rPr>
        <w:t>British Journal of General Practice</w:t>
      </w:r>
      <w:r>
        <w:t>, 69(685), pp. e526–e536.</w:t>
      </w:r>
    </w:p>
    <w:p w14:paraId="3E8E2B31" w14:textId="77777777" w:rsidR="00157607" w:rsidRPr="00EA3B06" w:rsidRDefault="00157607" w:rsidP="00EA3B06">
      <w:pPr>
        <w:spacing w:before="40" w:after="120" w:line="360" w:lineRule="auto"/>
        <w:jc w:val="both"/>
      </w:pPr>
      <w:r>
        <w:t xml:space="preserve">Hart, J.T. (1971) 'The inverse care law', </w:t>
      </w:r>
      <w:r>
        <w:rPr>
          <w:i/>
          <w:iCs/>
        </w:rPr>
        <w:t>The Lancet</w:t>
      </w:r>
      <w:r>
        <w:t>, 297(7696), pp. 405–412.</w:t>
      </w:r>
    </w:p>
    <w:p w14:paraId="6F1BBAD5" w14:textId="77777777" w:rsidR="00157607" w:rsidRPr="00EA3B06" w:rsidRDefault="00157607" w:rsidP="00EA3B06">
      <w:pPr>
        <w:spacing w:before="40" w:after="120" w:line="360" w:lineRule="auto"/>
        <w:jc w:val="both"/>
      </w:pPr>
      <w:r>
        <w:t xml:space="preserve">Heaslip, V., Green, S., Simkhada, B., Dogan, H. and Richer, S. (2022) 'How do people who are homeless find out about local health and social care services: a mixed method study', </w:t>
      </w:r>
      <w:r>
        <w:rPr>
          <w:i/>
          <w:iCs/>
        </w:rPr>
        <w:t>International Journal of Environmental Research and Public Health</w:t>
      </w:r>
      <w:r>
        <w:t>, 19(1), 46.</w:t>
      </w:r>
    </w:p>
    <w:p w14:paraId="15DB7AE3" w14:textId="77777777" w:rsidR="00157607" w:rsidRPr="00EA3B06" w:rsidRDefault="00157607" w:rsidP="00EA3B06">
      <w:pPr>
        <w:spacing w:before="40" w:after="120" w:line="360" w:lineRule="auto"/>
        <w:jc w:val="both"/>
      </w:pPr>
      <w:r>
        <w:t xml:space="preserve">Hewett, N. and Halligan, A. (2010) 'Homelessness is a healthcare issue', </w:t>
      </w:r>
      <w:r>
        <w:rPr>
          <w:i/>
          <w:iCs/>
        </w:rPr>
        <w:t>Journal of the Royal Society of Medicine</w:t>
      </w:r>
      <w:r>
        <w:t>, 103(8), pp. 306–307.</w:t>
      </w:r>
    </w:p>
    <w:p w14:paraId="20061389" w14:textId="77777777" w:rsidR="00157607" w:rsidRPr="00EA3B06" w:rsidRDefault="00157607" w:rsidP="00EA3B06">
      <w:pPr>
        <w:spacing w:before="40" w:after="120" w:line="360" w:lineRule="auto"/>
        <w:jc w:val="both"/>
      </w:pPr>
      <w:r>
        <w:t xml:space="preserve">Homeless Link (2014) </w:t>
      </w:r>
      <w:r>
        <w:rPr>
          <w:i/>
          <w:iCs/>
        </w:rPr>
        <w:t>The unhealthy state of homelessness: health audit results 2014</w:t>
      </w:r>
      <w:r>
        <w:t xml:space="preserve">. London: Homeless Link. Available at: </w:t>
      </w:r>
      <w:hyperlink r:id="rId13" w:history="1">
        <w:r>
          <w:rPr>
            <w:rStyle w:val="Hyperlink"/>
          </w:rPr>
          <w:t>https://homeless.org.uk/sites/default/files/site-attachments/The%20unhealthy%20state%20of%20homelessness%20FINAL.pdf</w:t>
        </w:r>
      </w:hyperlink>
      <w:r>
        <w:t xml:space="preserve"> (Accessed: 11 April 2026).</w:t>
      </w:r>
    </w:p>
    <w:p w14:paraId="242823AC" w14:textId="77777777" w:rsidR="00157607" w:rsidRPr="00EA3B06" w:rsidRDefault="00157607" w:rsidP="00EA3B06">
      <w:pPr>
        <w:spacing w:before="40" w:after="120" w:line="360" w:lineRule="auto"/>
        <w:jc w:val="both"/>
      </w:pPr>
      <w:r>
        <w:t xml:space="preserve">Hwang, S.W. (2001) 'Homelessness and health', </w:t>
      </w:r>
      <w:r>
        <w:rPr>
          <w:i/>
          <w:iCs/>
        </w:rPr>
        <w:t>Canadian Medical Association Journal</w:t>
      </w:r>
      <w:r>
        <w:t>, 164(2), pp. 229–233.</w:t>
      </w:r>
    </w:p>
    <w:p w14:paraId="32ED3A1A" w14:textId="77777777" w:rsidR="00157607" w:rsidRPr="00EA3B06" w:rsidRDefault="00157607" w:rsidP="00EA3B06">
      <w:pPr>
        <w:spacing w:before="40" w:after="120" w:line="360" w:lineRule="auto"/>
        <w:jc w:val="both"/>
      </w:pPr>
      <w:r>
        <w:lastRenderedPageBreak/>
        <w:t xml:space="preserve">Lewer, D., Aldridge, R.W., Menezes, D., Sawyer, C., Zaninotto, P., Dedicoat, M., Ahmed, I., Luchenski, S., Hayward, A. and Story, A. (2019) 'Health-related quality of life and prevalence of six chronic diseases in homeless and housed people: a cross-sectional study in London and Birmingham, England', </w:t>
      </w:r>
      <w:r>
        <w:rPr>
          <w:i/>
          <w:iCs/>
        </w:rPr>
        <w:t>BMJ Open</w:t>
      </w:r>
      <w:r>
        <w:t>, 9(4), e025192.</w:t>
      </w:r>
    </w:p>
    <w:p w14:paraId="51DACF43" w14:textId="77777777" w:rsidR="00157607" w:rsidRPr="00EA3B06" w:rsidRDefault="00157607" w:rsidP="00EA3B06">
      <w:pPr>
        <w:spacing w:before="40" w:after="120" w:line="360" w:lineRule="auto"/>
        <w:jc w:val="both"/>
      </w:pPr>
      <w:r>
        <w:t xml:space="preserve">Lewer, D., Menezes, D., Cornes, M., Blackburn, R.M., Byng, R., Clark, M., Luchenski, S., McKee, M. and Aldridge, R.W. (2021) 'Hospital readmission among people experiencing homelessness in England: a cohort study of 2772 matched homeless and housed inpatients', </w:t>
      </w:r>
      <w:r>
        <w:rPr>
          <w:i/>
          <w:iCs/>
        </w:rPr>
        <w:t>Journal of Epidemiology and Community Health</w:t>
      </w:r>
      <w:r>
        <w:t>, 75(7), pp. 681–688.</w:t>
      </w:r>
    </w:p>
    <w:p w14:paraId="524E12AF" w14:textId="77777777" w:rsidR="00157607" w:rsidRPr="00EA3B06" w:rsidRDefault="00157607" w:rsidP="00EA3B06">
      <w:pPr>
        <w:spacing w:before="40" w:after="120" w:line="360" w:lineRule="auto"/>
        <w:jc w:val="both"/>
      </w:pPr>
      <w:r>
        <w:t xml:space="preserve">Luchenski, S., Maguire, N., Aldridge, R.W., Hayward, A., Story, A., Perri, P., Withers, J., Clint, S., Fitzpatrick, S. and Hewett, N. (2018) 'What works in inclusion health: overview of effective interventions for marginalised and excluded populations', </w:t>
      </w:r>
      <w:r>
        <w:rPr>
          <w:i/>
          <w:iCs/>
        </w:rPr>
        <w:t>The Lancet</w:t>
      </w:r>
      <w:r>
        <w:t>, 391(10117), pp. 266–280.</w:t>
      </w:r>
    </w:p>
    <w:p w14:paraId="182F9925" w14:textId="77777777" w:rsidR="00157607" w:rsidRPr="00EA3B06" w:rsidRDefault="00157607" w:rsidP="00EA3B06">
      <w:pPr>
        <w:spacing w:before="40" w:after="120" w:line="360" w:lineRule="auto"/>
        <w:jc w:val="both"/>
      </w:pPr>
      <w:r>
        <w:t xml:space="preserve">Marmot, M. (2018) 'Inclusion health: addressing the causes of the causes', </w:t>
      </w:r>
      <w:r>
        <w:rPr>
          <w:i/>
          <w:iCs/>
        </w:rPr>
        <w:t>The Lancet</w:t>
      </w:r>
      <w:r>
        <w:t>, 391(10117), pp. 186–188.</w:t>
      </w:r>
    </w:p>
    <w:p w14:paraId="7512E48C" w14:textId="77777777" w:rsidR="00157607" w:rsidRPr="00EA3B06" w:rsidRDefault="00157607" w:rsidP="00EA3B06">
      <w:pPr>
        <w:spacing w:before="40" w:after="120" w:line="360" w:lineRule="auto"/>
        <w:jc w:val="both"/>
      </w:pPr>
      <w:r>
        <w:t xml:space="preserve">Marmot, M., Allen, J., Boyce, T., Goldblatt, P. and Morrison, J. (2020) </w:t>
      </w:r>
      <w:r>
        <w:rPr>
          <w:i/>
          <w:iCs/>
        </w:rPr>
        <w:t>Health equity in England: the Marmot Review 10 years on</w:t>
      </w:r>
      <w:r>
        <w:t xml:space="preserve">. London: Institute of Health Equity. Available at: </w:t>
      </w:r>
      <w:hyperlink r:id="rId14" w:history="1">
        <w:r>
          <w:rPr>
            <w:rStyle w:val="Hyperlink"/>
          </w:rPr>
          <w:t>https://www.health.org.uk/publications/reports/the-marmot-review-10-years-on</w:t>
        </w:r>
      </w:hyperlink>
      <w:r>
        <w:t xml:space="preserve"> (Accessed: 8 April 2026).</w:t>
      </w:r>
    </w:p>
    <w:p w14:paraId="70D6D354" w14:textId="77777777" w:rsidR="00157607" w:rsidRPr="00EA3B06" w:rsidRDefault="00157607" w:rsidP="00EA3B06">
      <w:pPr>
        <w:spacing w:before="40" w:after="120" w:line="360" w:lineRule="auto"/>
        <w:jc w:val="both"/>
      </w:pPr>
      <w:r>
        <w:t xml:space="preserve">Ministry of Housing, Communities and Local Government (2018) </w:t>
      </w:r>
      <w:r>
        <w:rPr>
          <w:i/>
          <w:iCs/>
        </w:rPr>
        <w:t>Rough sleeping strategy</w:t>
      </w:r>
      <w:r>
        <w:t xml:space="preserve">. London: MHCLG. Available at: </w:t>
      </w:r>
      <w:hyperlink r:id="rId15" w:history="1">
        <w:r>
          <w:rPr>
            <w:rStyle w:val="Hyperlink"/>
          </w:rPr>
          <w:t>https://www.gov.uk/government/publications/the-rough-sleeping-strategy</w:t>
        </w:r>
      </w:hyperlink>
      <w:r>
        <w:t xml:space="preserve"> (Accessed: 7 April 2026).</w:t>
      </w:r>
    </w:p>
    <w:p w14:paraId="7C76431C" w14:textId="77777777" w:rsidR="00157607" w:rsidRPr="00EA3B06" w:rsidRDefault="00157607" w:rsidP="00EA3B06">
      <w:pPr>
        <w:spacing w:before="40" w:after="120" w:line="360" w:lineRule="auto"/>
        <w:jc w:val="both"/>
      </w:pPr>
      <w:r>
        <w:t xml:space="preserve">National Institute for Health and Care Excellence (2022) </w:t>
      </w:r>
      <w:r>
        <w:rPr>
          <w:i/>
          <w:iCs/>
        </w:rPr>
        <w:t>Integrated health and social care for people experiencing homelessness</w:t>
      </w:r>
      <w:r>
        <w:t xml:space="preserve">. NICE Guideline NG214. London: NICE. Available at: </w:t>
      </w:r>
      <w:hyperlink r:id="rId16" w:history="1">
        <w:r>
          <w:rPr>
            <w:rStyle w:val="Hyperlink"/>
          </w:rPr>
          <w:t>https://www.nice.org.uk/guidance/ng214</w:t>
        </w:r>
      </w:hyperlink>
      <w:r>
        <w:t xml:space="preserve"> (Accessed: 10 April 2026).</w:t>
      </w:r>
    </w:p>
    <w:p w14:paraId="5FF98447" w14:textId="77777777" w:rsidR="00157607" w:rsidRPr="00EA3B06" w:rsidRDefault="00157607" w:rsidP="00EA3B06">
      <w:pPr>
        <w:spacing w:before="40" w:after="120" w:line="360" w:lineRule="auto"/>
        <w:jc w:val="both"/>
      </w:pPr>
      <w:r>
        <w:t xml:space="preserve">NHS England (2019) </w:t>
      </w:r>
      <w:r>
        <w:rPr>
          <w:i/>
          <w:iCs/>
        </w:rPr>
        <w:t>The NHS Long Term Plan</w:t>
      </w:r>
      <w:r>
        <w:t xml:space="preserve">. London: NHS England. Available at: </w:t>
      </w:r>
      <w:hyperlink r:id="rId17" w:history="1">
        <w:r>
          <w:rPr>
            <w:rStyle w:val="Hyperlink"/>
          </w:rPr>
          <w:t>https://www.longtermplan.nhs.uk</w:t>
        </w:r>
      </w:hyperlink>
      <w:r>
        <w:t xml:space="preserve"> (Accessed: 8 April 2026).</w:t>
      </w:r>
    </w:p>
    <w:p w14:paraId="0254826C" w14:textId="77777777" w:rsidR="00157607" w:rsidRPr="00EA3B06" w:rsidRDefault="00157607" w:rsidP="00EA3B06">
      <w:pPr>
        <w:spacing w:before="40" w:after="120" w:line="360" w:lineRule="auto"/>
        <w:jc w:val="both"/>
      </w:pPr>
      <w:r>
        <w:t xml:space="preserve">Office for National Statistics (2022) </w:t>
      </w:r>
      <w:r>
        <w:rPr>
          <w:i/>
          <w:iCs/>
        </w:rPr>
        <w:t>Deaths of homeless people in England and Wales: 2021 registrations</w:t>
      </w:r>
      <w:r>
        <w:t xml:space="preserve">. Newport: ONS. Available at: </w:t>
      </w:r>
      <w:hyperlink r:id="rId18" w:history="1">
        <w:r>
          <w:rPr>
            <w:rStyle w:val="Hyperlink"/>
          </w:rPr>
          <w:t>https://www.ons.gov.uk/peoplepopulationandcommunity/birthsdeathsandmarriages/deaths/bulletins/deathsofhomelesspeopleinenglandandwales/2021registrations</w:t>
        </w:r>
      </w:hyperlink>
      <w:r>
        <w:t xml:space="preserve"> (Accessed: 12 April 2026).</w:t>
      </w:r>
    </w:p>
    <w:p w14:paraId="7F1C088D" w14:textId="77777777" w:rsidR="00157607" w:rsidRPr="00EA3B06" w:rsidRDefault="00157607" w:rsidP="00EA3B06">
      <w:pPr>
        <w:spacing w:before="40" w:after="120" w:line="360" w:lineRule="auto"/>
        <w:jc w:val="both"/>
      </w:pPr>
      <w:r>
        <w:t xml:space="preserve">Rae, B.E. and Rees, S. (2015) 'The perceptions of homeless people regarding their healthcare needs and experiences of receiving health care', </w:t>
      </w:r>
      <w:r>
        <w:rPr>
          <w:i/>
          <w:iCs/>
        </w:rPr>
        <w:t>Journal of Advanced Nursing</w:t>
      </w:r>
      <w:r>
        <w:t>, 71(9), pp. 2096–2107.</w:t>
      </w:r>
    </w:p>
    <w:p w14:paraId="71810694" w14:textId="77777777" w:rsidR="00157607" w:rsidRPr="00EA3B06" w:rsidRDefault="00157607" w:rsidP="00EA3B06">
      <w:pPr>
        <w:spacing w:before="40" w:after="120" w:line="360" w:lineRule="auto"/>
        <w:jc w:val="both"/>
      </w:pPr>
      <w:r>
        <w:lastRenderedPageBreak/>
        <w:t xml:space="preserve">Rogans-Watson, R., Shulman, C., Lewer, D., Armstrong, M. and Hudson, B. (2020) 'Premature frailty, geriatric conditions and multimorbidity among people experiencing homelessness: a cross-sectional observational study in a London hostel', </w:t>
      </w:r>
      <w:r>
        <w:rPr>
          <w:i/>
          <w:iCs/>
        </w:rPr>
        <w:t>Housing, Care and Support</w:t>
      </w:r>
      <w:r>
        <w:t>, 23(3/4), pp. 77–91.</w:t>
      </w:r>
    </w:p>
    <w:p w14:paraId="7DE6482F" w14:textId="77777777" w:rsidR="00157607" w:rsidRPr="00EA3B06" w:rsidRDefault="00157607" w:rsidP="00EA3B06">
      <w:pPr>
        <w:spacing w:before="40" w:after="120" w:line="360" w:lineRule="auto"/>
        <w:jc w:val="both"/>
      </w:pPr>
      <w:r>
        <w:t xml:space="preserve">Shulman, C., Hudson, B.F., Low, J., Hewett, N., Daley, J., Kennedy, P., Davis, S., Brophy, N., Howard, D., Vivat, B. and Relf, M. (2018) 'End-of-life care for homeless people: a qualitative analysis exploring the challenges to access and provision of palliative care', </w:t>
      </w:r>
      <w:r>
        <w:rPr>
          <w:i/>
          <w:iCs/>
        </w:rPr>
        <w:t>Palliative Medicine</w:t>
      </w:r>
      <w:r>
        <w:t>, 32(1), pp. 36–45.</w:t>
      </w:r>
    </w:p>
    <w:p w14:paraId="066C2CFD" w14:textId="77777777" w:rsidR="00BE35A0" w:rsidRPr="00EA3B06" w:rsidRDefault="00157607" w:rsidP="00EA3B06">
      <w:pPr>
        <w:spacing w:before="40" w:after="120" w:line="360" w:lineRule="auto"/>
        <w:jc w:val="both"/>
      </w:pPr>
      <w:r>
        <w:t xml:space="preserve">Stafford, A. and Wood, L. (2017) 'Tackling health disparities for people who are homeless? Start with social determinants', </w:t>
      </w:r>
      <w:r>
        <w:rPr>
          <w:i/>
          <w:iCs/>
        </w:rPr>
        <w:t>International Journal of Environmental Research and Public Health</w:t>
      </w:r>
      <w:r>
        <w:t>, 14(12), p. 1535.</w:t>
      </w:r>
    </w:p>
    <w:sectPr w:rsidR="00BE35A0" w:rsidRPr="00EA3B0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04CF6" w14:textId="77777777" w:rsidR="00B3712C" w:rsidRDefault="00B3712C" w:rsidP="006131D5">
      <w:r>
        <w:separator/>
      </w:r>
    </w:p>
  </w:endnote>
  <w:endnote w:type="continuationSeparator" w:id="0">
    <w:p w14:paraId="3F89BE4E" w14:textId="77777777" w:rsidR="00B3712C" w:rsidRDefault="00B3712C" w:rsidP="00613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E8000" w14:textId="77777777" w:rsidR="00B3712C" w:rsidRDefault="00B3712C" w:rsidP="006131D5">
      <w:r>
        <w:separator/>
      </w:r>
    </w:p>
  </w:footnote>
  <w:footnote w:type="continuationSeparator" w:id="0">
    <w:p w14:paraId="6E35ECEE" w14:textId="77777777" w:rsidR="00B3712C" w:rsidRDefault="00B3712C" w:rsidP="006131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C580F"/>
    <w:multiLevelType w:val="hybridMultilevel"/>
    <w:tmpl w:val="EA7C424E"/>
    <w:lvl w:ilvl="0" w:tplc="180E3DBA">
      <w:start w:val="1"/>
      <w:numFmt w:val="bullet"/>
      <w:lvlText w:val="•"/>
      <w:lvlJc w:val="left"/>
      <w:pPr>
        <w:spacing w:before="40" w:after="40"/>
        <w:ind w:left="720" w:hanging="360"/>
      </w:pPr>
    </w:lvl>
    <w:lvl w:ilvl="1" w:tplc="66F8A0AC">
      <w:numFmt w:val="decimal"/>
      <w:lvlText w:val=""/>
      <w:lvlJc w:val="left"/>
    </w:lvl>
    <w:lvl w:ilvl="2" w:tplc="6CA20814">
      <w:numFmt w:val="decimal"/>
      <w:lvlText w:val=""/>
      <w:lvlJc w:val="left"/>
    </w:lvl>
    <w:lvl w:ilvl="3" w:tplc="333863DA">
      <w:numFmt w:val="decimal"/>
      <w:lvlText w:val=""/>
      <w:lvlJc w:val="left"/>
    </w:lvl>
    <w:lvl w:ilvl="4" w:tplc="38F6ACEA">
      <w:numFmt w:val="decimal"/>
      <w:lvlText w:val=""/>
      <w:lvlJc w:val="left"/>
    </w:lvl>
    <w:lvl w:ilvl="5" w:tplc="0832C43A">
      <w:numFmt w:val="decimal"/>
      <w:lvlText w:val=""/>
      <w:lvlJc w:val="left"/>
    </w:lvl>
    <w:lvl w:ilvl="6" w:tplc="66E86D80">
      <w:numFmt w:val="decimal"/>
      <w:lvlText w:val=""/>
      <w:lvlJc w:val="left"/>
    </w:lvl>
    <w:lvl w:ilvl="7" w:tplc="26FE4DDC">
      <w:numFmt w:val="decimal"/>
      <w:lvlText w:val=""/>
      <w:lvlJc w:val="left"/>
    </w:lvl>
    <w:lvl w:ilvl="8" w:tplc="604A6C5A">
      <w:numFmt w:val="decimal"/>
      <w:lvlText w:val=""/>
      <w:lvlJc w:val="left"/>
    </w:lvl>
  </w:abstractNum>
  <w:abstractNum w:abstractNumId="1" w15:restartNumberingAfterBreak="0">
    <w:nsid w:val="2BAC239B"/>
    <w:multiLevelType w:val="hybridMultilevel"/>
    <w:tmpl w:val="36CCB8B2"/>
    <w:lvl w:ilvl="0" w:tplc="01C098B6">
      <w:start w:val="1"/>
      <w:numFmt w:val="bullet"/>
      <w:lvlText w:val="●"/>
      <w:lvlJc w:val="left"/>
      <w:pPr>
        <w:ind w:left="720" w:hanging="360"/>
      </w:pPr>
    </w:lvl>
    <w:lvl w:ilvl="1" w:tplc="F04411A6">
      <w:start w:val="1"/>
      <w:numFmt w:val="bullet"/>
      <w:lvlText w:val="○"/>
      <w:lvlJc w:val="left"/>
      <w:pPr>
        <w:ind w:left="1440" w:hanging="360"/>
      </w:pPr>
    </w:lvl>
    <w:lvl w:ilvl="2" w:tplc="74D22E8A">
      <w:start w:val="1"/>
      <w:numFmt w:val="bullet"/>
      <w:lvlText w:val="■"/>
      <w:lvlJc w:val="left"/>
      <w:pPr>
        <w:ind w:left="2160" w:hanging="360"/>
      </w:pPr>
    </w:lvl>
    <w:lvl w:ilvl="3" w:tplc="B694E0A4">
      <w:start w:val="1"/>
      <w:numFmt w:val="bullet"/>
      <w:lvlText w:val="●"/>
      <w:lvlJc w:val="left"/>
      <w:pPr>
        <w:ind w:left="2880" w:hanging="360"/>
      </w:pPr>
    </w:lvl>
    <w:lvl w:ilvl="4" w:tplc="7BC0EB78">
      <w:start w:val="1"/>
      <w:numFmt w:val="bullet"/>
      <w:lvlText w:val="○"/>
      <w:lvlJc w:val="left"/>
      <w:pPr>
        <w:ind w:left="3600" w:hanging="360"/>
      </w:pPr>
    </w:lvl>
    <w:lvl w:ilvl="5" w:tplc="1CFC4BFC">
      <w:start w:val="1"/>
      <w:numFmt w:val="bullet"/>
      <w:lvlText w:val="■"/>
      <w:lvlJc w:val="left"/>
      <w:pPr>
        <w:ind w:left="4320" w:hanging="360"/>
      </w:pPr>
    </w:lvl>
    <w:lvl w:ilvl="6" w:tplc="5972E6C8">
      <w:start w:val="1"/>
      <w:numFmt w:val="bullet"/>
      <w:lvlText w:val="●"/>
      <w:lvlJc w:val="left"/>
      <w:pPr>
        <w:ind w:left="5040" w:hanging="360"/>
      </w:pPr>
    </w:lvl>
    <w:lvl w:ilvl="7" w:tplc="2A5ECB40">
      <w:start w:val="1"/>
      <w:numFmt w:val="bullet"/>
      <w:lvlText w:val="●"/>
      <w:lvlJc w:val="left"/>
      <w:pPr>
        <w:ind w:left="5760" w:hanging="360"/>
      </w:pPr>
    </w:lvl>
    <w:lvl w:ilvl="8" w:tplc="F7D8CC18">
      <w:start w:val="1"/>
      <w:numFmt w:val="bullet"/>
      <w:lvlText w:val="●"/>
      <w:lvlJc w:val="left"/>
      <w:pPr>
        <w:ind w:left="6480" w:hanging="360"/>
      </w:pPr>
    </w:lvl>
  </w:abstractNum>
  <w:abstractNum w:abstractNumId="2" w15:restartNumberingAfterBreak="0">
    <w:nsid w:val="322D17F8"/>
    <w:multiLevelType w:val="hybridMultilevel"/>
    <w:tmpl w:val="61149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EC4439"/>
    <w:multiLevelType w:val="hybridMultilevel"/>
    <w:tmpl w:val="1C1CE574"/>
    <w:lvl w:ilvl="0" w:tplc="0F28D57C">
      <w:start w:val="1"/>
      <w:numFmt w:val="decimal"/>
      <w:lvlText w:val="%1."/>
      <w:lvlJc w:val="left"/>
      <w:pPr>
        <w:spacing w:before="40" w:after="40"/>
        <w:ind w:left="720" w:hanging="360"/>
      </w:pPr>
    </w:lvl>
    <w:lvl w:ilvl="1" w:tplc="845647D6">
      <w:numFmt w:val="decimal"/>
      <w:lvlText w:val=""/>
      <w:lvlJc w:val="left"/>
    </w:lvl>
    <w:lvl w:ilvl="2" w:tplc="56E069A0">
      <w:numFmt w:val="decimal"/>
      <w:lvlText w:val=""/>
      <w:lvlJc w:val="left"/>
    </w:lvl>
    <w:lvl w:ilvl="3" w:tplc="901E6534">
      <w:numFmt w:val="decimal"/>
      <w:lvlText w:val=""/>
      <w:lvlJc w:val="left"/>
    </w:lvl>
    <w:lvl w:ilvl="4" w:tplc="00528ECE">
      <w:numFmt w:val="decimal"/>
      <w:lvlText w:val=""/>
      <w:lvlJc w:val="left"/>
    </w:lvl>
    <w:lvl w:ilvl="5" w:tplc="1074873E">
      <w:numFmt w:val="decimal"/>
      <w:lvlText w:val=""/>
      <w:lvlJc w:val="left"/>
    </w:lvl>
    <w:lvl w:ilvl="6" w:tplc="D960B048">
      <w:numFmt w:val="decimal"/>
      <w:lvlText w:val=""/>
      <w:lvlJc w:val="left"/>
    </w:lvl>
    <w:lvl w:ilvl="7" w:tplc="5AF4D414">
      <w:numFmt w:val="decimal"/>
      <w:lvlText w:val=""/>
      <w:lvlJc w:val="left"/>
    </w:lvl>
    <w:lvl w:ilvl="8" w:tplc="B7301F9E">
      <w:numFmt w:val="decimal"/>
      <w:lvlText w:val=""/>
      <w:lvlJc w:val="left"/>
    </w:lvl>
  </w:abstractNum>
  <w:num w:numId="1" w16cid:durableId="517306168">
    <w:abstractNumId w:val="1"/>
    <w:lvlOverride w:ilvl="0">
      <w:startOverride w:val="1"/>
    </w:lvlOverride>
  </w:num>
  <w:num w:numId="2" w16cid:durableId="455026589">
    <w:abstractNumId w:val="3"/>
    <w:lvlOverride w:ilvl="0">
      <w:startOverride w:val="1"/>
    </w:lvlOverride>
  </w:num>
  <w:num w:numId="3" w16cid:durableId="849829727">
    <w:abstractNumId w:val="0"/>
    <w:lvlOverride w:ilvl="0">
      <w:startOverride w:val="1"/>
    </w:lvlOverride>
  </w:num>
  <w:num w:numId="4" w16cid:durableId="2101909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5A0"/>
    <w:rsid w:val="00016E8F"/>
    <w:rsid w:val="00024252"/>
    <w:rsid w:val="00024B2A"/>
    <w:rsid w:val="00032425"/>
    <w:rsid w:val="000604A2"/>
    <w:rsid w:val="00073A6A"/>
    <w:rsid w:val="00084424"/>
    <w:rsid w:val="000F3FCF"/>
    <w:rsid w:val="001108CD"/>
    <w:rsid w:val="00121616"/>
    <w:rsid w:val="00123A37"/>
    <w:rsid w:val="001421D9"/>
    <w:rsid w:val="001438C3"/>
    <w:rsid w:val="00157607"/>
    <w:rsid w:val="001614C4"/>
    <w:rsid w:val="0016572F"/>
    <w:rsid w:val="00191D67"/>
    <w:rsid w:val="00196E6B"/>
    <w:rsid w:val="00197A2E"/>
    <w:rsid w:val="001A1E7A"/>
    <w:rsid w:val="001A5AC0"/>
    <w:rsid w:val="001A5D98"/>
    <w:rsid w:val="001E0C63"/>
    <w:rsid w:val="00200C0D"/>
    <w:rsid w:val="00210C77"/>
    <w:rsid w:val="0022302A"/>
    <w:rsid w:val="002620FC"/>
    <w:rsid w:val="0027083D"/>
    <w:rsid w:val="00273175"/>
    <w:rsid w:val="00276FD5"/>
    <w:rsid w:val="00277769"/>
    <w:rsid w:val="00280136"/>
    <w:rsid w:val="00280E9E"/>
    <w:rsid w:val="0029322F"/>
    <w:rsid w:val="002B2430"/>
    <w:rsid w:val="002B6CFE"/>
    <w:rsid w:val="002D2106"/>
    <w:rsid w:val="002D2E37"/>
    <w:rsid w:val="002D3748"/>
    <w:rsid w:val="002E241B"/>
    <w:rsid w:val="002E7C44"/>
    <w:rsid w:val="002F377E"/>
    <w:rsid w:val="003171BD"/>
    <w:rsid w:val="0034729B"/>
    <w:rsid w:val="003477F1"/>
    <w:rsid w:val="0035743C"/>
    <w:rsid w:val="003721C1"/>
    <w:rsid w:val="00380C70"/>
    <w:rsid w:val="00385C10"/>
    <w:rsid w:val="00386219"/>
    <w:rsid w:val="00391418"/>
    <w:rsid w:val="003B375C"/>
    <w:rsid w:val="003B755C"/>
    <w:rsid w:val="003C288A"/>
    <w:rsid w:val="003C78B9"/>
    <w:rsid w:val="003E087C"/>
    <w:rsid w:val="00403CDF"/>
    <w:rsid w:val="00460235"/>
    <w:rsid w:val="00466043"/>
    <w:rsid w:val="00470CEF"/>
    <w:rsid w:val="004908BF"/>
    <w:rsid w:val="004A65A3"/>
    <w:rsid w:val="004E498E"/>
    <w:rsid w:val="004F74D0"/>
    <w:rsid w:val="005475E3"/>
    <w:rsid w:val="005565F5"/>
    <w:rsid w:val="00585BFE"/>
    <w:rsid w:val="0058757F"/>
    <w:rsid w:val="00590B55"/>
    <w:rsid w:val="00597E54"/>
    <w:rsid w:val="005E5E5A"/>
    <w:rsid w:val="005E7C99"/>
    <w:rsid w:val="005F1C5A"/>
    <w:rsid w:val="005F522D"/>
    <w:rsid w:val="00610EB0"/>
    <w:rsid w:val="006131D5"/>
    <w:rsid w:val="0061548A"/>
    <w:rsid w:val="00627F5F"/>
    <w:rsid w:val="00675DAC"/>
    <w:rsid w:val="0069285C"/>
    <w:rsid w:val="006A54DD"/>
    <w:rsid w:val="006A7920"/>
    <w:rsid w:val="006B52C2"/>
    <w:rsid w:val="006E0B75"/>
    <w:rsid w:val="006E5349"/>
    <w:rsid w:val="00703B13"/>
    <w:rsid w:val="00724CF7"/>
    <w:rsid w:val="007266A1"/>
    <w:rsid w:val="007341A1"/>
    <w:rsid w:val="0073676F"/>
    <w:rsid w:val="0079556C"/>
    <w:rsid w:val="007A41DB"/>
    <w:rsid w:val="007D046F"/>
    <w:rsid w:val="007F0A15"/>
    <w:rsid w:val="00800AE0"/>
    <w:rsid w:val="00801016"/>
    <w:rsid w:val="008150C8"/>
    <w:rsid w:val="008216B4"/>
    <w:rsid w:val="0082564B"/>
    <w:rsid w:val="0082730D"/>
    <w:rsid w:val="0083537A"/>
    <w:rsid w:val="00843E2B"/>
    <w:rsid w:val="00846C13"/>
    <w:rsid w:val="008553CF"/>
    <w:rsid w:val="008730B6"/>
    <w:rsid w:val="008741F9"/>
    <w:rsid w:val="008A23BD"/>
    <w:rsid w:val="008A26B4"/>
    <w:rsid w:val="008E153D"/>
    <w:rsid w:val="008E4D1D"/>
    <w:rsid w:val="008E4D34"/>
    <w:rsid w:val="008F0884"/>
    <w:rsid w:val="008F35C6"/>
    <w:rsid w:val="0090420F"/>
    <w:rsid w:val="00936C2F"/>
    <w:rsid w:val="00972F18"/>
    <w:rsid w:val="00973DAD"/>
    <w:rsid w:val="0097520B"/>
    <w:rsid w:val="00975E60"/>
    <w:rsid w:val="009905EE"/>
    <w:rsid w:val="009A7B15"/>
    <w:rsid w:val="009E14E8"/>
    <w:rsid w:val="00A065DD"/>
    <w:rsid w:val="00A10927"/>
    <w:rsid w:val="00A134D3"/>
    <w:rsid w:val="00A242AC"/>
    <w:rsid w:val="00A32E5E"/>
    <w:rsid w:val="00A340CB"/>
    <w:rsid w:val="00A35038"/>
    <w:rsid w:val="00A63306"/>
    <w:rsid w:val="00A73632"/>
    <w:rsid w:val="00A803D9"/>
    <w:rsid w:val="00A86E6F"/>
    <w:rsid w:val="00A97228"/>
    <w:rsid w:val="00AA148A"/>
    <w:rsid w:val="00AC6F8B"/>
    <w:rsid w:val="00AE559E"/>
    <w:rsid w:val="00AE5D12"/>
    <w:rsid w:val="00B3712C"/>
    <w:rsid w:val="00B37AFE"/>
    <w:rsid w:val="00B42D50"/>
    <w:rsid w:val="00B73A39"/>
    <w:rsid w:val="00BA254C"/>
    <w:rsid w:val="00BB1FD5"/>
    <w:rsid w:val="00BB482C"/>
    <w:rsid w:val="00BB52E7"/>
    <w:rsid w:val="00BB6B5B"/>
    <w:rsid w:val="00BD0C63"/>
    <w:rsid w:val="00BD2CD8"/>
    <w:rsid w:val="00BD5D07"/>
    <w:rsid w:val="00BE35A0"/>
    <w:rsid w:val="00BE7C69"/>
    <w:rsid w:val="00C176DC"/>
    <w:rsid w:val="00C312D8"/>
    <w:rsid w:val="00C81797"/>
    <w:rsid w:val="00C93D05"/>
    <w:rsid w:val="00CA1618"/>
    <w:rsid w:val="00CF2366"/>
    <w:rsid w:val="00D01433"/>
    <w:rsid w:val="00D01E12"/>
    <w:rsid w:val="00D072A8"/>
    <w:rsid w:val="00D25367"/>
    <w:rsid w:val="00D672AC"/>
    <w:rsid w:val="00DA0038"/>
    <w:rsid w:val="00DB3131"/>
    <w:rsid w:val="00DE24C4"/>
    <w:rsid w:val="00E0398F"/>
    <w:rsid w:val="00E24DA0"/>
    <w:rsid w:val="00E37D62"/>
    <w:rsid w:val="00E448BA"/>
    <w:rsid w:val="00E916D4"/>
    <w:rsid w:val="00EA3B06"/>
    <w:rsid w:val="00EC21A7"/>
    <w:rsid w:val="00EF0B8D"/>
    <w:rsid w:val="00F06A4B"/>
    <w:rsid w:val="00F31DEE"/>
    <w:rsid w:val="00F40259"/>
    <w:rsid w:val="00F53334"/>
    <w:rsid w:val="00F9761A"/>
    <w:rsid w:val="00FA196E"/>
    <w:rsid w:val="00FA552C"/>
    <w:rsid w:val="00FB79E2"/>
    <w:rsid w:val="00FE0B32"/>
    <w:rsid w:val="00FE7359"/>
    <w:rsid w:val="00FE7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B71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F3864"/>
      <w:sz w:val="26"/>
      <w:szCs w:val="26"/>
    </w:rPr>
  </w:style>
  <w:style w:type="paragraph" w:styleId="Heading2">
    <w:name w:val="heading 2"/>
    <w:uiPriority w:val="9"/>
    <w:semiHidden/>
    <w:unhideWhenUsed/>
    <w:qFormat/>
    <w:pPr>
      <w:spacing w:before="240" w:after="120"/>
      <w:outlineLvl w:val="1"/>
    </w:pPr>
    <w:rPr>
      <w:b/>
      <w:bCs/>
      <w:color w:val="2E549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157607"/>
    <w:rPr>
      <w:color w:val="605E5C"/>
      <w:shd w:val="clear" w:color="auto" w:fill="E1DFDD"/>
    </w:rPr>
  </w:style>
  <w:style w:type="paragraph" w:styleId="Header">
    <w:name w:val="header"/>
    <w:basedOn w:val="Normal"/>
    <w:link w:val="HeaderChar"/>
    <w:uiPriority w:val="99"/>
    <w:unhideWhenUsed/>
    <w:rsid w:val="006131D5"/>
    <w:pPr>
      <w:tabs>
        <w:tab w:val="center" w:pos="4513"/>
        <w:tab w:val="right" w:pos="9026"/>
      </w:tabs>
    </w:pPr>
  </w:style>
  <w:style w:type="character" w:customStyle="1" w:styleId="HeaderChar">
    <w:name w:val="Header Char"/>
    <w:basedOn w:val="DefaultParagraphFont"/>
    <w:link w:val="Header"/>
    <w:uiPriority w:val="99"/>
    <w:rsid w:val="006131D5"/>
  </w:style>
  <w:style w:type="paragraph" w:styleId="Footer">
    <w:name w:val="footer"/>
    <w:basedOn w:val="Normal"/>
    <w:link w:val="FooterChar"/>
    <w:uiPriority w:val="99"/>
    <w:unhideWhenUsed/>
    <w:rsid w:val="006131D5"/>
    <w:pPr>
      <w:tabs>
        <w:tab w:val="center" w:pos="4513"/>
        <w:tab w:val="right" w:pos="9026"/>
      </w:tabs>
    </w:pPr>
  </w:style>
  <w:style w:type="character" w:customStyle="1" w:styleId="FooterChar">
    <w:name w:val="Footer Char"/>
    <w:basedOn w:val="DefaultParagraphFont"/>
    <w:link w:val="Footer"/>
    <w:uiPriority w:val="99"/>
    <w:rsid w:val="00613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omeless.org.uk/sites/default/files/site-attachments/The%20unhealthy%20state%20of%20homelessness%20FINAL.pdf" TargetMode="External"/><Relationship Id="rId18" Type="http://schemas.openxmlformats.org/officeDocument/2006/relationships/hyperlink" Target="https://www.ons.gov.uk/peoplepopulationandcommunity/birthsdeathsandmarriages/deaths/bulletins/deathsofhomelesspeopleinenglandandwales/2021registration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risis.org.uk/ending-homelessness/homelessness-knowledge-hub/homelessness-monitor/england/the-homelessness-monitor-england-2023/" TargetMode="External"/><Relationship Id="rId17" Type="http://schemas.openxmlformats.org/officeDocument/2006/relationships/hyperlink" Target="https://www.longtermplan.nhs.uk" TargetMode="External"/><Relationship Id="rId2" Type="http://schemas.openxmlformats.org/officeDocument/2006/relationships/styles" Target="styles.xml"/><Relationship Id="rId16" Type="http://schemas.openxmlformats.org/officeDocument/2006/relationships/hyperlink" Target="https://www.nice.org.uk/guidance/ng21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 TargetMode="External"/><Relationship Id="rId5" Type="http://schemas.openxmlformats.org/officeDocument/2006/relationships/footnotes" Target="footnotes.xml"/><Relationship Id="rId15" Type="http://schemas.openxmlformats.org/officeDocument/2006/relationships/hyperlink" Target="https://www.gov.uk/government/publications/the-rough-sleeping-strategy" TargetMode="External"/><Relationship Id="rId10" Type="http://schemas.openxmlformats.org/officeDocument/2006/relationships/hyperlink" Target="https://www.crisis.org.uk/ending-homelessness/homelessness-knowledge-hub/homelessness-monitor/englan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ankellychase.org.uk/resources/publications/hard-edges/" TargetMode="External"/><Relationship Id="rId14" Type="http://schemas.openxmlformats.org/officeDocument/2006/relationships/hyperlink" Target="https://www.health.org.uk/publications/reports/the-marmot-review-10-year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3986</Words>
  <Characters>22722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2026-04-21T07:05:00Z</dcterms:created>
  <dcterms:modified xsi:type="dcterms:W3CDTF">2026-04-21T07:05:00Z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e1cba4a0-a689-4ead-8845-b89f5d8970d1</vt:lpwstr>
  </property>
</Properties>
</file>