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58B0" w:rsidRPr="009B70EE" w:rsidRDefault="00C558B0" w:rsidP="00DE7FB3">
      <w:pPr>
        <w:spacing w:line="360" w:lineRule="auto"/>
        <w:rPr>
          <w:rFonts w:asciiTheme="minorBidi" w:hAnsiTheme="minorBidi"/>
          <w:szCs w:val="24"/>
        </w:rPr>
      </w:pPr>
      <w:r w:rsidRPr="009B70EE">
        <w:rPr>
          <w:rFonts w:asciiTheme="minorBidi" w:hAnsiTheme="minorBidi"/>
          <w:noProof/>
          <w:lang w:eastAsia="en-GB"/>
        </w:rPr>
        <w:drawing>
          <wp:anchor distT="0" distB="0" distL="114300" distR="114300" simplePos="0" relativeHeight="251659264" behindDoc="0" locked="0" layoutInCell="1" allowOverlap="1">
            <wp:simplePos x="0" y="0"/>
            <wp:positionH relativeFrom="column">
              <wp:posOffset>-377190</wp:posOffset>
            </wp:positionH>
            <wp:positionV relativeFrom="paragraph">
              <wp:posOffset>-430530</wp:posOffset>
            </wp:positionV>
            <wp:extent cx="1488440" cy="595630"/>
            <wp:effectExtent l="1905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488440" cy="595630"/>
                    </a:xfrm>
                    <a:prstGeom prst="rect">
                      <a:avLst/>
                    </a:prstGeom>
                    <a:noFill/>
                  </pic:spPr>
                </pic:pic>
              </a:graphicData>
            </a:graphic>
          </wp:anchor>
        </w:drawing>
      </w:r>
    </w:p>
    <w:p w:rsidR="00C558B0" w:rsidRPr="009B70EE" w:rsidRDefault="00C558B0" w:rsidP="00DE7FB3">
      <w:pPr>
        <w:spacing w:line="360" w:lineRule="auto"/>
        <w:rPr>
          <w:rFonts w:asciiTheme="minorBidi" w:hAnsiTheme="minorBidi"/>
          <w:szCs w:val="24"/>
        </w:rPr>
      </w:pPr>
    </w:p>
    <w:p w:rsidR="00CF0206" w:rsidRPr="00CF0206" w:rsidRDefault="00CF0206" w:rsidP="00CF0206">
      <w:pPr>
        <w:tabs>
          <w:tab w:val="left" w:pos="6540"/>
        </w:tabs>
        <w:spacing w:after="0" w:line="360" w:lineRule="auto"/>
        <w:rPr>
          <w:rFonts w:cs="Times New Roman"/>
          <w:b/>
          <w:color w:val="262626" w:themeColor="text1" w:themeTint="D9"/>
          <w:sz w:val="28"/>
          <w:szCs w:val="28"/>
          <w:lang w:val="nl-NL"/>
        </w:rPr>
      </w:pPr>
      <w:r w:rsidRPr="00CF0206">
        <w:rPr>
          <w:rFonts w:cs="Times New Roman"/>
          <w:bCs/>
          <w:color w:val="262626" w:themeColor="text1" w:themeTint="D9"/>
          <w:sz w:val="28"/>
          <w:szCs w:val="28"/>
          <w:lang w:val="nl-NL"/>
        </w:rPr>
        <w:t xml:space="preserve">Student name           </w:t>
      </w:r>
      <w:r w:rsidRPr="00CF0206">
        <w:rPr>
          <w:rFonts w:cs="Times New Roman"/>
          <w:color w:val="262626" w:themeColor="text1" w:themeTint="D9"/>
          <w:sz w:val="28"/>
          <w:szCs w:val="28"/>
          <w:lang w:val="nl-NL"/>
        </w:rPr>
        <w:t>:</w:t>
      </w:r>
      <w:r w:rsidRPr="00CF0206">
        <w:rPr>
          <w:rFonts w:cs="Times New Roman"/>
          <w:b/>
          <w:color w:val="262626" w:themeColor="text1" w:themeTint="D9"/>
          <w:sz w:val="28"/>
          <w:szCs w:val="28"/>
          <w:lang w:val="nl-NL"/>
        </w:rPr>
        <w:t xml:space="preserve">     Romana Begum Chowdury</w:t>
      </w:r>
    </w:p>
    <w:p w:rsidR="00CF0206" w:rsidRPr="00CF0206" w:rsidRDefault="00CF0206" w:rsidP="00CF0206">
      <w:pPr>
        <w:tabs>
          <w:tab w:val="left" w:pos="6540"/>
        </w:tabs>
        <w:spacing w:after="0" w:line="360" w:lineRule="auto"/>
        <w:rPr>
          <w:rFonts w:cs="Times New Roman"/>
          <w:b/>
          <w:color w:val="262626" w:themeColor="text1" w:themeTint="D9"/>
          <w:sz w:val="28"/>
          <w:szCs w:val="28"/>
          <w:lang w:val="nl-NL"/>
        </w:rPr>
      </w:pPr>
      <w:r w:rsidRPr="00CF0206">
        <w:rPr>
          <w:rFonts w:cs="Times New Roman"/>
          <w:bCs/>
          <w:color w:val="262626" w:themeColor="text1" w:themeTint="D9"/>
          <w:sz w:val="28"/>
          <w:szCs w:val="28"/>
          <w:lang w:val="nl-NL"/>
        </w:rPr>
        <w:t xml:space="preserve">Student ID               </w:t>
      </w:r>
      <w:r w:rsidRPr="00CF0206">
        <w:rPr>
          <w:rFonts w:cs="Times New Roman"/>
          <w:color w:val="262626" w:themeColor="text1" w:themeTint="D9"/>
          <w:sz w:val="28"/>
          <w:szCs w:val="28"/>
          <w:lang w:val="nl-NL"/>
        </w:rPr>
        <w:t>:</w:t>
      </w:r>
      <w:r w:rsidRPr="00CF0206">
        <w:rPr>
          <w:rFonts w:cs="Times New Roman"/>
          <w:b/>
          <w:color w:val="262626" w:themeColor="text1" w:themeTint="D9"/>
          <w:sz w:val="28"/>
          <w:szCs w:val="28"/>
          <w:lang w:val="nl-NL"/>
        </w:rPr>
        <w:t xml:space="preserve">     2229137</w:t>
      </w:r>
    </w:p>
    <w:p w:rsidR="00CF0206" w:rsidRPr="00CF0206" w:rsidRDefault="00CF0206" w:rsidP="00CF0206">
      <w:pPr>
        <w:tabs>
          <w:tab w:val="left" w:pos="6540"/>
        </w:tabs>
        <w:spacing w:after="0" w:line="360" w:lineRule="auto"/>
        <w:rPr>
          <w:rFonts w:cs="Times New Roman"/>
          <w:b/>
          <w:color w:val="262626" w:themeColor="text1" w:themeTint="D9"/>
          <w:sz w:val="28"/>
          <w:szCs w:val="28"/>
          <w:lang w:val="nl-NL"/>
        </w:rPr>
      </w:pPr>
      <w:r w:rsidRPr="00CF0206">
        <w:rPr>
          <w:rFonts w:cs="Times New Roman"/>
          <w:color w:val="262626" w:themeColor="text1" w:themeTint="D9"/>
          <w:sz w:val="28"/>
          <w:szCs w:val="28"/>
          <w:lang w:val="nl-NL"/>
        </w:rPr>
        <w:t>Program                  :</w:t>
      </w:r>
      <w:r w:rsidRPr="00CF0206">
        <w:rPr>
          <w:rFonts w:cs="Times New Roman"/>
          <w:b/>
          <w:color w:val="262626" w:themeColor="text1" w:themeTint="D9"/>
          <w:sz w:val="28"/>
          <w:szCs w:val="28"/>
          <w:lang w:val="nl-NL"/>
        </w:rPr>
        <w:t xml:space="preserve">     BSc Health and Social Care</w:t>
      </w:r>
    </w:p>
    <w:p w:rsidR="00CF0206" w:rsidRPr="00CF0206" w:rsidRDefault="00CF0206" w:rsidP="00CF0206">
      <w:pPr>
        <w:tabs>
          <w:tab w:val="left" w:pos="6540"/>
        </w:tabs>
        <w:spacing w:after="0" w:line="360" w:lineRule="auto"/>
        <w:rPr>
          <w:rFonts w:cs="Times New Roman"/>
          <w:b/>
          <w:color w:val="262626" w:themeColor="text1" w:themeTint="D9"/>
          <w:sz w:val="28"/>
          <w:szCs w:val="28"/>
          <w:lang w:val="nl-NL"/>
        </w:rPr>
      </w:pPr>
      <w:r w:rsidRPr="00CF0206">
        <w:rPr>
          <w:rFonts w:cs="Times New Roman"/>
          <w:bCs/>
          <w:color w:val="262626" w:themeColor="text1" w:themeTint="D9"/>
          <w:sz w:val="28"/>
          <w:szCs w:val="28"/>
          <w:lang w:val="nl-NL"/>
        </w:rPr>
        <w:t xml:space="preserve">Module name          </w:t>
      </w:r>
      <w:r w:rsidRPr="00CF0206">
        <w:rPr>
          <w:rFonts w:cs="Times New Roman"/>
          <w:color w:val="262626" w:themeColor="text1" w:themeTint="D9"/>
          <w:sz w:val="28"/>
          <w:szCs w:val="28"/>
          <w:lang w:val="nl-NL"/>
        </w:rPr>
        <w:t>:</w:t>
      </w:r>
      <w:r w:rsidRPr="00CF0206">
        <w:rPr>
          <w:rFonts w:cs="Times New Roman"/>
          <w:b/>
          <w:color w:val="262626" w:themeColor="text1" w:themeTint="D9"/>
          <w:sz w:val="28"/>
          <w:szCs w:val="28"/>
          <w:lang w:val="nl-NL"/>
        </w:rPr>
        <w:t xml:space="preserve">     Principles of Health &amp; Social Care Practice </w:t>
      </w:r>
    </w:p>
    <w:p w:rsidR="00CF0206" w:rsidRPr="00CF0206" w:rsidRDefault="00CF0206" w:rsidP="00CF0206">
      <w:pPr>
        <w:tabs>
          <w:tab w:val="left" w:pos="6540"/>
        </w:tabs>
        <w:spacing w:after="0" w:line="360" w:lineRule="auto"/>
        <w:rPr>
          <w:rFonts w:cs="Times New Roman"/>
          <w:b/>
          <w:color w:val="262626" w:themeColor="text1" w:themeTint="D9"/>
          <w:sz w:val="28"/>
          <w:szCs w:val="28"/>
        </w:rPr>
      </w:pPr>
      <w:r w:rsidRPr="00CF0206">
        <w:rPr>
          <w:rFonts w:cs="Times New Roman"/>
          <w:bCs/>
          <w:color w:val="262626" w:themeColor="text1" w:themeTint="D9"/>
          <w:sz w:val="28"/>
          <w:szCs w:val="28"/>
        </w:rPr>
        <w:t xml:space="preserve">Module code           </w:t>
      </w:r>
      <w:r w:rsidRPr="00CF0206">
        <w:rPr>
          <w:rFonts w:cs="Times New Roman"/>
          <w:color w:val="262626" w:themeColor="text1" w:themeTint="D9"/>
          <w:sz w:val="28"/>
          <w:szCs w:val="28"/>
        </w:rPr>
        <w:t>:</w:t>
      </w:r>
      <w:r w:rsidRPr="00CF0206">
        <w:rPr>
          <w:rFonts w:cs="Times New Roman"/>
          <w:b/>
          <w:color w:val="262626" w:themeColor="text1" w:themeTint="D9"/>
          <w:sz w:val="28"/>
          <w:szCs w:val="28"/>
        </w:rPr>
        <w:t xml:space="preserve">    BMHP5016</w:t>
      </w:r>
    </w:p>
    <w:p w:rsidR="00CF0206" w:rsidRPr="00CF0206" w:rsidRDefault="00CF0206" w:rsidP="00CF0206">
      <w:pPr>
        <w:tabs>
          <w:tab w:val="left" w:pos="6540"/>
        </w:tabs>
        <w:spacing w:after="0" w:line="360" w:lineRule="auto"/>
        <w:rPr>
          <w:rFonts w:cs="Times New Roman"/>
          <w:b/>
          <w:color w:val="262626" w:themeColor="text1" w:themeTint="D9"/>
          <w:sz w:val="28"/>
          <w:szCs w:val="28"/>
        </w:rPr>
      </w:pPr>
      <w:r w:rsidRPr="00CF0206">
        <w:rPr>
          <w:rFonts w:cs="Times New Roman"/>
          <w:bCs/>
          <w:color w:val="262626" w:themeColor="text1" w:themeTint="D9"/>
          <w:sz w:val="28"/>
          <w:szCs w:val="28"/>
        </w:rPr>
        <w:t xml:space="preserve">Lecturer name         </w:t>
      </w:r>
      <w:r w:rsidRPr="00CF0206">
        <w:rPr>
          <w:rFonts w:cs="Times New Roman"/>
          <w:color w:val="262626" w:themeColor="text1" w:themeTint="D9"/>
          <w:sz w:val="28"/>
          <w:szCs w:val="28"/>
        </w:rPr>
        <w:t xml:space="preserve">:    </w:t>
      </w:r>
      <w:r>
        <w:rPr>
          <w:rFonts w:cs="Times New Roman"/>
          <w:b/>
          <w:color w:val="262626" w:themeColor="text1" w:themeTint="D9"/>
          <w:sz w:val="28"/>
          <w:szCs w:val="28"/>
        </w:rPr>
        <w:t>Mark Kane</w:t>
      </w:r>
    </w:p>
    <w:p w:rsidR="00700C36" w:rsidRDefault="00CF0206" w:rsidP="00CF0206">
      <w:pPr>
        <w:tabs>
          <w:tab w:val="left" w:pos="6540"/>
        </w:tabs>
        <w:spacing w:after="0" w:line="360" w:lineRule="auto"/>
        <w:rPr>
          <w:rFonts w:cs="Times New Roman"/>
          <w:b/>
          <w:bCs/>
          <w:color w:val="262626" w:themeColor="text1" w:themeTint="D9"/>
          <w:sz w:val="28"/>
          <w:szCs w:val="28"/>
        </w:rPr>
      </w:pPr>
      <w:r w:rsidRPr="00CF0206">
        <w:rPr>
          <w:rFonts w:cs="Times New Roman"/>
          <w:bCs/>
          <w:color w:val="262626" w:themeColor="text1" w:themeTint="D9"/>
          <w:sz w:val="28"/>
          <w:szCs w:val="28"/>
        </w:rPr>
        <w:t>Assessment Title     :</w:t>
      </w:r>
      <w:r w:rsidRPr="00CF0206">
        <w:rPr>
          <w:rFonts w:cs="Times New Roman"/>
          <w:b/>
          <w:bCs/>
          <w:color w:val="262626" w:themeColor="text1" w:themeTint="D9"/>
          <w:sz w:val="28"/>
          <w:szCs w:val="28"/>
        </w:rPr>
        <w:t xml:space="preserve">   Component 1, </w:t>
      </w:r>
      <w:r w:rsidR="00700C36" w:rsidRPr="00700C36">
        <w:rPr>
          <w:rFonts w:cs="Times New Roman"/>
          <w:b/>
          <w:bCs/>
          <w:color w:val="262626" w:themeColor="text1" w:themeTint="D9"/>
          <w:sz w:val="28"/>
          <w:szCs w:val="28"/>
        </w:rPr>
        <w:t xml:space="preserve">Written Assignment (Reflective Report) </w:t>
      </w:r>
    </w:p>
    <w:p w:rsidR="00CF0206" w:rsidRPr="00CF0206" w:rsidRDefault="00CF0206" w:rsidP="00CF0206">
      <w:pPr>
        <w:tabs>
          <w:tab w:val="left" w:pos="6540"/>
        </w:tabs>
        <w:spacing w:after="0" w:line="360" w:lineRule="auto"/>
        <w:rPr>
          <w:rFonts w:cs="Times New Roman"/>
          <w:b/>
          <w:bCs/>
          <w:color w:val="262626" w:themeColor="text1" w:themeTint="D9"/>
          <w:sz w:val="28"/>
          <w:szCs w:val="28"/>
        </w:rPr>
      </w:pPr>
      <w:r w:rsidRPr="00CF0206">
        <w:rPr>
          <w:rFonts w:cs="Times New Roman"/>
          <w:bCs/>
          <w:color w:val="262626" w:themeColor="text1" w:themeTint="D9"/>
          <w:sz w:val="28"/>
          <w:szCs w:val="28"/>
        </w:rPr>
        <w:t>Submission deadline:</w:t>
      </w:r>
      <w:r w:rsidRPr="00CF0206">
        <w:rPr>
          <w:rFonts w:cs="Times New Roman"/>
          <w:b/>
          <w:bCs/>
          <w:color w:val="262626" w:themeColor="text1" w:themeTint="D9"/>
          <w:sz w:val="28"/>
          <w:szCs w:val="28"/>
        </w:rPr>
        <w:t xml:space="preserve"> </w:t>
      </w:r>
      <w:r w:rsidR="00700C36">
        <w:rPr>
          <w:rFonts w:cs="Times New Roman"/>
          <w:b/>
          <w:bCs/>
          <w:color w:val="262626" w:themeColor="text1" w:themeTint="D9"/>
          <w:sz w:val="28"/>
          <w:szCs w:val="28"/>
        </w:rPr>
        <w:t>15</w:t>
      </w:r>
      <w:r w:rsidRPr="00CF0206">
        <w:rPr>
          <w:rFonts w:cs="Times New Roman"/>
          <w:b/>
          <w:bCs/>
          <w:color w:val="262626" w:themeColor="text1" w:themeTint="D9"/>
          <w:sz w:val="28"/>
          <w:szCs w:val="28"/>
          <w:vertAlign w:val="superscript"/>
        </w:rPr>
        <w:t>th</w:t>
      </w:r>
      <w:r w:rsidRPr="00CF0206">
        <w:rPr>
          <w:rFonts w:cs="Times New Roman"/>
          <w:b/>
          <w:bCs/>
          <w:color w:val="262626" w:themeColor="text1" w:themeTint="D9"/>
          <w:sz w:val="28"/>
          <w:szCs w:val="28"/>
        </w:rPr>
        <w:t xml:space="preserve"> April 2026</w:t>
      </w:r>
    </w:p>
    <w:p w:rsidR="006D2F2D" w:rsidRPr="009B70EE" w:rsidRDefault="006D2F2D" w:rsidP="00DE7FB3">
      <w:pPr>
        <w:spacing w:line="360" w:lineRule="auto"/>
        <w:rPr>
          <w:rFonts w:asciiTheme="minorBidi" w:hAnsiTheme="minorBidi"/>
        </w:rPr>
      </w:pPr>
      <w:r w:rsidRPr="009B70EE">
        <w:rPr>
          <w:rFonts w:asciiTheme="minorBidi" w:hAnsiTheme="minorBidi"/>
        </w:rPr>
        <w:br w:type="page"/>
      </w:r>
    </w:p>
    <w:sdt>
      <w:sdtPr>
        <w:rPr>
          <w:rFonts w:asciiTheme="minorBidi" w:eastAsiaTheme="minorHAnsi" w:hAnsiTheme="minorBidi" w:cstheme="minorBidi"/>
          <w:color w:val="auto"/>
          <w:sz w:val="24"/>
          <w:szCs w:val="22"/>
          <w:lang w:val="en-GB"/>
        </w:rPr>
        <w:id w:val="-507828130"/>
        <w:docPartObj>
          <w:docPartGallery w:val="Table of Contents"/>
          <w:docPartUnique/>
        </w:docPartObj>
      </w:sdtPr>
      <w:sdtEndPr>
        <w:rPr>
          <w:b/>
          <w:bCs/>
          <w:noProof/>
        </w:rPr>
      </w:sdtEndPr>
      <w:sdtContent>
        <w:p w:rsidR="009B70EE" w:rsidRPr="009B70EE" w:rsidRDefault="009B70EE" w:rsidP="00DE7FB3">
          <w:pPr>
            <w:pStyle w:val="TOCHeading"/>
            <w:spacing w:line="360" w:lineRule="auto"/>
            <w:jc w:val="center"/>
            <w:rPr>
              <w:rFonts w:asciiTheme="minorBidi" w:hAnsiTheme="minorBidi" w:cstheme="minorBidi"/>
            </w:rPr>
          </w:pPr>
          <w:r w:rsidRPr="009B70EE">
            <w:rPr>
              <w:rFonts w:asciiTheme="minorBidi" w:hAnsiTheme="minorBidi" w:cstheme="minorBidi"/>
            </w:rPr>
            <w:t>Table of Contents</w:t>
          </w:r>
        </w:p>
        <w:p w:rsidR="00DE7FB3" w:rsidRPr="00DE7FB3" w:rsidRDefault="008A7D83" w:rsidP="00DE7FB3">
          <w:pPr>
            <w:pStyle w:val="TOC1"/>
            <w:tabs>
              <w:tab w:val="right" w:leader="dot" w:pos="9016"/>
            </w:tabs>
            <w:spacing w:line="360" w:lineRule="auto"/>
            <w:rPr>
              <w:rFonts w:asciiTheme="minorHAnsi" w:eastAsiaTheme="minorEastAsia" w:hAnsiTheme="minorHAnsi"/>
              <w:noProof/>
              <w:kern w:val="2"/>
              <w:szCs w:val="30"/>
              <w:lang w:eastAsia="en-GB" w:bidi="bn-BD"/>
            </w:rPr>
          </w:pPr>
          <w:r w:rsidRPr="00DE7FB3">
            <w:rPr>
              <w:rFonts w:asciiTheme="minorBidi" w:hAnsiTheme="minorBidi"/>
            </w:rPr>
            <w:fldChar w:fldCharType="begin"/>
          </w:r>
          <w:r w:rsidR="009B70EE" w:rsidRPr="00DE7FB3">
            <w:rPr>
              <w:rFonts w:asciiTheme="minorBidi" w:hAnsiTheme="minorBidi"/>
            </w:rPr>
            <w:instrText xml:space="preserve"> TOC \o "1-3" \h \z \u </w:instrText>
          </w:r>
          <w:r w:rsidRPr="00DE7FB3">
            <w:rPr>
              <w:rFonts w:asciiTheme="minorBidi" w:hAnsiTheme="minorBidi"/>
            </w:rPr>
            <w:fldChar w:fldCharType="separate"/>
          </w:r>
          <w:hyperlink w:anchor="_Toc225778317" w:history="1">
            <w:r w:rsidR="00DE7FB3" w:rsidRPr="00DE7FB3">
              <w:rPr>
                <w:rStyle w:val="Hyperlink"/>
                <w:rFonts w:asciiTheme="minorBidi" w:hAnsiTheme="minorBidi"/>
                <w:noProof/>
              </w:rPr>
              <w:t>Task 1: The Importance of Principles in Health and Social Care</w:t>
            </w:r>
            <w:r w:rsidR="00DE7FB3" w:rsidRPr="00DE7FB3">
              <w:rPr>
                <w:noProof/>
                <w:webHidden/>
              </w:rPr>
              <w:tab/>
            </w:r>
            <w:r w:rsidRPr="00DE7FB3">
              <w:rPr>
                <w:noProof/>
                <w:webHidden/>
              </w:rPr>
              <w:fldChar w:fldCharType="begin"/>
            </w:r>
            <w:r w:rsidR="00DE7FB3" w:rsidRPr="00DE7FB3">
              <w:rPr>
                <w:noProof/>
                <w:webHidden/>
              </w:rPr>
              <w:instrText xml:space="preserve"> PAGEREF _Toc225778317 \h </w:instrText>
            </w:r>
            <w:r w:rsidRPr="00DE7FB3">
              <w:rPr>
                <w:noProof/>
                <w:webHidden/>
              </w:rPr>
            </w:r>
            <w:r w:rsidRPr="00DE7FB3">
              <w:rPr>
                <w:noProof/>
                <w:webHidden/>
              </w:rPr>
              <w:fldChar w:fldCharType="separate"/>
            </w:r>
            <w:r w:rsidR="00DE7FB3" w:rsidRPr="00DE7FB3">
              <w:rPr>
                <w:noProof/>
                <w:webHidden/>
              </w:rPr>
              <w:t>3</w:t>
            </w:r>
            <w:r w:rsidRPr="00DE7FB3">
              <w:rPr>
                <w:noProof/>
                <w:webHidden/>
              </w:rPr>
              <w:fldChar w:fldCharType="end"/>
            </w:r>
          </w:hyperlink>
        </w:p>
        <w:p w:rsidR="00DE7FB3" w:rsidRPr="00DE7FB3" w:rsidRDefault="008A7D83" w:rsidP="00DE7FB3">
          <w:pPr>
            <w:pStyle w:val="TOC1"/>
            <w:tabs>
              <w:tab w:val="right" w:leader="dot" w:pos="9016"/>
            </w:tabs>
            <w:spacing w:line="360" w:lineRule="auto"/>
            <w:rPr>
              <w:rFonts w:asciiTheme="minorHAnsi" w:eastAsiaTheme="minorEastAsia" w:hAnsiTheme="minorHAnsi"/>
              <w:noProof/>
              <w:kern w:val="2"/>
              <w:szCs w:val="30"/>
              <w:lang w:eastAsia="en-GB" w:bidi="bn-BD"/>
            </w:rPr>
          </w:pPr>
          <w:hyperlink w:anchor="_Toc225778318" w:history="1">
            <w:r w:rsidR="00DE7FB3" w:rsidRPr="00DE7FB3">
              <w:rPr>
                <w:rStyle w:val="Hyperlink"/>
                <w:rFonts w:asciiTheme="minorBidi" w:hAnsiTheme="minorBidi"/>
                <w:noProof/>
              </w:rPr>
              <w:t>Task 2: Practical Application in UK Adult Social Care</w:t>
            </w:r>
            <w:r w:rsidR="00DE7FB3" w:rsidRPr="00DE7FB3">
              <w:rPr>
                <w:noProof/>
                <w:webHidden/>
              </w:rPr>
              <w:tab/>
            </w:r>
            <w:r w:rsidRPr="00DE7FB3">
              <w:rPr>
                <w:noProof/>
                <w:webHidden/>
              </w:rPr>
              <w:fldChar w:fldCharType="begin"/>
            </w:r>
            <w:r w:rsidR="00DE7FB3" w:rsidRPr="00DE7FB3">
              <w:rPr>
                <w:noProof/>
                <w:webHidden/>
              </w:rPr>
              <w:instrText xml:space="preserve"> PAGEREF _Toc225778318 \h </w:instrText>
            </w:r>
            <w:r w:rsidRPr="00DE7FB3">
              <w:rPr>
                <w:noProof/>
                <w:webHidden/>
              </w:rPr>
            </w:r>
            <w:r w:rsidRPr="00DE7FB3">
              <w:rPr>
                <w:noProof/>
                <w:webHidden/>
              </w:rPr>
              <w:fldChar w:fldCharType="separate"/>
            </w:r>
            <w:r w:rsidR="00DE7FB3" w:rsidRPr="00DE7FB3">
              <w:rPr>
                <w:noProof/>
                <w:webHidden/>
              </w:rPr>
              <w:t>4</w:t>
            </w:r>
            <w:r w:rsidRPr="00DE7FB3">
              <w:rPr>
                <w:noProof/>
                <w:webHidden/>
              </w:rPr>
              <w:fldChar w:fldCharType="end"/>
            </w:r>
          </w:hyperlink>
        </w:p>
        <w:p w:rsidR="00DE7FB3" w:rsidRPr="00DE7FB3" w:rsidRDefault="008A7D83" w:rsidP="00DE7FB3">
          <w:pPr>
            <w:pStyle w:val="TOC1"/>
            <w:tabs>
              <w:tab w:val="right" w:leader="dot" w:pos="9016"/>
            </w:tabs>
            <w:spacing w:line="360" w:lineRule="auto"/>
            <w:rPr>
              <w:rFonts w:asciiTheme="minorHAnsi" w:eastAsiaTheme="minorEastAsia" w:hAnsiTheme="minorHAnsi"/>
              <w:noProof/>
              <w:kern w:val="2"/>
              <w:szCs w:val="30"/>
              <w:lang w:eastAsia="en-GB" w:bidi="bn-BD"/>
            </w:rPr>
          </w:pPr>
          <w:hyperlink w:anchor="_Toc225778319" w:history="1">
            <w:r w:rsidR="00DE7FB3" w:rsidRPr="00DE7FB3">
              <w:rPr>
                <w:rStyle w:val="Hyperlink"/>
                <w:rFonts w:asciiTheme="minorBidi" w:hAnsiTheme="minorBidi"/>
                <w:noProof/>
              </w:rPr>
              <w:t>Task 3: Critical Self-Reflection (Using Kolb’s Reflective Cycle)</w:t>
            </w:r>
            <w:r w:rsidR="00DE7FB3" w:rsidRPr="00DE7FB3">
              <w:rPr>
                <w:noProof/>
                <w:webHidden/>
              </w:rPr>
              <w:tab/>
            </w:r>
            <w:r w:rsidRPr="00DE7FB3">
              <w:rPr>
                <w:noProof/>
                <w:webHidden/>
              </w:rPr>
              <w:fldChar w:fldCharType="begin"/>
            </w:r>
            <w:r w:rsidR="00DE7FB3" w:rsidRPr="00DE7FB3">
              <w:rPr>
                <w:noProof/>
                <w:webHidden/>
              </w:rPr>
              <w:instrText xml:space="preserve"> PAGEREF _Toc225778319 \h </w:instrText>
            </w:r>
            <w:r w:rsidRPr="00DE7FB3">
              <w:rPr>
                <w:noProof/>
                <w:webHidden/>
              </w:rPr>
            </w:r>
            <w:r w:rsidRPr="00DE7FB3">
              <w:rPr>
                <w:noProof/>
                <w:webHidden/>
              </w:rPr>
              <w:fldChar w:fldCharType="separate"/>
            </w:r>
            <w:r w:rsidR="00DE7FB3" w:rsidRPr="00DE7FB3">
              <w:rPr>
                <w:noProof/>
                <w:webHidden/>
              </w:rPr>
              <w:t>6</w:t>
            </w:r>
            <w:r w:rsidRPr="00DE7FB3">
              <w:rPr>
                <w:noProof/>
                <w:webHidden/>
              </w:rPr>
              <w:fldChar w:fldCharType="end"/>
            </w:r>
          </w:hyperlink>
        </w:p>
        <w:p w:rsidR="00DE7FB3" w:rsidRPr="00DE7FB3" w:rsidRDefault="008A7D83" w:rsidP="00DE7FB3">
          <w:pPr>
            <w:pStyle w:val="TOC1"/>
            <w:tabs>
              <w:tab w:val="right" w:leader="dot" w:pos="9016"/>
            </w:tabs>
            <w:spacing w:line="360" w:lineRule="auto"/>
            <w:rPr>
              <w:rFonts w:asciiTheme="minorHAnsi" w:eastAsiaTheme="minorEastAsia" w:hAnsiTheme="minorHAnsi"/>
              <w:noProof/>
              <w:kern w:val="2"/>
              <w:szCs w:val="30"/>
              <w:lang w:eastAsia="en-GB" w:bidi="bn-BD"/>
            </w:rPr>
          </w:pPr>
          <w:hyperlink w:anchor="_Toc225778320" w:history="1">
            <w:r w:rsidR="00DE7FB3" w:rsidRPr="00DE7FB3">
              <w:rPr>
                <w:rStyle w:val="Hyperlink"/>
                <w:rFonts w:asciiTheme="minorBidi" w:hAnsiTheme="minorBidi"/>
                <w:noProof/>
              </w:rPr>
              <w:t>Conclusion</w:t>
            </w:r>
            <w:r w:rsidR="00DE7FB3" w:rsidRPr="00DE7FB3">
              <w:rPr>
                <w:noProof/>
                <w:webHidden/>
              </w:rPr>
              <w:tab/>
            </w:r>
            <w:r w:rsidRPr="00DE7FB3">
              <w:rPr>
                <w:noProof/>
                <w:webHidden/>
              </w:rPr>
              <w:fldChar w:fldCharType="begin"/>
            </w:r>
            <w:r w:rsidR="00DE7FB3" w:rsidRPr="00DE7FB3">
              <w:rPr>
                <w:noProof/>
                <w:webHidden/>
              </w:rPr>
              <w:instrText xml:space="preserve"> PAGEREF _Toc225778320 \h </w:instrText>
            </w:r>
            <w:r w:rsidRPr="00DE7FB3">
              <w:rPr>
                <w:noProof/>
                <w:webHidden/>
              </w:rPr>
            </w:r>
            <w:r w:rsidRPr="00DE7FB3">
              <w:rPr>
                <w:noProof/>
                <w:webHidden/>
              </w:rPr>
              <w:fldChar w:fldCharType="separate"/>
            </w:r>
            <w:r w:rsidR="00DE7FB3" w:rsidRPr="00DE7FB3">
              <w:rPr>
                <w:noProof/>
                <w:webHidden/>
              </w:rPr>
              <w:t>8</w:t>
            </w:r>
            <w:r w:rsidRPr="00DE7FB3">
              <w:rPr>
                <w:noProof/>
                <w:webHidden/>
              </w:rPr>
              <w:fldChar w:fldCharType="end"/>
            </w:r>
          </w:hyperlink>
        </w:p>
        <w:p w:rsidR="00DE7FB3" w:rsidRPr="00DE7FB3" w:rsidRDefault="008A7D83" w:rsidP="00DE7FB3">
          <w:pPr>
            <w:pStyle w:val="TOC1"/>
            <w:tabs>
              <w:tab w:val="right" w:leader="dot" w:pos="9016"/>
            </w:tabs>
            <w:spacing w:line="360" w:lineRule="auto"/>
            <w:rPr>
              <w:rFonts w:asciiTheme="minorHAnsi" w:eastAsiaTheme="minorEastAsia" w:hAnsiTheme="minorHAnsi"/>
              <w:noProof/>
              <w:kern w:val="2"/>
              <w:szCs w:val="30"/>
              <w:lang w:eastAsia="en-GB" w:bidi="bn-BD"/>
            </w:rPr>
          </w:pPr>
          <w:hyperlink w:anchor="_Toc225778321" w:history="1">
            <w:r w:rsidR="00DE7FB3" w:rsidRPr="00DE7FB3">
              <w:rPr>
                <w:rStyle w:val="Hyperlink"/>
                <w:rFonts w:asciiTheme="minorBidi" w:hAnsiTheme="minorBidi"/>
                <w:noProof/>
              </w:rPr>
              <w:t>References</w:t>
            </w:r>
            <w:r w:rsidR="00DE7FB3" w:rsidRPr="00DE7FB3">
              <w:rPr>
                <w:noProof/>
                <w:webHidden/>
              </w:rPr>
              <w:tab/>
            </w:r>
            <w:r w:rsidRPr="00DE7FB3">
              <w:rPr>
                <w:noProof/>
                <w:webHidden/>
              </w:rPr>
              <w:fldChar w:fldCharType="begin"/>
            </w:r>
            <w:r w:rsidR="00DE7FB3" w:rsidRPr="00DE7FB3">
              <w:rPr>
                <w:noProof/>
                <w:webHidden/>
              </w:rPr>
              <w:instrText xml:space="preserve"> PAGEREF _Toc225778321 \h </w:instrText>
            </w:r>
            <w:r w:rsidRPr="00DE7FB3">
              <w:rPr>
                <w:noProof/>
                <w:webHidden/>
              </w:rPr>
            </w:r>
            <w:r w:rsidRPr="00DE7FB3">
              <w:rPr>
                <w:noProof/>
                <w:webHidden/>
              </w:rPr>
              <w:fldChar w:fldCharType="separate"/>
            </w:r>
            <w:r w:rsidR="00DE7FB3" w:rsidRPr="00DE7FB3">
              <w:rPr>
                <w:noProof/>
                <w:webHidden/>
              </w:rPr>
              <w:t>9</w:t>
            </w:r>
            <w:r w:rsidRPr="00DE7FB3">
              <w:rPr>
                <w:noProof/>
                <w:webHidden/>
              </w:rPr>
              <w:fldChar w:fldCharType="end"/>
            </w:r>
          </w:hyperlink>
        </w:p>
        <w:p w:rsidR="009B70EE" w:rsidRPr="009B70EE" w:rsidRDefault="008A7D83" w:rsidP="00DE7FB3">
          <w:pPr>
            <w:spacing w:line="360" w:lineRule="auto"/>
            <w:jc w:val="center"/>
            <w:rPr>
              <w:rFonts w:asciiTheme="minorBidi" w:hAnsiTheme="minorBidi"/>
            </w:rPr>
          </w:pPr>
          <w:r w:rsidRPr="00DE7FB3">
            <w:rPr>
              <w:rFonts w:asciiTheme="minorBidi" w:hAnsiTheme="minorBidi"/>
              <w:noProof/>
            </w:rPr>
            <w:fldChar w:fldCharType="end"/>
          </w:r>
        </w:p>
      </w:sdtContent>
    </w:sdt>
    <w:p w:rsidR="00B21FE6" w:rsidRPr="009B70EE" w:rsidRDefault="00B21FE6" w:rsidP="00DE7FB3">
      <w:pPr>
        <w:spacing w:line="360" w:lineRule="auto"/>
        <w:rPr>
          <w:rFonts w:asciiTheme="minorBidi" w:hAnsiTheme="minorBidi"/>
          <w:sz w:val="22"/>
        </w:rPr>
      </w:pPr>
    </w:p>
    <w:p w:rsidR="00B21FE6" w:rsidRPr="009B70EE" w:rsidRDefault="00B21FE6" w:rsidP="00DE7FB3">
      <w:pPr>
        <w:spacing w:line="360" w:lineRule="auto"/>
        <w:rPr>
          <w:rFonts w:asciiTheme="minorBidi" w:hAnsiTheme="minorBidi"/>
          <w:sz w:val="22"/>
        </w:rPr>
      </w:pPr>
    </w:p>
    <w:p w:rsidR="00B21FE6" w:rsidRPr="009B70EE" w:rsidRDefault="00B21FE6" w:rsidP="00DE7FB3">
      <w:pPr>
        <w:spacing w:line="360" w:lineRule="auto"/>
        <w:rPr>
          <w:rFonts w:asciiTheme="minorBidi" w:hAnsiTheme="minorBidi"/>
          <w:sz w:val="22"/>
        </w:rPr>
      </w:pPr>
    </w:p>
    <w:p w:rsidR="00B21FE6" w:rsidRPr="009B70EE" w:rsidRDefault="00B21FE6" w:rsidP="00DE7FB3">
      <w:pPr>
        <w:spacing w:line="360" w:lineRule="auto"/>
        <w:rPr>
          <w:rFonts w:asciiTheme="minorBidi" w:hAnsiTheme="minorBidi"/>
          <w:sz w:val="22"/>
        </w:rPr>
      </w:pPr>
    </w:p>
    <w:p w:rsidR="00B21FE6" w:rsidRPr="009B70EE" w:rsidRDefault="00B21FE6" w:rsidP="00DE7FB3">
      <w:pPr>
        <w:spacing w:line="360" w:lineRule="auto"/>
        <w:rPr>
          <w:rFonts w:asciiTheme="minorBidi" w:hAnsiTheme="minorBidi"/>
          <w:sz w:val="22"/>
        </w:rPr>
      </w:pPr>
      <w:r w:rsidRPr="009B70EE">
        <w:rPr>
          <w:rFonts w:asciiTheme="minorBidi" w:hAnsiTheme="minorBidi"/>
          <w:sz w:val="22"/>
        </w:rPr>
        <w:br w:type="page"/>
      </w:r>
    </w:p>
    <w:p w:rsidR="00A11336" w:rsidRPr="009B70EE" w:rsidRDefault="00A11336" w:rsidP="00DE7FB3">
      <w:pPr>
        <w:pStyle w:val="Heading1"/>
        <w:spacing w:after="120" w:line="360" w:lineRule="auto"/>
        <w:jc w:val="both"/>
        <w:rPr>
          <w:rFonts w:asciiTheme="minorBidi" w:hAnsiTheme="minorBidi" w:cstheme="minorBidi"/>
          <w:b/>
          <w:bCs/>
          <w:color w:val="000000" w:themeColor="text1"/>
        </w:rPr>
      </w:pPr>
      <w:bookmarkStart w:id="0" w:name="_Toc225778317"/>
      <w:r w:rsidRPr="009B70EE">
        <w:rPr>
          <w:rFonts w:asciiTheme="minorBidi" w:hAnsiTheme="minorBidi" w:cstheme="minorBidi"/>
          <w:b/>
          <w:bCs/>
          <w:color w:val="000000" w:themeColor="text1"/>
        </w:rPr>
        <w:lastRenderedPageBreak/>
        <w:t xml:space="preserve">Task 1: </w:t>
      </w:r>
      <w:r w:rsidR="009B70EE" w:rsidRPr="009B70EE">
        <w:rPr>
          <w:rFonts w:asciiTheme="minorBidi" w:hAnsiTheme="minorBidi" w:cstheme="minorBidi"/>
          <w:b/>
          <w:bCs/>
          <w:color w:val="000000" w:themeColor="text1"/>
        </w:rPr>
        <w:t>The Importance of Principles in Health and Social Care</w:t>
      </w:r>
      <w:bookmarkEnd w:id="0"/>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 xml:space="preserve">Person-Centred Care </w:t>
      </w:r>
    </w:p>
    <w:p w:rsidR="009B70EE" w:rsidRPr="00CD071F" w:rsidRDefault="009B70EE" w:rsidP="00CD071F">
      <w:pPr>
        <w:spacing w:after="120" w:line="360" w:lineRule="auto"/>
        <w:jc w:val="both"/>
        <w:rPr>
          <w:rFonts w:asciiTheme="minorBidi" w:eastAsia="Arial" w:hAnsiTheme="minorBidi"/>
          <w:sz w:val="22"/>
        </w:rPr>
      </w:pPr>
      <w:r w:rsidRPr="00CD071F">
        <w:rPr>
          <w:rFonts w:asciiTheme="minorBidi" w:eastAsia="Arial" w:hAnsiTheme="minorBidi"/>
          <w:sz w:val="22"/>
        </w:rPr>
        <w:t>The concept of person-centred care is a core value of the health and social care, which assumes identifying individuals as partners in their own care instead of service consumers. According to McCormack and McCance (2010), person-centred care is a model that considers the beliefs, preferences and experiences of people and enhances the meaningful relationships between professionals and service users. This principle focuses on dignity, autonomy and individuality by making sure that the decisions on care are based on the needs and life conditions of a person. Entwistle and Watt (2013) also think that treating a patient as an individual helps the patient to maximize their abilities and enhance respect to personal identity and choice.</w:t>
      </w:r>
    </w:p>
    <w:p w:rsidR="009B70EE" w:rsidRPr="00CD071F" w:rsidRDefault="009B70EE" w:rsidP="00CD071F">
      <w:pPr>
        <w:spacing w:after="120" w:line="360" w:lineRule="auto"/>
        <w:jc w:val="both"/>
        <w:rPr>
          <w:rFonts w:asciiTheme="minorBidi" w:eastAsia="Arial" w:hAnsiTheme="minorBidi"/>
          <w:b/>
          <w:bCs/>
          <w:sz w:val="22"/>
        </w:rPr>
      </w:pPr>
      <w:r w:rsidRPr="00CD071F">
        <w:rPr>
          <w:rFonts w:asciiTheme="minorBidi" w:eastAsia="Arial" w:hAnsiTheme="minorBidi"/>
          <w:sz w:val="22"/>
        </w:rPr>
        <w:t>The idea is also similar to the Hierarchy of Needs developed by Maslow and used to promote psychological and esteem needs, which include respect, independence, and self-worth. People will be more well and care-involved when they feel important and included in the decision-making process. In the UK, person-centred care is institutionalized in policy frameworks like the Care Act 2014, which supports wellbeing, choice, and control in undertaking the care plan (Butler and Manthorpe, 2016). As a result, the method improves the quality of care since the services are responsive, respectful, and individualized.</w:t>
      </w:r>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 xml:space="preserve">Partnership Working </w:t>
      </w:r>
    </w:p>
    <w:p w:rsidR="009B70EE" w:rsidRPr="00CD071F" w:rsidRDefault="009B70EE" w:rsidP="00DE7FB3">
      <w:pPr>
        <w:spacing w:after="120" w:line="360" w:lineRule="auto"/>
        <w:jc w:val="both"/>
        <w:rPr>
          <w:rFonts w:asciiTheme="minorBidi" w:eastAsia="Arial" w:hAnsiTheme="minorBidi"/>
          <w:sz w:val="22"/>
        </w:rPr>
      </w:pPr>
      <w:r w:rsidRPr="00CD071F">
        <w:rPr>
          <w:rFonts w:asciiTheme="minorBidi" w:eastAsia="Arial" w:hAnsiTheme="minorBidi"/>
          <w:sz w:val="22"/>
        </w:rPr>
        <w:t>Partnership working is a type of collaboration between various professionals, organisations, service users and families to provide coherent and effective care. According to Glasby (2017), partnership working is an organized process that combines the services of health and social care to serve complex needs that are not achievable by individual agencies. Interprofessional collaboration entails interaction and joint decision making between professionals like social workers, nurses, general practitioners and community support teams.</w:t>
      </w:r>
    </w:p>
    <w:p w:rsidR="009B70EE" w:rsidRPr="00CD071F" w:rsidRDefault="009B70EE" w:rsidP="00DE7FB3">
      <w:pPr>
        <w:spacing w:after="120" w:line="360" w:lineRule="auto"/>
        <w:jc w:val="both"/>
        <w:rPr>
          <w:rFonts w:asciiTheme="minorBidi" w:eastAsia="Arial" w:hAnsiTheme="minorBidi"/>
          <w:sz w:val="22"/>
        </w:rPr>
      </w:pPr>
      <w:r w:rsidRPr="00CD071F">
        <w:rPr>
          <w:rFonts w:asciiTheme="minorBidi" w:eastAsia="Arial" w:hAnsiTheme="minorBidi"/>
          <w:sz w:val="22"/>
        </w:rPr>
        <w:t xml:space="preserve">The UK is developing integrated care systems to help minimize service fragmentation and enhance continuity of care and health outcomes (Ham and Walsh, 2013). Studies indicate that partnership working increases efficiency of the services, decreases duplication and improves patient experiences (Coulter, Roberts and Dixon, 2013). Yet, organisational differences, lack of clarity and communication problems are some of the barriers that might frustrate effective collaboration (Cameron and Lart, 2003). Irrespective of these difficulties, </w:t>
      </w:r>
      <w:r w:rsidRPr="00CD071F">
        <w:rPr>
          <w:rFonts w:asciiTheme="minorBidi" w:eastAsia="Arial" w:hAnsiTheme="minorBidi"/>
          <w:sz w:val="22"/>
        </w:rPr>
        <w:lastRenderedPageBreak/>
        <w:t>the concept of partnership working is necessary in the provision of holistic and coordinated care.</w:t>
      </w:r>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Ethics in Health and Social Care</w:t>
      </w:r>
    </w:p>
    <w:p w:rsidR="009B70EE" w:rsidRPr="00CD071F" w:rsidRDefault="009B70EE" w:rsidP="00DE7FB3">
      <w:pPr>
        <w:spacing w:after="120" w:line="360" w:lineRule="auto"/>
        <w:jc w:val="both"/>
        <w:rPr>
          <w:rFonts w:asciiTheme="minorBidi" w:eastAsia="Arial" w:hAnsiTheme="minorBidi"/>
          <w:sz w:val="22"/>
        </w:rPr>
      </w:pPr>
      <w:r w:rsidRPr="00CD071F">
        <w:rPr>
          <w:rFonts w:asciiTheme="minorBidi" w:eastAsia="Arial" w:hAnsiTheme="minorBidi"/>
          <w:sz w:val="22"/>
        </w:rPr>
        <w:t>Professional decision-making is based on ethical practice in health and social care, which guides practitioners to work on the best interest of service users. According to Beauchamp and Childress, (1994), there are four ethical principles namely autonomy, beneficence, non-maleficence and justice. Autonomy is the respect of the right of individuals to make their own decisions, whereas beneficence and non-maleficence demand professionals to enhance health and prevent harm. Justice promotes equality and accessibility to care.</w:t>
      </w:r>
    </w:p>
    <w:p w:rsidR="009B70EE" w:rsidRPr="009B70EE" w:rsidRDefault="009B70EE" w:rsidP="00DE7FB3">
      <w:pPr>
        <w:spacing w:after="120" w:line="360" w:lineRule="auto"/>
        <w:jc w:val="both"/>
        <w:rPr>
          <w:rFonts w:asciiTheme="minorBidi" w:eastAsia="Arial" w:hAnsiTheme="minorBidi"/>
          <w:szCs w:val="24"/>
        </w:rPr>
      </w:pPr>
      <w:r w:rsidRPr="00CD071F">
        <w:rPr>
          <w:rFonts w:asciiTheme="minorBidi" w:eastAsia="Arial" w:hAnsiTheme="minorBidi"/>
          <w:sz w:val="22"/>
        </w:rPr>
        <w:t>Professional codes of conduct strengthen ethical accountability through accountability, respect and protection practices. The UK practice is often confronted with ethical dilemmas, especially as the individual choice and safety issues have to be balanced, like in the case of individuals with dementia who prefer to live on their own (Ames, 2016). The legislation, such as the protection of obligations under the Care Act 2014, can be used when solving such dilemmas and protecting the rights of people (Butler and Manthorpe, 2016). Hence, ethical guidelines endorse uniform, equitable, and human-</w:t>
      </w:r>
      <w:proofErr w:type="spellStart"/>
      <w:r w:rsidRPr="00CD071F">
        <w:rPr>
          <w:rFonts w:asciiTheme="minorBidi" w:eastAsia="Arial" w:hAnsiTheme="minorBidi"/>
          <w:sz w:val="22"/>
        </w:rPr>
        <w:t>centered</w:t>
      </w:r>
      <w:proofErr w:type="spellEnd"/>
      <w:r w:rsidRPr="00CD071F">
        <w:rPr>
          <w:rFonts w:asciiTheme="minorBidi" w:eastAsia="Arial" w:hAnsiTheme="minorBidi"/>
          <w:sz w:val="22"/>
        </w:rPr>
        <w:t xml:space="preserve"> decision-making in complicated care settings.</w:t>
      </w:r>
    </w:p>
    <w:p w:rsidR="00A11336" w:rsidRPr="009B70EE" w:rsidRDefault="00A11336" w:rsidP="00DE7FB3">
      <w:pPr>
        <w:pStyle w:val="Heading1"/>
        <w:spacing w:after="120" w:line="360" w:lineRule="auto"/>
        <w:jc w:val="both"/>
        <w:rPr>
          <w:rFonts w:asciiTheme="minorBidi" w:hAnsiTheme="minorBidi" w:cstheme="minorBidi"/>
          <w:b/>
          <w:bCs/>
          <w:color w:val="000000" w:themeColor="text1"/>
        </w:rPr>
      </w:pPr>
      <w:bookmarkStart w:id="1" w:name="_Toc225778318"/>
      <w:r w:rsidRPr="009B70EE">
        <w:rPr>
          <w:rFonts w:asciiTheme="minorBidi" w:hAnsiTheme="minorBidi" w:cstheme="minorBidi"/>
          <w:b/>
          <w:bCs/>
          <w:color w:val="000000" w:themeColor="text1"/>
        </w:rPr>
        <w:t xml:space="preserve">Task 2: </w:t>
      </w:r>
      <w:r w:rsidR="009B70EE" w:rsidRPr="009B70EE">
        <w:rPr>
          <w:rFonts w:asciiTheme="minorBidi" w:hAnsiTheme="minorBidi" w:cstheme="minorBidi"/>
          <w:b/>
          <w:bCs/>
          <w:color w:val="000000" w:themeColor="text1"/>
        </w:rPr>
        <w:t>Practical Application in UK Adult Social Care</w:t>
      </w:r>
      <w:bookmarkEnd w:id="1"/>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 xml:space="preserve">Scenario Overview </w:t>
      </w:r>
    </w:p>
    <w:p w:rsidR="009B70EE" w:rsidRPr="00CD071F" w:rsidRDefault="009B70EE" w:rsidP="00DE7FB3">
      <w:pPr>
        <w:spacing w:after="120" w:line="360" w:lineRule="auto"/>
        <w:jc w:val="both"/>
        <w:rPr>
          <w:rFonts w:asciiTheme="minorBidi" w:eastAsia="Arial" w:hAnsiTheme="minorBidi"/>
          <w:b/>
          <w:bCs/>
          <w:sz w:val="22"/>
        </w:rPr>
      </w:pPr>
      <w:r w:rsidRPr="00CD071F">
        <w:rPr>
          <w:rFonts w:asciiTheme="minorBidi" w:eastAsia="Arial" w:hAnsiTheme="minorBidi"/>
          <w:sz w:val="22"/>
        </w:rPr>
        <w:t xml:space="preserve">I worked with Mr A, a 78-year-old man, who lived on his own, in a community adult social care environment within England with early-stage dementia and Type 2 diabetes. After a recent fall at home, his safety, medication management and nutrition were questioned. Despite the recommendation of more visits to the home by the professionals, Mr A refused any further assistance, saying that it is significant to him to be independent and connected to his identity. His daughter was worried about neglecting herself and demanded more organized treatment. This raised a conflict between the </w:t>
      </w:r>
      <w:proofErr w:type="gramStart"/>
      <w:r w:rsidRPr="00CD071F">
        <w:rPr>
          <w:rFonts w:asciiTheme="minorBidi" w:eastAsia="Arial" w:hAnsiTheme="minorBidi"/>
          <w:sz w:val="22"/>
        </w:rPr>
        <w:t>respect</w:t>
      </w:r>
      <w:proofErr w:type="gramEnd"/>
      <w:r w:rsidRPr="00CD071F">
        <w:rPr>
          <w:rFonts w:asciiTheme="minorBidi" w:eastAsia="Arial" w:hAnsiTheme="minorBidi"/>
          <w:sz w:val="22"/>
        </w:rPr>
        <w:t xml:space="preserve"> of the wish of Mr A and the wellbeing. The case is a reflection of the general issues in adult social care, where the need to promote independence should not be at the expense of protecting responsibilities in the Care Act 2014 (Butler and Manthorpe, 2016).</w:t>
      </w:r>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 xml:space="preserve">Application of Person-Centred Care </w:t>
      </w:r>
    </w:p>
    <w:p w:rsidR="009B70EE" w:rsidRPr="00CD071F" w:rsidRDefault="009B70EE" w:rsidP="00DE7FB3">
      <w:pPr>
        <w:spacing w:after="120" w:line="360" w:lineRule="auto"/>
        <w:jc w:val="both"/>
        <w:rPr>
          <w:rFonts w:asciiTheme="minorBidi" w:eastAsia="Arial" w:hAnsiTheme="minorBidi"/>
          <w:b/>
          <w:bCs/>
          <w:sz w:val="22"/>
        </w:rPr>
      </w:pPr>
      <w:r w:rsidRPr="00CD071F">
        <w:rPr>
          <w:rFonts w:asciiTheme="minorBidi" w:eastAsia="Arial" w:hAnsiTheme="minorBidi"/>
          <w:sz w:val="22"/>
        </w:rPr>
        <w:t xml:space="preserve">When attending to the case of Mr </w:t>
      </w:r>
      <w:proofErr w:type="gramStart"/>
      <w:r w:rsidRPr="00CD071F">
        <w:rPr>
          <w:rFonts w:asciiTheme="minorBidi" w:eastAsia="Arial" w:hAnsiTheme="minorBidi"/>
          <w:sz w:val="22"/>
        </w:rPr>
        <w:t>A</w:t>
      </w:r>
      <w:proofErr w:type="gramEnd"/>
      <w:r w:rsidRPr="00CD071F">
        <w:rPr>
          <w:rFonts w:asciiTheme="minorBidi" w:eastAsia="Arial" w:hAnsiTheme="minorBidi"/>
          <w:sz w:val="22"/>
        </w:rPr>
        <w:t xml:space="preserve">, person-centred care meant that his right to self-determination and independence was to be applied. </w:t>
      </w:r>
      <w:proofErr w:type="gramStart"/>
      <w:r w:rsidRPr="00CD071F">
        <w:rPr>
          <w:rFonts w:asciiTheme="minorBidi" w:eastAsia="Arial" w:hAnsiTheme="minorBidi"/>
          <w:sz w:val="22"/>
        </w:rPr>
        <w:t>McCormack and McCance (2010) state that the care should be constructed according to the values and life history of an individual.</w:t>
      </w:r>
      <w:proofErr w:type="gramEnd"/>
      <w:r w:rsidRPr="00CD071F">
        <w:rPr>
          <w:rFonts w:asciiTheme="minorBidi" w:eastAsia="Arial" w:hAnsiTheme="minorBidi"/>
          <w:sz w:val="22"/>
        </w:rPr>
        <w:t xml:space="preserve"> </w:t>
      </w:r>
      <w:r w:rsidRPr="00CD071F">
        <w:rPr>
          <w:rFonts w:asciiTheme="minorBidi" w:eastAsia="Arial" w:hAnsiTheme="minorBidi"/>
          <w:sz w:val="22"/>
        </w:rPr>
        <w:lastRenderedPageBreak/>
        <w:t>Mr A linked more visits to loss of control and thus discussions were made so that he could know what he prefers as opposed to services being enforced on him. The strengths-based approach was used to determine what he could handle on his own. According to Entwistle and Watt (2013), the promotion of autonomy included investigating his abilities and making sure that he was aware of the possible dangers. A capacity assessment was taken when it was necessary, and decisions were taken in an informed choice and not paternalistic intervention.</w:t>
      </w:r>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Partnership Working in Practice</w:t>
      </w:r>
    </w:p>
    <w:p w:rsidR="009B70EE" w:rsidRPr="00CD071F" w:rsidRDefault="009B70EE" w:rsidP="00DE7FB3">
      <w:pPr>
        <w:spacing w:after="120" w:line="360" w:lineRule="auto"/>
        <w:jc w:val="both"/>
        <w:rPr>
          <w:rFonts w:asciiTheme="minorBidi" w:eastAsia="Arial" w:hAnsiTheme="minorBidi"/>
          <w:sz w:val="22"/>
        </w:rPr>
      </w:pPr>
      <w:r w:rsidRPr="00CD071F">
        <w:rPr>
          <w:rFonts w:asciiTheme="minorBidi" w:eastAsia="Arial" w:hAnsiTheme="minorBidi"/>
          <w:sz w:val="22"/>
        </w:rPr>
        <w:t>The key to this case management was effective partnership working. The GP, social worker, district nurse and the daughter of Mr A were involved in collaboration. As Glasby (2017) emphasizes, the partnership working is more effective in terms of achieving the results when professionals exchange information and coordinate the goals. Several risks, medication adherence and home safety were reviewed during a multidisciplinary meeting. As a principle espoused in the UK policy, integrated working should minimize fragmentation and increase coordinated care (Ham and Walsh, 2013). The team discussed options like assistive technology and planned welfare checks, trading independence and safety, through joint planning. In spite of pressures caused by family issues, the structured communication minimized the conflicts and facilitated the transparent decisions.</w:t>
      </w:r>
    </w:p>
    <w:p w:rsidR="009B70EE" w:rsidRPr="009B70EE" w:rsidRDefault="009B70EE" w:rsidP="00DE7FB3">
      <w:pPr>
        <w:spacing w:after="120" w:line="360" w:lineRule="auto"/>
        <w:jc w:val="both"/>
        <w:rPr>
          <w:rFonts w:asciiTheme="minorBidi" w:eastAsia="Arial" w:hAnsiTheme="minorBidi"/>
          <w:b/>
          <w:bCs/>
          <w:szCs w:val="24"/>
        </w:rPr>
      </w:pPr>
      <w:r w:rsidRPr="009B70EE">
        <w:rPr>
          <w:rFonts w:asciiTheme="minorBidi" w:eastAsia="Arial" w:hAnsiTheme="minorBidi"/>
          <w:b/>
          <w:bCs/>
          <w:szCs w:val="24"/>
        </w:rPr>
        <w:t xml:space="preserve">Ethical Considerations </w:t>
      </w:r>
    </w:p>
    <w:p w:rsidR="009B70EE" w:rsidRPr="00CD071F" w:rsidRDefault="009B70EE" w:rsidP="00DE7FB3">
      <w:pPr>
        <w:spacing w:after="120" w:line="360" w:lineRule="auto"/>
        <w:jc w:val="both"/>
        <w:rPr>
          <w:rFonts w:asciiTheme="minorBidi" w:eastAsia="Arial" w:hAnsiTheme="minorBidi"/>
          <w:sz w:val="22"/>
        </w:rPr>
      </w:pPr>
      <w:r w:rsidRPr="00CD071F">
        <w:rPr>
          <w:rFonts w:asciiTheme="minorBidi" w:eastAsia="Arial" w:hAnsiTheme="minorBidi"/>
          <w:sz w:val="22"/>
        </w:rPr>
        <w:t xml:space="preserve">The case of Mr A remained an ethical dilemma on whether to adhere to autonomy or not or a duty of care. According to Beauchamp and Childress (1994), one has to respect autonomy unless it will cause considerable harm. Although Mr A was entitled to reject further assistance, the professionals had the duty to protect as well. It is a statutory obligation to prevent neglect, under the Care Act 2014 (Butler and Manthorpe, 2016). The framework provided in the Mental Capacity Act 2005 was used to determine the decision-making process based on whether Mr A was capable of grasping, retaining and weighing relevant information. Even foolish decisions have to be </w:t>
      </w:r>
      <w:proofErr w:type="spellStart"/>
      <w:r w:rsidRPr="00CD071F">
        <w:rPr>
          <w:rFonts w:asciiTheme="minorBidi" w:eastAsia="Arial" w:hAnsiTheme="minorBidi"/>
          <w:sz w:val="22"/>
        </w:rPr>
        <w:t>honored</w:t>
      </w:r>
      <w:proofErr w:type="spellEnd"/>
      <w:r w:rsidRPr="00CD071F">
        <w:rPr>
          <w:rFonts w:asciiTheme="minorBidi" w:eastAsia="Arial" w:hAnsiTheme="minorBidi"/>
          <w:sz w:val="22"/>
        </w:rPr>
        <w:t xml:space="preserve"> where there is the capacity. But in case of lack of capacity, the best interest decisions would have to be made in a way that would give preference to safety, dignity and least restrictive practice.</w:t>
      </w:r>
    </w:p>
    <w:p w:rsidR="00A11336" w:rsidRPr="009B70EE" w:rsidRDefault="00A11336" w:rsidP="00DE7FB3">
      <w:pPr>
        <w:pStyle w:val="Heading1"/>
        <w:spacing w:after="120" w:line="360" w:lineRule="auto"/>
        <w:jc w:val="both"/>
        <w:rPr>
          <w:rFonts w:asciiTheme="minorBidi" w:hAnsiTheme="minorBidi" w:cstheme="minorBidi"/>
          <w:b/>
          <w:bCs/>
          <w:color w:val="000000" w:themeColor="text1"/>
        </w:rPr>
      </w:pPr>
      <w:bookmarkStart w:id="2" w:name="_Toc225778319"/>
      <w:r w:rsidRPr="009B70EE">
        <w:rPr>
          <w:rFonts w:asciiTheme="minorBidi" w:hAnsiTheme="minorBidi" w:cstheme="minorBidi"/>
          <w:b/>
          <w:bCs/>
          <w:color w:val="000000" w:themeColor="text1"/>
        </w:rPr>
        <w:t xml:space="preserve">Task 3: </w:t>
      </w:r>
      <w:r w:rsidR="00DE7FB3" w:rsidRPr="00DE7FB3">
        <w:rPr>
          <w:rFonts w:asciiTheme="minorBidi" w:hAnsiTheme="minorBidi" w:cstheme="minorBidi"/>
          <w:b/>
          <w:bCs/>
          <w:color w:val="000000" w:themeColor="text1"/>
        </w:rPr>
        <w:t>Critical Self-Reflection (Using Kolb’s Reflective Cycle)</w:t>
      </w:r>
      <w:bookmarkEnd w:id="2"/>
    </w:p>
    <w:p w:rsidR="00DE7FB3" w:rsidRPr="00CD071F" w:rsidRDefault="00DE7FB3" w:rsidP="00DE7FB3">
      <w:pPr>
        <w:pStyle w:val="ListParagraph"/>
        <w:spacing w:after="120" w:line="360" w:lineRule="auto"/>
        <w:ind w:left="0"/>
        <w:jc w:val="both"/>
        <w:rPr>
          <w:rFonts w:asciiTheme="minorBidi" w:eastAsia="Arial" w:hAnsiTheme="minorBidi"/>
          <w:sz w:val="22"/>
        </w:rPr>
      </w:pPr>
      <w:proofErr w:type="spellStart"/>
      <w:r w:rsidRPr="00CD071F">
        <w:rPr>
          <w:rFonts w:asciiTheme="minorBidi" w:eastAsia="Arial" w:hAnsiTheme="minorBidi"/>
          <w:sz w:val="22"/>
        </w:rPr>
        <w:t>Kolbs</w:t>
      </w:r>
      <w:proofErr w:type="spellEnd"/>
      <w:r w:rsidRPr="00CD071F">
        <w:rPr>
          <w:rFonts w:asciiTheme="minorBidi" w:eastAsia="Arial" w:hAnsiTheme="minorBidi"/>
          <w:sz w:val="22"/>
        </w:rPr>
        <w:t xml:space="preserve"> reflective cycle (2007) gives a systematic view of learning by experience, which has four steps namely concrete experience, reflective observation, abstract conceptualisation </w:t>
      </w:r>
      <w:r w:rsidRPr="00CD071F">
        <w:rPr>
          <w:rFonts w:asciiTheme="minorBidi" w:eastAsia="Arial" w:hAnsiTheme="minorBidi"/>
          <w:sz w:val="22"/>
        </w:rPr>
        <w:lastRenderedPageBreak/>
        <w:t>and active experimentation. This model will help to develop professional knowledge as it is based on the connection of practical experiences with theory and future action.</w:t>
      </w:r>
    </w:p>
    <w:p w:rsidR="00DE7FB3" w:rsidRPr="00DE7FB3" w:rsidRDefault="00DE7FB3" w:rsidP="00DE7FB3">
      <w:pPr>
        <w:pStyle w:val="ListParagraph"/>
        <w:spacing w:after="120" w:line="360" w:lineRule="auto"/>
        <w:ind w:left="0"/>
        <w:jc w:val="both"/>
        <w:rPr>
          <w:rFonts w:asciiTheme="minorBidi" w:eastAsia="Arial" w:hAnsiTheme="minorBidi"/>
          <w:b/>
          <w:bCs/>
          <w:szCs w:val="24"/>
        </w:rPr>
      </w:pPr>
      <w:r w:rsidRPr="00DE7FB3">
        <w:rPr>
          <w:rFonts w:asciiTheme="minorBidi" w:eastAsia="Arial" w:hAnsiTheme="minorBidi"/>
          <w:b/>
          <w:bCs/>
          <w:szCs w:val="24"/>
        </w:rPr>
        <w:t xml:space="preserve">Concrete Experience </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The experience is associated with the case of supporting Mr A, a 78-year-old man who lives alone with early-stage dementia and Type 2 diabetes. After a fall and the risk of medication management and self-neglect, the professionals advised adding more home care assistance. But Mr A refused to get more services, underlining the fact that he wants to be independent and to have control over his everyday life. His daughter was worried of his well-being and demanded more formal treatment.</w:t>
      </w:r>
    </w:p>
    <w:p w:rsidR="00DE7FB3" w:rsidRPr="00DE7FB3" w:rsidRDefault="00DE7FB3" w:rsidP="00DE7FB3">
      <w:pPr>
        <w:pStyle w:val="ListParagraph"/>
        <w:spacing w:after="120" w:line="360" w:lineRule="auto"/>
        <w:ind w:left="0"/>
        <w:jc w:val="both"/>
        <w:rPr>
          <w:rFonts w:asciiTheme="minorBidi" w:eastAsia="Arial" w:hAnsiTheme="minorBidi"/>
          <w:szCs w:val="24"/>
        </w:rPr>
      </w:pPr>
      <w:r w:rsidRPr="00CD071F">
        <w:rPr>
          <w:rFonts w:asciiTheme="minorBidi" w:eastAsia="Arial" w:hAnsiTheme="minorBidi"/>
          <w:sz w:val="22"/>
        </w:rPr>
        <w:t>Being a member of the multidisciplinary team with the GP, the social worker, and district nurse, I was part of the discussions to balance the preferences of Mr A and the duties of safeguarding the responsibilities of the Care Act 2014 (Butler and Manthorpe, 2016). It was a case that needed to give due consideration to person-centred care, partnership working and ethical decision-making. The case was complicated by some typical difficulties of adult social care, especially when patients with cognitive impairments take risks that can put their lives in danger. It also emphasised on the role of integrated care methods in treating long-term conditions (Coulter, Roberts and Dixon, 2013).</w:t>
      </w:r>
    </w:p>
    <w:p w:rsidR="00DE7FB3" w:rsidRPr="00DE7FB3" w:rsidRDefault="00DE7FB3" w:rsidP="00DE7FB3">
      <w:pPr>
        <w:pStyle w:val="ListParagraph"/>
        <w:spacing w:after="120" w:line="360" w:lineRule="auto"/>
        <w:ind w:left="0"/>
        <w:jc w:val="both"/>
        <w:rPr>
          <w:rFonts w:asciiTheme="minorBidi" w:eastAsia="Arial" w:hAnsiTheme="minorBidi"/>
          <w:b/>
          <w:bCs/>
          <w:szCs w:val="24"/>
        </w:rPr>
      </w:pPr>
      <w:r w:rsidRPr="00DE7FB3">
        <w:rPr>
          <w:rFonts w:asciiTheme="minorBidi" w:eastAsia="Arial" w:hAnsiTheme="minorBidi"/>
          <w:b/>
          <w:bCs/>
          <w:szCs w:val="24"/>
        </w:rPr>
        <w:t>Reflective Observation</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 xml:space="preserve">Looking back at this experience, I realised that I had a combination of both professional and emotional reactions. I acknowledged the right of Mr A to autonomy and I realized that independence was a factor that made him feel a sense of identity and wellbeing, especially in dementia (Ames, 2016). I was concerned about the risks of his refusal of </w:t>
      </w:r>
      <w:proofErr w:type="gramStart"/>
      <w:r w:rsidRPr="00CD071F">
        <w:rPr>
          <w:rFonts w:asciiTheme="minorBidi" w:eastAsia="Arial" w:hAnsiTheme="minorBidi"/>
          <w:sz w:val="22"/>
        </w:rPr>
        <w:t>care,</w:t>
      </w:r>
      <w:proofErr w:type="gramEnd"/>
      <w:r w:rsidRPr="00CD071F">
        <w:rPr>
          <w:rFonts w:asciiTheme="minorBidi" w:eastAsia="Arial" w:hAnsiTheme="minorBidi"/>
          <w:sz w:val="22"/>
        </w:rPr>
        <w:t xml:space="preserve"> however, I was worried about it as well, after his recent fall.</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It is important to note that, in my observation, communication between the professional and family members was essential yet difficult at times. Although the multidisciplinary team was meant to collaborate, there were times when differences of opinion arose leading to tension. As noted by Cameron and Lart (2003), partnership working might be obstructed by the clash of priorities and communication barriers, which I also witnessed during my communication with the daughter of Mr A.</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I also thought about my personal contribution and discovered that, even though I tried to speak up on behalf of Mr A, I was not always confident when dealing with conflict of opinions or moral ambiguity. This put me in doubt of whether I had given the full support to the rights of the individual and the concerns of the family in a balanced manner.</w:t>
      </w:r>
    </w:p>
    <w:p w:rsidR="00DE7FB3" w:rsidRPr="00DE7FB3" w:rsidRDefault="00DE7FB3" w:rsidP="00DE7FB3">
      <w:pPr>
        <w:pStyle w:val="ListParagraph"/>
        <w:spacing w:after="120" w:line="360" w:lineRule="auto"/>
        <w:ind w:left="0"/>
        <w:jc w:val="both"/>
        <w:rPr>
          <w:rFonts w:asciiTheme="minorBidi" w:eastAsia="Arial" w:hAnsiTheme="minorBidi"/>
          <w:b/>
          <w:bCs/>
          <w:szCs w:val="24"/>
        </w:rPr>
      </w:pPr>
      <w:r w:rsidRPr="00DE7FB3">
        <w:rPr>
          <w:rFonts w:asciiTheme="minorBidi" w:eastAsia="Arial" w:hAnsiTheme="minorBidi"/>
          <w:b/>
          <w:bCs/>
          <w:szCs w:val="24"/>
        </w:rPr>
        <w:t xml:space="preserve">Abstract Conceptualisation </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 xml:space="preserve">This experience can be better understood through relevant theories and frameworks. Person-centred care emphasises respecting individuals’ values, preferences and autonomy, </w:t>
      </w:r>
      <w:r w:rsidRPr="00CD071F">
        <w:rPr>
          <w:rFonts w:asciiTheme="minorBidi" w:eastAsia="Arial" w:hAnsiTheme="minorBidi"/>
          <w:sz w:val="22"/>
        </w:rPr>
        <w:lastRenderedPageBreak/>
        <w:t>ensuring they are active participants in their care (McCormack and McCance, 2010). In Mr A’s case, his desire for independence reflected higher-level needs within Maslow’s Hierarchy, particularly esteem and self-actualisation. Supporting these needs is essential for maintaining psychological wellbeing, even when safety concerns are present (Entwistle and Watt, 2013).</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Ethically, the situation involved balancing autonomy with beneficence and non-maleficence. Beauchamp and Childress (1994) argue that individuals have the right to make decisions about their own lives, even if those decisions involve risk, provided they have the capacity to do so. This aligns with the Mental Capacity Act 2005, which supports individuals in making their own choices wherever possible. At the same time, the Care Act 2014 emphasises safeguarding and the prevention of harm, requiring professionals to act when there is a risk of abuse or neglect (Butler and Manthorpe, 2016).</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Partnership working theory also provides insight into this situation. Effective collaboration between health and social care professionals is essential for addressing complex needs and ensuring coordinated support (Glasby, 2017). Integrated care systems aim to reduce fragmentation and improve outcomes through shared decision-making (Ham and Walsh, 2013). However, as highlighted by Nolan et al. (2004), truly person-centred care requires moving beyond standard approaches to recognise the broader context of individuals’ lives and relationships.</w:t>
      </w:r>
    </w:p>
    <w:p w:rsidR="00DE7FB3" w:rsidRPr="00DE7FB3" w:rsidRDefault="00DE7FB3" w:rsidP="00DE7FB3">
      <w:pPr>
        <w:pStyle w:val="ListParagraph"/>
        <w:spacing w:after="120" w:line="360" w:lineRule="auto"/>
        <w:ind w:left="0"/>
        <w:jc w:val="both"/>
        <w:rPr>
          <w:rFonts w:asciiTheme="minorBidi" w:eastAsia="Arial" w:hAnsiTheme="minorBidi"/>
          <w:b/>
          <w:bCs/>
          <w:szCs w:val="24"/>
        </w:rPr>
      </w:pPr>
      <w:r w:rsidRPr="00DE7FB3">
        <w:rPr>
          <w:rFonts w:asciiTheme="minorBidi" w:eastAsia="Arial" w:hAnsiTheme="minorBidi"/>
          <w:b/>
          <w:bCs/>
          <w:szCs w:val="24"/>
        </w:rPr>
        <w:t>Active Experimentation</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Based on this reflection, I have identified several strategies to improve my future practice. Firstly, I will enhance my understanding of the Mental Capacity Act 2005 by undertaking further training. This will strengthen my ability to assess capacity and support individuals in making informed decisions while ensuring legal compliance. Secondly, I will develop my communication and conflict resolution skills to better manage situations where family members and service users have differing views. Effective communication is essential for successful partnership working and reducing misunderstandings (Cameron and Lart, 2003).</w:t>
      </w:r>
    </w:p>
    <w:p w:rsidR="00DE7FB3" w:rsidRPr="00CD071F" w:rsidRDefault="00DE7FB3" w:rsidP="00DE7FB3">
      <w:pPr>
        <w:pStyle w:val="ListParagraph"/>
        <w:spacing w:after="120" w:line="360" w:lineRule="auto"/>
        <w:ind w:left="0"/>
        <w:jc w:val="both"/>
        <w:rPr>
          <w:rFonts w:asciiTheme="minorBidi" w:eastAsia="Arial" w:hAnsiTheme="minorBidi"/>
          <w:sz w:val="22"/>
        </w:rPr>
      </w:pPr>
      <w:r w:rsidRPr="00CD071F">
        <w:rPr>
          <w:rFonts w:asciiTheme="minorBidi" w:eastAsia="Arial" w:hAnsiTheme="minorBidi"/>
          <w:sz w:val="22"/>
        </w:rPr>
        <w:t>Additionally, I plan to engage in continuous professional development (CPD) activities, including workshops on safeguarding and ethical decision-making. Shadowing experienced professionals, such as safeguarding leads, will provide practical insights into managing complex cases. I will also adopt a more structured approach to reflective practice by maintaining a reflective diary, allowing me to regularly evaluate my experiences and identify areas for improvement, as suggested by Kolb (2007).</w:t>
      </w:r>
    </w:p>
    <w:p w:rsidR="00DE7FB3" w:rsidRPr="009B70EE" w:rsidRDefault="00DE7FB3" w:rsidP="00DE7FB3">
      <w:pPr>
        <w:pStyle w:val="ListParagraph"/>
        <w:spacing w:after="120" w:line="360" w:lineRule="auto"/>
        <w:ind w:left="0"/>
        <w:jc w:val="both"/>
        <w:rPr>
          <w:rFonts w:asciiTheme="minorBidi" w:eastAsia="Arial" w:hAnsiTheme="minorBidi"/>
          <w:szCs w:val="24"/>
        </w:rPr>
      </w:pPr>
      <w:r w:rsidRPr="00CD071F">
        <w:rPr>
          <w:rFonts w:asciiTheme="minorBidi" w:eastAsia="Arial" w:hAnsiTheme="minorBidi"/>
          <w:sz w:val="22"/>
        </w:rPr>
        <w:t xml:space="preserve">In future situations similar to Mr A’s case, I will aim to apply a more balanced approach by integrating person-centred care with risk management. This includes exploring alternative support options that respect independence while enhancing safety, such as assistive technologies or flexible care arrangements. By applying these strategies, I aim to deliver </w:t>
      </w:r>
      <w:r w:rsidRPr="00CD071F">
        <w:rPr>
          <w:rFonts w:asciiTheme="minorBidi" w:eastAsia="Arial" w:hAnsiTheme="minorBidi"/>
          <w:sz w:val="22"/>
        </w:rPr>
        <w:lastRenderedPageBreak/>
        <w:t>care that is ethically sound, collaborative and responsive to individual needs, ultimately improving outcomes for service users.</w:t>
      </w:r>
    </w:p>
    <w:p w:rsidR="006524ED" w:rsidRPr="009B70EE" w:rsidRDefault="006D2F2D" w:rsidP="00DE7FB3">
      <w:pPr>
        <w:pStyle w:val="Heading1"/>
        <w:spacing w:after="120" w:line="360" w:lineRule="auto"/>
        <w:jc w:val="both"/>
        <w:rPr>
          <w:rFonts w:asciiTheme="minorBidi" w:hAnsiTheme="minorBidi" w:cstheme="minorBidi"/>
          <w:b/>
          <w:bCs/>
          <w:color w:val="000000" w:themeColor="text1"/>
        </w:rPr>
      </w:pPr>
      <w:bookmarkStart w:id="3" w:name="_Toc225778320"/>
      <w:r w:rsidRPr="009B70EE">
        <w:rPr>
          <w:rFonts w:asciiTheme="minorBidi" w:hAnsiTheme="minorBidi" w:cstheme="minorBidi"/>
          <w:b/>
          <w:bCs/>
          <w:color w:val="000000" w:themeColor="text1"/>
        </w:rPr>
        <w:t>Conclusion</w:t>
      </w:r>
      <w:bookmarkEnd w:id="3"/>
    </w:p>
    <w:p w:rsidR="009B70EE" w:rsidRPr="00CD071F" w:rsidRDefault="009B70EE" w:rsidP="00DE7FB3">
      <w:pPr>
        <w:spacing w:after="120" w:line="360" w:lineRule="auto"/>
        <w:jc w:val="both"/>
        <w:rPr>
          <w:rFonts w:asciiTheme="minorBidi" w:hAnsiTheme="minorBidi"/>
          <w:color w:val="000000" w:themeColor="text1"/>
          <w:sz w:val="22"/>
        </w:rPr>
      </w:pPr>
      <w:r w:rsidRPr="00CD071F">
        <w:rPr>
          <w:rFonts w:asciiTheme="minorBidi" w:hAnsiTheme="minorBidi"/>
          <w:color w:val="000000" w:themeColor="text1"/>
          <w:sz w:val="22"/>
        </w:rPr>
        <w:t>Finally, partnership working and ethical practice, as well as person-centred care, are the key elements of providing high-quality health and social care in the UK. Person-centred practices encourage dignity and individuality (McCormack and McCance, 2010), whereas partnership working enhances the coordinated provision of services (Glasby, 2017). Ethics provide a system of balanced decision-making in complicated cases (Beauchamp and Childress, 1994). By incorporating theory, legislature and reflective practice, I will be able to develop professionally and deliver caring, responsible and evidence-based care to my future profession.</w:t>
      </w:r>
    </w:p>
    <w:p w:rsidR="009B70EE" w:rsidRDefault="009B70EE" w:rsidP="00DE7FB3">
      <w:pPr>
        <w:spacing w:line="360" w:lineRule="auto"/>
        <w:rPr>
          <w:rFonts w:asciiTheme="minorBidi" w:hAnsiTheme="minorBidi"/>
          <w:color w:val="000000" w:themeColor="text1"/>
          <w:sz w:val="22"/>
        </w:rPr>
      </w:pPr>
    </w:p>
    <w:p w:rsidR="009B70EE" w:rsidRPr="009B70EE" w:rsidRDefault="009B70EE" w:rsidP="00DE7FB3">
      <w:pPr>
        <w:spacing w:line="360" w:lineRule="auto"/>
        <w:rPr>
          <w:rFonts w:asciiTheme="minorBidi" w:hAnsiTheme="minorBidi"/>
          <w:color w:val="0070C0"/>
          <w:sz w:val="22"/>
        </w:rPr>
      </w:pPr>
    </w:p>
    <w:p w:rsidR="006D2F2D" w:rsidRPr="009B70EE" w:rsidRDefault="006D2F2D" w:rsidP="00DE7FB3">
      <w:pPr>
        <w:pStyle w:val="Heading1"/>
        <w:spacing w:line="360" w:lineRule="auto"/>
        <w:rPr>
          <w:rFonts w:asciiTheme="minorBidi" w:hAnsiTheme="minorBidi" w:cstheme="minorBidi"/>
          <w:b/>
          <w:bCs/>
          <w:color w:val="000000" w:themeColor="text1"/>
        </w:rPr>
      </w:pPr>
      <w:bookmarkStart w:id="4" w:name="_Toc225778321"/>
      <w:r w:rsidRPr="009B70EE">
        <w:rPr>
          <w:rFonts w:asciiTheme="minorBidi" w:hAnsiTheme="minorBidi" w:cstheme="minorBidi"/>
          <w:b/>
          <w:bCs/>
          <w:color w:val="000000" w:themeColor="text1"/>
        </w:rPr>
        <w:t>Reference</w:t>
      </w:r>
      <w:r w:rsidR="001D345E" w:rsidRPr="009B70EE">
        <w:rPr>
          <w:rFonts w:asciiTheme="minorBidi" w:hAnsiTheme="minorBidi" w:cstheme="minorBidi"/>
          <w:b/>
          <w:bCs/>
          <w:color w:val="000000" w:themeColor="text1"/>
        </w:rPr>
        <w:t>s</w:t>
      </w:r>
      <w:bookmarkEnd w:id="4"/>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Ames, S. (2016). What happens to the person with dementia</w:t>
      </w:r>
      <w:proofErr w:type="gramStart"/>
      <w:r w:rsidRPr="009B70EE">
        <w:rPr>
          <w:rFonts w:asciiTheme="minorBidi" w:hAnsiTheme="minorBidi"/>
          <w:sz w:val="22"/>
        </w:rPr>
        <w:t>?.</w:t>
      </w:r>
      <w:proofErr w:type="gramEnd"/>
      <w:r w:rsidRPr="009B70EE">
        <w:rPr>
          <w:rFonts w:asciiTheme="minorBidi" w:hAnsiTheme="minorBidi"/>
          <w:sz w:val="22"/>
        </w:rPr>
        <w:t xml:space="preserve"> Journal of religion, spirituality &amp; aging, 28(1-2), 118-135.</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 xml:space="preserve">Beauchamp, T. L., &amp; Childress, J. F. (1994). Principles of biomedical ethics. </w:t>
      </w:r>
      <w:proofErr w:type="spellStart"/>
      <w:r w:rsidRPr="009B70EE">
        <w:rPr>
          <w:rFonts w:asciiTheme="minorBidi" w:hAnsiTheme="minorBidi"/>
          <w:sz w:val="22"/>
        </w:rPr>
        <w:t>Edicoes</w:t>
      </w:r>
      <w:proofErr w:type="spellEnd"/>
      <w:r w:rsidRPr="009B70EE">
        <w:rPr>
          <w:rFonts w:asciiTheme="minorBidi" w:hAnsiTheme="minorBidi"/>
          <w:sz w:val="22"/>
        </w:rPr>
        <w:t xml:space="preserve"> Loyola.</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Butler, L., &amp; Manthorpe, J. (2016). Putting people at the centre: facilitating Making Safeguarding Personal approaches in the context of the Care Act 2014. The Journal of Adult Protection, 18(4), 204-213.</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Cameron, A., &amp; Lart, R. (2003). Factors promoting and obstacles hindering joint working: a systematic review of the research evidence. Journal of Integrated Care, 11(2), 9-17.</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Coulter, A., Roberts, S., &amp; Dixon, A. (2013, October). Delivering better services for people with long-term conditions: building the house of care.</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 xml:space="preserve">Entwistle, V. A., &amp; Watt, I. S. (2013). </w:t>
      </w:r>
      <w:proofErr w:type="gramStart"/>
      <w:r w:rsidRPr="009B70EE">
        <w:rPr>
          <w:rFonts w:asciiTheme="minorBidi" w:hAnsiTheme="minorBidi"/>
          <w:sz w:val="22"/>
        </w:rPr>
        <w:t>Treating patients as persons: a capabilities approach to support delivery of person-</w:t>
      </w:r>
      <w:proofErr w:type="spellStart"/>
      <w:r w:rsidRPr="009B70EE">
        <w:rPr>
          <w:rFonts w:asciiTheme="minorBidi" w:hAnsiTheme="minorBidi"/>
          <w:sz w:val="22"/>
        </w:rPr>
        <w:t>centered</w:t>
      </w:r>
      <w:proofErr w:type="spellEnd"/>
      <w:r w:rsidRPr="009B70EE">
        <w:rPr>
          <w:rFonts w:asciiTheme="minorBidi" w:hAnsiTheme="minorBidi"/>
          <w:sz w:val="22"/>
        </w:rPr>
        <w:t xml:space="preserve"> care.</w:t>
      </w:r>
      <w:proofErr w:type="gramEnd"/>
      <w:r w:rsidRPr="009B70EE">
        <w:rPr>
          <w:rFonts w:asciiTheme="minorBidi" w:hAnsiTheme="minorBidi"/>
          <w:sz w:val="22"/>
        </w:rPr>
        <w:t xml:space="preserve"> The American Journal of Bioethics, 13(8), 29-39.</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Glasby, J. (2017). Partnership working in health and social care (pp. 71-94). Policy Press.</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Ham, C., &amp; Walsh, N. (2013). Making integrated care happen at scale and pace. London: Kings Fund.</w:t>
      </w:r>
    </w:p>
    <w:p w:rsidR="00405ABE" w:rsidRPr="009B70EE" w:rsidRDefault="00405ABE" w:rsidP="00DE7FB3">
      <w:pPr>
        <w:spacing w:line="360" w:lineRule="auto"/>
        <w:ind w:left="720" w:hanging="720"/>
        <w:rPr>
          <w:rFonts w:asciiTheme="minorBidi" w:hAnsiTheme="minorBidi"/>
          <w:sz w:val="22"/>
        </w:rPr>
      </w:pPr>
      <w:r w:rsidRPr="00405ABE">
        <w:rPr>
          <w:rFonts w:asciiTheme="minorBidi" w:hAnsiTheme="minorBidi"/>
          <w:sz w:val="22"/>
        </w:rPr>
        <w:lastRenderedPageBreak/>
        <w:t>Kolb, D. A. (2007). </w:t>
      </w:r>
      <w:r w:rsidRPr="00405ABE">
        <w:rPr>
          <w:rFonts w:asciiTheme="minorBidi" w:hAnsiTheme="minorBidi"/>
          <w:i/>
          <w:iCs/>
          <w:sz w:val="22"/>
        </w:rPr>
        <w:t>The Kolb learning style inventory</w:t>
      </w:r>
      <w:r w:rsidRPr="00405ABE">
        <w:rPr>
          <w:rFonts w:asciiTheme="minorBidi" w:hAnsiTheme="minorBidi"/>
          <w:sz w:val="22"/>
        </w:rPr>
        <w:t>. Boston, MA: Hay Resources Direct.</w:t>
      </w:r>
    </w:p>
    <w:p w:rsidR="00405ABE" w:rsidRPr="009B70EE" w:rsidRDefault="00405ABE" w:rsidP="00DE7FB3">
      <w:pPr>
        <w:spacing w:line="360" w:lineRule="auto"/>
        <w:ind w:left="720" w:hanging="720"/>
        <w:rPr>
          <w:rFonts w:asciiTheme="minorBidi" w:hAnsiTheme="minorBidi"/>
          <w:sz w:val="22"/>
        </w:rPr>
      </w:pPr>
      <w:r w:rsidRPr="009B70EE">
        <w:rPr>
          <w:rFonts w:asciiTheme="minorBidi" w:hAnsiTheme="minorBidi"/>
          <w:sz w:val="22"/>
        </w:rPr>
        <w:t>McCormack, B., &amp; McCance, T. (2010). Person-centred nursing. Theory and practice, 2010.</w:t>
      </w:r>
    </w:p>
    <w:p w:rsidR="00405ABE" w:rsidRDefault="00405ABE" w:rsidP="00DE7FB3">
      <w:pPr>
        <w:spacing w:line="360" w:lineRule="auto"/>
        <w:ind w:left="720" w:hanging="720"/>
        <w:rPr>
          <w:rFonts w:asciiTheme="minorBidi" w:hAnsiTheme="minorBidi"/>
          <w:sz w:val="22"/>
        </w:rPr>
      </w:pPr>
      <w:r w:rsidRPr="009B70EE">
        <w:rPr>
          <w:rFonts w:asciiTheme="minorBidi" w:hAnsiTheme="minorBidi"/>
          <w:sz w:val="22"/>
        </w:rPr>
        <w:t>Nolan, M. R., Davies, S., Brown, J., Keady, J., &amp; Nolan, J. (2004). Beyond ‘person</w:t>
      </w:r>
      <w:r w:rsidRPr="009B70EE">
        <w:rPr>
          <w:rFonts w:ascii="Cambria Math" w:hAnsi="Cambria Math" w:cs="Cambria Math"/>
          <w:sz w:val="22"/>
        </w:rPr>
        <w:t>‐</w:t>
      </w:r>
      <w:r w:rsidRPr="009B70EE">
        <w:rPr>
          <w:rFonts w:asciiTheme="minorBidi" w:hAnsiTheme="minorBidi"/>
          <w:sz w:val="22"/>
        </w:rPr>
        <w:t>centred</w:t>
      </w:r>
      <w:r w:rsidRPr="009B70EE">
        <w:rPr>
          <w:rFonts w:ascii="Arial" w:hAnsi="Arial" w:cs="Arial"/>
          <w:sz w:val="22"/>
        </w:rPr>
        <w:t>’</w:t>
      </w:r>
      <w:r w:rsidRPr="009B70EE">
        <w:rPr>
          <w:rFonts w:asciiTheme="minorBidi" w:hAnsiTheme="minorBidi"/>
          <w:sz w:val="22"/>
        </w:rPr>
        <w:t>care: a new vision for gerontological nursing. Journal of clinical nursing, 13, 45-53.</w:t>
      </w:r>
    </w:p>
    <w:p w:rsidR="006D2F2D" w:rsidRPr="009B70EE" w:rsidRDefault="006D2F2D" w:rsidP="00DE7FB3">
      <w:pPr>
        <w:spacing w:line="360" w:lineRule="auto"/>
        <w:rPr>
          <w:rFonts w:asciiTheme="minorBidi" w:hAnsiTheme="minorBidi"/>
          <w:sz w:val="22"/>
        </w:rPr>
      </w:pPr>
    </w:p>
    <w:sectPr w:rsidR="006D2F2D" w:rsidRPr="009B70EE" w:rsidSect="008A7D83">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2413D" w:rsidRDefault="00B2413D" w:rsidP="00B21FE6">
      <w:pPr>
        <w:spacing w:after="0" w:line="240" w:lineRule="auto"/>
      </w:pPr>
      <w:r>
        <w:separator/>
      </w:r>
    </w:p>
  </w:endnote>
  <w:endnote w:type="continuationSeparator" w:id="0">
    <w:p w:rsidR="00B2413D" w:rsidRDefault="00B2413D" w:rsidP="00B21F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等线">
    <w:panose1 w:val="00000000000000000000"/>
    <w:charset w:val="80"/>
    <w:family w:val="roman"/>
    <w:notTrueType/>
    <w:pitch w:val="default"/>
    <w:sig w:usb0="00000000" w:usb1="00000000" w:usb2="00000000" w:usb3="00000000" w:csb0="00000000"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2413D" w:rsidRDefault="00B2413D" w:rsidP="00B21FE6">
      <w:pPr>
        <w:spacing w:after="0" w:line="240" w:lineRule="auto"/>
      </w:pPr>
      <w:r>
        <w:separator/>
      </w:r>
    </w:p>
  </w:footnote>
  <w:footnote w:type="continuationSeparator" w:id="0">
    <w:p w:rsidR="00B2413D" w:rsidRDefault="00B2413D" w:rsidP="00B21FE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hdrShapeDefaults>
    <o:shapedefaults v:ext="edit" spidmax="4098"/>
  </w:hdrShapeDefaults>
  <w:footnotePr>
    <w:footnote w:id="-1"/>
    <w:footnote w:id="0"/>
  </w:footnotePr>
  <w:endnotePr>
    <w:endnote w:id="-1"/>
    <w:endnote w:id="0"/>
  </w:endnotePr>
  <w:compat/>
  <w:rsids>
    <w:rsidRoot w:val="00C558B0"/>
    <w:rsid w:val="00052089"/>
    <w:rsid w:val="00077D99"/>
    <w:rsid w:val="001333C2"/>
    <w:rsid w:val="001D1CAA"/>
    <w:rsid w:val="001D345E"/>
    <w:rsid w:val="00220640"/>
    <w:rsid w:val="002D39BD"/>
    <w:rsid w:val="00317E3D"/>
    <w:rsid w:val="00350D4F"/>
    <w:rsid w:val="00405ABE"/>
    <w:rsid w:val="00426985"/>
    <w:rsid w:val="004F5B88"/>
    <w:rsid w:val="0058218C"/>
    <w:rsid w:val="00594FAC"/>
    <w:rsid w:val="00610A5B"/>
    <w:rsid w:val="006524ED"/>
    <w:rsid w:val="006D2F2D"/>
    <w:rsid w:val="006E1FF9"/>
    <w:rsid w:val="006E38AB"/>
    <w:rsid w:val="00700C36"/>
    <w:rsid w:val="00785886"/>
    <w:rsid w:val="007F3A6A"/>
    <w:rsid w:val="00887FBB"/>
    <w:rsid w:val="008A7D83"/>
    <w:rsid w:val="008F6D4B"/>
    <w:rsid w:val="009B70EE"/>
    <w:rsid w:val="009E5C5F"/>
    <w:rsid w:val="009F4C9B"/>
    <w:rsid w:val="00A11336"/>
    <w:rsid w:val="00AB381E"/>
    <w:rsid w:val="00AE7DDA"/>
    <w:rsid w:val="00B21FE6"/>
    <w:rsid w:val="00B2413D"/>
    <w:rsid w:val="00BB22DD"/>
    <w:rsid w:val="00BC79FE"/>
    <w:rsid w:val="00C558B0"/>
    <w:rsid w:val="00CD071F"/>
    <w:rsid w:val="00CF0206"/>
    <w:rsid w:val="00D00A38"/>
    <w:rsid w:val="00D545BA"/>
    <w:rsid w:val="00D66C96"/>
    <w:rsid w:val="00DE7FB3"/>
    <w:rsid w:val="00E81204"/>
    <w:rsid w:val="00F81510"/>
    <w:rsid w:val="00FA624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9B70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7FB3"/>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9B70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70EE"/>
    <w:pPr>
      <w:spacing w:line="259" w:lineRule="auto"/>
      <w:outlineLvl w:val="9"/>
    </w:pPr>
    <w:rPr>
      <w:lang w:val="en-US"/>
    </w:rPr>
  </w:style>
  <w:style w:type="paragraph" w:styleId="TOC1">
    <w:name w:val="toc 1"/>
    <w:basedOn w:val="Normal"/>
    <w:next w:val="Normal"/>
    <w:autoRedefine/>
    <w:uiPriority w:val="39"/>
    <w:unhideWhenUsed/>
    <w:rsid w:val="009B70EE"/>
    <w:pPr>
      <w:spacing w:after="100"/>
    </w:pPr>
  </w:style>
  <w:style w:type="character" w:styleId="Hyperlink">
    <w:name w:val="Hyperlink"/>
    <w:basedOn w:val="DefaultParagraphFont"/>
    <w:uiPriority w:val="99"/>
    <w:unhideWhenUsed/>
    <w:rsid w:val="009B70EE"/>
    <w:rPr>
      <w:color w:val="0563C1" w:themeColor="hyperlink"/>
      <w:u w:val="single"/>
    </w:rPr>
  </w:style>
  <w:style w:type="character" w:customStyle="1" w:styleId="Heading3Char">
    <w:name w:val="Heading 3 Char"/>
    <w:basedOn w:val="DefaultParagraphFont"/>
    <w:link w:val="Heading3"/>
    <w:uiPriority w:val="9"/>
    <w:semiHidden/>
    <w:rsid w:val="00DE7FB3"/>
    <w:rPr>
      <w:rFonts w:asciiTheme="majorHAnsi" w:eastAsiaTheme="majorEastAsia" w:hAnsiTheme="majorHAnsi" w:cstheme="majorBidi"/>
      <w:color w:val="1F3763" w:themeColor="accent1" w:themeShade="7F"/>
      <w:sz w:val="24"/>
      <w:szCs w:val="24"/>
    </w:rPr>
  </w:style>
  <w:style w:type="paragraph" w:styleId="BalloonText">
    <w:name w:val="Balloon Text"/>
    <w:basedOn w:val="Normal"/>
    <w:link w:val="BalloonTextChar"/>
    <w:uiPriority w:val="99"/>
    <w:semiHidden/>
    <w:unhideWhenUsed/>
    <w:rsid w:val="00CD07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D071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9</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Marin</cp:lastModifiedBy>
  <cp:revision>8</cp:revision>
  <dcterms:created xsi:type="dcterms:W3CDTF">2025-06-05T11:55:00Z</dcterms:created>
  <dcterms:modified xsi:type="dcterms:W3CDTF">2026-03-30T18:35:00Z</dcterms:modified>
</cp:coreProperties>
</file>