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C67BC" w14:textId="5F7639D3" w:rsidR="006B1811" w:rsidRDefault="001845D9">
      <w:pPr>
        <w:jc w:val="center"/>
        <w:rPr>
          <w:rFonts w:cs="Calibri Light"/>
          <w:b/>
          <w:bCs/>
          <w:noProof/>
          <w:szCs w:val="24"/>
          <w:lang w:val="en-US"/>
        </w:rPr>
      </w:pPr>
      <w:r w:rsidRPr="00A406E5">
        <w:rPr>
          <w:noProof/>
        </w:rPr>
        <w:drawing>
          <wp:anchor distT="0" distB="0" distL="114300" distR="114300" simplePos="0" relativeHeight="251659264" behindDoc="0" locked="0" layoutInCell="1" allowOverlap="1" wp14:anchorId="5595380E" wp14:editId="2DC200A9">
            <wp:simplePos x="0" y="0"/>
            <wp:positionH relativeFrom="column">
              <wp:posOffset>4511618</wp:posOffset>
            </wp:positionH>
            <wp:positionV relativeFrom="paragraph">
              <wp:posOffset>-493215</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28612B0" w14:textId="77777777" w:rsidR="003B5C53" w:rsidRDefault="003B5C53" w:rsidP="003B5C53">
      <w:pPr>
        <w:spacing w:line="276" w:lineRule="auto"/>
        <w:jc w:val="center"/>
        <w:rPr>
          <w:szCs w:val="24"/>
        </w:rPr>
      </w:pPr>
      <w:r w:rsidRPr="00816C94">
        <w:rPr>
          <w:szCs w:val="24"/>
        </w:rPr>
        <w:t>Business Development Proposal Outline</w:t>
      </w:r>
    </w:p>
    <w:p w14:paraId="32086251" w14:textId="77777777" w:rsidR="006B1811" w:rsidRDefault="006B1811"/>
    <w:p w14:paraId="06B09027" w14:textId="336539F1" w:rsidR="006B1811" w:rsidRDefault="002C2410">
      <w:pPr>
        <w:jc w:val="center"/>
        <w:rPr>
          <w:b/>
          <w:bCs/>
          <w:sz w:val="40"/>
          <w:szCs w:val="36"/>
        </w:rPr>
      </w:pPr>
      <w:r w:rsidRPr="002C2410">
        <w:rPr>
          <w:b/>
          <w:bCs/>
          <w:sz w:val="40"/>
          <w:szCs w:val="36"/>
          <w:lang w:val="en-US"/>
        </w:rPr>
        <w:t xml:space="preserve">Evaluating the Strategic Expansion of Berkeley Living Build-to-Rent in London and the </w:t>
      </w:r>
      <w:r w:rsidR="006C4B43" w:rsidRPr="002C2410">
        <w:rPr>
          <w:b/>
          <w:bCs/>
          <w:sz w:val="40"/>
          <w:szCs w:val="36"/>
          <w:lang w:val="en-US"/>
        </w:rPr>
        <w:t>Southeast</w:t>
      </w:r>
    </w:p>
    <w:p w14:paraId="3E96C9A9" w14:textId="77777777" w:rsidR="006B1811" w:rsidRDefault="006B1811">
      <w:pPr>
        <w:tabs>
          <w:tab w:val="left" w:pos="0"/>
        </w:tabs>
        <w:jc w:val="center"/>
        <w:rPr>
          <w:rFonts w:cs="Calibri Light"/>
          <w:szCs w:val="24"/>
        </w:rPr>
      </w:pPr>
    </w:p>
    <w:p w14:paraId="39C339A7" w14:textId="77777777" w:rsidR="006B1811" w:rsidRDefault="006B1811">
      <w:pPr>
        <w:tabs>
          <w:tab w:val="left" w:pos="0"/>
        </w:tabs>
        <w:jc w:val="center"/>
        <w:rPr>
          <w:rFonts w:cs="Calibri Light"/>
          <w:szCs w:val="24"/>
        </w:rPr>
      </w:pPr>
    </w:p>
    <w:p w14:paraId="11878CAB" w14:textId="77777777" w:rsidR="006B1811" w:rsidRDefault="006B1811">
      <w:pPr>
        <w:tabs>
          <w:tab w:val="left" w:pos="0"/>
        </w:tabs>
        <w:jc w:val="center"/>
        <w:rPr>
          <w:rFonts w:cs="Calibri Light"/>
          <w:szCs w:val="24"/>
        </w:rPr>
      </w:pPr>
    </w:p>
    <w:p w14:paraId="182C3D29" w14:textId="2CCE65B1" w:rsidR="006B1811" w:rsidRDefault="00000000" w:rsidP="006B1336">
      <w:r>
        <w:t>Student Name:</w:t>
      </w:r>
      <w:r w:rsidR="00B72F39">
        <w:t xml:space="preserve"> Mohammed Masoom</w:t>
      </w:r>
    </w:p>
    <w:p w14:paraId="74331AD8" w14:textId="04FD3A75" w:rsidR="006B1811" w:rsidRDefault="00000000" w:rsidP="006B1336">
      <w:r>
        <w:t>Student ID:</w:t>
      </w:r>
      <w:r w:rsidR="00B72F39">
        <w:t xml:space="preserve"> 2223129</w:t>
      </w:r>
    </w:p>
    <w:p w14:paraId="1B089F49" w14:textId="77777777" w:rsidR="006B1336" w:rsidRDefault="006B1336" w:rsidP="006B1336"/>
    <w:p w14:paraId="4DE5548E" w14:textId="77777777" w:rsidR="006B1336" w:rsidRPr="006B2F55" w:rsidRDefault="006B1336" w:rsidP="003B5C53">
      <w:pPr>
        <w:rPr>
          <w:noProof/>
          <w:lang w:val="en-US"/>
        </w:rPr>
      </w:pPr>
      <w:r w:rsidRPr="001845D9">
        <w:rPr>
          <w:noProof/>
          <w:lang w:val="en-US"/>
        </w:rPr>
        <w:t>Master of Business Administration</w:t>
      </w:r>
    </w:p>
    <w:p w14:paraId="71E9A5B9" w14:textId="77777777" w:rsidR="006B1336" w:rsidRDefault="006B1336" w:rsidP="003B5C53">
      <w:pPr>
        <w:rPr>
          <w:noProof/>
          <w:lang w:val="en-US"/>
        </w:rPr>
      </w:pPr>
      <w:r w:rsidRPr="001845D9">
        <w:rPr>
          <w:noProof/>
          <w:lang w:val="en-US"/>
        </w:rPr>
        <w:t>LCMB7037</w:t>
      </w:r>
      <w:r w:rsidRPr="006B2F55">
        <w:rPr>
          <w:noProof/>
          <w:lang w:val="en-US"/>
        </w:rPr>
        <w:t xml:space="preserve">- </w:t>
      </w:r>
      <w:r w:rsidRPr="001845D9">
        <w:rPr>
          <w:noProof/>
          <w:lang w:val="en-US"/>
        </w:rPr>
        <w:t>Business Development Proposal</w:t>
      </w:r>
    </w:p>
    <w:p w14:paraId="6799BF36" w14:textId="77777777" w:rsidR="006B1811" w:rsidRDefault="006B1811"/>
    <w:p w14:paraId="10496671" w14:textId="77777777" w:rsidR="006B1811" w:rsidRDefault="006B1811">
      <w:pPr>
        <w:jc w:val="center"/>
        <w:rPr>
          <w:b/>
          <w:bCs/>
        </w:rPr>
      </w:pPr>
    </w:p>
    <w:p w14:paraId="6AEBBF23" w14:textId="77777777" w:rsidR="006B1811" w:rsidRDefault="006B1811">
      <w:pPr>
        <w:jc w:val="center"/>
      </w:pPr>
    </w:p>
    <w:p w14:paraId="7110837E" w14:textId="77777777" w:rsidR="006B1811" w:rsidRDefault="006B1811"/>
    <w:p w14:paraId="21917AA0" w14:textId="77777777" w:rsidR="006B1811" w:rsidRDefault="006B1811"/>
    <w:p w14:paraId="651A1DB8" w14:textId="77777777" w:rsidR="006B1811" w:rsidRDefault="00000000">
      <w:r>
        <w:br w:type="page"/>
      </w:r>
    </w:p>
    <w:p w14:paraId="35F314A1" w14:textId="77777777" w:rsidR="006B1811" w:rsidRDefault="006B1811">
      <w:pPr>
        <w:rPr>
          <w:rFonts w:cs="Times New Roman"/>
        </w:rPr>
        <w:sectPr w:rsidR="006B1811">
          <w:pgSz w:w="12240" w:h="15840"/>
          <w:pgMar w:top="1440" w:right="1440" w:bottom="1440" w:left="1440" w:header="720" w:footer="720" w:gutter="0"/>
          <w:cols w:space="720"/>
          <w:titlePg/>
          <w:docGrid w:linePitch="360"/>
        </w:sectPr>
      </w:pPr>
    </w:p>
    <w:p w14:paraId="496B36D6" w14:textId="77777777" w:rsidR="006B1811" w:rsidRDefault="00000000">
      <w:pPr>
        <w:pStyle w:val="TOCHeading"/>
        <w:jc w:val="center"/>
        <w:rPr>
          <w:rFonts w:ascii="Times New Roman" w:hAnsi="Times New Roman"/>
          <w:b/>
        </w:rPr>
      </w:pPr>
      <w:r>
        <w:rPr>
          <w:rFonts w:ascii="Times New Roman" w:hAnsi="Times New Roman"/>
          <w:b/>
        </w:rPr>
        <w:lastRenderedPageBreak/>
        <w:t>Table of Contents</w:t>
      </w:r>
    </w:p>
    <w:p w14:paraId="3174CFAB" w14:textId="0C77241C" w:rsidR="0085211B" w:rsidRDefault="00000000">
      <w:pPr>
        <w:pStyle w:val="TOC1"/>
        <w:tabs>
          <w:tab w:val="right" w:leader="dot" w:pos="9350"/>
        </w:tabs>
        <w:rPr>
          <w:rFonts w:asciiTheme="minorHAnsi" w:eastAsiaTheme="minorEastAsia" w:hAnsiTheme="minorHAnsi" w:cstheme="minorBidi"/>
          <w:noProof/>
          <w:kern w:val="2"/>
          <w:szCs w:val="24"/>
          <w:lang w:val="en-US"/>
          <w14:ligatures w14:val="standardContextual"/>
        </w:rPr>
      </w:pPr>
      <w:r>
        <w:rPr>
          <w:rFonts w:cs="Times New Roman"/>
          <w:caps/>
        </w:rPr>
        <w:fldChar w:fldCharType="begin"/>
      </w:r>
      <w:r>
        <w:rPr>
          <w:rFonts w:cs="Times New Roman"/>
          <w:caps/>
        </w:rPr>
        <w:instrText xml:space="preserve"> TOC \o "1-3" \h \z \u </w:instrText>
      </w:r>
      <w:r>
        <w:rPr>
          <w:rFonts w:cs="Times New Roman"/>
          <w:caps/>
        </w:rPr>
        <w:fldChar w:fldCharType="separate"/>
      </w:r>
      <w:hyperlink w:anchor="_Toc241268978" w:history="1">
        <w:r w:rsidR="0085211B" w:rsidRPr="006B1BA5">
          <w:rPr>
            <w:rStyle w:val="Hyperlink"/>
            <w:noProof/>
          </w:rPr>
          <w:t>Chapter 01: Introduction</w:t>
        </w:r>
        <w:r w:rsidR="0085211B">
          <w:rPr>
            <w:noProof/>
            <w:webHidden/>
          </w:rPr>
          <w:tab/>
        </w:r>
        <w:r w:rsidR="0085211B">
          <w:rPr>
            <w:noProof/>
            <w:webHidden/>
          </w:rPr>
          <w:fldChar w:fldCharType="begin"/>
        </w:r>
        <w:r w:rsidR="0085211B">
          <w:rPr>
            <w:noProof/>
            <w:webHidden/>
          </w:rPr>
          <w:instrText xml:space="preserve"> PAGEREF _Toc241268978 \h </w:instrText>
        </w:r>
        <w:r w:rsidR="0085211B">
          <w:rPr>
            <w:noProof/>
            <w:webHidden/>
          </w:rPr>
        </w:r>
        <w:r w:rsidR="0085211B">
          <w:rPr>
            <w:noProof/>
            <w:webHidden/>
          </w:rPr>
          <w:fldChar w:fldCharType="separate"/>
        </w:r>
        <w:r w:rsidR="0085211B">
          <w:rPr>
            <w:noProof/>
            <w:webHidden/>
          </w:rPr>
          <w:t>1</w:t>
        </w:r>
        <w:r w:rsidR="0085211B">
          <w:rPr>
            <w:noProof/>
            <w:webHidden/>
          </w:rPr>
          <w:fldChar w:fldCharType="end"/>
        </w:r>
      </w:hyperlink>
    </w:p>
    <w:p w14:paraId="694FAD1C" w14:textId="1895DE25"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79" w:history="1">
        <w:r w:rsidRPr="006B1BA5">
          <w:rPr>
            <w:rStyle w:val="Hyperlink"/>
            <w:noProof/>
          </w:rPr>
          <w:t>1.1 Overview of the Company</w:t>
        </w:r>
        <w:r>
          <w:rPr>
            <w:noProof/>
            <w:webHidden/>
          </w:rPr>
          <w:tab/>
        </w:r>
        <w:r>
          <w:rPr>
            <w:noProof/>
            <w:webHidden/>
          </w:rPr>
          <w:fldChar w:fldCharType="begin"/>
        </w:r>
        <w:r>
          <w:rPr>
            <w:noProof/>
            <w:webHidden/>
          </w:rPr>
          <w:instrText xml:space="preserve"> PAGEREF _Toc241268979 \h </w:instrText>
        </w:r>
        <w:r>
          <w:rPr>
            <w:noProof/>
            <w:webHidden/>
          </w:rPr>
        </w:r>
        <w:r>
          <w:rPr>
            <w:noProof/>
            <w:webHidden/>
          </w:rPr>
          <w:fldChar w:fldCharType="separate"/>
        </w:r>
        <w:r>
          <w:rPr>
            <w:noProof/>
            <w:webHidden/>
          </w:rPr>
          <w:t>1</w:t>
        </w:r>
        <w:r>
          <w:rPr>
            <w:noProof/>
            <w:webHidden/>
          </w:rPr>
          <w:fldChar w:fldCharType="end"/>
        </w:r>
      </w:hyperlink>
    </w:p>
    <w:p w14:paraId="30B0EAC8" w14:textId="1036DAF5"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0" w:history="1">
        <w:r w:rsidRPr="006B1BA5">
          <w:rPr>
            <w:rStyle w:val="Hyperlink"/>
            <w:noProof/>
          </w:rPr>
          <w:t>1.2 Opportunistic Idea Description</w:t>
        </w:r>
        <w:r>
          <w:rPr>
            <w:noProof/>
            <w:webHidden/>
          </w:rPr>
          <w:tab/>
        </w:r>
        <w:r>
          <w:rPr>
            <w:noProof/>
            <w:webHidden/>
          </w:rPr>
          <w:fldChar w:fldCharType="begin"/>
        </w:r>
        <w:r>
          <w:rPr>
            <w:noProof/>
            <w:webHidden/>
          </w:rPr>
          <w:instrText xml:space="preserve"> PAGEREF _Toc241268980 \h </w:instrText>
        </w:r>
        <w:r>
          <w:rPr>
            <w:noProof/>
            <w:webHidden/>
          </w:rPr>
        </w:r>
        <w:r>
          <w:rPr>
            <w:noProof/>
            <w:webHidden/>
          </w:rPr>
          <w:fldChar w:fldCharType="separate"/>
        </w:r>
        <w:r>
          <w:rPr>
            <w:noProof/>
            <w:webHidden/>
          </w:rPr>
          <w:t>1</w:t>
        </w:r>
        <w:r>
          <w:rPr>
            <w:noProof/>
            <w:webHidden/>
          </w:rPr>
          <w:fldChar w:fldCharType="end"/>
        </w:r>
      </w:hyperlink>
    </w:p>
    <w:p w14:paraId="0E2BCBCF" w14:textId="317CB03A"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1" w:history="1">
        <w:r w:rsidRPr="006B1BA5">
          <w:rPr>
            <w:rStyle w:val="Hyperlink"/>
            <w:noProof/>
          </w:rPr>
          <w:t>1.3 Research Aim and Objectives</w:t>
        </w:r>
        <w:r>
          <w:rPr>
            <w:noProof/>
            <w:webHidden/>
          </w:rPr>
          <w:tab/>
        </w:r>
        <w:r>
          <w:rPr>
            <w:noProof/>
            <w:webHidden/>
          </w:rPr>
          <w:fldChar w:fldCharType="begin"/>
        </w:r>
        <w:r>
          <w:rPr>
            <w:noProof/>
            <w:webHidden/>
          </w:rPr>
          <w:instrText xml:space="preserve"> PAGEREF _Toc241268981 \h </w:instrText>
        </w:r>
        <w:r>
          <w:rPr>
            <w:noProof/>
            <w:webHidden/>
          </w:rPr>
        </w:r>
        <w:r>
          <w:rPr>
            <w:noProof/>
            <w:webHidden/>
          </w:rPr>
          <w:fldChar w:fldCharType="separate"/>
        </w:r>
        <w:r>
          <w:rPr>
            <w:noProof/>
            <w:webHidden/>
          </w:rPr>
          <w:t>3</w:t>
        </w:r>
        <w:r>
          <w:rPr>
            <w:noProof/>
            <w:webHidden/>
          </w:rPr>
          <w:fldChar w:fldCharType="end"/>
        </w:r>
      </w:hyperlink>
    </w:p>
    <w:p w14:paraId="41366CD0" w14:textId="5C6AF497" w:rsidR="0085211B" w:rsidRDefault="0085211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41268982" w:history="1">
        <w:r w:rsidRPr="006B1BA5">
          <w:rPr>
            <w:rStyle w:val="Hyperlink"/>
            <w:noProof/>
          </w:rPr>
          <w:t>Chapter 02: Methodology</w:t>
        </w:r>
        <w:r>
          <w:rPr>
            <w:noProof/>
            <w:webHidden/>
          </w:rPr>
          <w:tab/>
        </w:r>
        <w:r>
          <w:rPr>
            <w:noProof/>
            <w:webHidden/>
          </w:rPr>
          <w:fldChar w:fldCharType="begin"/>
        </w:r>
        <w:r>
          <w:rPr>
            <w:noProof/>
            <w:webHidden/>
          </w:rPr>
          <w:instrText xml:space="preserve"> PAGEREF _Toc241268982 \h </w:instrText>
        </w:r>
        <w:r>
          <w:rPr>
            <w:noProof/>
            <w:webHidden/>
          </w:rPr>
        </w:r>
        <w:r>
          <w:rPr>
            <w:noProof/>
            <w:webHidden/>
          </w:rPr>
          <w:fldChar w:fldCharType="separate"/>
        </w:r>
        <w:r>
          <w:rPr>
            <w:noProof/>
            <w:webHidden/>
          </w:rPr>
          <w:t>4</w:t>
        </w:r>
        <w:r>
          <w:rPr>
            <w:noProof/>
            <w:webHidden/>
          </w:rPr>
          <w:fldChar w:fldCharType="end"/>
        </w:r>
      </w:hyperlink>
    </w:p>
    <w:p w14:paraId="5FF92C45" w14:textId="4786EC80"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3" w:history="1">
        <w:r w:rsidRPr="006B1BA5">
          <w:rPr>
            <w:rStyle w:val="Hyperlink"/>
            <w:noProof/>
          </w:rPr>
          <w:t>2.1 Research Design and Approach</w:t>
        </w:r>
        <w:r>
          <w:rPr>
            <w:noProof/>
            <w:webHidden/>
          </w:rPr>
          <w:tab/>
        </w:r>
        <w:r>
          <w:rPr>
            <w:noProof/>
            <w:webHidden/>
          </w:rPr>
          <w:fldChar w:fldCharType="begin"/>
        </w:r>
        <w:r>
          <w:rPr>
            <w:noProof/>
            <w:webHidden/>
          </w:rPr>
          <w:instrText xml:space="preserve"> PAGEREF _Toc241268983 \h </w:instrText>
        </w:r>
        <w:r>
          <w:rPr>
            <w:noProof/>
            <w:webHidden/>
          </w:rPr>
        </w:r>
        <w:r>
          <w:rPr>
            <w:noProof/>
            <w:webHidden/>
          </w:rPr>
          <w:fldChar w:fldCharType="separate"/>
        </w:r>
        <w:r>
          <w:rPr>
            <w:noProof/>
            <w:webHidden/>
          </w:rPr>
          <w:t>4</w:t>
        </w:r>
        <w:r>
          <w:rPr>
            <w:noProof/>
            <w:webHidden/>
          </w:rPr>
          <w:fldChar w:fldCharType="end"/>
        </w:r>
      </w:hyperlink>
    </w:p>
    <w:p w14:paraId="7524428F" w14:textId="6A758E6E"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4" w:history="1">
        <w:r w:rsidRPr="006B1BA5">
          <w:rPr>
            <w:rStyle w:val="Hyperlink"/>
            <w:noProof/>
          </w:rPr>
          <w:t>2.2 Data Collection and Selection</w:t>
        </w:r>
        <w:r>
          <w:rPr>
            <w:noProof/>
            <w:webHidden/>
          </w:rPr>
          <w:tab/>
        </w:r>
        <w:r>
          <w:rPr>
            <w:noProof/>
            <w:webHidden/>
          </w:rPr>
          <w:fldChar w:fldCharType="begin"/>
        </w:r>
        <w:r>
          <w:rPr>
            <w:noProof/>
            <w:webHidden/>
          </w:rPr>
          <w:instrText xml:space="preserve"> PAGEREF _Toc241268984 \h </w:instrText>
        </w:r>
        <w:r>
          <w:rPr>
            <w:noProof/>
            <w:webHidden/>
          </w:rPr>
        </w:r>
        <w:r>
          <w:rPr>
            <w:noProof/>
            <w:webHidden/>
          </w:rPr>
          <w:fldChar w:fldCharType="separate"/>
        </w:r>
        <w:r>
          <w:rPr>
            <w:noProof/>
            <w:webHidden/>
          </w:rPr>
          <w:t>4</w:t>
        </w:r>
        <w:r>
          <w:rPr>
            <w:noProof/>
            <w:webHidden/>
          </w:rPr>
          <w:fldChar w:fldCharType="end"/>
        </w:r>
      </w:hyperlink>
    </w:p>
    <w:p w14:paraId="0B1A4C95" w14:textId="0096CC0E"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5" w:history="1">
        <w:r w:rsidRPr="006B1BA5">
          <w:rPr>
            <w:rStyle w:val="Hyperlink"/>
            <w:noProof/>
          </w:rPr>
          <w:t>2.3 Data Analysis</w:t>
        </w:r>
        <w:r>
          <w:rPr>
            <w:noProof/>
            <w:webHidden/>
          </w:rPr>
          <w:tab/>
        </w:r>
        <w:r>
          <w:rPr>
            <w:noProof/>
            <w:webHidden/>
          </w:rPr>
          <w:fldChar w:fldCharType="begin"/>
        </w:r>
        <w:r>
          <w:rPr>
            <w:noProof/>
            <w:webHidden/>
          </w:rPr>
          <w:instrText xml:space="preserve"> PAGEREF _Toc241268985 \h </w:instrText>
        </w:r>
        <w:r>
          <w:rPr>
            <w:noProof/>
            <w:webHidden/>
          </w:rPr>
        </w:r>
        <w:r>
          <w:rPr>
            <w:noProof/>
            <w:webHidden/>
          </w:rPr>
          <w:fldChar w:fldCharType="separate"/>
        </w:r>
        <w:r>
          <w:rPr>
            <w:noProof/>
            <w:webHidden/>
          </w:rPr>
          <w:t>5</w:t>
        </w:r>
        <w:r>
          <w:rPr>
            <w:noProof/>
            <w:webHidden/>
          </w:rPr>
          <w:fldChar w:fldCharType="end"/>
        </w:r>
      </w:hyperlink>
    </w:p>
    <w:p w14:paraId="0AF8A183" w14:textId="26480F68"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6" w:history="1">
        <w:r w:rsidRPr="006B1BA5">
          <w:rPr>
            <w:rStyle w:val="Hyperlink"/>
            <w:noProof/>
          </w:rPr>
          <w:t>2.4 Research Quality, Ethics and Limitations</w:t>
        </w:r>
        <w:r>
          <w:rPr>
            <w:noProof/>
            <w:webHidden/>
          </w:rPr>
          <w:tab/>
        </w:r>
        <w:r>
          <w:rPr>
            <w:noProof/>
            <w:webHidden/>
          </w:rPr>
          <w:fldChar w:fldCharType="begin"/>
        </w:r>
        <w:r>
          <w:rPr>
            <w:noProof/>
            <w:webHidden/>
          </w:rPr>
          <w:instrText xml:space="preserve"> PAGEREF _Toc241268986 \h </w:instrText>
        </w:r>
        <w:r>
          <w:rPr>
            <w:noProof/>
            <w:webHidden/>
          </w:rPr>
        </w:r>
        <w:r>
          <w:rPr>
            <w:noProof/>
            <w:webHidden/>
          </w:rPr>
          <w:fldChar w:fldCharType="separate"/>
        </w:r>
        <w:r>
          <w:rPr>
            <w:noProof/>
            <w:webHidden/>
          </w:rPr>
          <w:t>5</w:t>
        </w:r>
        <w:r>
          <w:rPr>
            <w:noProof/>
            <w:webHidden/>
          </w:rPr>
          <w:fldChar w:fldCharType="end"/>
        </w:r>
      </w:hyperlink>
    </w:p>
    <w:p w14:paraId="7F58C699" w14:textId="15B4652B" w:rsidR="0085211B" w:rsidRDefault="0085211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41268987" w:history="1">
        <w:r w:rsidRPr="006B1BA5">
          <w:rPr>
            <w:rStyle w:val="Hyperlink"/>
            <w:noProof/>
          </w:rPr>
          <w:t>Chapter 03: Market Research and Validation</w:t>
        </w:r>
        <w:r>
          <w:rPr>
            <w:noProof/>
            <w:webHidden/>
          </w:rPr>
          <w:tab/>
        </w:r>
        <w:r>
          <w:rPr>
            <w:noProof/>
            <w:webHidden/>
          </w:rPr>
          <w:fldChar w:fldCharType="begin"/>
        </w:r>
        <w:r>
          <w:rPr>
            <w:noProof/>
            <w:webHidden/>
          </w:rPr>
          <w:instrText xml:space="preserve"> PAGEREF _Toc241268987 \h </w:instrText>
        </w:r>
        <w:r>
          <w:rPr>
            <w:noProof/>
            <w:webHidden/>
          </w:rPr>
        </w:r>
        <w:r>
          <w:rPr>
            <w:noProof/>
            <w:webHidden/>
          </w:rPr>
          <w:fldChar w:fldCharType="separate"/>
        </w:r>
        <w:r>
          <w:rPr>
            <w:noProof/>
            <w:webHidden/>
          </w:rPr>
          <w:t>7</w:t>
        </w:r>
        <w:r>
          <w:rPr>
            <w:noProof/>
            <w:webHidden/>
          </w:rPr>
          <w:fldChar w:fldCharType="end"/>
        </w:r>
      </w:hyperlink>
    </w:p>
    <w:p w14:paraId="0BC7DBA3" w14:textId="6BD3BE6F"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8" w:history="1">
        <w:r w:rsidRPr="006B1BA5">
          <w:rPr>
            <w:rStyle w:val="Hyperlink"/>
            <w:noProof/>
          </w:rPr>
          <w:t>3.1 Market Demand and Customer Environment</w:t>
        </w:r>
        <w:r>
          <w:rPr>
            <w:noProof/>
            <w:webHidden/>
          </w:rPr>
          <w:tab/>
        </w:r>
        <w:r>
          <w:rPr>
            <w:noProof/>
            <w:webHidden/>
          </w:rPr>
          <w:fldChar w:fldCharType="begin"/>
        </w:r>
        <w:r>
          <w:rPr>
            <w:noProof/>
            <w:webHidden/>
          </w:rPr>
          <w:instrText xml:space="preserve"> PAGEREF _Toc241268988 \h </w:instrText>
        </w:r>
        <w:r>
          <w:rPr>
            <w:noProof/>
            <w:webHidden/>
          </w:rPr>
        </w:r>
        <w:r>
          <w:rPr>
            <w:noProof/>
            <w:webHidden/>
          </w:rPr>
          <w:fldChar w:fldCharType="separate"/>
        </w:r>
        <w:r>
          <w:rPr>
            <w:noProof/>
            <w:webHidden/>
          </w:rPr>
          <w:t>7</w:t>
        </w:r>
        <w:r>
          <w:rPr>
            <w:noProof/>
            <w:webHidden/>
          </w:rPr>
          <w:fldChar w:fldCharType="end"/>
        </w:r>
      </w:hyperlink>
    </w:p>
    <w:p w14:paraId="0D41C007" w14:textId="6F0D6381"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89" w:history="1">
        <w:r w:rsidRPr="006B1BA5">
          <w:rPr>
            <w:rStyle w:val="Hyperlink"/>
            <w:noProof/>
          </w:rPr>
          <w:t>3.2 Build-to-Rent Market Size, Supply and Investment</w:t>
        </w:r>
        <w:r>
          <w:rPr>
            <w:noProof/>
            <w:webHidden/>
          </w:rPr>
          <w:tab/>
        </w:r>
        <w:r>
          <w:rPr>
            <w:noProof/>
            <w:webHidden/>
          </w:rPr>
          <w:fldChar w:fldCharType="begin"/>
        </w:r>
        <w:r>
          <w:rPr>
            <w:noProof/>
            <w:webHidden/>
          </w:rPr>
          <w:instrText xml:space="preserve"> PAGEREF _Toc241268989 \h </w:instrText>
        </w:r>
        <w:r>
          <w:rPr>
            <w:noProof/>
            <w:webHidden/>
          </w:rPr>
        </w:r>
        <w:r>
          <w:rPr>
            <w:noProof/>
            <w:webHidden/>
          </w:rPr>
          <w:fldChar w:fldCharType="separate"/>
        </w:r>
        <w:r>
          <w:rPr>
            <w:noProof/>
            <w:webHidden/>
          </w:rPr>
          <w:t>7</w:t>
        </w:r>
        <w:r>
          <w:rPr>
            <w:noProof/>
            <w:webHidden/>
          </w:rPr>
          <w:fldChar w:fldCharType="end"/>
        </w:r>
      </w:hyperlink>
    </w:p>
    <w:p w14:paraId="2E708EC8" w14:textId="50D99E4F"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90" w:history="1">
        <w:r w:rsidRPr="006B1BA5">
          <w:rPr>
            <w:rStyle w:val="Hyperlink"/>
            <w:noProof/>
          </w:rPr>
          <w:t>3.3 Competitive Position and Berkeley Living Market Fit</w:t>
        </w:r>
        <w:r>
          <w:rPr>
            <w:noProof/>
            <w:webHidden/>
          </w:rPr>
          <w:tab/>
        </w:r>
        <w:r>
          <w:rPr>
            <w:noProof/>
            <w:webHidden/>
          </w:rPr>
          <w:fldChar w:fldCharType="begin"/>
        </w:r>
        <w:r>
          <w:rPr>
            <w:noProof/>
            <w:webHidden/>
          </w:rPr>
          <w:instrText xml:space="preserve"> PAGEREF _Toc241268990 \h </w:instrText>
        </w:r>
        <w:r>
          <w:rPr>
            <w:noProof/>
            <w:webHidden/>
          </w:rPr>
        </w:r>
        <w:r>
          <w:rPr>
            <w:noProof/>
            <w:webHidden/>
          </w:rPr>
          <w:fldChar w:fldCharType="separate"/>
        </w:r>
        <w:r>
          <w:rPr>
            <w:noProof/>
            <w:webHidden/>
          </w:rPr>
          <w:t>8</w:t>
        </w:r>
        <w:r>
          <w:rPr>
            <w:noProof/>
            <w:webHidden/>
          </w:rPr>
          <w:fldChar w:fldCharType="end"/>
        </w:r>
      </w:hyperlink>
    </w:p>
    <w:p w14:paraId="2F225803" w14:textId="4DFB73CF" w:rsidR="0085211B" w:rsidRDefault="0085211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41268991" w:history="1">
        <w:r w:rsidRPr="006B1BA5">
          <w:rPr>
            <w:rStyle w:val="Hyperlink"/>
            <w:noProof/>
          </w:rPr>
          <w:t>3.4 Market Validation and Strategic Implications</w:t>
        </w:r>
        <w:r>
          <w:rPr>
            <w:noProof/>
            <w:webHidden/>
          </w:rPr>
          <w:tab/>
        </w:r>
        <w:r>
          <w:rPr>
            <w:noProof/>
            <w:webHidden/>
          </w:rPr>
          <w:fldChar w:fldCharType="begin"/>
        </w:r>
        <w:r>
          <w:rPr>
            <w:noProof/>
            <w:webHidden/>
          </w:rPr>
          <w:instrText xml:space="preserve"> PAGEREF _Toc241268991 \h </w:instrText>
        </w:r>
        <w:r>
          <w:rPr>
            <w:noProof/>
            <w:webHidden/>
          </w:rPr>
        </w:r>
        <w:r>
          <w:rPr>
            <w:noProof/>
            <w:webHidden/>
          </w:rPr>
          <w:fldChar w:fldCharType="separate"/>
        </w:r>
        <w:r>
          <w:rPr>
            <w:noProof/>
            <w:webHidden/>
          </w:rPr>
          <w:t>9</w:t>
        </w:r>
        <w:r>
          <w:rPr>
            <w:noProof/>
            <w:webHidden/>
          </w:rPr>
          <w:fldChar w:fldCharType="end"/>
        </w:r>
      </w:hyperlink>
    </w:p>
    <w:p w14:paraId="53973E42" w14:textId="489C0492" w:rsidR="0085211B" w:rsidRDefault="0085211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41268992" w:history="1">
        <w:r w:rsidRPr="006B1BA5">
          <w:rPr>
            <w:rStyle w:val="Hyperlink"/>
            <w:noProof/>
          </w:rPr>
          <w:t>Chapter 04: Risk</w:t>
        </w:r>
        <w:r>
          <w:rPr>
            <w:noProof/>
            <w:webHidden/>
          </w:rPr>
          <w:tab/>
        </w:r>
        <w:r>
          <w:rPr>
            <w:noProof/>
            <w:webHidden/>
          </w:rPr>
          <w:fldChar w:fldCharType="begin"/>
        </w:r>
        <w:r>
          <w:rPr>
            <w:noProof/>
            <w:webHidden/>
          </w:rPr>
          <w:instrText xml:space="preserve"> PAGEREF _Toc241268992 \h </w:instrText>
        </w:r>
        <w:r>
          <w:rPr>
            <w:noProof/>
            <w:webHidden/>
          </w:rPr>
        </w:r>
        <w:r>
          <w:rPr>
            <w:noProof/>
            <w:webHidden/>
          </w:rPr>
          <w:fldChar w:fldCharType="separate"/>
        </w:r>
        <w:r>
          <w:rPr>
            <w:noProof/>
            <w:webHidden/>
          </w:rPr>
          <w:t>11</w:t>
        </w:r>
        <w:r>
          <w:rPr>
            <w:noProof/>
            <w:webHidden/>
          </w:rPr>
          <w:fldChar w:fldCharType="end"/>
        </w:r>
      </w:hyperlink>
    </w:p>
    <w:p w14:paraId="6C3C5BA4" w14:textId="48BCF2B5" w:rsidR="0085211B" w:rsidRDefault="0085211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41268993" w:history="1">
        <w:r w:rsidRPr="006B1BA5">
          <w:rPr>
            <w:rStyle w:val="Hyperlink"/>
            <w:noProof/>
          </w:rPr>
          <w:t>Chapter 05: Research Timeline</w:t>
        </w:r>
        <w:r>
          <w:rPr>
            <w:noProof/>
            <w:webHidden/>
          </w:rPr>
          <w:tab/>
        </w:r>
        <w:r>
          <w:rPr>
            <w:noProof/>
            <w:webHidden/>
          </w:rPr>
          <w:fldChar w:fldCharType="begin"/>
        </w:r>
        <w:r>
          <w:rPr>
            <w:noProof/>
            <w:webHidden/>
          </w:rPr>
          <w:instrText xml:space="preserve"> PAGEREF _Toc241268993 \h </w:instrText>
        </w:r>
        <w:r>
          <w:rPr>
            <w:noProof/>
            <w:webHidden/>
          </w:rPr>
        </w:r>
        <w:r>
          <w:rPr>
            <w:noProof/>
            <w:webHidden/>
          </w:rPr>
          <w:fldChar w:fldCharType="separate"/>
        </w:r>
        <w:r>
          <w:rPr>
            <w:noProof/>
            <w:webHidden/>
          </w:rPr>
          <w:t>13</w:t>
        </w:r>
        <w:r>
          <w:rPr>
            <w:noProof/>
            <w:webHidden/>
          </w:rPr>
          <w:fldChar w:fldCharType="end"/>
        </w:r>
      </w:hyperlink>
    </w:p>
    <w:p w14:paraId="62949178" w14:textId="7825BD07" w:rsidR="0085211B" w:rsidRDefault="0085211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41268994" w:history="1">
        <w:r w:rsidRPr="006B1BA5">
          <w:rPr>
            <w:rStyle w:val="Hyperlink"/>
            <w:noProof/>
          </w:rPr>
          <w:t>References</w:t>
        </w:r>
        <w:r>
          <w:rPr>
            <w:noProof/>
            <w:webHidden/>
          </w:rPr>
          <w:tab/>
        </w:r>
        <w:r>
          <w:rPr>
            <w:noProof/>
            <w:webHidden/>
          </w:rPr>
          <w:fldChar w:fldCharType="begin"/>
        </w:r>
        <w:r>
          <w:rPr>
            <w:noProof/>
            <w:webHidden/>
          </w:rPr>
          <w:instrText xml:space="preserve"> PAGEREF _Toc241268994 \h </w:instrText>
        </w:r>
        <w:r>
          <w:rPr>
            <w:noProof/>
            <w:webHidden/>
          </w:rPr>
        </w:r>
        <w:r>
          <w:rPr>
            <w:noProof/>
            <w:webHidden/>
          </w:rPr>
          <w:fldChar w:fldCharType="separate"/>
        </w:r>
        <w:r>
          <w:rPr>
            <w:noProof/>
            <w:webHidden/>
          </w:rPr>
          <w:t>15</w:t>
        </w:r>
        <w:r>
          <w:rPr>
            <w:noProof/>
            <w:webHidden/>
          </w:rPr>
          <w:fldChar w:fldCharType="end"/>
        </w:r>
      </w:hyperlink>
    </w:p>
    <w:p w14:paraId="5B8E30C5" w14:textId="789DA233" w:rsidR="006B1811" w:rsidRDefault="00000000">
      <w:pPr>
        <w:rPr>
          <w:rFonts w:cs="Times New Roman"/>
          <w:b/>
          <w:bCs/>
          <w:caps/>
        </w:rPr>
      </w:pPr>
      <w:r>
        <w:rPr>
          <w:rFonts w:cs="Times New Roman"/>
          <w:b/>
          <w:bCs/>
          <w:caps/>
        </w:rPr>
        <w:fldChar w:fldCharType="end"/>
      </w:r>
    </w:p>
    <w:p w14:paraId="78F1CAAF" w14:textId="77777777" w:rsidR="006B1811" w:rsidRDefault="006B1811"/>
    <w:p w14:paraId="1FE2ABCE" w14:textId="77777777" w:rsidR="006B1811" w:rsidRDefault="006B1811">
      <w:pPr>
        <w:rPr>
          <w:rFonts w:cs="Times New Roman"/>
        </w:rPr>
        <w:sectPr w:rsidR="006B1811">
          <w:pgSz w:w="12240" w:h="15840"/>
          <w:pgMar w:top="1440" w:right="1440" w:bottom="1440" w:left="1440" w:header="720" w:footer="720" w:gutter="0"/>
          <w:cols w:space="720"/>
          <w:titlePg/>
          <w:docGrid w:linePitch="360"/>
        </w:sectPr>
      </w:pPr>
    </w:p>
    <w:p w14:paraId="5360F391" w14:textId="69B40B9F" w:rsidR="00615A1D" w:rsidRDefault="0085211B" w:rsidP="00615A1D">
      <w:pPr>
        <w:pStyle w:val="Heading1"/>
      </w:pPr>
      <w:bookmarkStart w:id="0" w:name="_Toc241268978"/>
      <w:r>
        <w:lastRenderedPageBreak/>
        <w:t xml:space="preserve">Chapter 01: </w:t>
      </w:r>
      <w:r w:rsidR="00615A1D">
        <w:t>Introduction</w:t>
      </w:r>
      <w:bookmarkEnd w:id="0"/>
    </w:p>
    <w:p w14:paraId="141DFD46" w14:textId="1F97DCD4" w:rsidR="00706302" w:rsidRDefault="007E1978" w:rsidP="007E1978">
      <w:pPr>
        <w:pStyle w:val="Heading2"/>
      </w:pPr>
      <w:bookmarkStart w:id="1" w:name="_Toc241268979"/>
      <w:r>
        <w:t>1.1 Overview of the Company</w:t>
      </w:r>
      <w:bookmarkEnd w:id="1"/>
    </w:p>
    <w:p w14:paraId="614D8B7D" w14:textId="177CF2D4" w:rsidR="00A4628F" w:rsidRDefault="00A4628F" w:rsidP="00A4628F">
      <w:r>
        <w:t xml:space="preserve">Berkeley Group Holdings plc is a FTSE-listed UK residential property developer established in 1976 by Tony Pidgley CBE and Jim Farrer. The company used to be known for </w:t>
      </w:r>
      <w:r w:rsidR="0003664E">
        <w:t>housebuilding</w:t>
      </w:r>
      <w:r>
        <w:t xml:space="preserve"> but has since transitioned into large-scale brownfield mixed-use regeneration, focusing on London, Birmingham, and the South of England (Berkeley Group, 2026b</w:t>
      </w:r>
      <w:r w:rsidR="006E6416">
        <w:t>;</w:t>
      </w:r>
      <w:r>
        <w:t xml:space="preserve"> Berkeley Group, n.d.). Presently, it has Berkeley for home sales and Berkeley Living for professionally managed rental homes, operated by Berkeley Commercial and Berkeley Partnership (2026b).</w:t>
      </w:r>
    </w:p>
    <w:p w14:paraId="1C31593C" w14:textId="3FFBAC57" w:rsidR="007E1978" w:rsidRPr="007E1978" w:rsidRDefault="00A4628F" w:rsidP="00A4628F">
      <w:r>
        <w:t xml:space="preserve">Berkeley generated revenue of </w:t>
      </w:r>
      <w:r w:rsidR="00B953C5">
        <w:t>£</w:t>
      </w:r>
      <w:r>
        <w:t xml:space="preserve">2.383 billion, profit after tax of </w:t>
      </w:r>
      <w:r w:rsidR="00B953C5">
        <w:t>£</w:t>
      </w:r>
      <w:r>
        <w:t xml:space="preserve">451.4 million and ended the year 2026 with net cash of </w:t>
      </w:r>
      <w:r w:rsidR="00B953C5">
        <w:t>£</w:t>
      </w:r>
      <w:r>
        <w:t xml:space="preserve">363.3 million (Berkeley Group, 2026). The Group also delivered 4,203 homes </w:t>
      </w:r>
      <w:r w:rsidR="00A36870">
        <w:t xml:space="preserve">of which </w:t>
      </w:r>
      <w:r>
        <w:t xml:space="preserve">90% on brownfield </w:t>
      </w:r>
      <w:r w:rsidR="00A36870">
        <w:t>sites</w:t>
      </w:r>
      <w:r w:rsidR="006E6416">
        <w:t>,</w:t>
      </w:r>
      <w:r w:rsidR="00A36870">
        <w:t xml:space="preserve"> and</w:t>
      </w:r>
      <w:r>
        <w:t xml:space="preserve"> made around </w:t>
      </w:r>
      <w:r w:rsidR="00B953C5">
        <w:t>£</w:t>
      </w:r>
      <w:r>
        <w:t>530 million profit towards affordable housing, infrastructure and wider community benefits (Berkeley Group, 2026c). These indicators suggest a large development capability, financial strength and experience in complex urban regeneration. But Berkeley's increasing focus on tenure diversification, specifically with Berkeley Living, also reflects a shift toward longer-term rentals and blending traditional home sales with stable income streams.</w:t>
      </w:r>
    </w:p>
    <w:p w14:paraId="26CA0466" w14:textId="4E713D9D" w:rsidR="007E1978" w:rsidRDefault="007E1978" w:rsidP="007E1978">
      <w:pPr>
        <w:pStyle w:val="Heading2"/>
      </w:pPr>
      <w:bookmarkStart w:id="2" w:name="_Toc241268980"/>
      <w:r>
        <w:t>1.2 Opportunistic Idea Description</w:t>
      </w:r>
      <w:bookmarkEnd w:id="2"/>
    </w:p>
    <w:p w14:paraId="43D24B77" w14:textId="5A7C7F8B" w:rsidR="00883552" w:rsidRDefault="00883552" w:rsidP="00883552">
      <w:r>
        <w:t xml:space="preserve">The proposed business development opportunity is the selective extension of Berkeley Living, the Group's Build-to-Rent (BTR) platform, to appropriate regeneration schemes in London and the </w:t>
      </w:r>
      <w:r w:rsidR="00222ACD">
        <w:t>Southeast</w:t>
      </w:r>
      <w:r>
        <w:t xml:space="preserve">. The long-term Berkeley 2035 plan calls for as much as </w:t>
      </w:r>
      <w:r w:rsidR="00B953C5">
        <w:t>£</w:t>
      </w:r>
      <w:r>
        <w:t xml:space="preserve">5 billion in new investment over ten years, including the provision of 4,000 units of affordable rental housing through Berkeley's own BTR platform (Berkeley Group, 2025). The opportunity is </w:t>
      </w:r>
      <w:r w:rsidR="00222ACD">
        <w:t>timelier</w:t>
      </w:r>
      <w:r>
        <w:t xml:space="preserve"> than ever as Berkeley Living started operational delivery in 2026 – with Berkeley Group's Foundry Yard at Alexandra Gate opening first, with other communities in</w:t>
      </w:r>
      <w:r w:rsidR="006E6416">
        <w:t xml:space="preserve"> </w:t>
      </w:r>
      <w:r>
        <w:t>life at Kidbrooke, Silkstream and Horlicks Quarter (Berkeley Group, 2026b).</w:t>
      </w:r>
    </w:p>
    <w:p w14:paraId="0BD1BA88" w14:textId="43393CFF" w:rsidR="00883552" w:rsidRPr="00883552" w:rsidRDefault="00883552" w:rsidP="00883552">
      <w:r>
        <w:rPr>
          <w:noProof/>
        </w:rPr>
        <w:lastRenderedPageBreak/>
        <w:drawing>
          <wp:inline distT="0" distB="0" distL="0" distR="0" wp14:anchorId="05E5E9AB" wp14:editId="303494F2">
            <wp:extent cx="5890161" cy="4785756"/>
            <wp:effectExtent l="0" t="0" r="0" b="0"/>
            <wp:docPr id="175951214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34AD640" w14:textId="181C12DA" w:rsidR="007E1978" w:rsidRDefault="00B82D48" w:rsidP="00B82D48">
      <w:pPr>
        <w:pStyle w:val="Caption"/>
        <w:jc w:val="center"/>
      </w:pPr>
      <w:r>
        <w:t xml:space="preserve">Diagram </w:t>
      </w:r>
      <w:r>
        <w:fldChar w:fldCharType="begin"/>
      </w:r>
      <w:r>
        <w:instrText xml:space="preserve"> SEQ Diagram \* ARABIC </w:instrText>
      </w:r>
      <w:r>
        <w:fldChar w:fldCharType="separate"/>
      </w:r>
      <w:r w:rsidR="00A35C57">
        <w:rPr>
          <w:noProof/>
        </w:rPr>
        <w:t>1</w:t>
      </w:r>
      <w:r>
        <w:fldChar w:fldCharType="end"/>
      </w:r>
      <w:r>
        <w:t xml:space="preserve">: </w:t>
      </w:r>
      <w:r w:rsidRPr="000C21B7">
        <w:t>Conceptual Framework for Evaluating the Berkeley Living Build-to-Rent Opportunity</w:t>
      </w:r>
      <w:r>
        <w:t xml:space="preserve"> (Source</w:t>
      </w:r>
      <w:r w:rsidR="006E6416">
        <w:t>:</w:t>
      </w:r>
      <w:r>
        <w:t xml:space="preserve"> Author)</w:t>
      </w:r>
    </w:p>
    <w:p w14:paraId="0E279D98" w14:textId="2C64C526" w:rsidR="00222ACD" w:rsidRPr="00222ACD" w:rsidRDefault="00222ACD" w:rsidP="00222ACD">
      <w:r>
        <w:t xml:space="preserve">There is also an external market explanation for studying this pathway to growth. Average rent in the capital was </w:t>
      </w:r>
      <w:r w:rsidR="00B953C5">
        <w:t>£</w:t>
      </w:r>
      <w:r>
        <w:t>2,332 per month in August 2026, up 3.5% from a year earlier, and house prices are down by 3.3% for the 12 months to July 2026 (Office for National Statistics, 2026). This gap could reinforce the economic rationale for rentable development in cases where demand is less tight on the owner-occupied side. But there is no automatic attractiveness to BTR expansion; it must be carefully evaluated. A detailed study of 373 BTR developments in London, including over 40,000 units, shows that there are clear connections with transport-related locations, but also considers conditions of rental premiums and affordability issues (Buyuklieva et al., 2025). The opportunity, therefore, is to test whether Berkeley can utili</w:t>
      </w:r>
      <w:r w:rsidR="006E6416">
        <w:t>s</w:t>
      </w:r>
      <w:r>
        <w:t xml:space="preserve">e its brownfield pipeline, </w:t>
      </w:r>
      <w:r>
        <w:lastRenderedPageBreak/>
        <w:t>placemaking opportunities and financial resources to grow Berkeley Living at an acceptable rate of return without sacrificing affordability, quality of operations, or regulatory security.</w:t>
      </w:r>
    </w:p>
    <w:p w14:paraId="5896BC24" w14:textId="609172B9" w:rsidR="007E1978" w:rsidRDefault="007E1978" w:rsidP="007E1978">
      <w:pPr>
        <w:pStyle w:val="Heading2"/>
      </w:pPr>
      <w:bookmarkStart w:id="3" w:name="_Toc241268981"/>
      <w:r>
        <w:t>1.3 Research Aim and Objectives</w:t>
      </w:r>
      <w:bookmarkEnd w:id="3"/>
    </w:p>
    <w:p w14:paraId="62AFA5B6" w14:textId="7016C19C" w:rsidR="007E1978" w:rsidRDefault="007E1978" w:rsidP="007E1978">
      <w:r>
        <w:t xml:space="preserve">This study aims to </w:t>
      </w:r>
      <w:r w:rsidRPr="007E1978">
        <w:t>critically evaluate the strategic and commercial feasibility of expanding Berkeley Group’s Berkeley Living Build-to-Rent platform across suitable brownfield regeneration developments in London and the Southeast</w:t>
      </w:r>
      <w:r>
        <w:t>.</w:t>
      </w:r>
    </w:p>
    <w:p w14:paraId="749AEE5B" w14:textId="507EB6CB" w:rsidR="007E1978" w:rsidRDefault="007E1978" w:rsidP="007E1978">
      <w:r>
        <w:t xml:space="preserve">The research objectives are – </w:t>
      </w:r>
    </w:p>
    <w:p w14:paraId="4D5F8571" w14:textId="2945200A" w:rsidR="007E1978" w:rsidRDefault="007E1978" w:rsidP="007E1978">
      <w:pPr>
        <w:pStyle w:val="ListParagraph"/>
        <w:numPr>
          <w:ilvl w:val="0"/>
          <w:numId w:val="6"/>
        </w:numPr>
      </w:pPr>
      <w:r>
        <w:t>To analyse current Build-to-Rent market conditions, rental demand, customer trends and competitive dynamics in London and the Southeast.</w:t>
      </w:r>
    </w:p>
    <w:p w14:paraId="648F1E02" w14:textId="77777777" w:rsidR="007E1978" w:rsidRDefault="007E1978" w:rsidP="007E1978">
      <w:pPr>
        <w:pStyle w:val="ListParagraph"/>
        <w:numPr>
          <w:ilvl w:val="0"/>
          <w:numId w:val="6"/>
        </w:numPr>
      </w:pPr>
      <w:r>
        <w:t>To evaluate Berkeley Group’s internal resources, brownfield development pipeline, financial position and organisational capabilities relevant to the expansion of Berkeley Living.</w:t>
      </w:r>
    </w:p>
    <w:p w14:paraId="617F2A63" w14:textId="77777777" w:rsidR="007E1978" w:rsidRDefault="007E1978" w:rsidP="007E1978">
      <w:pPr>
        <w:pStyle w:val="ListParagraph"/>
        <w:numPr>
          <w:ilvl w:val="0"/>
          <w:numId w:val="6"/>
        </w:numPr>
      </w:pPr>
      <w:r>
        <w:t>To critically assess the financial, operational, regulatory, affordability and market risks associated with expanding Berkeley Group’s Build-to-Rent portfolio.</w:t>
      </w:r>
    </w:p>
    <w:p w14:paraId="6CA6E6D6" w14:textId="47A17322" w:rsidR="007E1978" w:rsidRDefault="007E1978" w:rsidP="007E1978">
      <w:pPr>
        <w:pStyle w:val="ListParagraph"/>
        <w:numPr>
          <w:ilvl w:val="0"/>
          <w:numId w:val="6"/>
        </w:numPr>
      </w:pPr>
      <w:r>
        <w:t>To develop evidence-based strategic recommendations for the sustainable expansion of Berkeley Living within Berkeley Group’s wider Berkeley 2035 growth strategy.</w:t>
      </w:r>
    </w:p>
    <w:p w14:paraId="57BF1801" w14:textId="77777777" w:rsidR="007E1978" w:rsidRDefault="007E1978" w:rsidP="007E1978"/>
    <w:p w14:paraId="421BCBB2" w14:textId="77777777" w:rsidR="007E1978" w:rsidRPr="007E1978" w:rsidRDefault="007E1978" w:rsidP="007E1978"/>
    <w:p w14:paraId="13123A39" w14:textId="50CB4F20" w:rsidR="00F04573" w:rsidRDefault="00F04573">
      <w:pPr>
        <w:spacing w:before="0" w:after="160" w:line="259" w:lineRule="auto"/>
        <w:jc w:val="left"/>
      </w:pPr>
      <w:r>
        <w:br w:type="page"/>
      </w:r>
    </w:p>
    <w:p w14:paraId="22A76B33" w14:textId="788A0768" w:rsidR="007E1978" w:rsidRDefault="00F04573" w:rsidP="00F04573">
      <w:pPr>
        <w:pStyle w:val="Heading1"/>
      </w:pPr>
      <w:bookmarkStart w:id="4" w:name="_Toc241268982"/>
      <w:r>
        <w:lastRenderedPageBreak/>
        <w:t>Chapter 02: Methodology</w:t>
      </w:r>
      <w:bookmarkEnd w:id="4"/>
    </w:p>
    <w:p w14:paraId="5C4A0D1E" w14:textId="3500EB78" w:rsidR="00F04573" w:rsidRDefault="00F04573" w:rsidP="00F04573">
      <w:pPr>
        <w:pStyle w:val="Heading2"/>
      </w:pPr>
      <w:bookmarkStart w:id="5" w:name="_Toc241268983"/>
      <w:r w:rsidRPr="00F04573">
        <w:t>2.1 Research Design and Approach</w:t>
      </w:r>
      <w:bookmarkEnd w:id="5"/>
    </w:p>
    <w:p w14:paraId="1E410C99" w14:textId="7AB0BDDF" w:rsidR="00F04573" w:rsidRPr="00F04573" w:rsidRDefault="00F04573" w:rsidP="00F04573">
      <w:r w:rsidRPr="00F04573">
        <w:t xml:space="preserve">A qualitative secondary research design will be used to analyse the strategic and commercial opportunity for Berkeley Group to develop more Berkeley Living Build-to-Rent (BTR) developments in London and the </w:t>
      </w:r>
      <w:r w:rsidR="00F56608" w:rsidRPr="00F04573">
        <w:t>Southeast</w:t>
      </w:r>
      <w:r w:rsidRPr="00F04573">
        <w:t>. Corporate and government disclosure</w:t>
      </w:r>
      <w:r w:rsidR="006E6416">
        <w:t>s</w:t>
      </w:r>
      <w:r w:rsidRPr="00F04573">
        <w:t>, industry reports and literature</w:t>
      </w:r>
      <w:r w:rsidR="006E6416">
        <w:t>,</w:t>
      </w:r>
      <w:r w:rsidRPr="00F04573">
        <w:t xml:space="preserve"> and academic sources have made it possible to already have a significant amount of evidence accessible in organisational, market, regulatory and financial contexts</w:t>
      </w:r>
      <w:r w:rsidR="006E6416">
        <w:t>,</w:t>
      </w:r>
      <w:r w:rsidRPr="00F04573">
        <w:t xml:space="preserve"> so the secondary research is justifiable. Using secondary data analysis for research can be a systematic and credible research approach without simply reproducing existing data; data are critically selected, evaluated and interpreted (Johnston, 2014). The research will mostly therefore take an interpretive and qualitative approach</w:t>
      </w:r>
      <w:r w:rsidR="006E6416">
        <w:t>,</w:t>
      </w:r>
      <w:r w:rsidRPr="00F04573">
        <w:t xml:space="preserve"> with numerical indicators like growth in rents, housing prices, financial performance and development volumes being used descriptively to reinforce the qualitative analysis contextually. The design is in line with business research where there is a combination of various types of documentary evidence to explore an issue within an organisation (Saunders, Lewis and Thornhill, 2019).</w:t>
      </w:r>
    </w:p>
    <w:p w14:paraId="4441B2DC" w14:textId="6BA865DD" w:rsidR="00F04573" w:rsidRDefault="00F04573" w:rsidP="00F04573">
      <w:pPr>
        <w:pStyle w:val="Heading2"/>
      </w:pPr>
      <w:bookmarkStart w:id="6" w:name="_Toc241268984"/>
      <w:r>
        <w:t>2.2 Data Collection and Selection</w:t>
      </w:r>
      <w:bookmarkEnd w:id="6"/>
    </w:p>
    <w:p w14:paraId="40C5C18F" w14:textId="350F68E3" w:rsidR="00124D47" w:rsidRDefault="00124D47" w:rsidP="00124D47">
      <w:r>
        <w:t>The data will be collected purposefully from key and relevant sources with a main period of the 2021-2026 frame of reference</w:t>
      </w:r>
      <w:r w:rsidR="006E6416">
        <w:t>,</w:t>
      </w:r>
      <w:r>
        <w:t xml:space="preserve"> but older seminal papers that present methodological approaches deemed relevant will be included, where applicable. Sources of internal organisational evidence will cover Berkeley Group annual reports, financial results, investor presentations, strategy documents and Berkeley Living and Berkeley 2035 information. In 2026, the Annual Report of Berkeley will cover details on the company's current financial standing, operational performance and other strategic details and hence will be used as a key financial source (Berkeley Group, 2026). Sources outside of the library include peer-reviewed journal articles, reputable property content and articles, housing market data and Office for National Statistics publications. In the United Kingdom, for instance, ONS rental and house-price statistics offer independently </w:t>
      </w:r>
      <w:r>
        <w:lastRenderedPageBreak/>
        <w:t>produced evidence on the situation in the current housing markets in the UK and its different regions (ONS, 2026).</w:t>
      </w:r>
    </w:p>
    <w:p w14:paraId="7C02F80C" w14:textId="4E6971CE" w:rsidR="00F04573" w:rsidRPr="00F04573" w:rsidRDefault="00124D47" w:rsidP="00124D47">
      <w:r>
        <w:t>The search terms will be "Berkeley Group", "Berkeley Living", "Build-to-Rent", "London rental market", "</w:t>
      </w:r>
      <w:r w:rsidR="0085096D">
        <w:t>Southeast</w:t>
      </w:r>
      <w:r>
        <w:t xml:space="preserve"> housing", "brownfield regeneration", "BTR investment" and "UK housing affordability". Sources will be used when they are relevant, authoritative, current and provide sufficient methodological transparency. Blogs that are not supported</w:t>
      </w:r>
      <w:r w:rsidR="006E6416">
        <w:t>,</w:t>
      </w:r>
      <w:r>
        <w:t xml:space="preserve"> promotional materials lacking evidentiary support</w:t>
      </w:r>
      <w:r w:rsidR="006E6416">
        <w:t>,</w:t>
      </w:r>
      <w:r>
        <w:t xml:space="preserve"> and dated market commentaries will be omitted.</w:t>
      </w:r>
    </w:p>
    <w:p w14:paraId="3884E242" w14:textId="3658CFA4" w:rsidR="00F04573" w:rsidRDefault="00F04573" w:rsidP="00F04573">
      <w:pPr>
        <w:pStyle w:val="Heading2"/>
      </w:pPr>
      <w:bookmarkStart w:id="7" w:name="_Toc241268985"/>
      <w:r>
        <w:t>2.3 Data Analysis</w:t>
      </w:r>
      <w:bookmarkEnd w:id="7"/>
    </w:p>
    <w:p w14:paraId="50BB0C82" w14:textId="7B06E4A3" w:rsidR="0085096D" w:rsidRDefault="0085096D" w:rsidP="0085096D">
      <w:r>
        <w:t>Thematic analysis, which allows the identification of recurring patterns and strategically significant themes across (heterogeneous) qualitative sources, will be used to analyse the collected documentary evidence. Thematic analysis is a flexible approach to analysing qua</w:t>
      </w:r>
      <w:r w:rsidR="006E6416">
        <w:t>l</w:t>
      </w:r>
      <w:r>
        <w:t>itative data systematically to identify, analyse, and report patterns, as outlined by Braun and Clarke (2006). Their six-stage process is used as a guide for the analysis: familiarisation with the evidence; initial coding; generation of themes; review of themes; definition and naming of themes; and production of the analytical narrative.</w:t>
      </w:r>
    </w:p>
    <w:p w14:paraId="3AC3E837" w14:textId="3E3FDBEE" w:rsidR="00F04573" w:rsidRPr="00F04573" w:rsidRDefault="0085096D" w:rsidP="0085096D">
      <w:r>
        <w:t>Coding will be a mixture of deductive and inductive. Initial themes will be based on the main research questions – demand for the rental market, organisational capacity, financial viability, competitiveness, regulatory environment, affordability and operational risk – and further themes will be included that arise from the evidence. This way</w:t>
      </w:r>
      <w:r w:rsidR="006E6416">
        <w:t>,</w:t>
      </w:r>
      <w:r>
        <w:t xml:space="preserve"> it will not be restricted to predetermined assumptions in the analysis. To keep the content coherent, and to ensure that the interpretations are based on the evidence, the development of the themes will be reviewed on a number of occasions as they develop, following the quality principles of Braun and Clarke (2021) for reflexive thematic analysis.</w:t>
      </w:r>
    </w:p>
    <w:p w14:paraId="7519DC9C" w14:textId="55F5B29B" w:rsidR="00F04573" w:rsidRDefault="00F04573" w:rsidP="00F04573">
      <w:pPr>
        <w:pStyle w:val="Heading2"/>
      </w:pPr>
      <w:bookmarkStart w:id="8" w:name="_Toc241268986"/>
      <w:r>
        <w:t>2.4 Research Quality, Ethics and Limitations</w:t>
      </w:r>
      <w:bookmarkEnd w:id="8"/>
    </w:p>
    <w:p w14:paraId="0C357BF3" w14:textId="19C33B68" w:rsidR="00F04573" w:rsidRDefault="009E629D" w:rsidP="00F04573">
      <w:r w:rsidRPr="009E629D">
        <w:t xml:space="preserve">The quality of research will be enhanced by source triangulation, whereby claims made by corporations will be compared with reliable independent government statistics and academic research and with reputable industry evidence. Each source, publication date, </w:t>
      </w:r>
      <w:r w:rsidRPr="009E629D">
        <w:lastRenderedPageBreak/>
        <w:t xml:space="preserve">relevance and main findings and theme will be recorded in an evidence matrix to provide a clear audit trail. Care will be taken not to accept </w:t>
      </w:r>
      <w:r w:rsidR="006E6416">
        <w:t>reports uncritically</w:t>
      </w:r>
      <w:r w:rsidRPr="009E629D">
        <w:t xml:space="preserve"> from organisations, as these can be positive and have a corporate </w:t>
      </w:r>
      <w:r w:rsidR="007813F3" w:rsidRPr="009E629D">
        <w:t>framing or</w:t>
      </w:r>
      <w:r w:rsidRPr="009E629D">
        <w:t xml:space="preserve"> reports from a commercial market can have a sector-specific framing. There is no collection of personal data or of the data of primary participants. All secondary material will be appropriately cited and </w:t>
      </w:r>
      <w:r w:rsidR="007813F3" w:rsidRPr="009E629D">
        <w:t>referenced,</w:t>
      </w:r>
      <w:r w:rsidRPr="009E629D">
        <w:t xml:space="preserve"> and contradictory material will be retained for the purpose of balanced interpretation, to minimise confirmation bias.</w:t>
      </w:r>
    </w:p>
    <w:p w14:paraId="43A0325F" w14:textId="77777777" w:rsidR="007813F3" w:rsidRDefault="007813F3" w:rsidP="00F04573"/>
    <w:p w14:paraId="261180EB" w14:textId="088B8A52" w:rsidR="007813F3" w:rsidRDefault="007813F3">
      <w:pPr>
        <w:spacing w:before="0" w:after="160" w:line="259" w:lineRule="auto"/>
        <w:jc w:val="left"/>
      </w:pPr>
      <w:r>
        <w:br w:type="page"/>
      </w:r>
    </w:p>
    <w:p w14:paraId="42CDCB4D" w14:textId="6D86230C" w:rsidR="007813F3" w:rsidRDefault="007813F3" w:rsidP="007813F3">
      <w:pPr>
        <w:pStyle w:val="Heading1"/>
      </w:pPr>
      <w:bookmarkStart w:id="9" w:name="_Toc241268987"/>
      <w:r>
        <w:lastRenderedPageBreak/>
        <w:t xml:space="preserve">Chapter 03: </w:t>
      </w:r>
      <w:r w:rsidRPr="007813F3">
        <w:t>Market Research and Validation</w:t>
      </w:r>
      <w:bookmarkEnd w:id="9"/>
    </w:p>
    <w:p w14:paraId="4F6F26A2" w14:textId="77777777" w:rsidR="007813F3" w:rsidRDefault="007813F3" w:rsidP="007813F3">
      <w:pPr>
        <w:pStyle w:val="Heading2"/>
      </w:pPr>
      <w:bookmarkStart w:id="10" w:name="_Toc241268988"/>
      <w:r>
        <w:t>3.1 Market Demand and Customer Environment</w:t>
      </w:r>
      <w:bookmarkEnd w:id="10"/>
    </w:p>
    <w:p w14:paraId="1A41D3F7" w14:textId="6B368D14" w:rsidR="007813F3" w:rsidRDefault="007813F3" w:rsidP="007813F3">
      <w:r>
        <w:t>Berkeley Living may capitali</w:t>
      </w:r>
      <w:r w:rsidR="006E6416">
        <w:t>s</w:t>
      </w:r>
      <w:r>
        <w:t xml:space="preserve">e on the London private-rental market opportunity due to the ongoing pressures in the sector. As of August 2026, the average monthly rent for a private sector apartment in London was </w:t>
      </w:r>
      <w:r w:rsidR="00B953C5">
        <w:t>£</w:t>
      </w:r>
      <w:r>
        <w:t>2,332, making it the highest across all English regions and an increase of 3.5% compared to the previous year. By contrast, the average house price in London dropped by 3.3% in the year leading up to July 2026 - the 11th month of annual house-price declines (Office for National Statistics, 2026). The spread between rents and house prices shows that the housing market isn't as soft as expected, as the strength of the rental market is relative.</w:t>
      </w:r>
    </w:p>
    <w:p w14:paraId="38FBA8C3" w14:textId="0490A261" w:rsidR="007813F3" w:rsidRPr="007813F3" w:rsidRDefault="007813F3" w:rsidP="007813F3">
      <w:r>
        <w:t xml:space="preserve">This opportunity is further confirmed by the provision conditions. England's private rented sector has shrunk by an estimated 4.2% (around 200,000 homes) since October 2022, due to a higher number of homes leaving the sector than entering it as new buildouts; this was the result of disposals by private landlords outweighing additions to the sector's stock, according to Real Estate UK (2026). Thus, professionally managed rental housing could help to address some of the supply shortfall. But accessibility is another constraint </w:t>
      </w:r>
      <w:r w:rsidR="006E6416">
        <w:t>on</w:t>
      </w:r>
      <w:r>
        <w:t xml:space="preserve"> cost. Buyuklieva et al. (2025) analysed 373 BTR London building schemes, accounting for over 40,000 homes, and noted that ‘building schemes tend to be concentrated around transport hubs and often are advertised through increased amenity and service offers, which include rental premiums.’ Thus, Berkeley Living's offering is commercially relevant, but it will require an appropriate balance of service and affordability to be able to sustain its occupancy.</w:t>
      </w:r>
    </w:p>
    <w:p w14:paraId="43BC8B07" w14:textId="72395E08" w:rsidR="007813F3" w:rsidRDefault="007813F3" w:rsidP="007813F3">
      <w:pPr>
        <w:pStyle w:val="Heading2"/>
      </w:pPr>
      <w:bookmarkStart w:id="11" w:name="_Toc241268989"/>
      <w:r>
        <w:t>3.2 Build-to-Rent Market Size, Supply and Investment</w:t>
      </w:r>
      <w:bookmarkEnd w:id="11"/>
    </w:p>
    <w:p w14:paraId="64B2D45C" w14:textId="3BB21943" w:rsidR="00686B06" w:rsidRDefault="00686B06" w:rsidP="00686B06">
      <w:r>
        <w:t xml:space="preserve">The UK BTR industry is a </w:t>
      </w:r>
      <w:r w:rsidR="006E6416">
        <w:t>large-</w:t>
      </w:r>
      <w:r>
        <w:t xml:space="preserve">scale industry. By Q2 2026, the total market consisted of 310,310 homes, 156,688 completed, 50, 362 ongoing </w:t>
      </w:r>
      <w:r w:rsidR="00EA520C">
        <w:t>constructions</w:t>
      </w:r>
      <w:r>
        <w:t>, and 103,260 in planning. London had 118,571 houses in total</w:t>
      </w:r>
      <w:r w:rsidR="006E6416">
        <w:t>,</w:t>
      </w:r>
      <w:r>
        <w:t xml:space="preserve"> comprising 64,724 finished houses, 12,643 in the process of construction and 41,204 in planning. However, future delivery is </w:t>
      </w:r>
      <w:r w:rsidR="007E312F">
        <w:lastRenderedPageBreak/>
        <w:t xml:space="preserve">dwindling. </w:t>
      </w:r>
      <w:r>
        <w:t>UK BTR starts fell 79% year-on-year to 3,455 homes, and homes under construction dropped 21%. The number of completions in 2026 (16,827) was larger than the number of starts made in 2026 (16,827), representing the tenth straight quarter where completions surpassed the start being made in the same quarter (Real Estate</w:t>
      </w:r>
      <w:r w:rsidR="007E312F">
        <w:t xml:space="preserve"> </w:t>
      </w:r>
      <w:r>
        <w:t>UK, 2026).</w:t>
      </w:r>
    </w:p>
    <w:p w14:paraId="7FD178DA" w14:textId="062DA1B0" w:rsidR="00EA520C" w:rsidRDefault="00EA520C" w:rsidP="001F27F4">
      <w:pPr>
        <w:jc w:val="center"/>
      </w:pPr>
      <w:r w:rsidRPr="00EA520C">
        <w:rPr>
          <w:noProof/>
        </w:rPr>
        <w:drawing>
          <wp:inline distT="0" distB="0" distL="0" distR="0" wp14:anchorId="1FA08EB1" wp14:editId="4EEE7B88">
            <wp:extent cx="5943600" cy="2771775"/>
            <wp:effectExtent l="0" t="0" r="0" b="9525"/>
            <wp:docPr id="1530183614" name="Picture 1" descr="A graph with a chart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83614" name="Picture 1" descr="A graph with a chart and text&#10;&#10;AI-generated content may be incorrect."/>
                    <pic:cNvPicPr/>
                  </pic:nvPicPr>
                  <pic:blipFill rotWithShape="1">
                    <a:blip r:embed="rId18"/>
                    <a:srcRect t="8777"/>
                    <a:stretch/>
                  </pic:blipFill>
                  <pic:spPr bwMode="auto">
                    <a:xfrm>
                      <a:off x="0" y="0"/>
                      <a:ext cx="5943600" cy="2771775"/>
                    </a:xfrm>
                    <a:prstGeom prst="rect">
                      <a:avLst/>
                    </a:prstGeom>
                    <a:ln>
                      <a:noFill/>
                    </a:ln>
                    <a:extLst>
                      <a:ext uri="{53640926-AAD7-44D8-BBD7-CCE9431645EC}">
                        <a14:shadowObscured xmlns:a14="http://schemas.microsoft.com/office/drawing/2010/main"/>
                      </a:ext>
                    </a:extLst>
                  </pic:spPr>
                </pic:pic>
              </a:graphicData>
            </a:graphic>
          </wp:inline>
        </w:drawing>
      </w:r>
    </w:p>
    <w:p w14:paraId="5D866791" w14:textId="5A508DD7" w:rsidR="001F27F4" w:rsidRDefault="001F27F4" w:rsidP="001F27F4">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A14EE9">
        <w:t>Build-to-Rent supply by development status, Q2 2026</w:t>
      </w:r>
      <w:r>
        <w:t xml:space="preserve"> (Source</w:t>
      </w:r>
      <w:r w:rsidR="006E6416">
        <w:t>:</w:t>
      </w:r>
      <w:r>
        <w:t xml:space="preserve"> </w:t>
      </w:r>
      <w:r w:rsidRPr="00A14EE9">
        <w:t>Real Estate</w:t>
      </w:r>
      <w:r w:rsidR="00292BAE">
        <w:t xml:space="preserve"> </w:t>
      </w:r>
      <w:r w:rsidRPr="00A14EE9">
        <w:t>UK</w:t>
      </w:r>
      <w:r w:rsidR="006E6416">
        <w:t>,</w:t>
      </w:r>
      <w:r w:rsidRPr="00A14EE9">
        <w:t xml:space="preserve"> 2026)</w:t>
      </w:r>
    </w:p>
    <w:p w14:paraId="174A6770" w14:textId="30A8FBDB" w:rsidR="007813F3" w:rsidRPr="007813F3" w:rsidRDefault="00686B06" w:rsidP="00686B06">
      <w:r>
        <w:t xml:space="preserve">There is also institutional confidence in professionally managed rental housing that is validated in terms of investment evidence. Preliminary CBRE data indicated </w:t>
      </w:r>
      <w:r w:rsidR="00B953C5">
        <w:t>£</w:t>
      </w:r>
      <w:r>
        <w:t xml:space="preserve">4.4 billion of investment in the UK </w:t>
      </w:r>
      <w:r w:rsidR="007E312F">
        <w:t>living sector</w:t>
      </w:r>
      <w:r>
        <w:t xml:space="preserve"> registered in the H1 part of 2026, 48% </w:t>
      </w:r>
      <w:r w:rsidR="006E6416">
        <w:t>higher</w:t>
      </w:r>
      <w:r>
        <w:t xml:space="preserve"> compared to the identical p</w:t>
      </w:r>
      <w:r w:rsidR="006E6416">
        <w:t>eriod in</w:t>
      </w:r>
      <w:r>
        <w:t xml:space="preserve"> 2025. Multifamily BTR alone experienced increased attraction of around </w:t>
      </w:r>
      <w:r w:rsidR="00B953C5">
        <w:t>£</w:t>
      </w:r>
      <w:r>
        <w:t xml:space="preserve">1.8 billion in the quarter period </w:t>
      </w:r>
      <w:r w:rsidR="006E6416">
        <w:t xml:space="preserve">of </w:t>
      </w:r>
      <w:r>
        <w:t xml:space="preserve">2026, which is more than </w:t>
      </w:r>
      <w:r w:rsidR="00B953C5">
        <w:t>£</w:t>
      </w:r>
      <w:r>
        <w:t xml:space="preserve">821,000 in the quarter period </w:t>
      </w:r>
      <w:r w:rsidR="006E6416">
        <w:t xml:space="preserve">of </w:t>
      </w:r>
      <w:r>
        <w:t xml:space="preserve">2025 (CBRE, 2026a). Nonetheless, the viability of development is limited by construction prices, funding standards and regulatory procedures that generate a market where capital has more and more preferred stabilised operating assets </w:t>
      </w:r>
      <w:r w:rsidR="006E6416">
        <w:t>over</w:t>
      </w:r>
      <w:r>
        <w:t xml:space="preserve"> development funding.</w:t>
      </w:r>
    </w:p>
    <w:p w14:paraId="67FD23B3" w14:textId="39F8C87B" w:rsidR="007813F3" w:rsidRDefault="007813F3" w:rsidP="007813F3">
      <w:pPr>
        <w:pStyle w:val="Heading2"/>
      </w:pPr>
      <w:bookmarkStart w:id="12" w:name="_Toc241268990"/>
      <w:r>
        <w:t>3.3 Competitive Position and Berkeley Living Market Fit</w:t>
      </w:r>
      <w:bookmarkEnd w:id="12"/>
    </w:p>
    <w:p w14:paraId="5F0BFBF7" w14:textId="2B3799CB" w:rsidR="00EF471E" w:rsidRDefault="003B429A" w:rsidP="003B429A">
      <w:r>
        <w:t xml:space="preserve">Berkeley has a number of attributes that give it a head start to </w:t>
      </w:r>
      <w:r w:rsidR="006C4B43">
        <w:t>be competing</w:t>
      </w:r>
      <w:r>
        <w:t xml:space="preserve"> with this market on a large scale. The Berkeley 2035 strategy is a plan for the Group to invest over </w:t>
      </w:r>
      <w:r w:rsidR="00B953C5">
        <w:t>£</w:t>
      </w:r>
      <w:r>
        <w:t xml:space="preserve">1 billion in a 4,000-home initial BTR portfolio. By October 2025, CII-supported BTR </w:t>
      </w:r>
      <w:r>
        <w:lastRenderedPageBreak/>
        <w:t>buildings with 1,122 houses, around 25% of the initial target</w:t>
      </w:r>
      <w:r w:rsidR="006E6416">
        <w:t>,</w:t>
      </w:r>
      <w:r>
        <w:t xml:space="preserve"> were already in production. </w:t>
      </w:r>
      <w:r w:rsidR="00EF471E" w:rsidRPr="00EF471E">
        <w:t xml:space="preserve">Berkeley Group investor analysis showed </w:t>
      </w:r>
      <w:r w:rsidR="006E6416">
        <w:t xml:space="preserve">an </w:t>
      </w:r>
      <w:r w:rsidR="00EF471E" w:rsidRPr="00EF471E">
        <w:t xml:space="preserve">indicative value of the portfolio at around </w:t>
      </w:r>
      <w:r w:rsidR="00B953C5">
        <w:t>£</w:t>
      </w:r>
      <w:r w:rsidR="00EF471E" w:rsidRPr="00EF471E">
        <w:t xml:space="preserve">1.8 billion, the construction cash requirement at around </w:t>
      </w:r>
      <w:r w:rsidR="00B953C5">
        <w:t>£</w:t>
      </w:r>
      <w:r w:rsidR="00EF471E" w:rsidRPr="00EF471E">
        <w:t xml:space="preserve">1.2 billion and the total allocated cost at around </w:t>
      </w:r>
      <w:r w:rsidR="00B953C5">
        <w:t>£</w:t>
      </w:r>
      <w:r w:rsidR="00EF471E" w:rsidRPr="00EF471E">
        <w:t>1.4 billion</w:t>
      </w:r>
      <w:r w:rsidR="006E6416">
        <w:t>,</w:t>
      </w:r>
      <w:r w:rsidR="00EF471E" w:rsidRPr="00EF471E">
        <w:t xml:space="preserve"> with an indicative stabilised net yield of 4.25% (Berkeley Group, 2025).</w:t>
      </w:r>
    </w:p>
    <w:p w14:paraId="3DF088AA" w14:textId="679EF05F" w:rsidR="003B429A" w:rsidRDefault="00EF471E" w:rsidP="003B429A">
      <w:r w:rsidRPr="00EF471E">
        <w:t xml:space="preserve">Since then, the format </w:t>
      </w:r>
      <w:r w:rsidR="006E6416">
        <w:t>has transitioned</w:t>
      </w:r>
      <w:r w:rsidRPr="00EF471E">
        <w:t xml:space="preserve"> from being conceptual to market delivery.</w:t>
      </w:r>
      <w:r>
        <w:t xml:space="preserve"> </w:t>
      </w:r>
      <w:r w:rsidR="003B429A">
        <w:t xml:space="preserve">In early 2026, Berkeley Living's first new community was in Foundry Yard at Alexandra Gate, with further community launches picked out in Kidbrooke, Silkstream and Horlicks Quarter. Berkeley Living provides professionally managed properties, studios, </w:t>
      </w:r>
      <w:r w:rsidR="006E6416">
        <w:t>and</w:t>
      </w:r>
      <w:r w:rsidR="003B429A">
        <w:t xml:space="preserve"> single-, two- or three-bedroom house</w:t>
      </w:r>
      <w:r w:rsidR="006E6416">
        <w:t>s,</w:t>
      </w:r>
      <w:r w:rsidR="003B429A">
        <w:t xml:space="preserve"> including landscaped spaces, amenities and on-site support (Berkeley Group, 2026). This built-in model offers the potential for differentiation from stand-alone rental operators since Berkeley is in control of development, placemaking and the delivery of the property and the rental proposition.</w:t>
      </w:r>
    </w:p>
    <w:p w14:paraId="69E5970B" w14:textId="384634AC" w:rsidR="007813F3" w:rsidRPr="007813F3" w:rsidRDefault="003B429A" w:rsidP="003B429A">
      <w:r>
        <w:t xml:space="preserve">However, there is evidence of competition for stabilised BTR assets, which indicates that significant institutional money is finding its way into this opportunity. Led by Greystar's purchase of a 904-home rental of North Greenwich's Elephant Park for </w:t>
      </w:r>
      <w:r w:rsidR="00B953C5">
        <w:t>£</w:t>
      </w:r>
      <w:r>
        <w:t xml:space="preserve">500 million and L&amp;Q's largest-ever sale of a private-rental portfolio of over 3,000 London properties for </w:t>
      </w:r>
      <w:r w:rsidR="00B953C5">
        <w:t>£</w:t>
      </w:r>
      <w:r>
        <w:t>1 billion, 2026 was a year of liquidity and investor demand for scaled rental sites in London.2026 proved to be a year of liquidity and investor appetite for scaled London rental stocks</w:t>
      </w:r>
      <w:r w:rsidR="006E6416">
        <w:t>,</w:t>
      </w:r>
      <w:r>
        <w:t xml:space="preserve"> with Greystar's transaction in Elephant Park for </w:t>
      </w:r>
      <w:r w:rsidR="00B953C5">
        <w:t>£</w:t>
      </w:r>
      <w:r>
        <w:t>500 million and L&amp;Q's transaction for a portfolio of over 3,000 rental homes in London. This means that the asset class is being validated and also suggests that tenants face greater competition, as do investment opportunities and the sites that are appropriate for development.</w:t>
      </w:r>
    </w:p>
    <w:p w14:paraId="33FCAB50" w14:textId="13E13AE1" w:rsidR="007813F3" w:rsidRDefault="007813F3" w:rsidP="007813F3">
      <w:pPr>
        <w:pStyle w:val="Heading2"/>
      </w:pPr>
      <w:bookmarkStart w:id="13" w:name="_Toc241268991"/>
      <w:r>
        <w:t>3.4 Market Validation and Strategic Implications</w:t>
      </w:r>
      <w:bookmarkEnd w:id="13"/>
    </w:p>
    <w:p w14:paraId="21370836" w14:textId="77777777" w:rsidR="006C4B43" w:rsidRDefault="006C4B43" w:rsidP="006C4B43">
      <w:r>
        <w:t xml:space="preserve">In totality, the evidence in the markets confirms that Berkeley Living is a legitimate business-development opportunity. There are four other interdependent trends: ongoing inflation in rents in London, an ongoing reduction in the supply of traditional private rental housing, a significant number of BTR homes under development which are still coming </w:t>
      </w:r>
      <w:r>
        <w:lastRenderedPageBreak/>
        <w:t>onto the market but showing signs of slowdown and a continuing increase in the stock of institutions operating rental properties. These are all relevant factors in Berkeley, where they're leveraging an existing brownfield pipeline, along with development and placemaking expertise.</w:t>
      </w:r>
    </w:p>
    <w:p w14:paraId="673CFC10" w14:textId="0F3B1EEE" w:rsidR="007813F3" w:rsidRDefault="00A35C57" w:rsidP="007813F3">
      <w:r>
        <w:rPr>
          <w:noProof/>
        </w:rPr>
        <w:drawing>
          <wp:inline distT="0" distB="0" distL="0" distR="0" wp14:anchorId="6A1E3BB1" wp14:editId="7448A586">
            <wp:extent cx="5861050" cy="2921000"/>
            <wp:effectExtent l="19050" t="0" r="6350" b="0"/>
            <wp:docPr id="71955702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BF9574B" w14:textId="256B2685" w:rsidR="00A35C57" w:rsidRDefault="00A35C57" w:rsidP="00A35C57">
      <w:pPr>
        <w:pStyle w:val="Caption"/>
        <w:jc w:val="center"/>
      </w:pPr>
      <w:r>
        <w:t xml:space="preserve">Diagram </w:t>
      </w:r>
      <w:r>
        <w:fldChar w:fldCharType="begin"/>
      </w:r>
      <w:r>
        <w:instrText xml:space="preserve"> SEQ Diagram \* ARABIC </w:instrText>
      </w:r>
      <w:r>
        <w:fldChar w:fldCharType="separate"/>
      </w:r>
      <w:r>
        <w:rPr>
          <w:noProof/>
        </w:rPr>
        <w:t>2</w:t>
      </w:r>
      <w:r>
        <w:fldChar w:fldCharType="end"/>
      </w:r>
      <w:r>
        <w:t xml:space="preserve">: </w:t>
      </w:r>
      <w:r w:rsidRPr="00474218">
        <w:t>Market Validation Framework</w:t>
      </w:r>
      <w:r>
        <w:t xml:space="preserve"> (Source</w:t>
      </w:r>
      <w:r w:rsidR="006E6416">
        <w:t>:</w:t>
      </w:r>
      <w:r>
        <w:t xml:space="preserve"> Author)</w:t>
      </w:r>
    </w:p>
    <w:p w14:paraId="5E240574" w14:textId="4801B791" w:rsidR="007813F3" w:rsidRDefault="00DA2625" w:rsidP="007813F3">
      <w:r>
        <w:t xml:space="preserve">The validation is not unlimited. High development costs, regulatory lag, cost constraints and changing/modifying construction starts show that any growth should be selective and in phases instead of volume growth. Brownfield areas located in proximity to transportation, where property and infrastructure </w:t>
      </w:r>
      <w:r w:rsidR="006E6416">
        <w:t>are</w:t>
      </w:r>
      <w:r>
        <w:t xml:space="preserve"> already under Berkeley's control, may thus offer a more robust platform for expansion. Its market evidence thus reinforces further Berkeley Living investigation, and shows the relevance </w:t>
      </w:r>
      <w:r w:rsidR="006E6416">
        <w:t>of</w:t>
      </w:r>
      <w:r>
        <w:t xml:space="preserve"> capital discipline, customer affordability and quality of operations for evaluating the opportunity and whether the opportunity has sustainable long-term value.</w:t>
      </w:r>
    </w:p>
    <w:p w14:paraId="11EEED75" w14:textId="77777777" w:rsidR="00625E47" w:rsidRDefault="00625E47" w:rsidP="007813F3"/>
    <w:p w14:paraId="40F95667" w14:textId="387494E5" w:rsidR="00625E47" w:rsidRDefault="00625E47">
      <w:pPr>
        <w:spacing w:before="0" w:after="160" w:line="259" w:lineRule="auto"/>
        <w:jc w:val="left"/>
      </w:pPr>
      <w:r>
        <w:br w:type="page"/>
      </w:r>
    </w:p>
    <w:p w14:paraId="6B80E91C" w14:textId="7580AA35" w:rsidR="00625E47" w:rsidRDefault="00625E47" w:rsidP="00625E47">
      <w:pPr>
        <w:pStyle w:val="Heading1"/>
      </w:pPr>
      <w:bookmarkStart w:id="14" w:name="_Toc241268992"/>
      <w:r>
        <w:lastRenderedPageBreak/>
        <w:t>Chapter 04: Risk</w:t>
      </w:r>
      <w:bookmarkEnd w:id="14"/>
    </w:p>
    <w:tbl>
      <w:tblPr>
        <w:tblStyle w:val="GridTable5Dark-Accent21"/>
        <w:tblW w:w="9715" w:type="dxa"/>
        <w:tblLook w:val="04A0" w:firstRow="1" w:lastRow="0" w:firstColumn="1" w:lastColumn="0" w:noHBand="0" w:noVBand="1"/>
      </w:tblPr>
      <w:tblGrid>
        <w:gridCol w:w="2496"/>
        <w:gridCol w:w="1468"/>
        <w:gridCol w:w="1881"/>
        <w:gridCol w:w="3870"/>
      </w:tblGrid>
      <w:tr w:rsidR="000E3699" w:rsidRPr="000E3699" w14:paraId="78A65CB3" w14:textId="77777777" w:rsidTr="000E3699">
        <w:trPr>
          <w:cnfStyle w:val="100000000000" w:firstRow="1" w:lastRow="0" w:firstColumn="0" w:lastColumn="0" w:oddVBand="0" w:evenVBand="0" w:oddHBand="0"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0" w:type="auto"/>
            <w:hideMark/>
          </w:tcPr>
          <w:p w14:paraId="21B2A8A8" w14:textId="77777777" w:rsidR="000E3699" w:rsidRPr="000E3699" w:rsidRDefault="000E3699" w:rsidP="000E3699">
            <w:pPr>
              <w:jc w:val="center"/>
              <w:rPr>
                <w:lang w:val="en-US"/>
              </w:rPr>
            </w:pPr>
            <w:r w:rsidRPr="000E3699">
              <w:rPr>
                <w:lang w:val="en-US"/>
              </w:rPr>
              <w:t>Risk</w:t>
            </w:r>
          </w:p>
        </w:tc>
        <w:tc>
          <w:tcPr>
            <w:tcW w:w="0" w:type="auto"/>
            <w:hideMark/>
          </w:tcPr>
          <w:p w14:paraId="5DFD0295" w14:textId="77777777" w:rsidR="000E3699" w:rsidRPr="000E3699" w:rsidRDefault="000E3699" w:rsidP="000E3699">
            <w:pPr>
              <w:jc w:val="center"/>
              <w:cnfStyle w:val="100000000000" w:firstRow="1" w:lastRow="0" w:firstColumn="0" w:lastColumn="0" w:oddVBand="0" w:evenVBand="0" w:oddHBand="0" w:evenHBand="0" w:firstRowFirstColumn="0" w:firstRowLastColumn="0" w:lastRowFirstColumn="0" w:lastRowLastColumn="0"/>
              <w:rPr>
                <w:lang w:val="en-US"/>
              </w:rPr>
            </w:pPr>
            <w:r w:rsidRPr="000E3699">
              <w:rPr>
                <w:lang w:val="en-US"/>
              </w:rPr>
              <w:t>Likelihood</w:t>
            </w:r>
          </w:p>
        </w:tc>
        <w:tc>
          <w:tcPr>
            <w:tcW w:w="1881" w:type="dxa"/>
            <w:hideMark/>
          </w:tcPr>
          <w:p w14:paraId="4E58E7E4" w14:textId="77777777" w:rsidR="000E3699" w:rsidRPr="000E3699" w:rsidRDefault="000E3699" w:rsidP="000E3699">
            <w:pPr>
              <w:jc w:val="center"/>
              <w:cnfStyle w:val="100000000000" w:firstRow="1" w:lastRow="0" w:firstColumn="0" w:lastColumn="0" w:oddVBand="0" w:evenVBand="0" w:oddHBand="0" w:evenHBand="0" w:firstRowFirstColumn="0" w:firstRowLastColumn="0" w:lastRowFirstColumn="0" w:lastRowLastColumn="0"/>
              <w:rPr>
                <w:lang w:val="en-US"/>
              </w:rPr>
            </w:pPr>
            <w:r w:rsidRPr="000E3699">
              <w:rPr>
                <w:lang w:val="en-US"/>
              </w:rPr>
              <w:t>Potential Impact</w:t>
            </w:r>
          </w:p>
        </w:tc>
        <w:tc>
          <w:tcPr>
            <w:tcW w:w="3870" w:type="dxa"/>
            <w:hideMark/>
          </w:tcPr>
          <w:p w14:paraId="43C506E5" w14:textId="77777777" w:rsidR="000E3699" w:rsidRPr="000E3699" w:rsidRDefault="000E3699" w:rsidP="000E3699">
            <w:pPr>
              <w:jc w:val="center"/>
              <w:cnfStyle w:val="100000000000" w:firstRow="1" w:lastRow="0" w:firstColumn="0" w:lastColumn="0" w:oddVBand="0" w:evenVBand="0" w:oddHBand="0" w:evenHBand="0" w:firstRowFirstColumn="0" w:firstRowLastColumn="0" w:lastRowFirstColumn="0" w:lastRowLastColumn="0"/>
              <w:rPr>
                <w:lang w:val="en-US"/>
              </w:rPr>
            </w:pPr>
            <w:r w:rsidRPr="000E3699">
              <w:rPr>
                <w:lang w:val="en-US"/>
              </w:rPr>
              <w:t>Mitigation</w:t>
            </w:r>
          </w:p>
        </w:tc>
      </w:tr>
      <w:tr w:rsidR="000E3699" w:rsidRPr="000E3699" w14:paraId="230D6008" w14:textId="77777777" w:rsidTr="000E3699">
        <w:trPr>
          <w:cnfStyle w:val="000000100000" w:firstRow="0" w:lastRow="0" w:firstColumn="0" w:lastColumn="0" w:oddVBand="0" w:evenVBand="0" w:oddHBand="1" w:evenHBand="0" w:firstRowFirstColumn="0" w:firstRowLastColumn="0" w:lastRowFirstColumn="0" w:lastRowLastColumn="0"/>
          <w:trHeight w:val="1441"/>
        </w:trPr>
        <w:tc>
          <w:tcPr>
            <w:cnfStyle w:val="001000000000" w:firstRow="0" w:lastRow="0" w:firstColumn="1" w:lastColumn="0" w:oddVBand="0" w:evenVBand="0" w:oddHBand="0" w:evenHBand="0" w:firstRowFirstColumn="0" w:firstRowLastColumn="0" w:lastRowFirstColumn="0" w:lastRowLastColumn="0"/>
            <w:tcW w:w="0" w:type="auto"/>
            <w:hideMark/>
          </w:tcPr>
          <w:p w14:paraId="213F333E" w14:textId="77777777" w:rsidR="000E3699" w:rsidRPr="000E3699" w:rsidRDefault="000E3699" w:rsidP="000E3699">
            <w:pPr>
              <w:rPr>
                <w:lang w:val="en-US"/>
              </w:rPr>
            </w:pPr>
            <w:r w:rsidRPr="000E3699">
              <w:rPr>
                <w:lang w:val="en-US"/>
              </w:rPr>
              <w:t>Limited availability of detailed Berkeley Living data</w:t>
            </w:r>
          </w:p>
        </w:tc>
        <w:tc>
          <w:tcPr>
            <w:tcW w:w="0" w:type="auto"/>
            <w:hideMark/>
          </w:tcPr>
          <w:p w14:paraId="109DA0E0"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Medium</w:t>
            </w:r>
          </w:p>
        </w:tc>
        <w:tc>
          <w:tcPr>
            <w:tcW w:w="1881" w:type="dxa"/>
            <w:hideMark/>
          </w:tcPr>
          <w:p w14:paraId="0A317291"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May restrict assessment of BTR performance</w:t>
            </w:r>
          </w:p>
        </w:tc>
        <w:tc>
          <w:tcPr>
            <w:tcW w:w="3870" w:type="dxa"/>
            <w:hideMark/>
          </w:tcPr>
          <w:p w14:paraId="2604D934" w14:textId="6E475631"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Use Berkeley annual reports, investor presentations, ONS data and reputable industry reports for triangulation</w:t>
            </w:r>
            <w:r w:rsidR="006E6416">
              <w:rPr>
                <w:lang w:val="en-US"/>
              </w:rPr>
              <w:t>.</w:t>
            </w:r>
          </w:p>
        </w:tc>
      </w:tr>
      <w:tr w:rsidR="000E3699" w:rsidRPr="000E3699" w14:paraId="6D515637" w14:textId="77777777" w:rsidTr="000E3699">
        <w:trPr>
          <w:trHeight w:val="1451"/>
        </w:trPr>
        <w:tc>
          <w:tcPr>
            <w:cnfStyle w:val="001000000000" w:firstRow="0" w:lastRow="0" w:firstColumn="1" w:lastColumn="0" w:oddVBand="0" w:evenVBand="0" w:oddHBand="0" w:evenHBand="0" w:firstRowFirstColumn="0" w:firstRowLastColumn="0" w:lastRowFirstColumn="0" w:lastRowLastColumn="0"/>
            <w:tcW w:w="0" w:type="auto"/>
            <w:hideMark/>
          </w:tcPr>
          <w:p w14:paraId="5329D8F7" w14:textId="77777777" w:rsidR="000E3699" w:rsidRPr="000E3699" w:rsidRDefault="000E3699" w:rsidP="000E3699">
            <w:pPr>
              <w:rPr>
                <w:lang w:val="en-US"/>
              </w:rPr>
            </w:pPr>
            <w:r w:rsidRPr="000E3699">
              <w:rPr>
                <w:lang w:val="en-US"/>
              </w:rPr>
              <w:t>Bias within corporate and commercial reports</w:t>
            </w:r>
          </w:p>
        </w:tc>
        <w:tc>
          <w:tcPr>
            <w:tcW w:w="0" w:type="auto"/>
            <w:hideMark/>
          </w:tcPr>
          <w:p w14:paraId="07754F34"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Medium</w:t>
            </w:r>
          </w:p>
        </w:tc>
        <w:tc>
          <w:tcPr>
            <w:tcW w:w="1881" w:type="dxa"/>
            <w:hideMark/>
          </w:tcPr>
          <w:p w14:paraId="3A6C3EB4"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May reduce objectivity of findings</w:t>
            </w:r>
          </w:p>
        </w:tc>
        <w:tc>
          <w:tcPr>
            <w:tcW w:w="3870" w:type="dxa"/>
            <w:hideMark/>
          </w:tcPr>
          <w:p w14:paraId="65AE5DCC"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Cross-check corporate claims with government statistics, peer-reviewed studies and independent market reports</w:t>
            </w:r>
          </w:p>
        </w:tc>
      </w:tr>
      <w:tr w:rsidR="000E3699" w:rsidRPr="000E3699" w14:paraId="7C8B18D5" w14:textId="77777777" w:rsidTr="000E3699">
        <w:trPr>
          <w:cnfStyle w:val="000000100000" w:firstRow="0" w:lastRow="0" w:firstColumn="0" w:lastColumn="0" w:oddVBand="0" w:evenVBand="0" w:oddHBand="1" w:evenHBand="0" w:firstRowFirstColumn="0" w:firstRowLastColumn="0" w:lastRowFirstColumn="0" w:lastRowLastColumn="0"/>
          <w:trHeight w:val="1441"/>
        </w:trPr>
        <w:tc>
          <w:tcPr>
            <w:cnfStyle w:val="001000000000" w:firstRow="0" w:lastRow="0" w:firstColumn="1" w:lastColumn="0" w:oddVBand="0" w:evenVBand="0" w:oddHBand="0" w:evenHBand="0" w:firstRowFirstColumn="0" w:firstRowLastColumn="0" w:lastRowFirstColumn="0" w:lastRowLastColumn="0"/>
            <w:tcW w:w="0" w:type="auto"/>
            <w:hideMark/>
          </w:tcPr>
          <w:p w14:paraId="64656687" w14:textId="77777777" w:rsidR="000E3699" w:rsidRPr="000E3699" w:rsidRDefault="000E3699" w:rsidP="000E3699">
            <w:pPr>
              <w:rPr>
                <w:lang w:val="en-US"/>
              </w:rPr>
            </w:pPr>
            <w:r w:rsidRPr="000E3699">
              <w:rPr>
                <w:lang w:val="en-US"/>
              </w:rPr>
              <w:t>Rapid changes in the UK housing and rental market</w:t>
            </w:r>
          </w:p>
        </w:tc>
        <w:tc>
          <w:tcPr>
            <w:tcW w:w="0" w:type="auto"/>
            <w:hideMark/>
          </w:tcPr>
          <w:p w14:paraId="211B2E46"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High</w:t>
            </w:r>
          </w:p>
        </w:tc>
        <w:tc>
          <w:tcPr>
            <w:tcW w:w="1881" w:type="dxa"/>
            <w:hideMark/>
          </w:tcPr>
          <w:p w14:paraId="2ACAF61E"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Market findings may become outdated</w:t>
            </w:r>
          </w:p>
        </w:tc>
        <w:tc>
          <w:tcPr>
            <w:tcW w:w="3870" w:type="dxa"/>
            <w:hideMark/>
          </w:tcPr>
          <w:p w14:paraId="4750A9B3" w14:textId="04EC09F9"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Prioritise the most recent 2025–2026 evidence and clearly state the research period</w:t>
            </w:r>
            <w:r w:rsidR="006E6416">
              <w:rPr>
                <w:lang w:val="en-US"/>
              </w:rPr>
              <w:t>.</w:t>
            </w:r>
          </w:p>
        </w:tc>
      </w:tr>
      <w:tr w:rsidR="000E3699" w:rsidRPr="000E3699" w14:paraId="0CD78FED" w14:textId="77777777" w:rsidTr="000E3699">
        <w:trPr>
          <w:trHeight w:val="1441"/>
        </w:trPr>
        <w:tc>
          <w:tcPr>
            <w:cnfStyle w:val="001000000000" w:firstRow="0" w:lastRow="0" w:firstColumn="1" w:lastColumn="0" w:oddVBand="0" w:evenVBand="0" w:oddHBand="0" w:evenHBand="0" w:firstRowFirstColumn="0" w:firstRowLastColumn="0" w:lastRowFirstColumn="0" w:lastRowLastColumn="0"/>
            <w:tcW w:w="0" w:type="auto"/>
            <w:hideMark/>
          </w:tcPr>
          <w:p w14:paraId="7F44974A" w14:textId="77777777" w:rsidR="000E3699" w:rsidRPr="000E3699" w:rsidRDefault="000E3699" w:rsidP="000E3699">
            <w:pPr>
              <w:rPr>
                <w:lang w:val="en-US"/>
              </w:rPr>
            </w:pPr>
            <w:r w:rsidRPr="000E3699">
              <w:rPr>
                <w:lang w:val="en-US"/>
              </w:rPr>
              <w:t>High construction and financing costs</w:t>
            </w:r>
          </w:p>
        </w:tc>
        <w:tc>
          <w:tcPr>
            <w:tcW w:w="0" w:type="auto"/>
            <w:hideMark/>
          </w:tcPr>
          <w:p w14:paraId="056CF217"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High</w:t>
            </w:r>
          </w:p>
        </w:tc>
        <w:tc>
          <w:tcPr>
            <w:tcW w:w="1881" w:type="dxa"/>
            <w:hideMark/>
          </w:tcPr>
          <w:p w14:paraId="3F9007BD"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May weaken the commercial viability of BTR expansion</w:t>
            </w:r>
          </w:p>
        </w:tc>
        <w:tc>
          <w:tcPr>
            <w:tcW w:w="3870" w:type="dxa"/>
            <w:hideMark/>
          </w:tcPr>
          <w:p w14:paraId="1385BE05"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Evaluate capital requirements, yields, costs and phased development options</w:t>
            </w:r>
          </w:p>
        </w:tc>
      </w:tr>
      <w:tr w:rsidR="000E3699" w:rsidRPr="000E3699" w14:paraId="6287412E" w14:textId="77777777" w:rsidTr="000E3699">
        <w:trPr>
          <w:cnfStyle w:val="000000100000" w:firstRow="0" w:lastRow="0" w:firstColumn="0" w:lastColumn="0" w:oddVBand="0" w:evenVBand="0" w:oddHBand="1" w:evenHBand="0" w:firstRowFirstColumn="0" w:firstRowLastColumn="0" w:lastRowFirstColumn="0" w:lastRowLastColumn="0"/>
          <w:trHeight w:val="1451"/>
        </w:trPr>
        <w:tc>
          <w:tcPr>
            <w:cnfStyle w:val="001000000000" w:firstRow="0" w:lastRow="0" w:firstColumn="1" w:lastColumn="0" w:oddVBand="0" w:evenVBand="0" w:oddHBand="0" w:evenHBand="0" w:firstRowFirstColumn="0" w:firstRowLastColumn="0" w:lastRowFirstColumn="0" w:lastRowLastColumn="0"/>
            <w:tcW w:w="0" w:type="auto"/>
            <w:hideMark/>
          </w:tcPr>
          <w:p w14:paraId="44B91CDD" w14:textId="77777777" w:rsidR="000E3699" w:rsidRPr="000E3699" w:rsidRDefault="000E3699" w:rsidP="000E3699">
            <w:pPr>
              <w:rPr>
                <w:lang w:val="en-US"/>
              </w:rPr>
            </w:pPr>
            <w:r w:rsidRPr="000E3699">
              <w:rPr>
                <w:lang w:val="en-US"/>
              </w:rPr>
              <w:t>Planning and regulatory delays</w:t>
            </w:r>
          </w:p>
        </w:tc>
        <w:tc>
          <w:tcPr>
            <w:tcW w:w="0" w:type="auto"/>
            <w:hideMark/>
          </w:tcPr>
          <w:p w14:paraId="0C9512BF"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Medium–High</w:t>
            </w:r>
          </w:p>
        </w:tc>
        <w:tc>
          <w:tcPr>
            <w:tcW w:w="1881" w:type="dxa"/>
            <w:hideMark/>
          </w:tcPr>
          <w:p w14:paraId="4DFCCF4D"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Could delay delivery and increase development costs</w:t>
            </w:r>
          </w:p>
        </w:tc>
        <w:tc>
          <w:tcPr>
            <w:tcW w:w="3870" w:type="dxa"/>
            <w:hideMark/>
          </w:tcPr>
          <w:p w14:paraId="76A9935D"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Assess planning, housing and rental-sector regulatory conditions within the market analysis</w:t>
            </w:r>
          </w:p>
        </w:tc>
      </w:tr>
      <w:tr w:rsidR="000E3699" w:rsidRPr="000E3699" w14:paraId="65CE0F3B" w14:textId="77777777" w:rsidTr="000E3699">
        <w:trPr>
          <w:trHeight w:val="1125"/>
        </w:trPr>
        <w:tc>
          <w:tcPr>
            <w:cnfStyle w:val="001000000000" w:firstRow="0" w:lastRow="0" w:firstColumn="1" w:lastColumn="0" w:oddVBand="0" w:evenVBand="0" w:oddHBand="0" w:evenHBand="0" w:firstRowFirstColumn="0" w:firstRowLastColumn="0" w:lastRowFirstColumn="0" w:lastRowLastColumn="0"/>
            <w:tcW w:w="0" w:type="auto"/>
            <w:hideMark/>
          </w:tcPr>
          <w:p w14:paraId="79DC7F36" w14:textId="77777777" w:rsidR="000E3699" w:rsidRPr="000E3699" w:rsidRDefault="000E3699" w:rsidP="000E3699">
            <w:pPr>
              <w:rPr>
                <w:lang w:val="en-US"/>
              </w:rPr>
            </w:pPr>
            <w:r w:rsidRPr="000E3699">
              <w:rPr>
                <w:lang w:val="en-US"/>
              </w:rPr>
              <w:lastRenderedPageBreak/>
              <w:t>Rental affordability pressures</w:t>
            </w:r>
          </w:p>
        </w:tc>
        <w:tc>
          <w:tcPr>
            <w:tcW w:w="0" w:type="auto"/>
            <w:hideMark/>
          </w:tcPr>
          <w:p w14:paraId="1B094457"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High</w:t>
            </w:r>
          </w:p>
        </w:tc>
        <w:tc>
          <w:tcPr>
            <w:tcW w:w="1881" w:type="dxa"/>
            <w:hideMark/>
          </w:tcPr>
          <w:p w14:paraId="4D8F6BB0"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May constrain tenant demand and create reputational risk</w:t>
            </w:r>
          </w:p>
        </w:tc>
        <w:tc>
          <w:tcPr>
            <w:tcW w:w="3870" w:type="dxa"/>
            <w:hideMark/>
          </w:tcPr>
          <w:p w14:paraId="12230D9E" w14:textId="77777777" w:rsidR="000E3699" w:rsidRPr="000E3699" w:rsidRDefault="000E3699" w:rsidP="000E3699">
            <w:pPr>
              <w:cnfStyle w:val="000000000000" w:firstRow="0" w:lastRow="0" w:firstColumn="0" w:lastColumn="0" w:oddVBand="0" w:evenVBand="0" w:oddHBand="0" w:evenHBand="0" w:firstRowFirstColumn="0" w:firstRowLastColumn="0" w:lastRowFirstColumn="0" w:lastRowLastColumn="0"/>
              <w:rPr>
                <w:lang w:val="en-US"/>
              </w:rPr>
            </w:pPr>
            <w:r w:rsidRPr="000E3699">
              <w:rPr>
                <w:lang w:val="en-US"/>
              </w:rPr>
              <w:t>Examine pricing, customer affordability and value proposition alongside rental-growth trends</w:t>
            </w:r>
          </w:p>
        </w:tc>
      </w:tr>
      <w:tr w:rsidR="000E3699" w:rsidRPr="000E3699" w14:paraId="45B70C68" w14:textId="77777777" w:rsidTr="000E3699">
        <w:trPr>
          <w:cnfStyle w:val="000000100000" w:firstRow="0" w:lastRow="0" w:firstColumn="0" w:lastColumn="0" w:oddVBand="0" w:evenVBand="0" w:oddHBand="1" w:evenHBand="0" w:firstRowFirstColumn="0" w:firstRowLastColumn="0" w:lastRowFirstColumn="0" w:lastRowLastColumn="0"/>
          <w:trHeight w:val="1441"/>
        </w:trPr>
        <w:tc>
          <w:tcPr>
            <w:cnfStyle w:val="001000000000" w:firstRow="0" w:lastRow="0" w:firstColumn="1" w:lastColumn="0" w:oddVBand="0" w:evenVBand="0" w:oddHBand="0" w:evenHBand="0" w:firstRowFirstColumn="0" w:firstRowLastColumn="0" w:lastRowFirstColumn="0" w:lastRowLastColumn="0"/>
            <w:tcW w:w="0" w:type="auto"/>
            <w:hideMark/>
          </w:tcPr>
          <w:p w14:paraId="2D2B4A6A" w14:textId="77777777" w:rsidR="000E3699" w:rsidRPr="000E3699" w:rsidRDefault="000E3699" w:rsidP="000E3699">
            <w:pPr>
              <w:rPr>
                <w:lang w:val="en-US"/>
              </w:rPr>
            </w:pPr>
            <w:r w:rsidRPr="000E3699">
              <w:rPr>
                <w:lang w:val="en-US"/>
              </w:rPr>
              <w:t>Strong competition in London BTR</w:t>
            </w:r>
          </w:p>
        </w:tc>
        <w:tc>
          <w:tcPr>
            <w:tcW w:w="0" w:type="auto"/>
            <w:hideMark/>
          </w:tcPr>
          <w:p w14:paraId="70D28146"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Medium–High</w:t>
            </w:r>
          </w:p>
        </w:tc>
        <w:tc>
          <w:tcPr>
            <w:tcW w:w="1881" w:type="dxa"/>
            <w:hideMark/>
          </w:tcPr>
          <w:p w14:paraId="56B6402E" w14:textId="7777777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Could affect occupancy, rents and market share</w:t>
            </w:r>
          </w:p>
        </w:tc>
        <w:tc>
          <w:tcPr>
            <w:tcW w:w="3870" w:type="dxa"/>
            <w:hideMark/>
          </w:tcPr>
          <w:p w14:paraId="28C91854" w14:textId="474FB407" w:rsidR="000E3699" w:rsidRPr="000E3699" w:rsidRDefault="000E3699" w:rsidP="000E3699">
            <w:pPr>
              <w:cnfStyle w:val="000000100000" w:firstRow="0" w:lastRow="0" w:firstColumn="0" w:lastColumn="0" w:oddVBand="0" w:evenVBand="0" w:oddHBand="1" w:evenHBand="0" w:firstRowFirstColumn="0" w:firstRowLastColumn="0" w:lastRowFirstColumn="0" w:lastRowLastColumn="0"/>
              <w:rPr>
                <w:lang w:val="en-US"/>
              </w:rPr>
            </w:pPr>
            <w:r w:rsidRPr="000E3699">
              <w:rPr>
                <w:lang w:val="en-US"/>
              </w:rPr>
              <w:t>Conduct competitor analysis and evaluate differentiation through location, placemaking and service quality</w:t>
            </w:r>
            <w:r w:rsidR="006E6416">
              <w:rPr>
                <w:lang w:val="en-US"/>
              </w:rPr>
              <w:t>.</w:t>
            </w:r>
          </w:p>
        </w:tc>
      </w:tr>
    </w:tbl>
    <w:p w14:paraId="583D16A0" w14:textId="60A57A3F" w:rsidR="00625E47" w:rsidRDefault="00625E47" w:rsidP="00625E47">
      <w:pPr>
        <w:pStyle w:val="Caption"/>
        <w:jc w:val="center"/>
      </w:pPr>
      <w:r>
        <w:t xml:space="preserve">Table </w:t>
      </w:r>
      <w:r>
        <w:fldChar w:fldCharType="begin"/>
      </w:r>
      <w:r>
        <w:instrText xml:space="preserve"> SEQ Table \* ARABIC </w:instrText>
      </w:r>
      <w:r>
        <w:fldChar w:fldCharType="separate"/>
      </w:r>
      <w:r w:rsidR="000E3699">
        <w:rPr>
          <w:noProof/>
        </w:rPr>
        <w:t>1</w:t>
      </w:r>
      <w:r>
        <w:fldChar w:fldCharType="end"/>
      </w:r>
      <w:r>
        <w:t>: Risk and Its Mitigation Strategies (Source</w:t>
      </w:r>
      <w:r w:rsidR="006E6416">
        <w:t>:</w:t>
      </w:r>
      <w:r>
        <w:t xml:space="preserve"> Author)</w:t>
      </w:r>
    </w:p>
    <w:p w14:paraId="1F1EDB30" w14:textId="77777777" w:rsidR="000E3699" w:rsidRDefault="000E3699" w:rsidP="000E3699"/>
    <w:p w14:paraId="05B3F570" w14:textId="63DB6D94" w:rsidR="000E3699" w:rsidRDefault="000E3699">
      <w:pPr>
        <w:spacing w:before="0" w:after="160" w:line="259" w:lineRule="auto"/>
        <w:jc w:val="left"/>
      </w:pPr>
      <w:r>
        <w:br w:type="page"/>
      </w:r>
    </w:p>
    <w:p w14:paraId="7407A0D4" w14:textId="6444718C" w:rsidR="000E3699" w:rsidRDefault="000E3699" w:rsidP="000E3699">
      <w:pPr>
        <w:pStyle w:val="Heading1"/>
      </w:pPr>
      <w:bookmarkStart w:id="15" w:name="_Toc241268993"/>
      <w:r>
        <w:lastRenderedPageBreak/>
        <w:t>Chapter 05: Research Timeline</w:t>
      </w:r>
      <w:bookmarkEnd w:id="15"/>
    </w:p>
    <w:tbl>
      <w:tblPr>
        <w:tblStyle w:val="TableGrid"/>
        <w:tblW w:w="9570" w:type="dxa"/>
        <w:jc w:val="center"/>
        <w:tblLook w:val="04A0" w:firstRow="1" w:lastRow="0" w:firstColumn="1" w:lastColumn="0" w:noHBand="0" w:noVBand="1"/>
      </w:tblPr>
      <w:tblGrid>
        <w:gridCol w:w="2379"/>
        <w:gridCol w:w="576"/>
        <w:gridCol w:w="576"/>
        <w:gridCol w:w="576"/>
        <w:gridCol w:w="576"/>
        <w:gridCol w:w="576"/>
        <w:gridCol w:w="576"/>
        <w:gridCol w:w="576"/>
        <w:gridCol w:w="576"/>
        <w:gridCol w:w="576"/>
        <w:gridCol w:w="710"/>
        <w:gridCol w:w="710"/>
        <w:gridCol w:w="710"/>
        <w:gridCol w:w="710"/>
        <w:gridCol w:w="710"/>
      </w:tblGrid>
      <w:tr w:rsidR="00554FF4" w:rsidRPr="00554FF4" w14:paraId="142C44D7" w14:textId="77777777" w:rsidTr="00554FF4">
        <w:trPr>
          <w:trHeight w:val="230"/>
          <w:jc w:val="center"/>
        </w:trPr>
        <w:tc>
          <w:tcPr>
            <w:tcW w:w="2379" w:type="dxa"/>
            <w:noWrap/>
            <w:hideMark/>
          </w:tcPr>
          <w:p w14:paraId="310A70EF" w14:textId="77777777" w:rsidR="00554FF4" w:rsidRPr="00554FF4" w:rsidRDefault="00554FF4" w:rsidP="00554FF4">
            <w:pPr>
              <w:rPr>
                <w:b/>
                <w:bCs/>
                <w:lang w:val="en-US"/>
              </w:rPr>
            </w:pPr>
            <w:r w:rsidRPr="00554FF4">
              <w:rPr>
                <w:b/>
                <w:bCs/>
              </w:rPr>
              <w:t>Activity</w:t>
            </w:r>
          </w:p>
        </w:tc>
        <w:tc>
          <w:tcPr>
            <w:tcW w:w="474" w:type="dxa"/>
            <w:noWrap/>
            <w:hideMark/>
          </w:tcPr>
          <w:p w14:paraId="789B5245" w14:textId="77777777" w:rsidR="00554FF4" w:rsidRPr="00554FF4" w:rsidRDefault="00554FF4">
            <w:pPr>
              <w:rPr>
                <w:b/>
                <w:bCs/>
              </w:rPr>
            </w:pPr>
            <w:r w:rsidRPr="00554FF4">
              <w:rPr>
                <w:b/>
                <w:bCs/>
              </w:rPr>
              <w:t>W1</w:t>
            </w:r>
          </w:p>
        </w:tc>
        <w:tc>
          <w:tcPr>
            <w:tcW w:w="474" w:type="dxa"/>
            <w:noWrap/>
            <w:hideMark/>
          </w:tcPr>
          <w:p w14:paraId="79B00BE9" w14:textId="77777777" w:rsidR="00554FF4" w:rsidRPr="00554FF4" w:rsidRDefault="00554FF4">
            <w:pPr>
              <w:rPr>
                <w:b/>
                <w:bCs/>
              </w:rPr>
            </w:pPr>
            <w:r w:rsidRPr="00554FF4">
              <w:rPr>
                <w:b/>
                <w:bCs/>
              </w:rPr>
              <w:t>W2</w:t>
            </w:r>
          </w:p>
        </w:tc>
        <w:tc>
          <w:tcPr>
            <w:tcW w:w="474" w:type="dxa"/>
            <w:noWrap/>
            <w:hideMark/>
          </w:tcPr>
          <w:p w14:paraId="71C5EABE" w14:textId="77777777" w:rsidR="00554FF4" w:rsidRPr="00554FF4" w:rsidRDefault="00554FF4">
            <w:pPr>
              <w:rPr>
                <w:b/>
                <w:bCs/>
              </w:rPr>
            </w:pPr>
            <w:r w:rsidRPr="00554FF4">
              <w:rPr>
                <w:b/>
                <w:bCs/>
              </w:rPr>
              <w:t>W3</w:t>
            </w:r>
          </w:p>
        </w:tc>
        <w:tc>
          <w:tcPr>
            <w:tcW w:w="474" w:type="dxa"/>
            <w:noWrap/>
            <w:hideMark/>
          </w:tcPr>
          <w:p w14:paraId="50CB7A07" w14:textId="77777777" w:rsidR="00554FF4" w:rsidRPr="00554FF4" w:rsidRDefault="00554FF4">
            <w:pPr>
              <w:rPr>
                <w:b/>
                <w:bCs/>
              </w:rPr>
            </w:pPr>
            <w:r w:rsidRPr="00554FF4">
              <w:rPr>
                <w:b/>
                <w:bCs/>
              </w:rPr>
              <w:t>W4</w:t>
            </w:r>
          </w:p>
        </w:tc>
        <w:tc>
          <w:tcPr>
            <w:tcW w:w="474" w:type="dxa"/>
            <w:noWrap/>
            <w:hideMark/>
          </w:tcPr>
          <w:p w14:paraId="291533E3" w14:textId="77777777" w:rsidR="00554FF4" w:rsidRPr="00554FF4" w:rsidRDefault="00554FF4">
            <w:pPr>
              <w:rPr>
                <w:b/>
                <w:bCs/>
              </w:rPr>
            </w:pPr>
            <w:r w:rsidRPr="00554FF4">
              <w:rPr>
                <w:b/>
                <w:bCs/>
              </w:rPr>
              <w:t>W5</w:t>
            </w:r>
          </w:p>
        </w:tc>
        <w:tc>
          <w:tcPr>
            <w:tcW w:w="474" w:type="dxa"/>
            <w:noWrap/>
            <w:hideMark/>
          </w:tcPr>
          <w:p w14:paraId="2D746109" w14:textId="77777777" w:rsidR="00554FF4" w:rsidRPr="00554FF4" w:rsidRDefault="00554FF4">
            <w:pPr>
              <w:rPr>
                <w:b/>
                <w:bCs/>
              </w:rPr>
            </w:pPr>
            <w:r w:rsidRPr="00554FF4">
              <w:rPr>
                <w:b/>
                <w:bCs/>
              </w:rPr>
              <w:t>W6</w:t>
            </w:r>
          </w:p>
        </w:tc>
        <w:tc>
          <w:tcPr>
            <w:tcW w:w="474" w:type="dxa"/>
            <w:noWrap/>
            <w:hideMark/>
          </w:tcPr>
          <w:p w14:paraId="64BB5A61" w14:textId="77777777" w:rsidR="00554FF4" w:rsidRPr="00554FF4" w:rsidRDefault="00554FF4">
            <w:pPr>
              <w:rPr>
                <w:b/>
                <w:bCs/>
              </w:rPr>
            </w:pPr>
            <w:r w:rsidRPr="00554FF4">
              <w:rPr>
                <w:b/>
                <w:bCs/>
              </w:rPr>
              <w:t>W7</w:t>
            </w:r>
          </w:p>
        </w:tc>
        <w:tc>
          <w:tcPr>
            <w:tcW w:w="474" w:type="dxa"/>
            <w:noWrap/>
            <w:hideMark/>
          </w:tcPr>
          <w:p w14:paraId="0287195A" w14:textId="77777777" w:rsidR="00554FF4" w:rsidRPr="00554FF4" w:rsidRDefault="00554FF4">
            <w:pPr>
              <w:rPr>
                <w:b/>
                <w:bCs/>
              </w:rPr>
            </w:pPr>
            <w:r w:rsidRPr="00554FF4">
              <w:rPr>
                <w:b/>
                <w:bCs/>
              </w:rPr>
              <w:t>W8</w:t>
            </w:r>
          </w:p>
        </w:tc>
        <w:tc>
          <w:tcPr>
            <w:tcW w:w="474" w:type="dxa"/>
            <w:noWrap/>
            <w:hideMark/>
          </w:tcPr>
          <w:p w14:paraId="13E44A92" w14:textId="77777777" w:rsidR="00554FF4" w:rsidRPr="00554FF4" w:rsidRDefault="00554FF4">
            <w:pPr>
              <w:rPr>
                <w:b/>
                <w:bCs/>
              </w:rPr>
            </w:pPr>
            <w:r w:rsidRPr="00554FF4">
              <w:rPr>
                <w:b/>
                <w:bCs/>
              </w:rPr>
              <w:t>W9</w:t>
            </w:r>
          </w:p>
        </w:tc>
        <w:tc>
          <w:tcPr>
            <w:tcW w:w="585" w:type="dxa"/>
            <w:noWrap/>
            <w:hideMark/>
          </w:tcPr>
          <w:p w14:paraId="380D7159" w14:textId="77777777" w:rsidR="00554FF4" w:rsidRPr="00554FF4" w:rsidRDefault="00554FF4">
            <w:pPr>
              <w:rPr>
                <w:b/>
                <w:bCs/>
              </w:rPr>
            </w:pPr>
            <w:r w:rsidRPr="00554FF4">
              <w:rPr>
                <w:b/>
                <w:bCs/>
              </w:rPr>
              <w:t>W10</w:t>
            </w:r>
          </w:p>
        </w:tc>
        <w:tc>
          <w:tcPr>
            <w:tcW w:w="585" w:type="dxa"/>
            <w:noWrap/>
            <w:hideMark/>
          </w:tcPr>
          <w:p w14:paraId="76C2378C" w14:textId="77777777" w:rsidR="00554FF4" w:rsidRPr="00554FF4" w:rsidRDefault="00554FF4">
            <w:pPr>
              <w:rPr>
                <w:b/>
                <w:bCs/>
              </w:rPr>
            </w:pPr>
            <w:r w:rsidRPr="00554FF4">
              <w:rPr>
                <w:b/>
                <w:bCs/>
              </w:rPr>
              <w:t>W11</w:t>
            </w:r>
          </w:p>
        </w:tc>
        <w:tc>
          <w:tcPr>
            <w:tcW w:w="585" w:type="dxa"/>
            <w:noWrap/>
            <w:hideMark/>
          </w:tcPr>
          <w:p w14:paraId="13D9FC5C" w14:textId="77777777" w:rsidR="00554FF4" w:rsidRPr="00554FF4" w:rsidRDefault="00554FF4">
            <w:pPr>
              <w:rPr>
                <w:b/>
                <w:bCs/>
              </w:rPr>
            </w:pPr>
            <w:r w:rsidRPr="00554FF4">
              <w:rPr>
                <w:b/>
                <w:bCs/>
              </w:rPr>
              <w:t>W12</w:t>
            </w:r>
          </w:p>
        </w:tc>
        <w:tc>
          <w:tcPr>
            <w:tcW w:w="585" w:type="dxa"/>
            <w:noWrap/>
            <w:hideMark/>
          </w:tcPr>
          <w:p w14:paraId="2CB30AB3" w14:textId="77777777" w:rsidR="00554FF4" w:rsidRPr="00554FF4" w:rsidRDefault="00554FF4">
            <w:pPr>
              <w:rPr>
                <w:b/>
                <w:bCs/>
              </w:rPr>
            </w:pPr>
            <w:r w:rsidRPr="00554FF4">
              <w:rPr>
                <w:b/>
                <w:bCs/>
              </w:rPr>
              <w:t>W13</w:t>
            </w:r>
          </w:p>
        </w:tc>
        <w:tc>
          <w:tcPr>
            <w:tcW w:w="585" w:type="dxa"/>
            <w:noWrap/>
            <w:hideMark/>
          </w:tcPr>
          <w:p w14:paraId="6BAE2E1F" w14:textId="77777777" w:rsidR="00554FF4" w:rsidRPr="00554FF4" w:rsidRDefault="00554FF4">
            <w:pPr>
              <w:rPr>
                <w:b/>
                <w:bCs/>
              </w:rPr>
            </w:pPr>
            <w:r w:rsidRPr="00554FF4">
              <w:rPr>
                <w:b/>
                <w:bCs/>
              </w:rPr>
              <w:t>W14</w:t>
            </w:r>
          </w:p>
        </w:tc>
      </w:tr>
      <w:tr w:rsidR="00554FF4" w:rsidRPr="00554FF4" w14:paraId="55F84018" w14:textId="77777777" w:rsidTr="00496056">
        <w:trPr>
          <w:trHeight w:val="230"/>
          <w:jc w:val="center"/>
        </w:trPr>
        <w:tc>
          <w:tcPr>
            <w:tcW w:w="2379" w:type="dxa"/>
            <w:noWrap/>
            <w:hideMark/>
          </w:tcPr>
          <w:p w14:paraId="01599D0A" w14:textId="77777777" w:rsidR="00554FF4" w:rsidRPr="00554FF4" w:rsidRDefault="00554FF4">
            <w:r w:rsidRPr="00554FF4">
              <w:t>Finalise topic, aim and objectives</w:t>
            </w:r>
          </w:p>
        </w:tc>
        <w:tc>
          <w:tcPr>
            <w:tcW w:w="474" w:type="dxa"/>
            <w:shd w:val="clear" w:color="auto" w:fill="C6D9F1" w:themeFill="text2" w:themeFillTint="33"/>
            <w:noWrap/>
          </w:tcPr>
          <w:p w14:paraId="65EA2D32" w14:textId="3F30563A" w:rsidR="00554FF4" w:rsidRPr="00554FF4" w:rsidRDefault="00554FF4"/>
        </w:tc>
        <w:tc>
          <w:tcPr>
            <w:tcW w:w="474" w:type="dxa"/>
            <w:shd w:val="clear" w:color="auto" w:fill="C6D9F1" w:themeFill="text2" w:themeFillTint="33"/>
            <w:noWrap/>
          </w:tcPr>
          <w:p w14:paraId="63D4C994" w14:textId="22B970FD" w:rsidR="00554FF4" w:rsidRPr="00554FF4" w:rsidRDefault="00554FF4"/>
        </w:tc>
        <w:tc>
          <w:tcPr>
            <w:tcW w:w="474" w:type="dxa"/>
            <w:noWrap/>
            <w:hideMark/>
          </w:tcPr>
          <w:p w14:paraId="75462614" w14:textId="77777777" w:rsidR="00554FF4" w:rsidRPr="00554FF4" w:rsidRDefault="00554FF4"/>
        </w:tc>
        <w:tc>
          <w:tcPr>
            <w:tcW w:w="474" w:type="dxa"/>
            <w:noWrap/>
            <w:hideMark/>
          </w:tcPr>
          <w:p w14:paraId="1F2FBC03" w14:textId="77777777" w:rsidR="00554FF4" w:rsidRPr="00554FF4" w:rsidRDefault="00554FF4"/>
        </w:tc>
        <w:tc>
          <w:tcPr>
            <w:tcW w:w="474" w:type="dxa"/>
            <w:noWrap/>
            <w:hideMark/>
          </w:tcPr>
          <w:p w14:paraId="054C848D" w14:textId="77777777" w:rsidR="00554FF4" w:rsidRPr="00554FF4" w:rsidRDefault="00554FF4"/>
        </w:tc>
        <w:tc>
          <w:tcPr>
            <w:tcW w:w="474" w:type="dxa"/>
            <w:noWrap/>
            <w:hideMark/>
          </w:tcPr>
          <w:p w14:paraId="6385D74F" w14:textId="77777777" w:rsidR="00554FF4" w:rsidRPr="00554FF4" w:rsidRDefault="00554FF4"/>
        </w:tc>
        <w:tc>
          <w:tcPr>
            <w:tcW w:w="474" w:type="dxa"/>
            <w:noWrap/>
            <w:hideMark/>
          </w:tcPr>
          <w:p w14:paraId="20A1D37C" w14:textId="77777777" w:rsidR="00554FF4" w:rsidRPr="00554FF4" w:rsidRDefault="00554FF4"/>
        </w:tc>
        <w:tc>
          <w:tcPr>
            <w:tcW w:w="474" w:type="dxa"/>
            <w:noWrap/>
            <w:hideMark/>
          </w:tcPr>
          <w:p w14:paraId="7B3AF118" w14:textId="77777777" w:rsidR="00554FF4" w:rsidRPr="00554FF4" w:rsidRDefault="00554FF4"/>
        </w:tc>
        <w:tc>
          <w:tcPr>
            <w:tcW w:w="474" w:type="dxa"/>
            <w:noWrap/>
            <w:hideMark/>
          </w:tcPr>
          <w:p w14:paraId="1F4016A3" w14:textId="77777777" w:rsidR="00554FF4" w:rsidRPr="00554FF4" w:rsidRDefault="00554FF4"/>
        </w:tc>
        <w:tc>
          <w:tcPr>
            <w:tcW w:w="585" w:type="dxa"/>
            <w:noWrap/>
            <w:hideMark/>
          </w:tcPr>
          <w:p w14:paraId="78B13ADC" w14:textId="77777777" w:rsidR="00554FF4" w:rsidRPr="00554FF4" w:rsidRDefault="00554FF4"/>
        </w:tc>
        <w:tc>
          <w:tcPr>
            <w:tcW w:w="585" w:type="dxa"/>
            <w:noWrap/>
            <w:hideMark/>
          </w:tcPr>
          <w:p w14:paraId="422C0D59" w14:textId="77777777" w:rsidR="00554FF4" w:rsidRPr="00554FF4" w:rsidRDefault="00554FF4"/>
        </w:tc>
        <w:tc>
          <w:tcPr>
            <w:tcW w:w="585" w:type="dxa"/>
            <w:noWrap/>
            <w:hideMark/>
          </w:tcPr>
          <w:p w14:paraId="2F08D9E3" w14:textId="77777777" w:rsidR="00554FF4" w:rsidRPr="00554FF4" w:rsidRDefault="00554FF4"/>
        </w:tc>
        <w:tc>
          <w:tcPr>
            <w:tcW w:w="585" w:type="dxa"/>
            <w:noWrap/>
            <w:hideMark/>
          </w:tcPr>
          <w:p w14:paraId="019BA90B" w14:textId="77777777" w:rsidR="00554FF4" w:rsidRPr="00554FF4" w:rsidRDefault="00554FF4"/>
        </w:tc>
        <w:tc>
          <w:tcPr>
            <w:tcW w:w="585" w:type="dxa"/>
            <w:noWrap/>
            <w:hideMark/>
          </w:tcPr>
          <w:p w14:paraId="4BB0BABA" w14:textId="77777777" w:rsidR="00554FF4" w:rsidRPr="00554FF4" w:rsidRDefault="00554FF4"/>
        </w:tc>
      </w:tr>
      <w:tr w:rsidR="00554FF4" w:rsidRPr="00554FF4" w14:paraId="1FAB6349" w14:textId="77777777" w:rsidTr="00496056">
        <w:trPr>
          <w:trHeight w:val="230"/>
          <w:jc w:val="center"/>
        </w:trPr>
        <w:tc>
          <w:tcPr>
            <w:tcW w:w="2379" w:type="dxa"/>
            <w:noWrap/>
            <w:hideMark/>
          </w:tcPr>
          <w:p w14:paraId="2FBFCBCF" w14:textId="77777777" w:rsidR="00554FF4" w:rsidRPr="00554FF4" w:rsidRDefault="00554FF4">
            <w:r w:rsidRPr="00554FF4">
              <w:t>Initial literature review</w:t>
            </w:r>
          </w:p>
        </w:tc>
        <w:tc>
          <w:tcPr>
            <w:tcW w:w="474" w:type="dxa"/>
            <w:shd w:val="clear" w:color="auto" w:fill="C6D9F1" w:themeFill="text2" w:themeFillTint="33"/>
            <w:noWrap/>
          </w:tcPr>
          <w:p w14:paraId="6BFA9E09" w14:textId="405A0E76" w:rsidR="00554FF4" w:rsidRPr="00554FF4" w:rsidRDefault="00554FF4"/>
        </w:tc>
        <w:tc>
          <w:tcPr>
            <w:tcW w:w="474" w:type="dxa"/>
            <w:shd w:val="clear" w:color="auto" w:fill="C6D9F1" w:themeFill="text2" w:themeFillTint="33"/>
            <w:noWrap/>
          </w:tcPr>
          <w:p w14:paraId="088DB74F" w14:textId="1C3535B4" w:rsidR="00554FF4" w:rsidRPr="00554FF4" w:rsidRDefault="00554FF4"/>
        </w:tc>
        <w:tc>
          <w:tcPr>
            <w:tcW w:w="474" w:type="dxa"/>
            <w:shd w:val="clear" w:color="auto" w:fill="C6D9F1" w:themeFill="text2" w:themeFillTint="33"/>
            <w:noWrap/>
          </w:tcPr>
          <w:p w14:paraId="3FBE04E0" w14:textId="3C68D160" w:rsidR="00554FF4" w:rsidRPr="00554FF4" w:rsidRDefault="00554FF4"/>
        </w:tc>
        <w:tc>
          <w:tcPr>
            <w:tcW w:w="474" w:type="dxa"/>
            <w:noWrap/>
            <w:hideMark/>
          </w:tcPr>
          <w:p w14:paraId="77CDE189" w14:textId="77777777" w:rsidR="00554FF4" w:rsidRPr="00554FF4" w:rsidRDefault="00554FF4"/>
        </w:tc>
        <w:tc>
          <w:tcPr>
            <w:tcW w:w="474" w:type="dxa"/>
            <w:noWrap/>
            <w:hideMark/>
          </w:tcPr>
          <w:p w14:paraId="30522EA5" w14:textId="77777777" w:rsidR="00554FF4" w:rsidRPr="00554FF4" w:rsidRDefault="00554FF4"/>
        </w:tc>
        <w:tc>
          <w:tcPr>
            <w:tcW w:w="474" w:type="dxa"/>
            <w:noWrap/>
            <w:hideMark/>
          </w:tcPr>
          <w:p w14:paraId="5BD43CBE" w14:textId="77777777" w:rsidR="00554FF4" w:rsidRPr="00554FF4" w:rsidRDefault="00554FF4"/>
        </w:tc>
        <w:tc>
          <w:tcPr>
            <w:tcW w:w="474" w:type="dxa"/>
            <w:noWrap/>
            <w:hideMark/>
          </w:tcPr>
          <w:p w14:paraId="782B25D4" w14:textId="77777777" w:rsidR="00554FF4" w:rsidRPr="00554FF4" w:rsidRDefault="00554FF4"/>
        </w:tc>
        <w:tc>
          <w:tcPr>
            <w:tcW w:w="474" w:type="dxa"/>
            <w:noWrap/>
            <w:hideMark/>
          </w:tcPr>
          <w:p w14:paraId="2A5729EE" w14:textId="77777777" w:rsidR="00554FF4" w:rsidRPr="00554FF4" w:rsidRDefault="00554FF4"/>
        </w:tc>
        <w:tc>
          <w:tcPr>
            <w:tcW w:w="474" w:type="dxa"/>
            <w:noWrap/>
            <w:hideMark/>
          </w:tcPr>
          <w:p w14:paraId="6CF0694C" w14:textId="77777777" w:rsidR="00554FF4" w:rsidRPr="00554FF4" w:rsidRDefault="00554FF4"/>
        </w:tc>
        <w:tc>
          <w:tcPr>
            <w:tcW w:w="585" w:type="dxa"/>
            <w:noWrap/>
            <w:hideMark/>
          </w:tcPr>
          <w:p w14:paraId="5E0480A5" w14:textId="77777777" w:rsidR="00554FF4" w:rsidRPr="00554FF4" w:rsidRDefault="00554FF4"/>
        </w:tc>
        <w:tc>
          <w:tcPr>
            <w:tcW w:w="585" w:type="dxa"/>
            <w:noWrap/>
            <w:hideMark/>
          </w:tcPr>
          <w:p w14:paraId="6DC8137A" w14:textId="77777777" w:rsidR="00554FF4" w:rsidRPr="00554FF4" w:rsidRDefault="00554FF4"/>
        </w:tc>
        <w:tc>
          <w:tcPr>
            <w:tcW w:w="585" w:type="dxa"/>
            <w:noWrap/>
            <w:hideMark/>
          </w:tcPr>
          <w:p w14:paraId="2FA031D9" w14:textId="77777777" w:rsidR="00554FF4" w:rsidRPr="00554FF4" w:rsidRDefault="00554FF4"/>
        </w:tc>
        <w:tc>
          <w:tcPr>
            <w:tcW w:w="585" w:type="dxa"/>
            <w:noWrap/>
            <w:hideMark/>
          </w:tcPr>
          <w:p w14:paraId="2FA5157E" w14:textId="77777777" w:rsidR="00554FF4" w:rsidRPr="00554FF4" w:rsidRDefault="00554FF4"/>
        </w:tc>
        <w:tc>
          <w:tcPr>
            <w:tcW w:w="585" w:type="dxa"/>
            <w:noWrap/>
            <w:hideMark/>
          </w:tcPr>
          <w:p w14:paraId="6B365D6F" w14:textId="77777777" w:rsidR="00554FF4" w:rsidRPr="00554FF4" w:rsidRDefault="00554FF4"/>
        </w:tc>
      </w:tr>
      <w:tr w:rsidR="00554FF4" w:rsidRPr="00554FF4" w14:paraId="3F0E732C" w14:textId="77777777" w:rsidTr="00496056">
        <w:trPr>
          <w:trHeight w:val="230"/>
          <w:jc w:val="center"/>
        </w:trPr>
        <w:tc>
          <w:tcPr>
            <w:tcW w:w="2379" w:type="dxa"/>
            <w:noWrap/>
            <w:hideMark/>
          </w:tcPr>
          <w:p w14:paraId="0D0CBA05" w14:textId="57BA5505" w:rsidR="00554FF4" w:rsidRPr="00554FF4" w:rsidRDefault="00554FF4">
            <w:r w:rsidRPr="00554FF4">
              <w:t>Develop methodology and search strategy</w:t>
            </w:r>
            <w:r w:rsidR="006E6416">
              <w:t>.</w:t>
            </w:r>
          </w:p>
        </w:tc>
        <w:tc>
          <w:tcPr>
            <w:tcW w:w="474" w:type="dxa"/>
            <w:noWrap/>
            <w:hideMark/>
          </w:tcPr>
          <w:p w14:paraId="3C4904C5" w14:textId="77777777" w:rsidR="00554FF4" w:rsidRPr="00554FF4" w:rsidRDefault="00554FF4"/>
        </w:tc>
        <w:tc>
          <w:tcPr>
            <w:tcW w:w="474" w:type="dxa"/>
            <w:shd w:val="clear" w:color="auto" w:fill="C6D9F1" w:themeFill="text2" w:themeFillTint="33"/>
            <w:noWrap/>
          </w:tcPr>
          <w:p w14:paraId="5848C0D2" w14:textId="6A6A9923" w:rsidR="00554FF4" w:rsidRPr="00554FF4" w:rsidRDefault="00554FF4"/>
        </w:tc>
        <w:tc>
          <w:tcPr>
            <w:tcW w:w="474" w:type="dxa"/>
            <w:shd w:val="clear" w:color="auto" w:fill="C6D9F1" w:themeFill="text2" w:themeFillTint="33"/>
            <w:noWrap/>
          </w:tcPr>
          <w:p w14:paraId="7A1A2E86" w14:textId="7155249D" w:rsidR="00554FF4" w:rsidRPr="00554FF4" w:rsidRDefault="00554FF4"/>
        </w:tc>
        <w:tc>
          <w:tcPr>
            <w:tcW w:w="474" w:type="dxa"/>
            <w:shd w:val="clear" w:color="auto" w:fill="C6D9F1" w:themeFill="text2" w:themeFillTint="33"/>
            <w:noWrap/>
          </w:tcPr>
          <w:p w14:paraId="5977BCA5" w14:textId="59E99710" w:rsidR="00554FF4" w:rsidRPr="00554FF4" w:rsidRDefault="00554FF4"/>
        </w:tc>
        <w:tc>
          <w:tcPr>
            <w:tcW w:w="474" w:type="dxa"/>
            <w:noWrap/>
            <w:hideMark/>
          </w:tcPr>
          <w:p w14:paraId="618CEA6B" w14:textId="77777777" w:rsidR="00554FF4" w:rsidRPr="00554FF4" w:rsidRDefault="00554FF4"/>
        </w:tc>
        <w:tc>
          <w:tcPr>
            <w:tcW w:w="474" w:type="dxa"/>
            <w:noWrap/>
            <w:hideMark/>
          </w:tcPr>
          <w:p w14:paraId="7609FAF6" w14:textId="77777777" w:rsidR="00554FF4" w:rsidRPr="00554FF4" w:rsidRDefault="00554FF4"/>
        </w:tc>
        <w:tc>
          <w:tcPr>
            <w:tcW w:w="474" w:type="dxa"/>
            <w:noWrap/>
            <w:hideMark/>
          </w:tcPr>
          <w:p w14:paraId="77EDA560" w14:textId="77777777" w:rsidR="00554FF4" w:rsidRPr="00554FF4" w:rsidRDefault="00554FF4"/>
        </w:tc>
        <w:tc>
          <w:tcPr>
            <w:tcW w:w="474" w:type="dxa"/>
            <w:noWrap/>
            <w:hideMark/>
          </w:tcPr>
          <w:p w14:paraId="72EE575F" w14:textId="77777777" w:rsidR="00554FF4" w:rsidRPr="00554FF4" w:rsidRDefault="00554FF4"/>
        </w:tc>
        <w:tc>
          <w:tcPr>
            <w:tcW w:w="474" w:type="dxa"/>
            <w:noWrap/>
            <w:hideMark/>
          </w:tcPr>
          <w:p w14:paraId="3C9ACF53" w14:textId="77777777" w:rsidR="00554FF4" w:rsidRPr="00554FF4" w:rsidRDefault="00554FF4"/>
        </w:tc>
        <w:tc>
          <w:tcPr>
            <w:tcW w:w="585" w:type="dxa"/>
            <w:noWrap/>
            <w:hideMark/>
          </w:tcPr>
          <w:p w14:paraId="1A1067B7" w14:textId="77777777" w:rsidR="00554FF4" w:rsidRPr="00554FF4" w:rsidRDefault="00554FF4"/>
        </w:tc>
        <w:tc>
          <w:tcPr>
            <w:tcW w:w="585" w:type="dxa"/>
            <w:noWrap/>
            <w:hideMark/>
          </w:tcPr>
          <w:p w14:paraId="026792AE" w14:textId="77777777" w:rsidR="00554FF4" w:rsidRPr="00554FF4" w:rsidRDefault="00554FF4"/>
        </w:tc>
        <w:tc>
          <w:tcPr>
            <w:tcW w:w="585" w:type="dxa"/>
            <w:noWrap/>
            <w:hideMark/>
          </w:tcPr>
          <w:p w14:paraId="5A72BD5B" w14:textId="77777777" w:rsidR="00554FF4" w:rsidRPr="00554FF4" w:rsidRDefault="00554FF4"/>
        </w:tc>
        <w:tc>
          <w:tcPr>
            <w:tcW w:w="585" w:type="dxa"/>
            <w:noWrap/>
            <w:hideMark/>
          </w:tcPr>
          <w:p w14:paraId="7ED722F9" w14:textId="77777777" w:rsidR="00554FF4" w:rsidRPr="00554FF4" w:rsidRDefault="00554FF4"/>
        </w:tc>
        <w:tc>
          <w:tcPr>
            <w:tcW w:w="585" w:type="dxa"/>
            <w:noWrap/>
            <w:hideMark/>
          </w:tcPr>
          <w:p w14:paraId="1E65B647" w14:textId="77777777" w:rsidR="00554FF4" w:rsidRPr="00554FF4" w:rsidRDefault="00554FF4"/>
        </w:tc>
      </w:tr>
      <w:tr w:rsidR="00554FF4" w:rsidRPr="00554FF4" w14:paraId="3A88A54E" w14:textId="77777777" w:rsidTr="00496056">
        <w:trPr>
          <w:trHeight w:val="230"/>
          <w:jc w:val="center"/>
        </w:trPr>
        <w:tc>
          <w:tcPr>
            <w:tcW w:w="2379" w:type="dxa"/>
            <w:noWrap/>
            <w:hideMark/>
          </w:tcPr>
          <w:p w14:paraId="28652D5C" w14:textId="77777777" w:rsidR="00554FF4" w:rsidRPr="00554FF4" w:rsidRDefault="00554FF4">
            <w:r w:rsidRPr="00554FF4">
              <w:t>Collect secondary data</w:t>
            </w:r>
          </w:p>
        </w:tc>
        <w:tc>
          <w:tcPr>
            <w:tcW w:w="474" w:type="dxa"/>
            <w:noWrap/>
            <w:hideMark/>
          </w:tcPr>
          <w:p w14:paraId="4C89FC1C" w14:textId="77777777" w:rsidR="00554FF4" w:rsidRPr="00554FF4" w:rsidRDefault="00554FF4"/>
        </w:tc>
        <w:tc>
          <w:tcPr>
            <w:tcW w:w="474" w:type="dxa"/>
            <w:noWrap/>
            <w:hideMark/>
          </w:tcPr>
          <w:p w14:paraId="6499A845" w14:textId="77777777" w:rsidR="00554FF4" w:rsidRPr="00554FF4" w:rsidRDefault="00554FF4"/>
        </w:tc>
        <w:tc>
          <w:tcPr>
            <w:tcW w:w="474" w:type="dxa"/>
            <w:shd w:val="clear" w:color="auto" w:fill="C6D9F1" w:themeFill="text2" w:themeFillTint="33"/>
            <w:noWrap/>
          </w:tcPr>
          <w:p w14:paraId="75D940B2" w14:textId="6DA7585E" w:rsidR="00554FF4" w:rsidRPr="00554FF4" w:rsidRDefault="00554FF4"/>
        </w:tc>
        <w:tc>
          <w:tcPr>
            <w:tcW w:w="474" w:type="dxa"/>
            <w:shd w:val="clear" w:color="auto" w:fill="C6D9F1" w:themeFill="text2" w:themeFillTint="33"/>
            <w:noWrap/>
          </w:tcPr>
          <w:p w14:paraId="2A93E081" w14:textId="14BE9002" w:rsidR="00554FF4" w:rsidRPr="00554FF4" w:rsidRDefault="00554FF4"/>
        </w:tc>
        <w:tc>
          <w:tcPr>
            <w:tcW w:w="474" w:type="dxa"/>
            <w:shd w:val="clear" w:color="auto" w:fill="C6D9F1" w:themeFill="text2" w:themeFillTint="33"/>
            <w:noWrap/>
          </w:tcPr>
          <w:p w14:paraId="061887D0" w14:textId="0BF6C3B4" w:rsidR="00554FF4" w:rsidRPr="00554FF4" w:rsidRDefault="00554FF4"/>
        </w:tc>
        <w:tc>
          <w:tcPr>
            <w:tcW w:w="474" w:type="dxa"/>
            <w:shd w:val="clear" w:color="auto" w:fill="C6D9F1" w:themeFill="text2" w:themeFillTint="33"/>
            <w:noWrap/>
          </w:tcPr>
          <w:p w14:paraId="761EECF5" w14:textId="1681C888" w:rsidR="00554FF4" w:rsidRPr="00554FF4" w:rsidRDefault="00554FF4"/>
        </w:tc>
        <w:tc>
          <w:tcPr>
            <w:tcW w:w="474" w:type="dxa"/>
            <w:noWrap/>
            <w:hideMark/>
          </w:tcPr>
          <w:p w14:paraId="1B756E43" w14:textId="77777777" w:rsidR="00554FF4" w:rsidRPr="00554FF4" w:rsidRDefault="00554FF4"/>
        </w:tc>
        <w:tc>
          <w:tcPr>
            <w:tcW w:w="474" w:type="dxa"/>
            <w:noWrap/>
            <w:hideMark/>
          </w:tcPr>
          <w:p w14:paraId="0313D28A" w14:textId="77777777" w:rsidR="00554FF4" w:rsidRPr="00554FF4" w:rsidRDefault="00554FF4"/>
        </w:tc>
        <w:tc>
          <w:tcPr>
            <w:tcW w:w="474" w:type="dxa"/>
            <w:noWrap/>
            <w:hideMark/>
          </w:tcPr>
          <w:p w14:paraId="2A80B593" w14:textId="77777777" w:rsidR="00554FF4" w:rsidRPr="00554FF4" w:rsidRDefault="00554FF4"/>
        </w:tc>
        <w:tc>
          <w:tcPr>
            <w:tcW w:w="585" w:type="dxa"/>
            <w:noWrap/>
            <w:hideMark/>
          </w:tcPr>
          <w:p w14:paraId="26C2A026" w14:textId="77777777" w:rsidR="00554FF4" w:rsidRPr="00554FF4" w:rsidRDefault="00554FF4"/>
        </w:tc>
        <w:tc>
          <w:tcPr>
            <w:tcW w:w="585" w:type="dxa"/>
            <w:noWrap/>
            <w:hideMark/>
          </w:tcPr>
          <w:p w14:paraId="138690D3" w14:textId="77777777" w:rsidR="00554FF4" w:rsidRPr="00554FF4" w:rsidRDefault="00554FF4"/>
        </w:tc>
        <w:tc>
          <w:tcPr>
            <w:tcW w:w="585" w:type="dxa"/>
            <w:noWrap/>
            <w:hideMark/>
          </w:tcPr>
          <w:p w14:paraId="2C6E98EA" w14:textId="77777777" w:rsidR="00554FF4" w:rsidRPr="00554FF4" w:rsidRDefault="00554FF4"/>
        </w:tc>
        <w:tc>
          <w:tcPr>
            <w:tcW w:w="585" w:type="dxa"/>
            <w:noWrap/>
            <w:hideMark/>
          </w:tcPr>
          <w:p w14:paraId="29ED0D92" w14:textId="77777777" w:rsidR="00554FF4" w:rsidRPr="00554FF4" w:rsidRDefault="00554FF4"/>
        </w:tc>
        <w:tc>
          <w:tcPr>
            <w:tcW w:w="585" w:type="dxa"/>
            <w:noWrap/>
            <w:hideMark/>
          </w:tcPr>
          <w:p w14:paraId="062E553C" w14:textId="77777777" w:rsidR="00554FF4" w:rsidRPr="00554FF4" w:rsidRDefault="00554FF4"/>
        </w:tc>
      </w:tr>
      <w:tr w:rsidR="00554FF4" w:rsidRPr="00554FF4" w14:paraId="6133F2FB" w14:textId="77777777" w:rsidTr="00496056">
        <w:trPr>
          <w:trHeight w:val="230"/>
          <w:jc w:val="center"/>
        </w:trPr>
        <w:tc>
          <w:tcPr>
            <w:tcW w:w="2379" w:type="dxa"/>
            <w:noWrap/>
            <w:hideMark/>
          </w:tcPr>
          <w:p w14:paraId="273A7841" w14:textId="77777777" w:rsidR="00554FF4" w:rsidRPr="00554FF4" w:rsidRDefault="00554FF4">
            <w:r w:rsidRPr="00554FF4">
              <w:t>Market research and validation</w:t>
            </w:r>
          </w:p>
        </w:tc>
        <w:tc>
          <w:tcPr>
            <w:tcW w:w="474" w:type="dxa"/>
            <w:noWrap/>
            <w:hideMark/>
          </w:tcPr>
          <w:p w14:paraId="09242411" w14:textId="77777777" w:rsidR="00554FF4" w:rsidRPr="00554FF4" w:rsidRDefault="00554FF4"/>
        </w:tc>
        <w:tc>
          <w:tcPr>
            <w:tcW w:w="474" w:type="dxa"/>
            <w:noWrap/>
            <w:hideMark/>
          </w:tcPr>
          <w:p w14:paraId="4A885A78" w14:textId="77777777" w:rsidR="00554FF4" w:rsidRPr="00554FF4" w:rsidRDefault="00554FF4"/>
        </w:tc>
        <w:tc>
          <w:tcPr>
            <w:tcW w:w="474" w:type="dxa"/>
            <w:noWrap/>
            <w:hideMark/>
          </w:tcPr>
          <w:p w14:paraId="6C039392" w14:textId="77777777" w:rsidR="00554FF4" w:rsidRPr="00554FF4" w:rsidRDefault="00554FF4"/>
        </w:tc>
        <w:tc>
          <w:tcPr>
            <w:tcW w:w="474" w:type="dxa"/>
            <w:shd w:val="clear" w:color="auto" w:fill="C6D9F1" w:themeFill="text2" w:themeFillTint="33"/>
            <w:noWrap/>
          </w:tcPr>
          <w:p w14:paraId="60412A0B" w14:textId="23777297" w:rsidR="00554FF4" w:rsidRPr="00554FF4" w:rsidRDefault="00554FF4"/>
        </w:tc>
        <w:tc>
          <w:tcPr>
            <w:tcW w:w="474" w:type="dxa"/>
            <w:shd w:val="clear" w:color="auto" w:fill="C6D9F1" w:themeFill="text2" w:themeFillTint="33"/>
            <w:noWrap/>
          </w:tcPr>
          <w:p w14:paraId="3EF6D850" w14:textId="432FFFDC" w:rsidR="00554FF4" w:rsidRPr="00554FF4" w:rsidRDefault="00554FF4"/>
        </w:tc>
        <w:tc>
          <w:tcPr>
            <w:tcW w:w="474" w:type="dxa"/>
            <w:shd w:val="clear" w:color="auto" w:fill="C6D9F1" w:themeFill="text2" w:themeFillTint="33"/>
            <w:noWrap/>
          </w:tcPr>
          <w:p w14:paraId="1ED5599E" w14:textId="47F5FE77" w:rsidR="00554FF4" w:rsidRPr="00554FF4" w:rsidRDefault="00554FF4"/>
        </w:tc>
        <w:tc>
          <w:tcPr>
            <w:tcW w:w="474" w:type="dxa"/>
            <w:noWrap/>
            <w:hideMark/>
          </w:tcPr>
          <w:p w14:paraId="79DBD318" w14:textId="77777777" w:rsidR="00554FF4" w:rsidRPr="00554FF4" w:rsidRDefault="00554FF4"/>
        </w:tc>
        <w:tc>
          <w:tcPr>
            <w:tcW w:w="474" w:type="dxa"/>
            <w:noWrap/>
            <w:hideMark/>
          </w:tcPr>
          <w:p w14:paraId="013E319D" w14:textId="77777777" w:rsidR="00554FF4" w:rsidRPr="00554FF4" w:rsidRDefault="00554FF4"/>
        </w:tc>
        <w:tc>
          <w:tcPr>
            <w:tcW w:w="474" w:type="dxa"/>
            <w:noWrap/>
            <w:hideMark/>
          </w:tcPr>
          <w:p w14:paraId="4A020B1B" w14:textId="77777777" w:rsidR="00554FF4" w:rsidRPr="00554FF4" w:rsidRDefault="00554FF4"/>
        </w:tc>
        <w:tc>
          <w:tcPr>
            <w:tcW w:w="585" w:type="dxa"/>
            <w:noWrap/>
            <w:hideMark/>
          </w:tcPr>
          <w:p w14:paraId="4B70F80E" w14:textId="77777777" w:rsidR="00554FF4" w:rsidRPr="00554FF4" w:rsidRDefault="00554FF4"/>
        </w:tc>
        <w:tc>
          <w:tcPr>
            <w:tcW w:w="585" w:type="dxa"/>
            <w:noWrap/>
            <w:hideMark/>
          </w:tcPr>
          <w:p w14:paraId="47E90FF2" w14:textId="77777777" w:rsidR="00554FF4" w:rsidRPr="00554FF4" w:rsidRDefault="00554FF4"/>
        </w:tc>
        <w:tc>
          <w:tcPr>
            <w:tcW w:w="585" w:type="dxa"/>
            <w:noWrap/>
            <w:hideMark/>
          </w:tcPr>
          <w:p w14:paraId="53158F1B" w14:textId="77777777" w:rsidR="00554FF4" w:rsidRPr="00554FF4" w:rsidRDefault="00554FF4"/>
        </w:tc>
        <w:tc>
          <w:tcPr>
            <w:tcW w:w="585" w:type="dxa"/>
            <w:noWrap/>
            <w:hideMark/>
          </w:tcPr>
          <w:p w14:paraId="7D1FD0A0" w14:textId="77777777" w:rsidR="00554FF4" w:rsidRPr="00554FF4" w:rsidRDefault="00554FF4"/>
        </w:tc>
        <w:tc>
          <w:tcPr>
            <w:tcW w:w="585" w:type="dxa"/>
            <w:noWrap/>
            <w:hideMark/>
          </w:tcPr>
          <w:p w14:paraId="489397D0" w14:textId="77777777" w:rsidR="00554FF4" w:rsidRPr="00554FF4" w:rsidRDefault="00554FF4"/>
        </w:tc>
      </w:tr>
      <w:tr w:rsidR="00554FF4" w:rsidRPr="00554FF4" w14:paraId="284DCB2F" w14:textId="77777777" w:rsidTr="00496056">
        <w:trPr>
          <w:trHeight w:val="230"/>
          <w:jc w:val="center"/>
        </w:trPr>
        <w:tc>
          <w:tcPr>
            <w:tcW w:w="2379" w:type="dxa"/>
            <w:noWrap/>
            <w:hideMark/>
          </w:tcPr>
          <w:p w14:paraId="20FD8105" w14:textId="77777777" w:rsidR="00554FF4" w:rsidRPr="00554FF4" w:rsidRDefault="00554FF4">
            <w:r w:rsidRPr="00554FF4">
              <w:t>Organise and code secondary data</w:t>
            </w:r>
          </w:p>
        </w:tc>
        <w:tc>
          <w:tcPr>
            <w:tcW w:w="474" w:type="dxa"/>
            <w:noWrap/>
            <w:hideMark/>
          </w:tcPr>
          <w:p w14:paraId="384B5DA1" w14:textId="77777777" w:rsidR="00554FF4" w:rsidRPr="00554FF4" w:rsidRDefault="00554FF4"/>
        </w:tc>
        <w:tc>
          <w:tcPr>
            <w:tcW w:w="474" w:type="dxa"/>
            <w:noWrap/>
            <w:hideMark/>
          </w:tcPr>
          <w:p w14:paraId="3E53C7E6" w14:textId="77777777" w:rsidR="00554FF4" w:rsidRPr="00554FF4" w:rsidRDefault="00554FF4"/>
        </w:tc>
        <w:tc>
          <w:tcPr>
            <w:tcW w:w="474" w:type="dxa"/>
            <w:noWrap/>
            <w:hideMark/>
          </w:tcPr>
          <w:p w14:paraId="2F28974D" w14:textId="77777777" w:rsidR="00554FF4" w:rsidRPr="00554FF4" w:rsidRDefault="00554FF4"/>
        </w:tc>
        <w:tc>
          <w:tcPr>
            <w:tcW w:w="474" w:type="dxa"/>
            <w:noWrap/>
            <w:hideMark/>
          </w:tcPr>
          <w:p w14:paraId="43412928" w14:textId="77777777" w:rsidR="00554FF4" w:rsidRPr="00554FF4" w:rsidRDefault="00554FF4"/>
        </w:tc>
        <w:tc>
          <w:tcPr>
            <w:tcW w:w="474" w:type="dxa"/>
            <w:shd w:val="clear" w:color="auto" w:fill="C6D9F1" w:themeFill="text2" w:themeFillTint="33"/>
            <w:noWrap/>
          </w:tcPr>
          <w:p w14:paraId="35D4C89C" w14:textId="5BCEC587" w:rsidR="00554FF4" w:rsidRPr="00554FF4" w:rsidRDefault="00554FF4"/>
        </w:tc>
        <w:tc>
          <w:tcPr>
            <w:tcW w:w="474" w:type="dxa"/>
            <w:shd w:val="clear" w:color="auto" w:fill="C6D9F1" w:themeFill="text2" w:themeFillTint="33"/>
            <w:noWrap/>
          </w:tcPr>
          <w:p w14:paraId="3F20E3C9" w14:textId="4E563226" w:rsidR="00554FF4" w:rsidRPr="00554FF4" w:rsidRDefault="00554FF4"/>
        </w:tc>
        <w:tc>
          <w:tcPr>
            <w:tcW w:w="474" w:type="dxa"/>
            <w:shd w:val="clear" w:color="auto" w:fill="C6D9F1" w:themeFill="text2" w:themeFillTint="33"/>
            <w:noWrap/>
          </w:tcPr>
          <w:p w14:paraId="6BCF6B10" w14:textId="3873D243" w:rsidR="00554FF4" w:rsidRPr="00554FF4" w:rsidRDefault="00554FF4"/>
        </w:tc>
        <w:tc>
          <w:tcPr>
            <w:tcW w:w="474" w:type="dxa"/>
            <w:noWrap/>
            <w:hideMark/>
          </w:tcPr>
          <w:p w14:paraId="0F4B24E0" w14:textId="77777777" w:rsidR="00554FF4" w:rsidRPr="00554FF4" w:rsidRDefault="00554FF4"/>
        </w:tc>
        <w:tc>
          <w:tcPr>
            <w:tcW w:w="474" w:type="dxa"/>
            <w:noWrap/>
            <w:hideMark/>
          </w:tcPr>
          <w:p w14:paraId="50D253C1" w14:textId="77777777" w:rsidR="00554FF4" w:rsidRPr="00554FF4" w:rsidRDefault="00554FF4"/>
        </w:tc>
        <w:tc>
          <w:tcPr>
            <w:tcW w:w="585" w:type="dxa"/>
            <w:noWrap/>
            <w:hideMark/>
          </w:tcPr>
          <w:p w14:paraId="2FE3FDAA" w14:textId="77777777" w:rsidR="00554FF4" w:rsidRPr="00554FF4" w:rsidRDefault="00554FF4"/>
        </w:tc>
        <w:tc>
          <w:tcPr>
            <w:tcW w:w="585" w:type="dxa"/>
            <w:noWrap/>
            <w:hideMark/>
          </w:tcPr>
          <w:p w14:paraId="58872179" w14:textId="77777777" w:rsidR="00554FF4" w:rsidRPr="00554FF4" w:rsidRDefault="00554FF4"/>
        </w:tc>
        <w:tc>
          <w:tcPr>
            <w:tcW w:w="585" w:type="dxa"/>
            <w:noWrap/>
            <w:hideMark/>
          </w:tcPr>
          <w:p w14:paraId="531BFA12" w14:textId="77777777" w:rsidR="00554FF4" w:rsidRPr="00554FF4" w:rsidRDefault="00554FF4"/>
        </w:tc>
        <w:tc>
          <w:tcPr>
            <w:tcW w:w="585" w:type="dxa"/>
            <w:noWrap/>
            <w:hideMark/>
          </w:tcPr>
          <w:p w14:paraId="73555994" w14:textId="77777777" w:rsidR="00554FF4" w:rsidRPr="00554FF4" w:rsidRDefault="00554FF4"/>
        </w:tc>
        <w:tc>
          <w:tcPr>
            <w:tcW w:w="585" w:type="dxa"/>
            <w:noWrap/>
            <w:hideMark/>
          </w:tcPr>
          <w:p w14:paraId="2C5A8930" w14:textId="77777777" w:rsidR="00554FF4" w:rsidRPr="00554FF4" w:rsidRDefault="00554FF4"/>
        </w:tc>
      </w:tr>
      <w:tr w:rsidR="00554FF4" w:rsidRPr="00554FF4" w14:paraId="32E841F8" w14:textId="77777777" w:rsidTr="00496056">
        <w:trPr>
          <w:trHeight w:val="230"/>
          <w:jc w:val="center"/>
        </w:trPr>
        <w:tc>
          <w:tcPr>
            <w:tcW w:w="2379" w:type="dxa"/>
            <w:noWrap/>
            <w:hideMark/>
          </w:tcPr>
          <w:p w14:paraId="4B788E42" w14:textId="77777777" w:rsidR="00554FF4" w:rsidRPr="00554FF4" w:rsidRDefault="00554FF4">
            <w:r w:rsidRPr="00554FF4">
              <w:t>Conduct thematic analysis</w:t>
            </w:r>
          </w:p>
        </w:tc>
        <w:tc>
          <w:tcPr>
            <w:tcW w:w="474" w:type="dxa"/>
            <w:noWrap/>
            <w:hideMark/>
          </w:tcPr>
          <w:p w14:paraId="6AF65F0D" w14:textId="77777777" w:rsidR="00554FF4" w:rsidRPr="00554FF4" w:rsidRDefault="00554FF4"/>
        </w:tc>
        <w:tc>
          <w:tcPr>
            <w:tcW w:w="474" w:type="dxa"/>
            <w:noWrap/>
            <w:hideMark/>
          </w:tcPr>
          <w:p w14:paraId="08A97734" w14:textId="77777777" w:rsidR="00554FF4" w:rsidRPr="00554FF4" w:rsidRDefault="00554FF4"/>
        </w:tc>
        <w:tc>
          <w:tcPr>
            <w:tcW w:w="474" w:type="dxa"/>
            <w:noWrap/>
            <w:hideMark/>
          </w:tcPr>
          <w:p w14:paraId="684EB492" w14:textId="77777777" w:rsidR="00554FF4" w:rsidRPr="00554FF4" w:rsidRDefault="00554FF4"/>
        </w:tc>
        <w:tc>
          <w:tcPr>
            <w:tcW w:w="474" w:type="dxa"/>
            <w:noWrap/>
            <w:hideMark/>
          </w:tcPr>
          <w:p w14:paraId="2E722519" w14:textId="77777777" w:rsidR="00554FF4" w:rsidRPr="00554FF4" w:rsidRDefault="00554FF4"/>
        </w:tc>
        <w:tc>
          <w:tcPr>
            <w:tcW w:w="474" w:type="dxa"/>
            <w:noWrap/>
            <w:hideMark/>
          </w:tcPr>
          <w:p w14:paraId="6C0604AC" w14:textId="77777777" w:rsidR="00554FF4" w:rsidRPr="00554FF4" w:rsidRDefault="00554FF4"/>
        </w:tc>
        <w:tc>
          <w:tcPr>
            <w:tcW w:w="474" w:type="dxa"/>
            <w:shd w:val="clear" w:color="auto" w:fill="C6D9F1" w:themeFill="text2" w:themeFillTint="33"/>
            <w:noWrap/>
          </w:tcPr>
          <w:p w14:paraId="3DEE3D76" w14:textId="3B7E57A2" w:rsidR="00554FF4" w:rsidRPr="00554FF4" w:rsidRDefault="00554FF4"/>
        </w:tc>
        <w:tc>
          <w:tcPr>
            <w:tcW w:w="474" w:type="dxa"/>
            <w:shd w:val="clear" w:color="auto" w:fill="C6D9F1" w:themeFill="text2" w:themeFillTint="33"/>
            <w:noWrap/>
          </w:tcPr>
          <w:p w14:paraId="77B89ED2" w14:textId="4D511ACF" w:rsidR="00554FF4" w:rsidRPr="00554FF4" w:rsidRDefault="00554FF4"/>
        </w:tc>
        <w:tc>
          <w:tcPr>
            <w:tcW w:w="474" w:type="dxa"/>
            <w:shd w:val="clear" w:color="auto" w:fill="C6D9F1" w:themeFill="text2" w:themeFillTint="33"/>
            <w:noWrap/>
          </w:tcPr>
          <w:p w14:paraId="00B1DF05" w14:textId="18A6AD3F" w:rsidR="00554FF4" w:rsidRPr="00554FF4" w:rsidRDefault="00554FF4"/>
        </w:tc>
        <w:tc>
          <w:tcPr>
            <w:tcW w:w="474" w:type="dxa"/>
            <w:shd w:val="clear" w:color="auto" w:fill="C6D9F1" w:themeFill="text2" w:themeFillTint="33"/>
            <w:noWrap/>
          </w:tcPr>
          <w:p w14:paraId="42C578B1" w14:textId="267CB133" w:rsidR="00554FF4" w:rsidRPr="00554FF4" w:rsidRDefault="00554FF4"/>
        </w:tc>
        <w:tc>
          <w:tcPr>
            <w:tcW w:w="585" w:type="dxa"/>
            <w:noWrap/>
            <w:hideMark/>
          </w:tcPr>
          <w:p w14:paraId="2CB3E8C8" w14:textId="77777777" w:rsidR="00554FF4" w:rsidRPr="00554FF4" w:rsidRDefault="00554FF4"/>
        </w:tc>
        <w:tc>
          <w:tcPr>
            <w:tcW w:w="585" w:type="dxa"/>
            <w:noWrap/>
            <w:hideMark/>
          </w:tcPr>
          <w:p w14:paraId="0CF614BB" w14:textId="77777777" w:rsidR="00554FF4" w:rsidRPr="00554FF4" w:rsidRDefault="00554FF4"/>
        </w:tc>
        <w:tc>
          <w:tcPr>
            <w:tcW w:w="585" w:type="dxa"/>
            <w:noWrap/>
            <w:hideMark/>
          </w:tcPr>
          <w:p w14:paraId="5785F5C4" w14:textId="77777777" w:rsidR="00554FF4" w:rsidRPr="00554FF4" w:rsidRDefault="00554FF4"/>
        </w:tc>
        <w:tc>
          <w:tcPr>
            <w:tcW w:w="585" w:type="dxa"/>
            <w:noWrap/>
            <w:hideMark/>
          </w:tcPr>
          <w:p w14:paraId="49324402" w14:textId="77777777" w:rsidR="00554FF4" w:rsidRPr="00554FF4" w:rsidRDefault="00554FF4"/>
        </w:tc>
        <w:tc>
          <w:tcPr>
            <w:tcW w:w="585" w:type="dxa"/>
            <w:noWrap/>
            <w:hideMark/>
          </w:tcPr>
          <w:p w14:paraId="2867D878" w14:textId="77777777" w:rsidR="00554FF4" w:rsidRPr="00554FF4" w:rsidRDefault="00554FF4"/>
        </w:tc>
      </w:tr>
      <w:tr w:rsidR="00554FF4" w:rsidRPr="00554FF4" w14:paraId="35B0F38D" w14:textId="77777777" w:rsidTr="00496056">
        <w:trPr>
          <w:trHeight w:val="230"/>
          <w:jc w:val="center"/>
        </w:trPr>
        <w:tc>
          <w:tcPr>
            <w:tcW w:w="2379" w:type="dxa"/>
            <w:noWrap/>
            <w:hideMark/>
          </w:tcPr>
          <w:p w14:paraId="1337A0C9" w14:textId="77777777" w:rsidR="00554FF4" w:rsidRPr="00554FF4" w:rsidRDefault="00554FF4">
            <w:r w:rsidRPr="00554FF4">
              <w:t>PESTLE, SWOT and competitor analysis</w:t>
            </w:r>
          </w:p>
        </w:tc>
        <w:tc>
          <w:tcPr>
            <w:tcW w:w="474" w:type="dxa"/>
            <w:noWrap/>
            <w:hideMark/>
          </w:tcPr>
          <w:p w14:paraId="582002C1" w14:textId="77777777" w:rsidR="00554FF4" w:rsidRPr="00554FF4" w:rsidRDefault="00554FF4"/>
        </w:tc>
        <w:tc>
          <w:tcPr>
            <w:tcW w:w="474" w:type="dxa"/>
            <w:noWrap/>
            <w:hideMark/>
          </w:tcPr>
          <w:p w14:paraId="5F1687BE" w14:textId="77777777" w:rsidR="00554FF4" w:rsidRPr="00554FF4" w:rsidRDefault="00554FF4"/>
        </w:tc>
        <w:tc>
          <w:tcPr>
            <w:tcW w:w="474" w:type="dxa"/>
            <w:noWrap/>
            <w:hideMark/>
          </w:tcPr>
          <w:p w14:paraId="7E6277DC" w14:textId="77777777" w:rsidR="00554FF4" w:rsidRPr="00554FF4" w:rsidRDefault="00554FF4"/>
        </w:tc>
        <w:tc>
          <w:tcPr>
            <w:tcW w:w="474" w:type="dxa"/>
            <w:noWrap/>
            <w:hideMark/>
          </w:tcPr>
          <w:p w14:paraId="229D2C15" w14:textId="77777777" w:rsidR="00554FF4" w:rsidRPr="00554FF4" w:rsidRDefault="00554FF4"/>
        </w:tc>
        <w:tc>
          <w:tcPr>
            <w:tcW w:w="474" w:type="dxa"/>
            <w:noWrap/>
            <w:hideMark/>
          </w:tcPr>
          <w:p w14:paraId="02B0F088" w14:textId="77777777" w:rsidR="00554FF4" w:rsidRPr="00554FF4" w:rsidRDefault="00554FF4"/>
        </w:tc>
        <w:tc>
          <w:tcPr>
            <w:tcW w:w="474" w:type="dxa"/>
            <w:noWrap/>
            <w:hideMark/>
          </w:tcPr>
          <w:p w14:paraId="59084F25" w14:textId="77777777" w:rsidR="00554FF4" w:rsidRPr="00554FF4" w:rsidRDefault="00554FF4"/>
        </w:tc>
        <w:tc>
          <w:tcPr>
            <w:tcW w:w="474" w:type="dxa"/>
            <w:shd w:val="clear" w:color="auto" w:fill="C6D9F1" w:themeFill="text2" w:themeFillTint="33"/>
            <w:noWrap/>
          </w:tcPr>
          <w:p w14:paraId="2ED1320F" w14:textId="146E32B8" w:rsidR="00554FF4" w:rsidRPr="00554FF4" w:rsidRDefault="00554FF4"/>
        </w:tc>
        <w:tc>
          <w:tcPr>
            <w:tcW w:w="474" w:type="dxa"/>
            <w:shd w:val="clear" w:color="auto" w:fill="C6D9F1" w:themeFill="text2" w:themeFillTint="33"/>
            <w:noWrap/>
          </w:tcPr>
          <w:p w14:paraId="2A7A3E58" w14:textId="5E80F61A" w:rsidR="00554FF4" w:rsidRPr="00554FF4" w:rsidRDefault="00554FF4"/>
        </w:tc>
        <w:tc>
          <w:tcPr>
            <w:tcW w:w="474" w:type="dxa"/>
            <w:shd w:val="clear" w:color="auto" w:fill="C6D9F1" w:themeFill="text2" w:themeFillTint="33"/>
            <w:noWrap/>
          </w:tcPr>
          <w:p w14:paraId="2EB68817" w14:textId="78F4B2EC" w:rsidR="00554FF4" w:rsidRPr="00554FF4" w:rsidRDefault="00554FF4"/>
        </w:tc>
        <w:tc>
          <w:tcPr>
            <w:tcW w:w="585" w:type="dxa"/>
            <w:noWrap/>
            <w:hideMark/>
          </w:tcPr>
          <w:p w14:paraId="2B8FB731" w14:textId="77777777" w:rsidR="00554FF4" w:rsidRPr="00554FF4" w:rsidRDefault="00554FF4"/>
        </w:tc>
        <w:tc>
          <w:tcPr>
            <w:tcW w:w="585" w:type="dxa"/>
            <w:noWrap/>
            <w:hideMark/>
          </w:tcPr>
          <w:p w14:paraId="4373AEAA" w14:textId="77777777" w:rsidR="00554FF4" w:rsidRPr="00554FF4" w:rsidRDefault="00554FF4"/>
        </w:tc>
        <w:tc>
          <w:tcPr>
            <w:tcW w:w="585" w:type="dxa"/>
            <w:noWrap/>
            <w:hideMark/>
          </w:tcPr>
          <w:p w14:paraId="48007DC2" w14:textId="77777777" w:rsidR="00554FF4" w:rsidRPr="00554FF4" w:rsidRDefault="00554FF4"/>
        </w:tc>
        <w:tc>
          <w:tcPr>
            <w:tcW w:w="585" w:type="dxa"/>
            <w:noWrap/>
            <w:hideMark/>
          </w:tcPr>
          <w:p w14:paraId="55E558B0" w14:textId="77777777" w:rsidR="00554FF4" w:rsidRPr="00554FF4" w:rsidRDefault="00554FF4"/>
        </w:tc>
        <w:tc>
          <w:tcPr>
            <w:tcW w:w="585" w:type="dxa"/>
            <w:noWrap/>
            <w:hideMark/>
          </w:tcPr>
          <w:p w14:paraId="5A883047" w14:textId="77777777" w:rsidR="00554FF4" w:rsidRPr="00554FF4" w:rsidRDefault="00554FF4"/>
        </w:tc>
      </w:tr>
      <w:tr w:rsidR="00554FF4" w:rsidRPr="00554FF4" w14:paraId="0F9ED5FA" w14:textId="77777777" w:rsidTr="00496056">
        <w:trPr>
          <w:trHeight w:val="230"/>
          <w:jc w:val="center"/>
        </w:trPr>
        <w:tc>
          <w:tcPr>
            <w:tcW w:w="2379" w:type="dxa"/>
            <w:noWrap/>
            <w:hideMark/>
          </w:tcPr>
          <w:p w14:paraId="607C474E" w14:textId="77777777" w:rsidR="00554FF4" w:rsidRPr="00554FF4" w:rsidRDefault="00554FF4">
            <w:r w:rsidRPr="00554FF4">
              <w:t>Porter’s Five Forces and Ansoff Matrix</w:t>
            </w:r>
          </w:p>
        </w:tc>
        <w:tc>
          <w:tcPr>
            <w:tcW w:w="474" w:type="dxa"/>
            <w:noWrap/>
            <w:hideMark/>
          </w:tcPr>
          <w:p w14:paraId="1AC8686F" w14:textId="77777777" w:rsidR="00554FF4" w:rsidRPr="00554FF4" w:rsidRDefault="00554FF4"/>
        </w:tc>
        <w:tc>
          <w:tcPr>
            <w:tcW w:w="474" w:type="dxa"/>
            <w:noWrap/>
            <w:hideMark/>
          </w:tcPr>
          <w:p w14:paraId="155B2FC9" w14:textId="77777777" w:rsidR="00554FF4" w:rsidRPr="00554FF4" w:rsidRDefault="00554FF4"/>
        </w:tc>
        <w:tc>
          <w:tcPr>
            <w:tcW w:w="474" w:type="dxa"/>
            <w:noWrap/>
            <w:hideMark/>
          </w:tcPr>
          <w:p w14:paraId="6644F41B" w14:textId="77777777" w:rsidR="00554FF4" w:rsidRPr="00554FF4" w:rsidRDefault="00554FF4"/>
        </w:tc>
        <w:tc>
          <w:tcPr>
            <w:tcW w:w="474" w:type="dxa"/>
            <w:noWrap/>
            <w:hideMark/>
          </w:tcPr>
          <w:p w14:paraId="7E559196" w14:textId="77777777" w:rsidR="00554FF4" w:rsidRPr="00554FF4" w:rsidRDefault="00554FF4"/>
        </w:tc>
        <w:tc>
          <w:tcPr>
            <w:tcW w:w="474" w:type="dxa"/>
            <w:noWrap/>
            <w:hideMark/>
          </w:tcPr>
          <w:p w14:paraId="33BF2945" w14:textId="77777777" w:rsidR="00554FF4" w:rsidRPr="00554FF4" w:rsidRDefault="00554FF4"/>
        </w:tc>
        <w:tc>
          <w:tcPr>
            <w:tcW w:w="474" w:type="dxa"/>
            <w:noWrap/>
            <w:hideMark/>
          </w:tcPr>
          <w:p w14:paraId="479F069F" w14:textId="77777777" w:rsidR="00554FF4" w:rsidRPr="00554FF4" w:rsidRDefault="00554FF4"/>
        </w:tc>
        <w:tc>
          <w:tcPr>
            <w:tcW w:w="474" w:type="dxa"/>
            <w:noWrap/>
            <w:hideMark/>
          </w:tcPr>
          <w:p w14:paraId="3ACDD156" w14:textId="77777777" w:rsidR="00554FF4" w:rsidRPr="00554FF4" w:rsidRDefault="00554FF4"/>
        </w:tc>
        <w:tc>
          <w:tcPr>
            <w:tcW w:w="474" w:type="dxa"/>
            <w:shd w:val="clear" w:color="auto" w:fill="C6D9F1" w:themeFill="text2" w:themeFillTint="33"/>
            <w:noWrap/>
          </w:tcPr>
          <w:p w14:paraId="04E4A657" w14:textId="01A17005" w:rsidR="00554FF4" w:rsidRPr="00554FF4" w:rsidRDefault="00554FF4"/>
        </w:tc>
        <w:tc>
          <w:tcPr>
            <w:tcW w:w="474" w:type="dxa"/>
            <w:shd w:val="clear" w:color="auto" w:fill="C6D9F1" w:themeFill="text2" w:themeFillTint="33"/>
            <w:noWrap/>
          </w:tcPr>
          <w:p w14:paraId="52CDFFC4" w14:textId="2509BCEC" w:rsidR="00554FF4" w:rsidRPr="00554FF4" w:rsidRDefault="00554FF4"/>
        </w:tc>
        <w:tc>
          <w:tcPr>
            <w:tcW w:w="585" w:type="dxa"/>
            <w:shd w:val="clear" w:color="auto" w:fill="C6D9F1" w:themeFill="text2" w:themeFillTint="33"/>
            <w:noWrap/>
          </w:tcPr>
          <w:p w14:paraId="43D9E9D4" w14:textId="629C6634" w:rsidR="00554FF4" w:rsidRPr="00554FF4" w:rsidRDefault="00554FF4"/>
        </w:tc>
        <w:tc>
          <w:tcPr>
            <w:tcW w:w="585" w:type="dxa"/>
            <w:noWrap/>
            <w:hideMark/>
          </w:tcPr>
          <w:p w14:paraId="19EC4BE0" w14:textId="77777777" w:rsidR="00554FF4" w:rsidRPr="00554FF4" w:rsidRDefault="00554FF4"/>
        </w:tc>
        <w:tc>
          <w:tcPr>
            <w:tcW w:w="585" w:type="dxa"/>
            <w:noWrap/>
            <w:hideMark/>
          </w:tcPr>
          <w:p w14:paraId="19278C65" w14:textId="77777777" w:rsidR="00554FF4" w:rsidRPr="00554FF4" w:rsidRDefault="00554FF4"/>
        </w:tc>
        <w:tc>
          <w:tcPr>
            <w:tcW w:w="585" w:type="dxa"/>
            <w:noWrap/>
            <w:hideMark/>
          </w:tcPr>
          <w:p w14:paraId="1D41C520" w14:textId="77777777" w:rsidR="00554FF4" w:rsidRPr="00554FF4" w:rsidRDefault="00554FF4"/>
        </w:tc>
        <w:tc>
          <w:tcPr>
            <w:tcW w:w="585" w:type="dxa"/>
            <w:noWrap/>
            <w:hideMark/>
          </w:tcPr>
          <w:p w14:paraId="7F342C92" w14:textId="77777777" w:rsidR="00554FF4" w:rsidRPr="00554FF4" w:rsidRDefault="00554FF4"/>
        </w:tc>
      </w:tr>
      <w:tr w:rsidR="00554FF4" w:rsidRPr="00554FF4" w14:paraId="3B3C07F5" w14:textId="77777777" w:rsidTr="00496056">
        <w:trPr>
          <w:trHeight w:val="230"/>
          <w:jc w:val="center"/>
        </w:trPr>
        <w:tc>
          <w:tcPr>
            <w:tcW w:w="2379" w:type="dxa"/>
            <w:noWrap/>
            <w:hideMark/>
          </w:tcPr>
          <w:p w14:paraId="5B8391E3" w14:textId="77777777" w:rsidR="00554FF4" w:rsidRPr="00554FF4" w:rsidRDefault="00554FF4">
            <w:r w:rsidRPr="00554FF4">
              <w:lastRenderedPageBreak/>
              <w:t>Financial and operational analysis</w:t>
            </w:r>
          </w:p>
        </w:tc>
        <w:tc>
          <w:tcPr>
            <w:tcW w:w="474" w:type="dxa"/>
            <w:noWrap/>
            <w:hideMark/>
          </w:tcPr>
          <w:p w14:paraId="6180A8E6" w14:textId="77777777" w:rsidR="00554FF4" w:rsidRPr="00554FF4" w:rsidRDefault="00554FF4"/>
        </w:tc>
        <w:tc>
          <w:tcPr>
            <w:tcW w:w="474" w:type="dxa"/>
            <w:noWrap/>
            <w:hideMark/>
          </w:tcPr>
          <w:p w14:paraId="1FDC6DED" w14:textId="77777777" w:rsidR="00554FF4" w:rsidRPr="00554FF4" w:rsidRDefault="00554FF4"/>
        </w:tc>
        <w:tc>
          <w:tcPr>
            <w:tcW w:w="474" w:type="dxa"/>
            <w:noWrap/>
            <w:hideMark/>
          </w:tcPr>
          <w:p w14:paraId="6671E5ED" w14:textId="77777777" w:rsidR="00554FF4" w:rsidRPr="00554FF4" w:rsidRDefault="00554FF4"/>
        </w:tc>
        <w:tc>
          <w:tcPr>
            <w:tcW w:w="474" w:type="dxa"/>
            <w:noWrap/>
            <w:hideMark/>
          </w:tcPr>
          <w:p w14:paraId="3A8EA438" w14:textId="77777777" w:rsidR="00554FF4" w:rsidRPr="00554FF4" w:rsidRDefault="00554FF4"/>
        </w:tc>
        <w:tc>
          <w:tcPr>
            <w:tcW w:w="474" w:type="dxa"/>
            <w:noWrap/>
            <w:hideMark/>
          </w:tcPr>
          <w:p w14:paraId="0D3EBA22" w14:textId="77777777" w:rsidR="00554FF4" w:rsidRPr="00554FF4" w:rsidRDefault="00554FF4"/>
        </w:tc>
        <w:tc>
          <w:tcPr>
            <w:tcW w:w="474" w:type="dxa"/>
            <w:noWrap/>
            <w:hideMark/>
          </w:tcPr>
          <w:p w14:paraId="3A777043" w14:textId="77777777" w:rsidR="00554FF4" w:rsidRPr="00554FF4" w:rsidRDefault="00554FF4"/>
        </w:tc>
        <w:tc>
          <w:tcPr>
            <w:tcW w:w="474" w:type="dxa"/>
            <w:noWrap/>
            <w:hideMark/>
          </w:tcPr>
          <w:p w14:paraId="131A7FE0" w14:textId="77777777" w:rsidR="00554FF4" w:rsidRPr="00554FF4" w:rsidRDefault="00554FF4"/>
        </w:tc>
        <w:tc>
          <w:tcPr>
            <w:tcW w:w="474" w:type="dxa"/>
            <w:noWrap/>
            <w:hideMark/>
          </w:tcPr>
          <w:p w14:paraId="7AA87D6D" w14:textId="77777777" w:rsidR="00554FF4" w:rsidRPr="00554FF4" w:rsidRDefault="00554FF4"/>
        </w:tc>
        <w:tc>
          <w:tcPr>
            <w:tcW w:w="474" w:type="dxa"/>
            <w:shd w:val="clear" w:color="auto" w:fill="C6D9F1" w:themeFill="text2" w:themeFillTint="33"/>
            <w:noWrap/>
          </w:tcPr>
          <w:p w14:paraId="2CE0C29F" w14:textId="067AEC0E" w:rsidR="00554FF4" w:rsidRPr="00554FF4" w:rsidRDefault="00554FF4"/>
        </w:tc>
        <w:tc>
          <w:tcPr>
            <w:tcW w:w="585" w:type="dxa"/>
            <w:shd w:val="clear" w:color="auto" w:fill="C6D9F1" w:themeFill="text2" w:themeFillTint="33"/>
            <w:noWrap/>
          </w:tcPr>
          <w:p w14:paraId="459729B3" w14:textId="77AB6CD4" w:rsidR="00554FF4" w:rsidRPr="00554FF4" w:rsidRDefault="00554FF4"/>
        </w:tc>
        <w:tc>
          <w:tcPr>
            <w:tcW w:w="585" w:type="dxa"/>
            <w:shd w:val="clear" w:color="auto" w:fill="C6D9F1" w:themeFill="text2" w:themeFillTint="33"/>
            <w:noWrap/>
          </w:tcPr>
          <w:p w14:paraId="53278CFF" w14:textId="295331D4" w:rsidR="00554FF4" w:rsidRPr="00554FF4" w:rsidRDefault="00554FF4"/>
        </w:tc>
        <w:tc>
          <w:tcPr>
            <w:tcW w:w="585" w:type="dxa"/>
            <w:noWrap/>
            <w:hideMark/>
          </w:tcPr>
          <w:p w14:paraId="2F58EBBA" w14:textId="77777777" w:rsidR="00554FF4" w:rsidRPr="00554FF4" w:rsidRDefault="00554FF4"/>
        </w:tc>
        <w:tc>
          <w:tcPr>
            <w:tcW w:w="585" w:type="dxa"/>
            <w:noWrap/>
            <w:hideMark/>
          </w:tcPr>
          <w:p w14:paraId="0158174A" w14:textId="77777777" w:rsidR="00554FF4" w:rsidRPr="00554FF4" w:rsidRDefault="00554FF4"/>
        </w:tc>
        <w:tc>
          <w:tcPr>
            <w:tcW w:w="585" w:type="dxa"/>
            <w:noWrap/>
            <w:hideMark/>
          </w:tcPr>
          <w:p w14:paraId="2B8227C2" w14:textId="77777777" w:rsidR="00554FF4" w:rsidRPr="00554FF4" w:rsidRDefault="00554FF4"/>
        </w:tc>
      </w:tr>
      <w:tr w:rsidR="00554FF4" w:rsidRPr="00554FF4" w14:paraId="51CD60D4" w14:textId="77777777" w:rsidTr="00496056">
        <w:trPr>
          <w:trHeight w:val="230"/>
          <w:jc w:val="center"/>
        </w:trPr>
        <w:tc>
          <w:tcPr>
            <w:tcW w:w="2379" w:type="dxa"/>
            <w:noWrap/>
            <w:hideMark/>
          </w:tcPr>
          <w:p w14:paraId="090A161D" w14:textId="77777777" w:rsidR="00554FF4" w:rsidRPr="00554FF4" w:rsidRDefault="00554FF4">
            <w:r w:rsidRPr="00554FF4">
              <w:t>Develop strategic recommendations</w:t>
            </w:r>
          </w:p>
        </w:tc>
        <w:tc>
          <w:tcPr>
            <w:tcW w:w="474" w:type="dxa"/>
            <w:noWrap/>
            <w:hideMark/>
          </w:tcPr>
          <w:p w14:paraId="62FF1912" w14:textId="77777777" w:rsidR="00554FF4" w:rsidRPr="00554FF4" w:rsidRDefault="00554FF4"/>
        </w:tc>
        <w:tc>
          <w:tcPr>
            <w:tcW w:w="474" w:type="dxa"/>
            <w:noWrap/>
            <w:hideMark/>
          </w:tcPr>
          <w:p w14:paraId="6F71ACC4" w14:textId="77777777" w:rsidR="00554FF4" w:rsidRPr="00554FF4" w:rsidRDefault="00554FF4"/>
        </w:tc>
        <w:tc>
          <w:tcPr>
            <w:tcW w:w="474" w:type="dxa"/>
            <w:noWrap/>
            <w:hideMark/>
          </w:tcPr>
          <w:p w14:paraId="76FDC440" w14:textId="77777777" w:rsidR="00554FF4" w:rsidRPr="00554FF4" w:rsidRDefault="00554FF4"/>
        </w:tc>
        <w:tc>
          <w:tcPr>
            <w:tcW w:w="474" w:type="dxa"/>
            <w:noWrap/>
            <w:hideMark/>
          </w:tcPr>
          <w:p w14:paraId="005EBE92" w14:textId="77777777" w:rsidR="00554FF4" w:rsidRPr="00554FF4" w:rsidRDefault="00554FF4"/>
        </w:tc>
        <w:tc>
          <w:tcPr>
            <w:tcW w:w="474" w:type="dxa"/>
            <w:noWrap/>
            <w:hideMark/>
          </w:tcPr>
          <w:p w14:paraId="4DC18922" w14:textId="77777777" w:rsidR="00554FF4" w:rsidRPr="00554FF4" w:rsidRDefault="00554FF4"/>
        </w:tc>
        <w:tc>
          <w:tcPr>
            <w:tcW w:w="474" w:type="dxa"/>
            <w:noWrap/>
            <w:hideMark/>
          </w:tcPr>
          <w:p w14:paraId="14B6A9A2" w14:textId="77777777" w:rsidR="00554FF4" w:rsidRPr="00554FF4" w:rsidRDefault="00554FF4"/>
        </w:tc>
        <w:tc>
          <w:tcPr>
            <w:tcW w:w="474" w:type="dxa"/>
            <w:noWrap/>
            <w:hideMark/>
          </w:tcPr>
          <w:p w14:paraId="3E966A44" w14:textId="77777777" w:rsidR="00554FF4" w:rsidRPr="00554FF4" w:rsidRDefault="00554FF4"/>
        </w:tc>
        <w:tc>
          <w:tcPr>
            <w:tcW w:w="474" w:type="dxa"/>
            <w:noWrap/>
            <w:hideMark/>
          </w:tcPr>
          <w:p w14:paraId="2B77984F" w14:textId="77777777" w:rsidR="00554FF4" w:rsidRPr="00554FF4" w:rsidRDefault="00554FF4"/>
        </w:tc>
        <w:tc>
          <w:tcPr>
            <w:tcW w:w="474" w:type="dxa"/>
            <w:noWrap/>
            <w:hideMark/>
          </w:tcPr>
          <w:p w14:paraId="261ACDDE" w14:textId="77777777" w:rsidR="00554FF4" w:rsidRPr="00554FF4" w:rsidRDefault="00554FF4"/>
        </w:tc>
        <w:tc>
          <w:tcPr>
            <w:tcW w:w="585" w:type="dxa"/>
            <w:shd w:val="clear" w:color="auto" w:fill="C6D9F1" w:themeFill="text2" w:themeFillTint="33"/>
            <w:noWrap/>
          </w:tcPr>
          <w:p w14:paraId="6D5875D8" w14:textId="72631F3F" w:rsidR="00554FF4" w:rsidRPr="00554FF4" w:rsidRDefault="00554FF4"/>
        </w:tc>
        <w:tc>
          <w:tcPr>
            <w:tcW w:w="585" w:type="dxa"/>
            <w:shd w:val="clear" w:color="auto" w:fill="C6D9F1" w:themeFill="text2" w:themeFillTint="33"/>
            <w:noWrap/>
          </w:tcPr>
          <w:p w14:paraId="75ADC225" w14:textId="0C674F8A" w:rsidR="00554FF4" w:rsidRPr="00554FF4" w:rsidRDefault="00554FF4"/>
        </w:tc>
        <w:tc>
          <w:tcPr>
            <w:tcW w:w="585" w:type="dxa"/>
            <w:shd w:val="clear" w:color="auto" w:fill="C6D9F1" w:themeFill="text2" w:themeFillTint="33"/>
            <w:noWrap/>
          </w:tcPr>
          <w:p w14:paraId="25FE0E30" w14:textId="34BE87AA" w:rsidR="00554FF4" w:rsidRPr="00554FF4" w:rsidRDefault="00554FF4"/>
        </w:tc>
        <w:tc>
          <w:tcPr>
            <w:tcW w:w="585" w:type="dxa"/>
            <w:noWrap/>
            <w:hideMark/>
          </w:tcPr>
          <w:p w14:paraId="1E730DF3" w14:textId="77777777" w:rsidR="00554FF4" w:rsidRPr="00554FF4" w:rsidRDefault="00554FF4"/>
        </w:tc>
        <w:tc>
          <w:tcPr>
            <w:tcW w:w="585" w:type="dxa"/>
            <w:noWrap/>
            <w:hideMark/>
          </w:tcPr>
          <w:p w14:paraId="3EEAD3D5" w14:textId="77777777" w:rsidR="00554FF4" w:rsidRPr="00554FF4" w:rsidRDefault="00554FF4"/>
        </w:tc>
      </w:tr>
      <w:tr w:rsidR="00554FF4" w:rsidRPr="00554FF4" w14:paraId="64D02DAB" w14:textId="77777777" w:rsidTr="00496056">
        <w:trPr>
          <w:trHeight w:val="230"/>
          <w:jc w:val="center"/>
        </w:trPr>
        <w:tc>
          <w:tcPr>
            <w:tcW w:w="2379" w:type="dxa"/>
            <w:noWrap/>
            <w:hideMark/>
          </w:tcPr>
          <w:p w14:paraId="4F0885AC" w14:textId="77777777" w:rsidR="00554FF4" w:rsidRPr="00554FF4" w:rsidRDefault="00554FF4">
            <w:r w:rsidRPr="00554FF4">
              <w:t>Draft full BDP</w:t>
            </w:r>
          </w:p>
        </w:tc>
        <w:tc>
          <w:tcPr>
            <w:tcW w:w="474" w:type="dxa"/>
            <w:noWrap/>
            <w:hideMark/>
          </w:tcPr>
          <w:p w14:paraId="14FCFD77" w14:textId="77777777" w:rsidR="00554FF4" w:rsidRPr="00554FF4" w:rsidRDefault="00554FF4"/>
        </w:tc>
        <w:tc>
          <w:tcPr>
            <w:tcW w:w="474" w:type="dxa"/>
            <w:noWrap/>
            <w:hideMark/>
          </w:tcPr>
          <w:p w14:paraId="489479E0" w14:textId="77777777" w:rsidR="00554FF4" w:rsidRPr="00554FF4" w:rsidRDefault="00554FF4"/>
        </w:tc>
        <w:tc>
          <w:tcPr>
            <w:tcW w:w="474" w:type="dxa"/>
            <w:noWrap/>
            <w:hideMark/>
          </w:tcPr>
          <w:p w14:paraId="03145055" w14:textId="77777777" w:rsidR="00554FF4" w:rsidRPr="00554FF4" w:rsidRDefault="00554FF4"/>
        </w:tc>
        <w:tc>
          <w:tcPr>
            <w:tcW w:w="474" w:type="dxa"/>
            <w:noWrap/>
            <w:hideMark/>
          </w:tcPr>
          <w:p w14:paraId="3D5A8B12" w14:textId="77777777" w:rsidR="00554FF4" w:rsidRPr="00554FF4" w:rsidRDefault="00554FF4"/>
        </w:tc>
        <w:tc>
          <w:tcPr>
            <w:tcW w:w="474" w:type="dxa"/>
            <w:noWrap/>
            <w:hideMark/>
          </w:tcPr>
          <w:p w14:paraId="5596023D" w14:textId="77777777" w:rsidR="00554FF4" w:rsidRPr="00554FF4" w:rsidRDefault="00554FF4"/>
        </w:tc>
        <w:tc>
          <w:tcPr>
            <w:tcW w:w="474" w:type="dxa"/>
            <w:noWrap/>
            <w:hideMark/>
          </w:tcPr>
          <w:p w14:paraId="76E0C0B0" w14:textId="77777777" w:rsidR="00554FF4" w:rsidRPr="00554FF4" w:rsidRDefault="00554FF4"/>
        </w:tc>
        <w:tc>
          <w:tcPr>
            <w:tcW w:w="474" w:type="dxa"/>
            <w:noWrap/>
            <w:hideMark/>
          </w:tcPr>
          <w:p w14:paraId="274D1AAC" w14:textId="77777777" w:rsidR="00554FF4" w:rsidRPr="00554FF4" w:rsidRDefault="00554FF4"/>
        </w:tc>
        <w:tc>
          <w:tcPr>
            <w:tcW w:w="474" w:type="dxa"/>
            <w:noWrap/>
            <w:hideMark/>
          </w:tcPr>
          <w:p w14:paraId="54050057" w14:textId="77777777" w:rsidR="00554FF4" w:rsidRPr="00554FF4" w:rsidRDefault="00554FF4"/>
        </w:tc>
        <w:tc>
          <w:tcPr>
            <w:tcW w:w="474" w:type="dxa"/>
            <w:noWrap/>
            <w:hideMark/>
          </w:tcPr>
          <w:p w14:paraId="5EEAEADC" w14:textId="77777777" w:rsidR="00554FF4" w:rsidRPr="00554FF4" w:rsidRDefault="00554FF4"/>
        </w:tc>
        <w:tc>
          <w:tcPr>
            <w:tcW w:w="585" w:type="dxa"/>
            <w:noWrap/>
            <w:hideMark/>
          </w:tcPr>
          <w:p w14:paraId="7540F148" w14:textId="77777777" w:rsidR="00554FF4" w:rsidRPr="00554FF4" w:rsidRDefault="00554FF4"/>
        </w:tc>
        <w:tc>
          <w:tcPr>
            <w:tcW w:w="585" w:type="dxa"/>
            <w:shd w:val="clear" w:color="auto" w:fill="C6D9F1" w:themeFill="text2" w:themeFillTint="33"/>
            <w:noWrap/>
          </w:tcPr>
          <w:p w14:paraId="57753E8E" w14:textId="1B1EFF71" w:rsidR="00554FF4" w:rsidRPr="00554FF4" w:rsidRDefault="00554FF4"/>
        </w:tc>
        <w:tc>
          <w:tcPr>
            <w:tcW w:w="585" w:type="dxa"/>
            <w:shd w:val="clear" w:color="auto" w:fill="C6D9F1" w:themeFill="text2" w:themeFillTint="33"/>
            <w:noWrap/>
          </w:tcPr>
          <w:p w14:paraId="47EDC0E7" w14:textId="6349A3D5" w:rsidR="00554FF4" w:rsidRPr="00554FF4" w:rsidRDefault="00554FF4"/>
        </w:tc>
        <w:tc>
          <w:tcPr>
            <w:tcW w:w="585" w:type="dxa"/>
            <w:shd w:val="clear" w:color="auto" w:fill="C6D9F1" w:themeFill="text2" w:themeFillTint="33"/>
            <w:noWrap/>
          </w:tcPr>
          <w:p w14:paraId="070E264D" w14:textId="5FB2A3FA" w:rsidR="00554FF4" w:rsidRPr="00554FF4" w:rsidRDefault="00554FF4"/>
        </w:tc>
        <w:tc>
          <w:tcPr>
            <w:tcW w:w="585" w:type="dxa"/>
            <w:noWrap/>
            <w:hideMark/>
          </w:tcPr>
          <w:p w14:paraId="44E01D48" w14:textId="77777777" w:rsidR="00554FF4" w:rsidRPr="00554FF4" w:rsidRDefault="00554FF4"/>
        </w:tc>
      </w:tr>
      <w:tr w:rsidR="00554FF4" w:rsidRPr="00554FF4" w14:paraId="3504AB9D" w14:textId="77777777" w:rsidTr="00496056">
        <w:trPr>
          <w:trHeight w:val="230"/>
          <w:jc w:val="center"/>
        </w:trPr>
        <w:tc>
          <w:tcPr>
            <w:tcW w:w="2379" w:type="dxa"/>
            <w:noWrap/>
            <w:hideMark/>
          </w:tcPr>
          <w:p w14:paraId="2174E326" w14:textId="77777777" w:rsidR="00554FF4" w:rsidRPr="00554FF4" w:rsidRDefault="00554FF4">
            <w:r w:rsidRPr="00554FF4">
              <w:t>Review, edit and referencing</w:t>
            </w:r>
          </w:p>
        </w:tc>
        <w:tc>
          <w:tcPr>
            <w:tcW w:w="474" w:type="dxa"/>
            <w:noWrap/>
            <w:hideMark/>
          </w:tcPr>
          <w:p w14:paraId="1C3ADD1B" w14:textId="77777777" w:rsidR="00554FF4" w:rsidRPr="00554FF4" w:rsidRDefault="00554FF4"/>
        </w:tc>
        <w:tc>
          <w:tcPr>
            <w:tcW w:w="474" w:type="dxa"/>
            <w:noWrap/>
            <w:hideMark/>
          </w:tcPr>
          <w:p w14:paraId="19412668" w14:textId="77777777" w:rsidR="00554FF4" w:rsidRPr="00554FF4" w:rsidRDefault="00554FF4"/>
        </w:tc>
        <w:tc>
          <w:tcPr>
            <w:tcW w:w="474" w:type="dxa"/>
            <w:noWrap/>
            <w:hideMark/>
          </w:tcPr>
          <w:p w14:paraId="736B3633" w14:textId="77777777" w:rsidR="00554FF4" w:rsidRPr="00554FF4" w:rsidRDefault="00554FF4"/>
        </w:tc>
        <w:tc>
          <w:tcPr>
            <w:tcW w:w="474" w:type="dxa"/>
            <w:noWrap/>
            <w:hideMark/>
          </w:tcPr>
          <w:p w14:paraId="730B3B3C" w14:textId="77777777" w:rsidR="00554FF4" w:rsidRPr="00554FF4" w:rsidRDefault="00554FF4"/>
        </w:tc>
        <w:tc>
          <w:tcPr>
            <w:tcW w:w="474" w:type="dxa"/>
            <w:noWrap/>
            <w:hideMark/>
          </w:tcPr>
          <w:p w14:paraId="10EC5E9E" w14:textId="77777777" w:rsidR="00554FF4" w:rsidRPr="00554FF4" w:rsidRDefault="00554FF4"/>
        </w:tc>
        <w:tc>
          <w:tcPr>
            <w:tcW w:w="474" w:type="dxa"/>
            <w:noWrap/>
            <w:hideMark/>
          </w:tcPr>
          <w:p w14:paraId="56F68394" w14:textId="77777777" w:rsidR="00554FF4" w:rsidRPr="00554FF4" w:rsidRDefault="00554FF4"/>
        </w:tc>
        <w:tc>
          <w:tcPr>
            <w:tcW w:w="474" w:type="dxa"/>
            <w:noWrap/>
            <w:hideMark/>
          </w:tcPr>
          <w:p w14:paraId="4A2296BD" w14:textId="77777777" w:rsidR="00554FF4" w:rsidRPr="00554FF4" w:rsidRDefault="00554FF4"/>
        </w:tc>
        <w:tc>
          <w:tcPr>
            <w:tcW w:w="474" w:type="dxa"/>
            <w:noWrap/>
            <w:hideMark/>
          </w:tcPr>
          <w:p w14:paraId="2BFD9F90" w14:textId="77777777" w:rsidR="00554FF4" w:rsidRPr="00554FF4" w:rsidRDefault="00554FF4"/>
        </w:tc>
        <w:tc>
          <w:tcPr>
            <w:tcW w:w="474" w:type="dxa"/>
            <w:noWrap/>
            <w:hideMark/>
          </w:tcPr>
          <w:p w14:paraId="3BDF150E" w14:textId="77777777" w:rsidR="00554FF4" w:rsidRPr="00554FF4" w:rsidRDefault="00554FF4"/>
        </w:tc>
        <w:tc>
          <w:tcPr>
            <w:tcW w:w="585" w:type="dxa"/>
            <w:noWrap/>
            <w:hideMark/>
          </w:tcPr>
          <w:p w14:paraId="78378755" w14:textId="77777777" w:rsidR="00554FF4" w:rsidRPr="00554FF4" w:rsidRDefault="00554FF4"/>
        </w:tc>
        <w:tc>
          <w:tcPr>
            <w:tcW w:w="585" w:type="dxa"/>
            <w:noWrap/>
            <w:hideMark/>
          </w:tcPr>
          <w:p w14:paraId="054FD280" w14:textId="77777777" w:rsidR="00554FF4" w:rsidRPr="00554FF4" w:rsidRDefault="00554FF4"/>
        </w:tc>
        <w:tc>
          <w:tcPr>
            <w:tcW w:w="585" w:type="dxa"/>
            <w:shd w:val="clear" w:color="auto" w:fill="C6D9F1" w:themeFill="text2" w:themeFillTint="33"/>
            <w:noWrap/>
          </w:tcPr>
          <w:p w14:paraId="624B2D79" w14:textId="22CD616A" w:rsidR="00554FF4" w:rsidRPr="00554FF4" w:rsidRDefault="00554FF4"/>
        </w:tc>
        <w:tc>
          <w:tcPr>
            <w:tcW w:w="585" w:type="dxa"/>
            <w:shd w:val="clear" w:color="auto" w:fill="C6D9F1" w:themeFill="text2" w:themeFillTint="33"/>
            <w:noWrap/>
          </w:tcPr>
          <w:p w14:paraId="791C64E7" w14:textId="4CF9B624" w:rsidR="00554FF4" w:rsidRPr="00554FF4" w:rsidRDefault="00554FF4"/>
        </w:tc>
        <w:tc>
          <w:tcPr>
            <w:tcW w:w="585" w:type="dxa"/>
            <w:shd w:val="clear" w:color="auto" w:fill="C6D9F1" w:themeFill="text2" w:themeFillTint="33"/>
            <w:noWrap/>
          </w:tcPr>
          <w:p w14:paraId="5157EBFA" w14:textId="0F3A5C75" w:rsidR="00554FF4" w:rsidRPr="00554FF4" w:rsidRDefault="00554FF4"/>
        </w:tc>
      </w:tr>
      <w:tr w:rsidR="00554FF4" w:rsidRPr="00554FF4" w14:paraId="0EF8BA27" w14:textId="77777777" w:rsidTr="00496056">
        <w:trPr>
          <w:trHeight w:val="230"/>
          <w:jc w:val="center"/>
        </w:trPr>
        <w:tc>
          <w:tcPr>
            <w:tcW w:w="2379" w:type="dxa"/>
            <w:noWrap/>
            <w:hideMark/>
          </w:tcPr>
          <w:p w14:paraId="0F387F0E" w14:textId="77777777" w:rsidR="00554FF4" w:rsidRPr="00554FF4" w:rsidRDefault="00554FF4">
            <w:r w:rsidRPr="00554FF4">
              <w:t>Final proofreading and submission</w:t>
            </w:r>
          </w:p>
        </w:tc>
        <w:tc>
          <w:tcPr>
            <w:tcW w:w="474" w:type="dxa"/>
            <w:noWrap/>
            <w:hideMark/>
          </w:tcPr>
          <w:p w14:paraId="056EE779" w14:textId="77777777" w:rsidR="00554FF4" w:rsidRPr="00554FF4" w:rsidRDefault="00554FF4"/>
        </w:tc>
        <w:tc>
          <w:tcPr>
            <w:tcW w:w="474" w:type="dxa"/>
            <w:noWrap/>
            <w:hideMark/>
          </w:tcPr>
          <w:p w14:paraId="0AB2C6F5" w14:textId="77777777" w:rsidR="00554FF4" w:rsidRPr="00554FF4" w:rsidRDefault="00554FF4"/>
        </w:tc>
        <w:tc>
          <w:tcPr>
            <w:tcW w:w="474" w:type="dxa"/>
            <w:noWrap/>
            <w:hideMark/>
          </w:tcPr>
          <w:p w14:paraId="078748C0" w14:textId="77777777" w:rsidR="00554FF4" w:rsidRPr="00554FF4" w:rsidRDefault="00554FF4"/>
        </w:tc>
        <w:tc>
          <w:tcPr>
            <w:tcW w:w="474" w:type="dxa"/>
            <w:noWrap/>
            <w:hideMark/>
          </w:tcPr>
          <w:p w14:paraId="6BFE9383" w14:textId="77777777" w:rsidR="00554FF4" w:rsidRPr="00554FF4" w:rsidRDefault="00554FF4"/>
        </w:tc>
        <w:tc>
          <w:tcPr>
            <w:tcW w:w="474" w:type="dxa"/>
            <w:noWrap/>
            <w:hideMark/>
          </w:tcPr>
          <w:p w14:paraId="206DF769" w14:textId="77777777" w:rsidR="00554FF4" w:rsidRPr="00554FF4" w:rsidRDefault="00554FF4"/>
        </w:tc>
        <w:tc>
          <w:tcPr>
            <w:tcW w:w="474" w:type="dxa"/>
            <w:noWrap/>
            <w:hideMark/>
          </w:tcPr>
          <w:p w14:paraId="35B9437F" w14:textId="77777777" w:rsidR="00554FF4" w:rsidRPr="00554FF4" w:rsidRDefault="00554FF4"/>
        </w:tc>
        <w:tc>
          <w:tcPr>
            <w:tcW w:w="474" w:type="dxa"/>
            <w:noWrap/>
            <w:hideMark/>
          </w:tcPr>
          <w:p w14:paraId="1F5F3C80" w14:textId="77777777" w:rsidR="00554FF4" w:rsidRPr="00554FF4" w:rsidRDefault="00554FF4"/>
        </w:tc>
        <w:tc>
          <w:tcPr>
            <w:tcW w:w="474" w:type="dxa"/>
            <w:noWrap/>
            <w:hideMark/>
          </w:tcPr>
          <w:p w14:paraId="23A0BA6A" w14:textId="77777777" w:rsidR="00554FF4" w:rsidRPr="00554FF4" w:rsidRDefault="00554FF4"/>
        </w:tc>
        <w:tc>
          <w:tcPr>
            <w:tcW w:w="474" w:type="dxa"/>
            <w:noWrap/>
            <w:hideMark/>
          </w:tcPr>
          <w:p w14:paraId="681C4C06" w14:textId="77777777" w:rsidR="00554FF4" w:rsidRPr="00554FF4" w:rsidRDefault="00554FF4"/>
        </w:tc>
        <w:tc>
          <w:tcPr>
            <w:tcW w:w="585" w:type="dxa"/>
            <w:noWrap/>
            <w:hideMark/>
          </w:tcPr>
          <w:p w14:paraId="209D6204" w14:textId="77777777" w:rsidR="00554FF4" w:rsidRPr="00554FF4" w:rsidRDefault="00554FF4"/>
        </w:tc>
        <w:tc>
          <w:tcPr>
            <w:tcW w:w="585" w:type="dxa"/>
            <w:noWrap/>
            <w:hideMark/>
          </w:tcPr>
          <w:p w14:paraId="50C5F324" w14:textId="77777777" w:rsidR="00554FF4" w:rsidRPr="00554FF4" w:rsidRDefault="00554FF4"/>
        </w:tc>
        <w:tc>
          <w:tcPr>
            <w:tcW w:w="585" w:type="dxa"/>
            <w:noWrap/>
            <w:hideMark/>
          </w:tcPr>
          <w:p w14:paraId="550D950D" w14:textId="77777777" w:rsidR="00554FF4" w:rsidRPr="00554FF4" w:rsidRDefault="00554FF4"/>
        </w:tc>
        <w:tc>
          <w:tcPr>
            <w:tcW w:w="585" w:type="dxa"/>
            <w:shd w:val="clear" w:color="auto" w:fill="C6D9F1" w:themeFill="text2" w:themeFillTint="33"/>
            <w:noWrap/>
          </w:tcPr>
          <w:p w14:paraId="051BFFEC" w14:textId="77777777" w:rsidR="00554FF4" w:rsidRPr="00554FF4" w:rsidRDefault="00554FF4"/>
        </w:tc>
        <w:tc>
          <w:tcPr>
            <w:tcW w:w="585" w:type="dxa"/>
            <w:shd w:val="clear" w:color="auto" w:fill="C6D9F1" w:themeFill="text2" w:themeFillTint="33"/>
            <w:noWrap/>
          </w:tcPr>
          <w:p w14:paraId="1E35BF4D" w14:textId="3C1EED49" w:rsidR="00554FF4" w:rsidRPr="00554FF4" w:rsidRDefault="00554FF4"/>
        </w:tc>
      </w:tr>
    </w:tbl>
    <w:p w14:paraId="1C31BDAC" w14:textId="5AEA38F2" w:rsidR="000E3699" w:rsidRDefault="000E3699" w:rsidP="000E3699">
      <w:pPr>
        <w:pStyle w:val="Caption"/>
        <w:jc w:val="center"/>
      </w:pPr>
      <w:r>
        <w:t xml:space="preserve">Table </w:t>
      </w:r>
      <w:r>
        <w:fldChar w:fldCharType="begin"/>
      </w:r>
      <w:r>
        <w:instrText xml:space="preserve"> SEQ Table \* ARABIC </w:instrText>
      </w:r>
      <w:r>
        <w:fldChar w:fldCharType="separate"/>
      </w:r>
      <w:r>
        <w:rPr>
          <w:noProof/>
        </w:rPr>
        <w:t>2</w:t>
      </w:r>
      <w:r>
        <w:fldChar w:fldCharType="end"/>
      </w:r>
      <w:r>
        <w:t>: Gantt Chart (Source- Author)</w:t>
      </w:r>
    </w:p>
    <w:p w14:paraId="443715A0" w14:textId="77777777" w:rsidR="00B16DBE" w:rsidRDefault="00B16DBE" w:rsidP="00B16DBE"/>
    <w:p w14:paraId="566259D9" w14:textId="161DAB22" w:rsidR="00B16DBE" w:rsidRDefault="00B16DBE">
      <w:pPr>
        <w:spacing w:before="0" w:after="160" w:line="259" w:lineRule="auto"/>
        <w:jc w:val="left"/>
      </w:pPr>
      <w:r>
        <w:br w:type="page"/>
      </w:r>
    </w:p>
    <w:p w14:paraId="0B3AEDE7" w14:textId="027B45E4" w:rsidR="00B16DBE" w:rsidRDefault="00B16DBE" w:rsidP="00B16DBE">
      <w:pPr>
        <w:pStyle w:val="Heading1"/>
      </w:pPr>
      <w:bookmarkStart w:id="16" w:name="_Toc241268994"/>
      <w:r>
        <w:lastRenderedPageBreak/>
        <w:t>References</w:t>
      </w:r>
      <w:bookmarkEnd w:id="16"/>
    </w:p>
    <w:p w14:paraId="7BE6BBED" w14:textId="2429388D" w:rsidR="00B16DBE" w:rsidRPr="00B16DBE" w:rsidRDefault="00B16DBE" w:rsidP="00B16DBE">
      <w:pPr>
        <w:pStyle w:val="ListParagraph"/>
        <w:numPr>
          <w:ilvl w:val="0"/>
          <w:numId w:val="7"/>
        </w:numPr>
        <w:rPr>
          <w:lang w:val="en-US"/>
        </w:rPr>
      </w:pPr>
      <w:r w:rsidRPr="00B16DBE">
        <w:rPr>
          <w:lang w:val="en-US"/>
        </w:rPr>
        <w:t xml:space="preserve">Berkeley Group (2025). </w:t>
      </w:r>
      <w:r w:rsidRPr="00B16DBE">
        <w:rPr>
          <w:i/>
          <w:iCs/>
          <w:lang w:val="en-US"/>
        </w:rPr>
        <w:t>Full year 2025 results announced</w:t>
      </w:r>
      <w:r w:rsidRPr="00B16DBE">
        <w:rPr>
          <w:lang w:val="en-US"/>
        </w:rPr>
        <w:t xml:space="preserve">. [online] Berkeley Group. Available at: </w:t>
      </w:r>
      <w:hyperlink r:id="rId24" w:history="1">
        <w:r w:rsidR="0090321E" w:rsidRPr="004F345A">
          <w:rPr>
            <w:rStyle w:val="Hyperlink"/>
            <w:lang w:val="en-US"/>
          </w:rPr>
          <w:t>https://www.berkeleygroup.co.uk/news-and-insights/news-and-features/2025/full-year-results-2025-announced</w:t>
        </w:r>
      </w:hyperlink>
      <w:r w:rsidR="0090321E">
        <w:rPr>
          <w:lang w:val="en-US"/>
        </w:rPr>
        <w:t xml:space="preserve"> </w:t>
      </w:r>
      <w:r w:rsidRPr="00B16DBE">
        <w:rPr>
          <w:lang w:val="en-US"/>
        </w:rPr>
        <w:t xml:space="preserve"> [Accessed 25 Sept. 2026].</w:t>
      </w:r>
    </w:p>
    <w:p w14:paraId="5DC467E9" w14:textId="03083A64" w:rsidR="00B16DBE" w:rsidRPr="00B16DBE" w:rsidRDefault="00B16DBE" w:rsidP="00B16DBE">
      <w:pPr>
        <w:pStyle w:val="ListParagraph"/>
        <w:numPr>
          <w:ilvl w:val="0"/>
          <w:numId w:val="7"/>
        </w:numPr>
        <w:rPr>
          <w:lang w:val="en-US"/>
        </w:rPr>
      </w:pPr>
      <w:r w:rsidRPr="00B16DBE">
        <w:rPr>
          <w:lang w:val="en-US"/>
        </w:rPr>
        <w:t xml:space="preserve">Berkeley Group (2026a). </w:t>
      </w:r>
      <w:r w:rsidRPr="00B16DBE">
        <w:rPr>
          <w:i/>
          <w:iCs/>
          <w:lang w:val="en-US"/>
        </w:rPr>
        <w:t>Annual report | results, reports &amp; announcements</w:t>
      </w:r>
      <w:r w:rsidRPr="00B16DBE">
        <w:rPr>
          <w:lang w:val="en-US"/>
        </w:rPr>
        <w:t xml:space="preserve">. [online] Berkeley Group. Available at: </w:t>
      </w:r>
      <w:hyperlink r:id="rId25" w:history="1">
        <w:r w:rsidR="0090321E" w:rsidRPr="004F345A">
          <w:rPr>
            <w:rStyle w:val="Hyperlink"/>
            <w:lang w:val="en-US"/>
          </w:rPr>
          <w:t>https://www.berkeleygroup.co.uk/investors/annual-report</w:t>
        </w:r>
      </w:hyperlink>
      <w:r w:rsidR="0090321E">
        <w:rPr>
          <w:lang w:val="en-US"/>
        </w:rPr>
        <w:t xml:space="preserve"> </w:t>
      </w:r>
      <w:r w:rsidRPr="00B16DBE">
        <w:rPr>
          <w:lang w:val="en-US"/>
        </w:rPr>
        <w:t xml:space="preserve"> [Accessed 25 Sept. 2026].</w:t>
      </w:r>
    </w:p>
    <w:p w14:paraId="52D33660" w14:textId="60984CE0" w:rsidR="00B16DBE" w:rsidRPr="00B16DBE" w:rsidRDefault="00B16DBE" w:rsidP="00B16DBE">
      <w:pPr>
        <w:pStyle w:val="ListParagraph"/>
        <w:numPr>
          <w:ilvl w:val="0"/>
          <w:numId w:val="7"/>
        </w:numPr>
        <w:rPr>
          <w:lang w:val="en-US"/>
        </w:rPr>
      </w:pPr>
      <w:r w:rsidRPr="00B16DBE">
        <w:rPr>
          <w:lang w:val="en-US"/>
        </w:rPr>
        <w:t xml:space="preserve">Berkeley Group (2026b). </w:t>
      </w:r>
      <w:r w:rsidRPr="00B16DBE">
        <w:rPr>
          <w:i/>
          <w:iCs/>
          <w:lang w:val="en-US"/>
        </w:rPr>
        <w:t>Full year 2026 results announced</w:t>
      </w:r>
      <w:r w:rsidRPr="00B16DBE">
        <w:rPr>
          <w:lang w:val="en-US"/>
        </w:rPr>
        <w:t xml:space="preserve">. [online] Berkeley Group. Available at: </w:t>
      </w:r>
      <w:hyperlink r:id="rId26" w:history="1">
        <w:r w:rsidR="0090321E" w:rsidRPr="004F345A">
          <w:rPr>
            <w:rStyle w:val="Hyperlink"/>
            <w:lang w:val="en-US"/>
          </w:rPr>
          <w:t>https://www.berkeleygroup.co.uk/news-and-insights/news-and-features/2026/full-year-2026-results-announced</w:t>
        </w:r>
      </w:hyperlink>
      <w:r w:rsidR="0090321E">
        <w:rPr>
          <w:lang w:val="en-US"/>
        </w:rPr>
        <w:t xml:space="preserve"> </w:t>
      </w:r>
      <w:r w:rsidRPr="00B16DBE">
        <w:rPr>
          <w:lang w:val="en-US"/>
        </w:rPr>
        <w:t xml:space="preserve"> [Accessed 25 Sept. 2026].</w:t>
      </w:r>
    </w:p>
    <w:p w14:paraId="0BD9EDD3" w14:textId="2D03767D" w:rsidR="00B16DBE" w:rsidRPr="00B16DBE" w:rsidRDefault="00B16DBE" w:rsidP="00B16DBE">
      <w:pPr>
        <w:pStyle w:val="ListParagraph"/>
        <w:numPr>
          <w:ilvl w:val="0"/>
          <w:numId w:val="7"/>
        </w:numPr>
        <w:rPr>
          <w:lang w:val="en-US"/>
        </w:rPr>
      </w:pPr>
      <w:r w:rsidRPr="00B16DBE">
        <w:rPr>
          <w:lang w:val="en-US"/>
        </w:rPr>
        <w:t xml:space="preserve">Berkeley Group (2026c). </w:t>
      </w:r>
      <w:r w:rsidRPr="00B16DBE">
        <w:rPr>
          <w:i/>
          <w:iCs/>
          <w:lang w:val="en-US"/>
        </w:rPr>
        <w:t>History | about us</w:t>
      </w:r>
      <w:r w:rsidRPr="00B16DBE">
        <w:rPr>
          <w:lang w:val="en-US"/>
        </w:rPr>
        <w:t xml:space="preserve">. [online] Berkeley Group. Available at: </w:t>
      </w:r>
      <w:hyperlink r:id="rId27" w:history="1">
        <w:r w:rsidR="0090321E" w:rsidRPr="004F345A">
          <w:rPr>
            <w:rStyle w:val="Hyperlink"/>
            <w:lang w:val="en-US"/>
          </w:rPr>
          <w:t>https://www.berkeleygroup.co.uk/about-us/who-we-are/history</w:t>
        </w:r>
      </w:hyperlink>
      <w:r w:rsidR="0090321E">
        <w:rPr>
          <w:lang w:val="en-US"/>
        </w:rPr>
        <w:t xml:space="preserve"> </w:t>
      </w:r>
      <w:r w:rsidRPr="00B16DBE">
        <w:rPr>
          <w:lang w:val="en-US"/>
        </w:rPr>
        <w:t xml:space="preserve"> [Accessed 25 Sept. 2026].</w:t>
      </w:r>
    </w:p>
    <w:p w14:paraId="42856F2D" w14:textId="2DACC0D0" w:rsidR="00B16DBE" w:rsidRPr="00B16DBE" w:rsidRDefault="00B16DBE" w:rsidP="00B16DBE">
      <w:pPr>
        <w:pStyle w:val="ListParagraph"/>
        <w:numPr>
          <w:ilvl w:val="0"/>
          <w:numId w:val="7"/>
        </w:numPr>
        <w:rPr>
          <w:lang w:val="en-US"/>
        </w:rPr>
      </w:pPr>
      <w:r w:rsidRPr="00B16DBE">
        <w:rPr>
          <w:lang w:val="en-US"/>
        </w:rPr>
        <w:t xml:space="preserve">Berkeley Group (2026d). </w:t>
      </w:r>
      <w:r w:rsidRPr="00B16DBE">
        <w:rPr>
          <w:i/>
          <w:iCs/>
          <w:lang w:val="en-US"/>
        </w:rPr>
        <w:t>Our brands | about us</w:t>
      </w:r>
      <w:r w:rsidRPr="00B16DBE">
        <w:rPr>
          <w:lang w:val="en-US"/>
        </w:rPr>
        <w:t xml:space="preserve">. [online] Berkeley Group. Available at: </w:t>
      </w:r>
      <w:hyperlink r:id="rId28" w:history="1">
        <w:r w:rsidR="0090321E" w:rsidRPr="004F345A">
          <w:rPr>
            <w:rStyle w:val="Hyperlink"/>
            <w:lang w:val="en-US"/>
          </w:rPr>
          <w:t>https://www.berkeleygroup.co.uk/about-us/who-we-are/our-brands</w:t>
        </w:r>
      </w:hyperlink>
      <w:r w:rsidR="0090321E">
        <w:rPr>
          <w:lang w:val="en-US"/>
        </w:rPr>
        <w:t xml:space="preserve"> </w:t>
      </w:r>
      <w:r w:rsidRPr="00B16DBE">
        <w:rPr>
          <w:lang w:val="en-US"/>
        </w:rPr>
        <w:t xml:space="preserve"> [Accessed 25 Sept. 2026].</w:t>
      </w:r>
    </w:p>
    <w:p w14:paraId="1406DBAE" w14:textId="52357E03" w:rsidR="00B16DBE" w:rsidRPr="00B16DBE" w:rsidRDefault="00B16DBE" w:rsidP="00B16DBE">
      <w:pPr>
        <w:pStyle w:val="ListParagraph"/>
        <w:numPr>
          <w:ilvl w:val="0"/>
          <w:numId w:val="7"/>
        </w:numPr>
        <w:rPr>
          <w:lang w:val="en-US"/>
        </w:rPr>
      </w:pPr>
      <w:r w:rsidRPr="00B16DBE">
        <w:rPr>
          <w:lang w:val="en-US"/>
        </w:rPr>
        <w:t xml:space="preserve">Braun, V. and Clarke, V. (2006). Using thematic analysis in psychology. </w:t>
      </w:r>
      <w:r w:rsidRPr="00B16DBE">
        <w:rPr>
          <w:i/>
          <w:iCs/>
          <w:lang w:val="en-US"/>
        </w:rPr>
        <w:t>Qualitative Research in Psychology</w:t>
      </w:r>
      <w:r w:rsidRPr="00B16DBE">
        <w:rPr>
          <w:lang w:val="en-US"/>
        </w:rPr>
        <w:t>, 3(2), pp.77–101. doi:</w:t>
      </w:r>
      <w:r w:rsidR="0090321E">
        <w:rPr>
          <w:lang w:val="en-US"/>
        </w:rPr>
        <w:t xml:space="preserve"> </w:t>
      </w:r>
      <w:hyperlink r:id="rId29" w:history="1">
        <w:r w:rsidR="0090321E" w:rsidRPr="004F345A">
          <w:rPr>
            <w:rStyle w:val="Hyperlink"/>
            <w:lang w:val="en-US"/>
          </w:rPr>
          <w:t>https://doi.org/10.1191/1478088706qp063oa</w:t>
        </w:r>
      </w:hyperlink>
      <w:r w:rsidRPr="00B16DBE">
        <w:rPr>
          <w:lang w:val="en-US"/>
        </w:rPr>
        <w:t>.</w:t>
      </w:r>
      <w:r w:rsidR="0090321E">
        <w:rPr>
          <w:lang w:val="en-US"/>
        </w:rPr>
        <w:t xml:space="preserve"> </w:t>
      </w:r>
    </w:p>
    <w:p w14:paraId="66265CE1" w14:textId="7476133B" w:rsidR="00B16DBE" w:rsidRPr="00B16DBE" w:rsidRDefault="00B16DBE" w:rsidP="00B16DBE">
      <w:pPr>
        <w:pStyle w:val="ListParagraph"/>
        <w:numPr>
          <w:ilvl w:val="0"/>
          <w:numId w:val="7"/>
        </w:numPr>
        <w:rPr>
          <w:lang w:val="en-US"/>
        </w:rPr>
      </w:pPr>
      <w:r w:rsidRPr="00B16DBE">
        <w:rPr>
          <w:lang w:val="en-US"/>
        </w:rPr>
        <w:t xml:space="preserve">Braun, V. and Clarke, V. (2021). One size fits all? What counts as quality practice in (reflexive) thematic analysis? </w:t>
      </w:r>
      <w:r w:rsidRPr="00B16DBE">
        <w:rPr>
          <w:i/>
          <w:iCs/>
          <w:lang w:val="en-US"/>
        </w:rPr>
        <w:t>Qualitative Research in Psychology</w:t>
      </w:r>
      <w:r w:rsidRPr="00B16DBE">
        <w:rPr>
          <w:lang w:val="en-US"/>
        </w:rPr>
        <w:t>, 18(3), pp.328–352. doi:</w:t>
      </w:r>
      <w:r w:rsidR="0090321E">
        <w:rPr>
          <w:lang w:val="en-US"/>
        </w:rPr>
        <w:t xml:space="preserve"> </w:t>
      </w:r>
      <w:hyperlink r:id="rId30" w:history="1">
        <w:r w:rsidR="0090321E" w:rsidRPr="004F345A">
          <w:rPr>
            <w:rStyle w:val="Hyperlink"/>
            <w:lang w:val="en-US"/>
          </w:rPr>
          <w:t>https://doi.org/10.1080/14780887.2020.1769238</w:t>
        </w:r>
      </w:hyperlink>
      <w:r w:rsidRPr="00B16DBE">
        <w:rPr>
          <w:lang w:val="en-US"/>
        </w:rPr>
        <w:t>.</w:t>
      </w:r>
      <w:r w:rsidR="0090321E">
        <w:rPr>
          <w:lang w:val="en-US"/>
        </w:rPr>
        <w:t xml:space="preserve"> </w:t>
      </w:r>
    </w:p>
    <w:p w14:paraId="68C60631" w14:textId="559811FA" w:rsidR="00B16DBE" w:rsidRPr="00B16DBE" w:rsidRDefault="00B16DBE" w:rsidP="00B16DBE">
      <w:pPr>
        <w:pStyle w:val="ListParagraph"/>
        <w:numPr>
          <w:ilvl w:val="0"/>
          <w:numId w:val="7"/>
        </w:numPr>
        <w:rPr>
          <w:lang w:val="en-US"/>
        </w:rPr>
      </w:pPr>
      <w:r w:rsidRPr="00B16DBE">
        <w:rPr>
          <w:lang w:val="en-US"/>
        </w:rPr>
        <w:t xml:space="preserve">Buyuklieva, B., Bevilacqua, I., Dennett, A., Reades, J. and Hubbard, P. (2025). Life for rent: Evolving residential infrastructure in London and the rise of build-to-rent. </w:t>
      </w:r>
      <w:r w:rsidRPr="00B16DBE">
        <w:rPr>
          <w:i/>
          <w:iCs/>
          <w:lang w:val="en-US"/>
        </w:rPr>
        <w:t>Urban Studies</w:t>
      </w:r>
      <w:r w:rsidRPr="00B16DBE">
        <w:rPr>
          <w:lang w:val="en-US"/>
        </w:rPr>
        <w:t>, [online] 62(6), pp.1232–1249. doi:</w:t>
      </w:r>
      <w:r w:rsidR="0090321E">
        <w:rPr>
          <w:lang w:val="en-US"/>
        </w:rPr>
        <w:t xml:space="preserve"> </w:t>
      </w:r>
      <w:hyperlink r:id="rId31" w:history="1">
        <w:r w:rsidR="0090321E" w:rsidRPr="004F345A">
          <w:rPr>
            <w:rStyle w:val="Hyperlink"/>
            <w:lang w:val="en-US"/>
          </w:rPr>
          <w:t>https://doi.org/10.1177/00420980241277684</w:t>
        </w:r>
      </w:hyperlink>
      <w:r w:rsidRPr="00B16DBE">
        <w:rPr>
          <w:lang w:val="en-US"/>
        </w:rPr>
        <w:t>.</w:t>
      </w:r>
      <w:r w:rsidR="0090321E">
        <w:rPr>
          <w:lang w:val="en-US"/>
        </w:rPr>
        <w:t xml:space="preserve"> </w:t>
      </w:r>
    </w:p>
    <w:p w14:paraId="0FE87991" w14:textId="19907E86" w:rsidR="00B16DBE" w:rsidRPr="00B16DBE" w:rsidRDefault="00B16DBE" w:rsidP="00B16DBE">
      <w:pPr>
        <w:pStyle w:val="ListParagraph"/>
        <w:numPr>
          <w:ilvl w:val="0"/>
          <w:numId w:val="7"/>
        </w:numPr>
        <w:rPr>
          <w:lang w:val="en-US"/>
        </w:rPr>
      </w:pPr>
      <w:r w:rsidRPr="00B16DBE">
        <w:rPr>
          <w:lang w:val="en-US"/>
        </w:rPr>
        <w:t xml:space="preserve">CBRE (2026a). </w:t>
      </w:r>
      <w:r w:rsidRPr="00B16DBE">
        <w:rPr>
          <w:i/>
          <w:iCs/>
          <w:lang w:val="en-US"/>
        </w:rPr>
        <w:t>UK living sector outlook 2026: Midyear review</w:t>
      </w:r>
      <w:r w:rsidRPr="00B16DBE">
        <w:rPr>
          <w:lang w:val="en-US"/>
        </w:rPr>
        <w:t xml:space="preserve">. [online] Cbre.co.uk. Available at: </w:t>
      </w:r>
      <w:hyperlink r:id="rId32" w:history="1">
        <w:r w:rsidR="0090321E" w:rsidRPr="004F345A">
          <w:rPr>
            <w:rStyle w:val="Hyperlink"/>
            <w:lang w:val="en-US"/>
          </w:rPr>
          <w:t>https://www.cbre.co.uk/insights/books/uk-real-estate-market-outlook-midyear-review-2026/living</w:t>
        </w:r>
      </w:hyperlink>
      <w:r w:rsidR="0090321E">
        <w:rPr>
          <w:lang w:val="en-US"/>
        </w:rPr>
        <w:t xml:space="preserve"> </w:t>
      </w:r>
      <w:r w:rsidRPr="00B16DBE">
        <w:rPr>
          <w:lang w:val="en-US"/>
        </w:rPr>
        <w:t xml:space="preserve"> [Accessed 25 Sept. 2026].</w:t>
      </w:r>
    </w:p>
    <w:p w14:paraId="648C7B80" w14:textId="7466D134" w:rsidR="00B16DBE" w:rsidRPr="00B16DBE" w:rsidRDefault="00B16DBE" w:rsidP="00B16DBE">
      <w:pPr>
        <w:pStyle w:val="ListParagraph"/>
        <w:numPr>
          <w:ilvl w:val="0"/>
          <w:numId w:val="7"/>
        </w:numPr>
        <w:rPr>
          <w:lang w:val="en-US"/>
        </w:rPr>
      </w:pPr>
      <w:r w:rsidRPr="00B16DBE">
        <w:rPr>
          <w:lang w:val="en-US"/>
        </w:rPr>
        <w:lastRenderedPageBreak/>
        <w:t xml:space="preserve">CBRE (2026b). </w:t>
      </w:r>
      <w:r w:rsidRPr="00B16DBE">
        <w:rPr>
          <w:i/>
          <w:iCs/>
          <w:lang w:val="en-US"/>
        </w:rPr>
        <w:t>£4.4 Bn transacted in the UK living sector in H1, says CBRE</w:t>
      </w:r>
      <w:r w:rsidRPr="00B16DBE">
        <w:rPr>
          <w:lang w:val="en-US"/>
        </w:rPr>
        <w:t xml:space="preserve">. [online] Cbre.co.uk. Available at: </w:t>
      </w:r>
      <w:hyperlink r:id="rId33" w:history="1">
        <w:r w:rsidR="0090321E" w:rsidRPr="004F345A">
          <w:rPr>
            <w:rStyle w:val="Hyperlink"/>
            <w:lang w:val="en-US"/>
          </w:rPr>
          <w:t>https://www.cbre.co.uk/press-releases/44-bn-transacted-in-the-uk-living-sector-in-h1-says-cbre</w:t>
        </w:r>
      </w:hyperlink>
      <w:r w:rsidR="0090321E">
        <w:rPr>
          <w:lang w:val="en-US"/>
        </w:rPr>
        <w:t xml:space="preserve"> </w:t>
      </w:r>
      <w:r w:rsidRPr="00B16DBE">
        <w:rPr>
          <w:lang w:val="en-US"/>
        </w:rPr>
        <w:t xml:space="preserve"> [Accessed 25 Sept. 2026].</w:t>
      </w:r>
    </w:p>
    <w:p w14:paraId="7C6AD6CE" w14:textId="7B872434" w:rsidR="00B16DBE" w:rsidRPr="00B16DBE" w:rsidRDefault="00B16DBE" w:rsidP="00B16DBE">
      <w:pPr>
        <w:pStyle w:val="ListParagraph"/>
        <w:numPr>
          <w:ilvl w:val="0"/>
          <w:numId w:val="7"/>
        </w:numPr>
        <w:rPr>
          <w:lang w:val="en-US"/>
        </w:rPr>
      </w:pPr>
      <w:r w:rsidRPr="00B16DBE">
        <w:rPr>
          <w:lang w:val="en-US"/>
        </w:rPr>
        <w:t xml:space="preserve">Johnston, M.P. (2014). Secondary data analysis: A method of which the time has come. </w:t>
      </w:r>
      <w:r w:rsidRPr="00B16DBE">
        <w:rPr>
          <w:i/>
          <w:iCs/>
          <w:lang w:val="en-US"/>
        </w:rPr>
        <w:t>Qualitative and Quantitative Methods in Libraries</w:t>
      </w:r>
      <w:r w:rsidRPr="00B16DBE">
        <w:rPr>
          <w:lang w:val="en-US"/>
        </w:rPr>
        <w:t xml:space="preserve">, [online] 3(3), pp.619–626. Available at: </w:t>
      </w:r>
      <w:hyperlink r:id="rId34" w:history="1">
        <w:r w:rsidR="0090321E" w:rsidRPr="004F345A">
          <w:rPr>
            <w:rStyle w:val="Hyperlink"/>
            <w:lang w:val="en-US"/>
          </w:rPr>
          <w:t>https://qqml-journal.net/index.php/qqml/article/view/169</w:t>
        </w:r>
      </w:hyperlink>
      <w:r w:rsidR="0090321E">
        <w:rPr>
          <w:lang w:val="en-US"/>
        </w:rPr>
        <w:t xml:space="preserve"> </w:t>
      </w:r>
      <w:r w:rsidRPr="00B16DBE">
        <w:rPr>
          <w:lang w:val="en-US"/>
        </w:rPr>
        <w:t xml:space="preserve"> [Accessed 25 Sept. 2026].</w:t>
      </w:r>
    </w:p>
    <w:p w14:paraId="29BF9FF6" w14:textId="044C91DF" w:rsidR="00B16DBE" w:rsidRPr="00B16DBE" w:rsidRDefault="00B16DBE" w:rsidP="00B16DBE">
      <w:pPr>
        <w:pStyle w:val="ListParagraph"/>
        <w:numPr>
          <w:ilvl w:val="0"/>
          <w:numId w:val="7"/>
        </w:numPr>
        <w:rPr>
          <w:lang w:val="en-US"/>
        </w:rPr>
      </w:pPr>
      <w:r w:rsidRPr="00B16DBE">
        <w:rPr>
          <w:lang w:val="en-US"/>
        </w:rPr>
        <w:t xml:space="preserve">Office for National Statistics (2026). </w:t>
      </w:r>
      <w:r w:rsidRPr="00B16DBE">
        <w:rPr>
          <w:i/>
          <w:iCs/>
          <w:lang w:val="en-US"/>
        </w:rPr>
        <w:t>Private rent and house prices, UK</w:t>
      </w:r>
      <w:r w:rsidRPr="00B16DBE">
        <w:rPr>
          <w:lang w:val="en-US"/>
        </w:rPr>
        <w:t xml:space="preserve">. [online] Ons.gov.uk. Available at: </w:t>
      </w:r>
      <w:hyperlink r:id="rId35" w:history="1">
        <w:r w:rsidR="0090321E" w:rsidRPr="004F345A">
          <w:rPr>
            <w:rStyle w:val="Hyperlink"/>
            <w:lang w:val="en-US"/>
          </w:rPr>
          <w:t>https://www.ons.gov.uk/economy/inflationandpriceindices/bulletins/privaterentandhousepricesuk/september2026</w:t>
        </w:r>
      </w:hyperlink>
      <w:r w:rsidR="0090321E">
        <w:rPr>
          <w:lang w:val="en-US"/>
        </w:rPr>
        <w:t xml:space="preserve"> </w:t>
      </w:r>
      <w:r w:rsidRPr="00B16DBE">
        <w:rPr>
          <w:lang w:val="en-US"/>
        </w:rPr>
        <w:t xml:space="preserve"> [Accessed 25 Sept. 2026].</w:t>
      </w:r>
    </w:p>
    <w:p w14:paraId="37687569" w14:textId="68CC6E8A" w:rsidR="00B16DBE" w:rsidRPr="00B16DBE" w:rsidRDefault="00B16DBE" w:rsidP="00B16DBE">
      <w:pPr>
        <w:pStyle w:val="ListParagraph"/>
        <w:numPr>
          <w:ilvl w:val="0"/>
          <w:numId w:val="7"/>
        </w:numPr>
        <w:rPr>
          <w:lang w:val="en-US"/>
        </w:rPr>
      </w:pPr>
      <w:r w:rsidRPr="00B16DBE">
        <w:rPr>
          <w:lang w:val="en-US"/>
        </w:rPr>
        <w:t xml:space="preserve">Real Estate UK (2026). </w:t>
      </w:r>
      <w:r w:rsidRPr="00B16DBE">
        <w:rPr>
          <w:i/>
          <w:iCs/>
          <w:lang w:val="en-US"/>
        </w:rPr>
        <w:t>RE:UK build-to-rent report Q2 2026</w:t>
      </w:r>
      <w:r w:rsidRPr="00B16DBE">
        <w:rPr>
          <w:lang w:val="en-US"/>
        </w:rPr>
        <w:t xml:space="preserve">. [online] Real Estate:UK. Available at: </w:t>
      </w:r>
      <w:hyperlink r:id="rId36" w:history="1">
        <w:r w:rsidR="0090321E" w:rsidRPr="004F345A">
          <w:rPr>
            <w:rStyle w:val="Hyperlink"/>
            <w:lang w:val="en-US"/>
          </w:rPr>
          <w:t>https://realestateuk.org/our-work/reuk-build-to-rent-report-q2-2026/our-work/reuk-build-to-rent-report-q2-2026/</w:t>
        </w:r>
      </w:hyperlink>
      <w:r w:rsidR="0090321E">
        <w:rPr>
          <w:lang w:val="en-US"/>
        </w:rPr>
        <w:t xml:space="preserve"> </w:t>
      </w:r>
      <w:r w:rsidRPr="00B16DBE">
        <w:rPr>
          <w:lang w:val="en-US"/>
        </w:rPr>
        <w:t xml:space="preserve"> [Accessed 25 Sept. 2026].</w:t>
      </w:r>
    </w:p>
    <w:p w14:paraId="3D6D1D34" w14:textId="77777777" w:rsidR="00B16DBE" w:rsidRPr="00B16DBE" w:rsidRDefault="00B16DBE" w:rsidP="00B16DBE">
      <w:pPr>
        <w:pStyle w:val="ListParagraph"/>
        <w:numPr>
          <w:ilvl w:val="0"/>
          <w:numId w:val="7"/>
        </w:numPr>
        <w:rPr>
          <w:lang w:val="en-US"/>
        </w:rPr>
      </w:pPr>
      <w:r w:rsidRPr="00B16DBE">
        <w:rPr>
          <w:lang w:val="en-US"/>
        </w:rPr>
        <w:t xml:space="preserve">Saunders, M., Lewis, P. and Thornhill, A. (2019). </w:t>
      </w:r>
      <w:r w:rsidRPr="00B16DBE">
        <w:rPr>
          <w:i/>
          <w:iCs/>
          <w:lang w:val="en-US"/>
        </w:rPr>
        <w:t>Research methods for business students</w:t>
      </w:r>
      <w:r w:rsidRPr="00B16DBE">
        <w:rPr>
          <w:lang w:val="en-US"/>
        </w:rPr>
        <w:t>. 8th edn. Pearson.</w:t>
      </w:r>
    </w:p>
    <w:p w14:paraId="758F39A0" w14:textId="77777777" w:rsidR="00B16DBE" w:rsidRPr="00B16DBE" w:rsidRDefault="00B16DBE" w:rsidP="00B16DBE"/>
    <w:sectPr w:rsidR="00B16DBE" w:rsidRPr="00B16DBE">
      <w:footerReference w:type="default" r:id="rId3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9E2D4" w14:textId="77777777" w:rsidR="000C0036" w:rsidRDefault="000C0036">
      <w:pPr>
        <w:spacing w:before="0" w:after="0" w:line="240" w:lineRule="auto"/>
      </w:pPr>
      <w:r>
        <w:separator/>
      </w:r>
    </w:p>
  </w:endnote>
  <w:endnote w:type="continuationSeparator" w:id="0">
    <w:p w14:paraId="05D4D4A7" w14:textId="77777777" w:rsidR="000C0036" w:rsidRDefault="000C00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AA6A" w14:textId="77777777" w:rsidR="006B1811" w:rsidRDefault="00000000">
    <w:pPr>
      <w:pStyle w:val="Footer"/>
      <w:jc w:val="right"/>
    </w:pPr>
    <w:r>
      <w:fldChar w:fldCharType="begin"/>
    </w:r>
    <w:r>
      <w:instrText xml:space="preserve"> PAGE   \* MERGEFORMAT </w:instrText>
    </w:r>
    <w:r>
      <w:fldChar w:fldCharType="separate"/>
    </w:r>
    <w:r>
      <w:t>4</w:t>
    </w:r>
    <w:r>
      <w:fldChar w:fldCharType="end"/>
    </w:r>
  </w:p>
  <w:p w14:paraId="5BC54D91" w14:textId="77777777" w:rsidR="006B1811" w:rsidRDefault="006B1811">
    <w:pPr>
      <w:pStyle w:val="Footer"/>
    </w:pPr>
  </w:p>
  <w:p w14:paraId="3B3DA232" w14:textId="77777777" w:rsidR="006B1811" w:rsidRDefault="006B18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D681D" w14:textId="77777777" w:rsidR="000C0036" w:rsidRDefault="000C0036">
      <w:pPr>
        <w:spacing w:before="0" w:after="0" w:line="240" w:lineRule="auto"/>
      </w:pPr>
      <w:r>
        <w:separator/>
      </w:r>
    </w:p>
  </w:footnote>
  <w:footnote w:type="continuationSeparator" w:id="0">
    <w:p w14:paraId="17B11B33" w14:textId="77777777" w:rsidR="000C0036" w:rsidRDefault="000C003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5C96"/>
    <w:multiLevelType w:val="hybridMultilevel"/>
    <w:tmpl w:val="62049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5073296"/>
    <w:multiLevelType w:val="hybridMultilevel"/>
    <w:tmpl w:val="C7DCCB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9996397"/>
    <w:multiLevelType w:val="hybridMultilevel"/>
    <w:tmpl w:val="BEAA3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73C81"/>
    <w:multiLevelType w:val="hybridMultilevel"/>
    <w:tmpl w:val="E38AD2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9A044FE"/>
    <w:multiLevelType w:val="hybridMultilevel"/>
    <w:tmpl w:val="18D05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FC35D1"/>
    <w:multiLevelType w:val="hybridMultilevel"/>
    <w:tmpl w:val="5CCA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4C6F64"/>
    <w:multiLevelType w:val="hybridMultilevel"/>
    <w:tmpl w:val="5CCA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221558">
    <w:abstractNumId w:val="5"/>
  </w:num>
  <w:num w:numId="2" w16cid:durableId="1809929357">
    <w:abstractNumId w:val="6"/>
  </w:num>
  <w:num w:numId="3" w16cid:durableId="1207446191">
    <w:abstractNumId w:val="1"/>
  </w:num>
  <w:num w:numId="4" w16cid:durableId="968323144">
    <w:abstractNumId w:val="2"/>
  </w:num>
  <w:num w:numId="5" w16cid:durableId="1067612109">
    <w:abstractNumId w:val="3"/>
  </w:num>
  <w:num w:numId="6" w16cid:durableId="1517230720">
    <w:abstractNumId w:val="4"/>
  </w:num>
  <w:num w:numId="7" w16cid:durableId="710351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2MLI0NrIwNTU2NzBV0lEKTi0uzszPAymwqAUALBk+sSwAAAA="/>
  </w:docVars>
  <w:rsids>
    <w:rsidRoot w:val="006B1811"/>
    <w:rsid w:val="00011E3E"/>
    <w:rsid w:val="000223CF"/>
    <w:rsid w:val="000349D7"/>
    <w:rsid w:val="0003664E"/>
    <w:rsid w:val="000C0036"/>
    <w:rsid w:val="000E3699"/>
    <w:rsid w:val="000F41BA"/>
    <w:rsid w:val="00106A2A"/>
    <w:rsid w:val="00124D47"/>
    <w:rsid w:val="00132135"/>
    <w:rsid w:val="00147851"/>
    <w:rsid w:val="001542AC"/>
    <w:rsid w:val="00154AF5"/>
    <w:rsid w:val="00157981"/>
    <w:rsid w:val="001845D9"/>
    <w:rsid w:val="00197FBB"/>
    <w:rsid w:val="001A5F47"/>
    <w:rsid w:val="001C7E56"/>
    <w:rsid w:val="001D084D"/>
    <w:rsid w:val="001E4072"/>
    <w:rsid w:val="001F27F4"/>
    <w:rsid w:val="001F3605"/>
    <w:rsid w:val="001F39D8"/>
    <w:rsid w:val="00211954"/>
    <w:rsid w:val="00213AE9"/>
    <w:rsid w:val="00222ACD"/>
    <w:rsid w:val="00230E88"/>
    <w:rsid w:val="00235E1D"/>
    <w:rsid w:val="00240BFE"/>
    <w:rsid w:val="00256427"/>
    <w:rsid w:val="00256845"/>
    <w:rsid w:val="00281732"/>
    <w:rsid w:val="002865C1"/>
    <w:rsid w:val="002877FF"/>
    <w:rsid w:val="00292BAE"/>
    <w:rsid w:val="002A6217"/>
    <w:rsid w:val="002C0A5C"/>
    <w:rsid w:val="002C2410"/>
    <w:rsid w:val="002D0659"/>
    <w:rsid w:val="002D1F58"/>
    <w:rsid w:val="002E20DB"/>
    <w:rsid w:val="002E3963"/>
    <w:rsid w:val="002E7169"/>
    <w:rsid w:val="00314EA5"/>
    <w:rsid w:val="00317D48"/>
    <w:rsid w:val="00326F56"/>
    <w:rsid w:val="00334691"/>
    <w:rsid w:val="00334834"/>
    <w:rsid w:val="003353AC"/>
    <w:rsid w:val="003569A3"/>
    <w:rsid w:val="003B1521"/>
    <w:rsid w:val="003B429A"/>
    <w:rsid w:val="003B5C53"/>
    <w:rsid w:val="003B7B5C"/>
    <w:rsid w:val="003E01AB"/>
    <w:rsid w:val="003E1461"/>
    <w:rsid w:val="004161A9"/>
    <w:rsid w:val="00455588"/>
    <w:rsid w:val="0046257F"/>
    <w:rsid w:val="00496056"/>
    <w:rsid w:val="004A0D79"/>
    <w:rsid w:val="004B2DF9"/>
    <w:rsid w:val="004C2C6E"/>
    <w:rsid w:val="004C566B"/>
    <w:rsid w:val="004D5F3C"/>
    <w:rsid w:val="004E58B1"/>
    <w:rsid w:val="00515D9C"/>
    <w:rsid w:val="005335EF"/>
    <w:rsid w:val="00550D24"/>
    <w:rsid w:val="00554FF4"/>
    <w:rsid w:val="00574D70"/>
    <w:rsid w:val="00581051"/>
    <w:rsid w:val="00593661"/>
    <w:rsid w:val="005D36C8"/>
    <w:rsid w:val="005E4AE8"/>
    <w:rsid w:val="005F485C"/>
    <w:rsid w:val="00613456"/>
    <w:rsid w:val="00615A1D"/>
    <w:rsid w:val="00622DE5"/>
    <w:rsid w:val="00625E47"/>
    <w:rsid w:val="006439C1"/>
    <w:rsid w:val="00645D1D"/>
    <w:rsid w:val="00652222"/>
    <w:rsid w:val="006704D0"/>
    <w:rsid w:val="00680276"/>
    <w:rsid w:val="00686B06"/>
    <w:rsid w:val="006B1336"/>
    <w:rsid w:val="006B1811"/>
    <w:rsid w:val="006B2F55"/>
    <w:rsid w:val="006C4B43"/>
    <w:rsid w:val="006C617A"/>
    <w:rsid w:val="006D751F"/>
    <w:rsid w:val="006E5B5A"/>
    <w:rsid w:val="006E6416"/>
    <w:rsid w:val="00700EE2"/>
    <w:rsid w:val="00706092"/>
    <w:rsid w:val="00706302"/>
    <w:rsid w:val="00717F8D"/>
    <w:rsid w:val="007518C9"/>
    <w:rsid w:val="00771D3C"/>
    <w:rsid w:val="007813F3"/>
    <w:rsid w:val="007B67BF"/>
    <w:rsid w:val="007C616B"/>
    <w:rsid w:val="007D208D"/>
    <w:rsid w:val="007E1978"/>
    <w:rsid w:val="007E312F"/>
    <w:rsid w:val="007F67F4"/>
    <w:rsid w:val="008066D1"/>
    <w:rsid w:val="00816C94"/>
    <w:rsid w:val="00827C95"/>
    <w:rsid w:val="0084726D"/>
    <w:rsid w:val="0085096D"/>
    <w:rsid w:val="0085211B"/>
    <w:rsid w:val="0085482F"/>
    <w:rsid w:val="00860897"/>
    <w:rsid w:val="0086651D"/>
    <w:rsid w:val="00883552"/>
    <w:rsid w:val="008A3415"/>
    <w:rsid w:val="008A6D1A"/>
    <w:rsid w:val="008B7221"/>
    <w:rsid w:val="008E2BA6"/>
    <w:rsid w:val="008F3EF6"/>
    <w:rsid w:val="0090321E"/>
    <w:rsid w:val="009078BB"/>
    <w:rsid w:val="00960DC4"/>
    <w:rsid w:val="0097711C"/>
    <w:rsid w:val="0099769E"/>
    <w:rsid w:val="009E20C4"/>
    <w:rsid w:val="009E629D"/>
    <w:rsid w:val="009E68C9"/>
    <w:rsid w:val="009F7627"/>
    <w:rsid w:val="00A06D21"/>
    <w:rsid w:val="00A20556"/>
    <w:rsid w:val="00A21D6F"/>
    <w:rsid w:val="00A35C57"/>
    <w:rsid w:val="00A36870"/>
    <w:rsid w:val="00A4628F"/>
    <w:rsid w:val="00A55420"/>
    <w:rsid w:val="00A64B9D"/>
    <w:rsid w:val="00A77F69"/>
    <w:rsid w:val="00A86CEF"/>
    <w:rsid w:val="00A91A4A"/>
    <w:rsid w:val="00AB7D9A"/>
    <w:rsid w:val="00AD0EA1"/>
    <w:rsid w:val="00AD337F"/>
    <w:rsid w:val="00B136D6"/>
    <w:rsid w:val="00B16DBE"/>
    <w:rsid w:val="00B20F60"/>
    <w:rsid w:val="00B2143F"/>
    <w:rsid w:val="00B230D3"/>
    <w:rsid w:val="00B359C3"/>
    <w:rsid w:val="00B42138"/>
    <w:rsid w:val="00B44E0B"/>
    <w:rsid w:val="00B4766B"/>
    <w:rsid w:val="00B4782B"/>
    <w:rsid w:val="00B6060D"/>
    <w:rsid w:val="00B6788C"/>
    <w:rsid w:val="00B72F39"/>
    <w:rsid w:val="00B82D48"/>
    <w:rsid w:val="00B83905"/>
    <w:rsid w:val="00B848B0"/>
    <w:rsid w:val="00B953C5"/>
    <w:rsid w:val="00BC0623"/>
    <w:rsid w:val="00BE17E9"/>
    <w:rsid w:val="00BE760F"/>
    <w:rsid w:val="00C002DA"/>
    <w:rsid w:val="00C017F0"/>
    <w:rsid w:val="00C12E26"/>
    <w:rsid w:val="00C20A92"/>
    <w:rsid w:val="00C45650"/>
    <w:rsid w:val="00C967A2"/>
    <w:rsid w:val="00CA07DF"/>
    <w:rsid w:val="00CA1248"/>
    <w:rsid w:val="00CA2367"/>
    <w:rsid w:val="00CA4B90"/>
    <w:rsid w:val="00CC5CB1"/>
    <w:rsid w:val="00CD07B5"/>
    <w:rsid w:val="00CD3B5F"/>
    <w:rsid w:val="00CE6444"/>
    <w:rsid w:val="00D007A5"/>
    <w:rsid w:val="00D1249E"/>
    <w:rsid w:val="00D321A3"/>
    <w:rsid w:val="00D602F9"/>
    <w:rsid w:val="00D6462A"/>
    <w:rsid w:val="00D804B4"/>
    <w:rsid w:val="00D8087B"/>
    <w:rsid w:val="00D854D0"/>
    <w:rsid w:val="00D91BEB"/>
    <w:rsid w:val="00DA2625"/>
    <w:rsid w:val="00DB4E47"/>
    <w:rsid w:val="00DC1DBF"/>
    <w:rsid w:val="00DD0840"/>
    <w:rsid w:val="00DE0EF1"/>
    <w:rsid w:val="00DF06BF"/>
    <w:rsid w:val="00E2071D"/>
    <w:rsid w:val="00E219C2"/>
    <w:rsid w:val="00E24B32"/>
    <w:rsid w:val="00E254FC"/>
    <w:rsid w:val="00E40700"/>
    <w:rsid w:val="00E5002B"/>
    <w:rsid w:val="00E516EE"/>
    <w:rsid w:val="00E5349A"/>
    <w:rsid w:val="00E719C2"/>
    <w:rsid w:val="00E76179"/>
    <w:rsid w:val="00E95EC1"/>
    <w:rsid w:val="00EA4618"/>
    <w:rsid w:val="00EA520C"/>
    <w:rsid w:val="00EB2FA3"/>
    <w:rsid w:val="00ED6AC4"/>
    <w:rsid w:val="00EE5E64"/>
    <w:rsid w:val="00EF207B"/>
    <w:rsid w:val="00EF471E"/>
    <w:rsid w:val="00F01583"/>
    <w:rsid w:val="00F04573"/>
    <w:rsid w:val="00F05CB2"/>
    <w:rsid w:val="00F21EA1"/>
    <w:rsid w:val="00F35757"/>
    <w:rsid w:val="00F55E36"/>
    <w:rsid w:val="00F56608"/>
    <w:rsid w:val="00F8156F"/>
    <w:rsid w:val="00F93431"/>
    <w:rsid w:val="00F937F7"/>
    <w:rsid w:val="00FA62BA"/>
    <w:rsid w:val="00FC215B"/>
    <w:rsid w:val="00FD0731"/>
    <w:rsid w:val="00FD189C"/>
    <w:rsid w:val="00FD2B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D254F"/>
  <w15:docId w15:val="{63B64758-8824-4463-97C2-F1D922A1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336"/>
    <w:pPr>
      <w:spacing w:before="120" w:after="120" w:line="360" w:lineRule="auto"/>
      <w:jc w:val="both"/>
    </w:pPr>
    <w:rPr>
      <w:rFonts w:ascii="Arial" w:hAnsi="Arial"/>
      <w:lang w:val="en-GB"/>
    </w:rPr>
  </w:style>
  <w:style w:type="paragraph" w:styleId="Heading1">
    <w:name w:val="heading 1"/>
    <w:basedOn w:val="Normal"/>
    <w:next w:val="Normal"/>
    <w:link w:val="Heading1Char"/>
    <w:uiPriority w:val="9"/>
    <w:qFormat/>
    <w:pPr>
      <w:keepNext/>
      <w:keepLines/>
      <w:spacing w:before="240" w:after="0"/>
      <w:jc w:val="center"/>
      <w:outlineLvl w:val="0"/>
    </w:pPr>
    <w:rPr>
      <w:rFonts w:eastAsia="SimSun" w:cs="Times New Roman"/>
      <w:b/>
      <w:sz w:val="44"/>
      <w:szCs w:val="32"/>
    </w:rPr>
  </w:style>
  <w:style w:type="paragraph" w:styleId="Heading2">
    <w:name w:val="heading 2"/>
    <w:basedOn w:val="Normal"/>
    <w:next w:val="Normal"/>
    <w:link w:val="Heading2Char"/>
    <w:uiPriority w:val="9"/>
    <w:unhideWhenUsed/>
    <w:qFormat/>
    <w:rsid w:val="009E20C4"/>
    <w:pPr>
      <w:keepNext/>
      <w:keepLines/>
      <w:spacing w:before="40" w:after="0"/>
      <w:outlineLvl w:val="1"/>
    </w:pPr>
    <w:rPr>
      <w:rFonts w:eastAsia="SimSun" w:cs="Times New Roman"/>
      <w:b/>
      <w:sz w:val="32"/>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cs="Times New Roman"/>
      <w:b/>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SimSun"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Light" w:eastAsia="SimSun" w:hAnsi="Calibri Light" w:cs="Times New Roman"/>
      <w:color w:val="1F3763"/>
    </w:rPr>
  </w:style>
  <w:style w:type="paragraph" w:styleId="Heading7">
    <w:name w:val="heading 7"/>
    <w:basedOn w:val="Normal"/>
    <w:next w:val="Normal"/>
    <w:link w:val="Heading7Char"/>
    <w:uiPriority w:val="9"/>
    <w:qFormat/>
    <w:pPr>
      <w:keepNext/>
      <w:keepLines/>
      <w:spacing w:before="40" w:after="0"/>
      <w:outlineLvl w:val="6"/>
    </w:pPr>
    <w:rPr>
      <w:rFonts w:ascii="Calibri Light" w:eastAsia="SimSun" w:hAnsi="Calibri Light" w:cs="Times New Roman"/>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eastAsia="SimSun" w:cs="Times New Roman"/>
      <w:b/>
      <w:sz w:val="44"/>
      <w:szCs w:val="32"/>
      <w:lang w:val="en-GB"/>
    </w:rPr>
  </w:style>
  <w:style w:type="character" w:customStyle="1" w:styleId="Heading2Char">
    <w:name w:val="Heading 2 Char"/>
    <w:basedOn w:val="DefaultParagraphFont"/>
    <w:link w:val="Heading2"/>
    <w:uiPriority w:val="9"/>
    <w:rsid w:val="009E20C4"/>
    <w:rPr>
      <w:rFonts w:ascii="Arial" w:eastAsia="SimSun" w:hAnsi="Arial" w:cs="Times New Roman"/>
      <w:b/>
      <w:sz w:val="32"/>
      <w:szCs w:val="26"/>
      <w:lang w:val="en-GB"/>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qFormat/>
    <w:pPr>
      <w:spacing w:before="0" w:after="200" w:line="240" w:lineRule="auto"/>
    </w:pPr>
    <w:rPr>
      <w:i/>
      <w:iCs/>
      <w:color w:val="44546A"/>
      <w:sz w:val="18"/>
      <w:szCs w:val="18"/>
    </w:rPr>
  </w:style>
  <w:style w:type="paragraph" w:styleId="ListParagraph">
    <w:name w:val="List Paragraph"/>
    <w:basedOn w:val="Normal"/>
    <w:uiPriority w:val="34"/>
    <w:qFormat/>
    <w:pPr>
      <w:ind w:left="720"/>
      <w:contextualSpacing/>
    </w:pPr>
  </w:style>
  <w:style w:type="paragraph" w:styleId="Footer">
    <w:name w:val="footer"/>
    <w:basedOn w:val="Normal"/>
    <w:link w:val="FooterChar"/>
    <w:pPr>
      <w:tabs>
        <w:tab w:val="center" w:pos="4680"/>
        <w:tab w:val="right" w:pos="9360"/>
      </w:tabs>
      <w:spacing w:before="0" w:after="0" w:line="240" w:lineRule="auto"/>
    </w:pPr>
  </w:style>
  <w:style w:type="character" w:customStyle="1" w:styleId="FooterChar">
    <w:name w:val="Footer Char"/>
    <w:basedOn w:val="DefaultParagraphFont"/>
    <w:link w:val="Footer"/>
    <w:rPr>
      <w:rFonts w:ascii="Arial" w:hAnsi="Arial"/>
    </w:rPr>
  </w:style>
  <w:style w:type="paragraph" w:styleId="Bibliography">
    <w:name w:val="Bibliography"/>
    <w:basedOn w:val="Normal"/>
    <w:next w:val="Normal"/>
    <w:uiPriority w:val="37"/>
  </w:style>
  <w:style w:type="paragraph" w:styleId="TOCHeading">
    <w:name w:val="TOC Heading"/>
    <w:basedOn w:val="Heading1"/>
    <w:next w:val="Normal"/>
    <w:uiPriority w:val="39"/>
    <w:qFormat/>
    <w:pPr>
      <w:jc w:val="left"/>
      <w:outlineLvl w:val="9"/>
    </w:pPr>
    <w:rPr>
      <w:rFonts w:ascii="Calibri Light" w:hAnsi="Calibri Light"/>
      <w:b w:val="0"/>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rFonts w:ascii="Arial" w:hAnsi="Arial"/>
    </w:rPr>
  </w:style>
  <w:style w:type="character" w:customStyle="1" w:styleId="Heading3Char">
    <w:name w:val="Heading 3 Char"/>
    <w:basedOn w:val="DefaultParagraphFont"/>
    <w:link w:val="Heading3"/>
    <w:uiPriority w:val="9"/>
    <w:rPr>
      <w:rFonts w:ascii="Arial" w:eastAsia="SimSun" w:hAnsi="Arial" w:cs="Times New Roman"/>
      <w:b/>
      <w:sz w:val="22"/>
      <w:szCs w:val="24"/>
      <w:lang w:val="en-GB"/>
    </w:rPr>
  </w:style>
  <w:style w:type="paragraph" w:styleId="TOC3">
    <w:name w:val="toc 3"/>
    <w:basedOn w:val="Normal"/>
    <w:next w:val="Normal"/>
    <w:uiPriority w:val="39"/>
    <w:pPr>
      <w:spacing w:after="100"/>
      <w:ind w:left="480"/>
    </w:pPr>
  </w:style>
  <w:style w:type="character" w:customStyle="1" w:styleId="Heading4Char">
    <w:name w:val="Heading 4 Char"/>
    <w:basedOn w:val="DefaultParagraphFont"/>
    <w:link w:val="Heading4"/>
    <w:uiPriority w:val="9"/>
    <w:rPr>
      <w:rFonts w:eastAsia="SimSun" w:cs="Times New Roman"/>
      <w:i/>
      <w:iCs/>
      <w:color w:val="2F5496"/>
      <w:lang w:val="en-GB"/>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table" w:customStyle="1" w:styleId="TableGrid1">
    <w:name w:val="Table Grid1"/>
    <w:basedOn w:val="TableNormal"/>
    <w:next w:val="TableGrid"/>
    <w:uiPriority w:val="5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rPr>
      <w:rFonts w:ascii="Arial" w:hAnsi="Arial"/>
    </w:rPr>
  </w:style>
  <w:style w:type="paragraph" w:customStyle="1" w:styleId="TableParagraph">
    <w:name w:val="Table Paragraph"/>
    <w:basedOn w:val="Normal"/>
    <w:uiPriority w:val="1"/>
    <w:pPr>
      <w:widowControl w:val="0"/>
      <w:autoSpaceDE w:val="0"/>
      <w:autoSpaceDN w:val="0"/>
      <w:spacing w:before="0" w:after="0" w:line="240" w:lineRule="auto"/>
      <w:ind w:left="107"/>
      <w:jc w:val="left"/>
    </w:pPr>
    <w:rPr>
      <w:rFonts w:eastAsia="Times New Roman" w:cs="Times New Roman"/>
      <w:lang w:bidi="en-US"/>
    </w:rPr>
  </w:style>
  <w:style w:type="paragraph" w:customStyle="1" w:styleId="Default">
    <w:name w:val="Default"/>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rPr>
      <w:color w:val="605E5C"/>
      <w:shd w:val="clear" w:color="auto" w:fill="E1DFDD"/>
    </w:rPr>
  </w:style>
  <w:style w:type="table" w:customStyle="1" w:styleId="GridTable5Dark-Accent21">
    <w:name w:val="Grid Table 5 Dark - Accent 2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4D5"/>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5Dark-Accent41">
    <w:name w:val="Grid Table 5 Dark - Accent 4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2CC"/>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2">
    <w:name w:val="Table Grid2"/>
    <w:basedOn w:val="TableNormal"/>
    <w:next w:val="TableGrid"/>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Pr>
      <w:color w:val="808080"/>
    </w:rPr>
  </w:style>
  <w:style w:type="character" w:customStyle="1" w:styleId="wknlkopnr">
    <w:name w:val="wknl_kopnr"/>
    <w:basedOn w:val="DefaultParagraphFont"/>
  </w:style>
  <w:style w:type="character" w:styleId="Emphasis">
    <w:name w:val="Emphasis"/>
    <w:basedOn w:val="DefaultParagraphFont"/>
    <w:uiPriority w:val="20"/>
    <w:qFormat/>
    <w:rPr>
      <w:i/>
      <w:iCs/>
    </w:rPr>
  </w:style>
  <w:style w:type="paragraph" w:customStyle="1" w:styleId="hl">
    <w:name w:val="hl"/>
    <w:basedOn w:val="Normal"/>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style>
  <w:style w:type="paragraph" w:customStyle="1" w:styleId="trt0xe">
    <w:name w:val="trt0xe"/>
    <w:basedOn w:val="Normal"/>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pPr>
      <w:spacing w:before="100" w:beforeAutospacing="1" w:after="100" w:afterAutospacing="1" w:line="240" w:lineRule="auto"/>
      <w:jc w:val="left"/>
    </w:pPr>
    <w:rPr>
      <w:rFonts w:eastAsia="Times New Roman" w:cs="Times New Roman"/>
      <w:szCs w:val="24"/>
      <w:lang w:val="en-US"/>
    </w:r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hrv-styled-list-item">
    <w:name w:val="thrv-styled-list-item"/>
    <w:basedOn w:val="Normal"/>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style>
  <w:style w:type="paragraph" w:customStyle="1" w:styleId="iu">
    <w:name w:val="iu"/>
    <w:basedOn w:val="Normal"/>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style>
  <w:style w:type="character" w:customStyle="1" w:styleId="Heading7Char">
    <w:name w:val="Heading 7 Char"/>
    <w:basedOn w:val="DefaultParagraphFont"/>
    <w:link w:val="Heading7"/>
    <w:uiPriority w:val="9"/>
    <w:rPr>
      <w:rFonts w:ascii="Calibri Light" w:eastAsia="SimSun" w:hAnsi="Calibri Light" w:cs="Times New Roman"/>
      <w:i/>
      <w:iCs/>
      <w:color w:val="1F3763"/>
      <w:lang w:val="en-GB"/>
    </w:rPr>
  </w:style>
  <w:style w:type="character" w:customStyle="1" w:styleId="websearch-marked">
    <w:name w:val="web_search-marked"/>
    <w:basedOn w:val="DefaultParagraphFont"/>
  </w:style>
  <w:style w:type="paragraph" w:customStyle="1" w:styleId="phrase">
    <w:name w:val="phrase"/>
    <w:basedOn w:val="Normal"/>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style>
  <w:style w:type="character" w:customStyle="1" w:styleId="blast">
    <w:name w:val="blast"/>
    <w:basedOn w:val="DefaultParagraphFont"/>
  </w:style>
  <w:style w:type="paragraph" w:customStyle="1" w:styleId="mmthere">
    <w:name w:val="mmthere"/>
    <w:basedOn w:val="Normal"/>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pPr>
      <w:spacing w:after="0"/>
    </w:pPr>
  </w:style>
  <w:style w:type="paragraph" w:customStyle="1" w:styleId="dcr-1wj398p">
    <w:name w:val="dcr-1wj398p"/>
    <w:basedOn w:val="Normal"/>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style>
  <w:style w:type="character" w:customStyle="1" w:styleId="w8qarf">
    <w:name w:val="w8qarf"/>
    <w:basedOn w:val="DefaultParagraphFont"/>
  </w:style>
  <w:style w:type="character" w:customStyle="1" w:styleId="lrzxr">
    <w:name w:val="lrzxr"/>
    <w:basedOn w:val="DefaultParagraphFont"/>
  </w:style>
  <w:style w:type="character" w:customStyle="1" w:styleId="hs-cta-node">
    <w:name w:val="hs-cta-node"/>
    <w:basedOn w:val="DefaultParagraphFont"/>
  </w:style>
  <w:style w:type="character" w:customStyle="1" w:styleId="Heading6Char">
    <w:name w:val="Heading 6 Char"/>
    <w:basedOn w:val="DefaultParagraphFont"/>
    <w:link w:val="Heading6"/>
    <w:uiPriority w:val="9"/>
    <w:rPr>
      <w:rFonts w:ascii="Calibri Light" w:eastAsia="SimSun" w:hAnsi="Calibri Light" w:cs="Times New Roman"/>
      <w:color w:val="1F3763"/>
      <w:lang w:val="en-GB"/>
    </w:rPr>
  </w:style>
  <w:style w:type="character" w:customStyle="1" w:styleId="author">
    <w:name w:val="author"/>
    <w:basedOn w:val="DefaultParagraphFont"/>
  </w:style>
  <w:style w:type="character" w:customStyle="1" w:styleId="hentry-date">
    <w:name w:val="hentry-date"/>
    <w:basedOn w:val="DefaultParagraphFont"/>
  </w:style>
  <w:style w:type="paragraph" w:customStyle="1" w:styleId="twitter">
    <w:name w:val="twitter&quot;"/>
    <w:basedOn w:val="Normal"/>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style>
  <w:style w:type="character" w:customStyle="1" w:styleId="label">
    <w:name w:val="label"/>
    <w:basedOn w:val="DefaultParagraphFont"/>
  </w:style>
  <w:style w:type="character" w:customStyle="1" w:styleId="ez-video-ez-stuck-title">
    <w:name w:val="ez-video-ez-stuck-title"/>
    <w:basedOn w:val="DefaultParagraphFont"/>
  </w:style>
  <w:style w:type="character" w:customStyle="1" w:styleId="ez-video-ez-stuck-close">
    <w:name w:val="ez-video-ez-stuck-close"/>
    <w:basedOn w:val="DefaultParagraphFont"/>
  </w:style>
  <w:style w:type="character" w:customStyle="1" w:styleId="vjs-control-text">
    <w:name w:val="vjs-control-text"/>
    <w:basedOn w:val="DefaultParagraphFont"/>
  </w:style>
  <w:style w:type="character" w:customStyle="1" w:styleId="vjs-control-text-loaded-percentage">
    <w:name w:val="vjs-control-text-loaded-percentage"/>
    <w:basedOn w:val="DefaultParagraphFont"/>
  </w:style>
  <w:style w:type="character" w:customStyle="1" w:styleId="vjs-remaining-time-display">
    <w:name w:val="vjs-remaining-time-display"/>
    <w:basedOn w:val="DefaultParagraphFont"/>
  </w:style>
  <w:style w:type="character" w:customStyle="1" w:styleId="UnresolvedMention2">
    <w:name w:val="Unresolved Mention2"/>
    <w:basedOn w:val="DefaultParagraphFont"/>
    <w:uiPriority w:val="99"/>
    <w:rPr>
      <w:color w:val="605E5C"/>
      <w:shd w:val="clear" w:color="auto" w:fill="E1DFDD"/>
    </w:rPr>
  </w:style>
  <w:style w:type="table" w:customStyle="1" w:styleId="GridTable1Light1">
    <w:name w:val="Grid Table 1 Light1"/>
    <w:basedOn w:val="Table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5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1">
    <w:name w:val="ms-1"/>
    <w:basedOn w:val="DefaultParagraphFont"/>
  </w:style>
  <w:style w:type="character" w:customStyle="1" w:styleId="max-w-15ch">
    <w:name w:val="max-w-[15ch]"/>
    <w:basedOn w:val="DefaultParagraphFont"/>
  </w:style>
  <w:style w:type="table" w:customStyle="1" w:styleId="GridTable5Dark-Accent51">
    <w:name w:val="Grid Table 5 Dark - Accent 5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1">
    <w:name w:val="-me-1"/>
    <w:basedOn w:val="DefaultParagraphFont"/>
  </w:style>
  <w:style w:type="table" w:customStyle="1" w:styleId="GridTable4-Accent31">
    <w:name w:val="Grid Table 4 - Accent 31"/>
    <w:basedOn w:val="TableNormal"/>
    <w:uiPriority w:val="49"/>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5Dark-Accent61">
    <w:name w:val="Grid Table 5 Dark - Accent 6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2EFD9"/>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ListTable4-Accent1">
    <w:name w:val="List Table 4 Accent 1"/>
    <w:basedOn w:val="TableNormal"/>
    <w:uiPriority w:val="49"/>
    <w:rsid w:val="007C616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706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88287">
      <w:bodyDiv w:val="1"/>
      <w:marLeft w:val="0"/>
      <w:marRight w:val="0"/>
      <w:marTop w:val="0"/>
      <w:marBottom w:val="0"/>
      <w:divBdr>
        <w:top w:val="none" w:sz="0" w:space="0" w:color="auto"/>
        <w:left w:val="none" w:sz="0" w:space="0" w:color="auto"/>
        <w:bottom w:val="none" w:sz="0" w:space="0" w:color="auto"/>
        <w:right w:val="none" w:sz="0" w:space="0" w:color="auto"/>
      </w:divBdr>
    </w:div>
    <w:div w:id="256251557">
      <w:bodyDiv w:val="1"/>
      <w:marLeft w:val="0"/>
      <w:marRight w:val="0"/>
      <w:marTop w:val="0"/>
      <w:marBottom w:val="0"/>
      <w:divBdr>
        <w:top w:val="none" w:sz="0" w:space="0" w:color="auto"/>
        <w:left w:val="none" w:sz="0" w:space="0" w:color="auto"/>
        <w:bottom w:val="none" w:sz="0" w:space="0" w:color="auto"/>
        <w:right w:val="none" w:sz="0" w:space="0" w:color="auto"/>
      </w:divBdr>
    </w:div>
    <w:div w:id="383795931">
      <w:bodyDiv w:val="1"/>
      <w:marLeft w:val="0"/>
      <w:marRight w:val="0"/>
      <w:marTop w:val="0"/>
      <w:marBottom w:val="0"/>
      <w:divBdr>
        <w:top w:val="none" w:sz="0" w:space="0" w:color="auto"/>
        <w:left w:val="none" w:sz="0" w:space="0" w:color="auto"/>
        <w:bottom w:val="none" w:sz="0" w:space="0" w:color="auto"/>
        <w:right w:val="none" w:sz="0" w:space="0" w:color="auto"/>
      </w:divBdr>
    </w:div>
    <w:div w:id="1314023732">
      <w:bodyDiv w:val="1"/>
      <w:marLeft w:val="0"/>
      <w:marRight w:val="0"/>
      <w:marTop w:val="0"/>
      <w:marBottom w:val="0"/>
      <w:divBdr>
        <w:top w:val="none" w:sz="0" w:space="0" w:color="auto"/>
        <w:left w:val="none" w:sz="0" w:space="0" w:color="auto"/>
        <w:bottom w:val="none" w:sz="0" w:space="0" w:color="auto"/>
        <w:right w:val="none" w:sz="0" w:space="0" w:color="auto"/>
      </w:divBdr>
    </w:div>
    <w:div w:id="1317222508">
      <w:bodyDiv w:val="1"/>
      <w:marLeft w:val="0"/>
      <w:marRight w:val="0"/>
      <w:marTop w:val="0"/>
      <w:marBottom w:val="0"/>
      <w:divBdr>
        <w:top w:val="none" w:sz="0" w:space="0" w:color="auto"/>
        <w:left w:val="none" w:sz="0" w:space="0" w:color="auto"/>
        <w:bottom w:val="none" w:sz="0" w:space="0" w:color="auto"/>
        <w:right w:val="none" w:sz="0" w:space="0" w:color="auto"/>
      </w:divBdr>
      <w:divsChild>
        <w:div w:id="789787083">
          <w:marLeft w:val="0"/>
          <w:marRight w:val="0"/>
          <w:marTop w:val="0"/>
          <w:marBottom w:val="0"/>
          <w:divBdr>
            <w:top w:val="none" w:sz="0" w:space="0" w:color="auto"/>
            <w:left w:val="none" w:sz="0" w:space="0" w:color="auto"/>
            <w:bottom w:val="none" w:sz="0" w:space="0" w:color="auto"/>
            <w:right w:val="none" w:sz="0" w:space="0" w:color="auto"/>
          </w:divBdr>
        </w:div>
      </w:divsChild>
    </w:div>
    <w:div w:id="1415587564">
      <w:bodyDiv w:val="1"/>
      <w:marLeft w:val="0"/>
      <w:marRight w:val="0"/>
      <w:marTop w:val="0"/>
      <w:marBottom w:val="0"/>
      <w:divBdr>
        <w:top w:val="none" w:sz="0" w:space="0" w:color="auto"/>
        <w:left w:val="none" w:sz="0" w:space="0" w:color="auto"/>
        <w:bottom w:val="none" w:sz="0" w:space="0" w:color="auto"/>
        <w:right w:val="none" w:sz="0" w:space="0" w:color="auto"/>
      </w:divBdr>
      <w:divsChild>
        <w:div w:id="1108548378">
          <w:marLeft w:val="0"/>
          <w:marRight w:val="0"/>
          <w:marTop w:val="0"/>
          <w:marBottom w:val="0"/>
          <w:divBdr>
            <w:top w:val="none" w:sz="0" w:space="0" w:color="auto"/>
            <w:left w:val="none" w:sz="0" w:space="0" w:color="auto"/>
            <w:bottom w:val="none" w:sz="0" w:space="0" w:color="auto"/>
            <w:right w:val="none" w:sz="0" w:space="0" w:color="auto"/>
          </w:divBdr>
        </w:div>
      </w:divsChild>
    </w:div>
    <w:div w:id="1453938960">
      <w:bodyDiv w:val="1"/>
      <w:marLeft w:val="0"/>
      <w:marRight w:val="0"/>
      <w:marTop w:val="0"/>
      <w:marBottom w:val="0"/>
      <w:divBdr>
        <w:top w:val="none" w:sz="0" w:space="0" w:color="auto"/>
        <w:left w:val="none" w:sz="0" w:space="0" w:color="auto"/>
        <w:bottom w:val="none" w:sz="0" w:space="0" w:color="auto"/>
        <w:right w:val="none" w:sz="0" w:space="0" w:color="auto"/>
      </w:divBdr>
    </w:div>
    <w:div w:id="1846164271">
      <w:bodyDiv w:val="1"/>
      <w:marLeft w:val="0"/>
      <w:marRight w:val="0"/>
      <w:marTop w:val="0"/>
      <w:marBottom w:val="0"/>
      <w:divBdr>
        <w:top w:val="none" w:sz="0" w:space="0" w:color="auto"/>
        <w:left w:val="none" w:sz="0" w:space="0" w:color="auto"/>
        <w:bottom w:val="none" w:sz="0" w:space="0" w:color="auto"/>
        <w:right w:val="none" w:sz="0" w:space="0" w:color="auto"/>
      </w:divBdr>
    </w:div>
    <w:div w:id="1904562542">
      <w:bodyDiv w:val="1"/>
      <w:marLeft w:val="0"/>
      <w:marRight w:val="0"/>
      <w:marTop w:val="0"/>
      <w:marBottom w:val="0"/>
      <w:divBdr>
        <w:top w:val="none" w:sz="0" w:space="0" w:color="auto"/>
        <w:left w:val="none" w:sz="0" w:space="0" w:color="auto"/>
        <w:bottom w:val="none" w:sz="0" w:space="0" w:color="auto"/>
        <w:right w:val="none" w:sz="0" w:space="0" w:color="auto"/>
      </w:divBdr>
    </w:div>
    <w:div w:id="2071690107">
      <w:bodyDiv w:val="1"/>
      <w:marLeft w:val="0"/>
      <w:marRight w:val="0"/>
      <w:marTop w:val="0"/>
      <w:marBottom w:val="0"/>
      <w:divBdr>
        <w:top w:val="none" w:sz="0" w:space="0" w:color="auto"/>
        <w:left w:val="none" w:sz="0" w:space="0" w:color="auto"/>
        <w:bottom w:val="none" w:sz="0" w:space="0" w:color="auto"/>
        <w:right w:val="none" w:sz="0" w:space="0" w:color="auto"/>
      </w:divBdr>
    </w:div>
    <w:div w:id="2081249693">
      <w:bodyDiv w:val="1"/>
      <w:marLeft w:val="0"/>
      <w:marRight w:val="0"/>
      <w:marTop w:val="0"/>
      <w:marBottom w:val="0"/>
      <w:divBdr>
        <w:top w:val="none" w:sz="0" w:space="0" w:color="auto"/>
        <w:left w:val="none" w:sz="0" w:space="0" w:color="auto"/>
        <w:bottom w:val="none" w:sz="0" w:space="0" w:color="auto"/>
        <w:right w:val="none" w:sz="0" w:space="0" w:color="auto"/>
      </w:divBdr>
    </w:div>
    <w:div w:id="2145274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hyperlink" Target="https://www.berkeleygroup.co.uk/news-and-insights/news-and-features/2026/full-year-2026-results-announced" TargetMode="External"/><Relationship Id="rId39" Type="http://schemas.openxmlformats.org/officeDocument/2006/relationships/theme" Target="theme/theme1.xml"/><Relationship Id="rId21" Type="http://schemas.openxmlformats.org/officeDocument/2006/relationships/diagramQuickStyle" Target="diagrams/quickStyle2.xml"/><Relationship Id="rId34" Type="http://schemas.openxmlformats.org/officeDocument/2006/relationships/hyperlink" Target="https://qqml-journal.net/index.php/qqml/article/view/169"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07/relationships/diagramDrawing" Target="diagrams/drawing1.xml"/><Relationship Id="rId25" Type="http://schemas.openxmlformats.org/officeDocument/2006/relationships/hyperlink" Target="https://www.berkeleygroup.co.uk/investors/annual-report" TargetMode="External"/><Relationship Id="rId33" Type="http://schemas.openxmlformats.org/officeDocument/2006/relationships/hyperlink" Target="https://www.cbre.co.uk/press-releases/44-bn-transacted-in-the-uk-living-sector-in-h1-says-cb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hyperlink" Target="https://doi.org/10.1191/1478088706qp063o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erkeleygroup.co.uk/news-and-insights/news-and-features/2025/full-year-results-2025-announced" TargetMode="External"/><Relationship Id="rId32" Type="http://schemas.openxmlformats.org/officeDocument/2006/relationships/hyperlink" Target="https://www.cbre.co.uk/insights/books/uk-real-estate-market-outlook-midyear-review-2026/living"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hyperlink" Target="https://www.berkeleygroup.co.uk/about-us/who-we-are/our-brands" TargetMode="External"/><Relationship Id="rId36" Type="http://schemas.openxmlformats.org/officeDocument/2006/relationships/hyperlink" Target="https://realestateuk.org/our-work/reuk-build-to-rent-report-q2-2026/our-work/reuk-build-to-rent-report-q2-2026/" TargetMode="External"/><Relationship Id="rId10" Type="http://schemas.openxmlformats.org/officeDocument/2006/relationships/endnotes" Target="endnotes.xml"/><Relationship Id="rId19" Type="http://schemas.openxmlformats.org/officeDocument/2006/relationships/diagramData" Target="diagrams/data2.xml"/><Relationship Id="rId31" Type="http://schemas.openxmlformats.org/officeDocument/2006/relationships/hyperlink" Target="https://doi.org/10.1177/0042098024127768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hyperlink" Target="https://www.berkeleygroup.co.uk/about-us/who-we-are/history" TargetMode="External"/><Relationship Id="rId30" Type="http://schemas.openxmlformats.org/officeDocument/2006/relationships/hyperlink" Target="https://doi.org/10.1080/14780887.2020.1769238" TargetMode="External"/><Relationship Id="rId35" Type="http://schemas.openxmlformats.org/officeDocument/2006/relationships/hyperlink" Target="https://www.ons.gov.uk/economy/inflationandpriceindices/bulletins/privaterentandhousepricesuk/september202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2_1#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1B7D57-714C-4D1D-B3DE-A71E356BD600}" type="doc">
      <dgm:prSet loTypeId="urn:microsoft.com/office/officeart/2005/8/layout/radial1" loCatId="relationship" qsTypeId="urn:microsoft.com/office/officeart/2005/8/quickstyle/simple1#1" qsCatId="simple" csTypeId="urn:microsoft.com/office/officeart/2005/8/colors/accent2_1#1" csCatId="accent2" phldr="1"/>
      <dgm:spPr/>
      <dgm:t>
        <a:bodyPr/>
        <a:lstStyle/>
        <a:p>
          <a:endParaRPr lang="en-US"/>
        </a:p>
      </dgm:t>
    </dgm:pt>
    <dgm:pt modelId="{0B17A2A7-0EF0-4114-8A9E-21454818F9AD}">
      <dgm:prSet/>
      <dgm:spPr/>
      <dgm:t>
        <a:bodyPr/>
        <a:lstStyle/>
        <a:p>
          <a:r>
            <a:rPr lang="en-US"/>
            <a:t>Berkeley Living Build-to-Rent Expansion</a:t>
          </a:r>
        </a:p>
      </dgm:t>
    </dgm:pt>
    <dgm:pt modelId="{7B57D046-F8D2-46D5-A024-B9E5BED1EBA9}" type="parTrans" cxnId="{1B962786-9079-4210-9730-CBEA8EEE5F2E}">
      <dgm:prSet/>
      <dgm:spPr/>
      <dgm:t>
        <a:bodyPr/>
        <a:lstStyle/>
        <a:p>
          <a:endParaRPr lang="en-US"/>
        </a:p>
      </dgm:t>
    </dgm:pt>
    <dgm:pt modelId="{8B7B81E3-B8D8-4898-95AA-0CB0EEB55C15}" type="sibTrans" cxnId="{1B962786-9079-4210-9730-CBEA8EEE5F2E}">
      <dgm:prSet/>
      <dgm:spPr/>
      <dgm:t>
        <a:bodyPr/>
        <a:lstStyle/>
        <a:p>
          <a:endParaRPr lang="en-US"/>
        </a:p>
      </dgm:t>
    </dgm:pt>
    <dgm:pt modelId="{5FC5E078-AD89-4B34-9839-41397F5A9501}">
      <dgm:prSet/>
      <dgm:spPr/>
      <dgm:t>
        <a:bodyPr/>
        <a:lstStyle/>
        <a:p>
          <a:r>
            <a:rPr lang="en-GB"/>
            <a:t>Rental Market </a:t>
          </a:r>
          <a:endParaRPr lang="en-US"/>
        </a:p>
      </dgm:t>
    </dgm:pt>
    <dgm:pt modelId="{663B1582-E900-48CB-A145-37D7425DFBAC}" type="parTrans" cxnId="{1D1E6E76-240E-4059-B4EF-67372CEF53F8}">
      <dgm:prSet/>
      <dgm:spPr/>
      <dgm:t>
        <a:bodyPr/>
        <a:lstStyle/>
        <a:p>
          <a:endParaRPr lang="en-US"/>
        </a:p>
      </dgm:t>
    </dgm:pt>
    <dgm:pt modelId="{B1B36CAA-A903-495F-BDA0-261AB1C57EFB}" type="sibTrans" cxnId="{1D1E6E76-240E-4059-B4EF-67372CEF53F8}">
      <dgm:prSet/>
      <dgm:spPr/>
      <dgm:t>
        <a:bodyPr/>
        <a:lstStyle/>
        <a:p>
          <a:endParaRPr lang="en-US"/>
        </a:p>
      </dgm:t>
    </dgm:pt>
    <dgm:pt modelId="{1191FCB3-BFF7-4B62-B2B4-07D4871EDB4A}">
      <dgm:prSet/>
      <dgm:spPr/>
      <dgm:t>
        <a:bodyPr/>
        <a:lstStyle/>
        <a:p>
          <a:r>
            <a:rPr lang="en-GB"/>
            <a:t>£2,332 per month </a:t>
          </a:r>
          <a:endParaRPr lang="en-US"/>
        </a:p>
      </dgm:t>
    </dgm:pt>
    <dgm:pt modelId="{F6A7D4BF-68C2-40F5-BF3D-8F4AA022642C}" type="sibTrans" cxnId="{35E2FBA3-5950-4E13-870B-C3AFB2223CE7}">
      <dgm:prSet/>
      <dgm:spPr/>
      <dgm:t>
        <a:bodyPr/>
        <a:lstStyle/>
        <a:p>
          <a:endParaRPr lang="en-US"/>
        </a:p>
      </dgm:t>
    </dgm:pt>
    <dgm:pt modelId="{FE6E8D63-4136-4611-9A29-58802970A819}" type="parTrans" cxnId="{35E2FBA3-5950-4E13-870B-C3AFB2223CE7}">
      <dgm:prSet/>
      <dgm:spPr/>
      <dgm:t>
        <a:bodyPr/>
        <a:lstStyle/>
        <a:p>
          <a:endParaRPr lang="en-US"/>
        </a:p>
      </dgm:t>
    </dgm:pt>
    <dgm:pt modelId="{DE748B27-BDD3-433A-839B-5B8E9463FF64}">
      <dgm:prSet/>
      <dgm:spPr/>
      <dgm:t>
        <a:bodyPr/>
        <a:lstStyle/>
        <a:p>
          <a:r>
            <a:rPr lang="en-GB"/>
            <a:t>London rent growth </a:t>
          </a:r>
          <a:endParaRPr lang="en-US"/>
        </a:p>
      </dgm:t>
    </dgm:pt>
    <dgm:pt modelId="{4AB03727-DC23-4369-83EC-3C13E98A5C5D}" type="sibTrans" cxnId="{CC1FB516-0EC0-4234-8F78-D7E06CC27617}">
      <dgm:prSet/>
      <dgm:spPr/>
      <dgm:t>
        <a:bodyPr/>
        <a:lstStyle/>
        <a:p>
          <a:endParaRPr lang="en-US"/>
        </a:p>
      </dgm:t>
    </dgm:pt>
    <dgm:pt modelId="{E958C795-005F-4763-85F7-D4FDC3F31690}" type="parTrans" cxnId="{CC1FB516-0EC0-4234-8F78-D7E06CC27617}">
      <dgm:prSet/>
      <dgm:spPr/>
      <dgm:t>
        <a:bodyPr/>
        <a:lstStyle/>
        <a:p>
          <a:endParaRPr lang="en-US"/>
        </a:p>
      </dgm:t>
    </dgm:pt>
    <dgm:pt modelId="{29DCA241-7C2B-40FB-B9FA-4219962A3E62}">
      <dgm:prSet/>
      <dgm:spPr/>
      <dgm:t>
        <a:bodyPr/>
        <a:lstStyle/>
        <a:p>
          <a:r>
            <a:rPr lang="en-US"/>
            <a:t>Berkeley Financial Capability</a:t>
          </a:r>
        </a:p>
      </dgm:t>
    </dgm:pt>
    <dgm:pt modelId="{D2BDF730-57D5-4D00-A182-37D6859A51DD}" type="parTrans" cxnId="{8EA305A8-AA6D-4E25-84A8-A30E7B5255E2}">
      <dgm:prSet/>
      <dgm:spPr/>
      <dgm:t>
        <a:bodyPr/>
        <a:lstStyle/>
        <a:p>
          <a:endParaRPr lang="en-US"/>
        </a:p>
      </dgm:t>
    </dgm:pt>
    <dgm:pt modelId="{C60E82A2-1F12-4093-87F4-169DECE7F5D4}" type="sibTrans" cxnId="{8EA305A8-AA6D-4E25-84A8-A30E7B5255E2}">
      <dgm:prSet/>
      <dgm:spPr/>
      <dgm:t>
        <a:bodyPr/>
        <a:lstStyle/>
        <a:p>
          <a:endParaRPr lang="en-US"/>
        </a:p>
      </dgm:t>
    </dgm:pt>
    <dgm:pt modelId="{13772AB9-DB35-45B2-A005-D5D06FE8143C}">
      <dgm:prSet/>
      <dgm:spPr/>
      <dgm:t>
        <a:bodyPr/>
        <a:lstStyle/>
        <a:p>
          <a:r>
            <a:rPr lang="en-US"/>
            <a:t>Brownfield Development Pipeline</a:t>
          </a:r>
        </a:p>
      </dgm:t>
    </dgm:pt>
    <dgm:pt modelId="{3082D381-F31D-40A6-B078-DA00C23CE5AD}" type="parTrans" cxnId="{C8A82FE9-C4AA-478F-A9B1-2F1A450CC353}">
      <dgm:prSet/>
      <dgm:spPr/>
      <dgm:t>
        <a:bodyPr/>
        <a:lstStyle/>
        <a:p>
          <a:endParaRPr lang="en-US"/>
        </a:p>
      </dgm:t>
    </dgm:pt>
    <dgm:pt modelId="{83B90C63-B927-4265-BA8B-DF8C28F29CE6}" type="sibTrans" cxnId="{C8A82FE9-C4AA-478F-A9B1-2F1A450CC353}">
      <dgm:prSet/>
      <dgm:spPr/>
      <dgm:t>
        <a:bodyPr/>
        <a:lstStyle/>
        <a:p>
          <a:endParaRPr lang="en-US"/>
        </a:p>
      </dgm:t>
    </dgm:pt>
    <dgm:pt modelId="{4FCC9758-A933-424E-8A24-664A6B73924B}">
      <dgm:prSet/>
      <dgm:spPr/>
      <dgm:t>
        <a:bodyPr/>
        <a:lstStyle/>
        <a:p>
          <a:r>
            <a:rPr lang="en-US"/>
            <a:t>Critical Feasibility</a:t>
          </a:r>
        </a:p>
      </dgm:t>
    </dgm:pt>
    <dgm:pt modelId="{FF18F8D0-8B3F-492E-B078-0F760ACD7D74}" type="parTrans" cxnId="{EA4F61F3-8663-439B-BC35-0948A7941AAF}">
      <dgm:prSet/>
      <dgm:spPr/>
      <dgm:t>
        <a:bodyPr/>
        <a:lstStyle/>
        <a:p>
          <a:endParaRPr lang="en-US"/>
        </a:p>
      </dgm:t>
    </dgm:pt>
    <dgm:pt modelId="{8583C021-E414-4DCC-87E3-40F3D0C475A7}" type="sibTrans" cxnId="{EA4F61F3-8663-439B-BC35-0948A7941AAF}">
      <dgm:prSet/>
      <dgm:spPr/>
      <dgm:t>
        <a:bodyPr/>
        <a:lstStyle/>
        <a:p>
          <a:endParaRPr lang="en-US"/>
        </a:p>
      </dgm:t>
    </dgm:pt>
    <dgm:pt modelId="{4CEEABBB-B367-43E9-B4B8-81E2B646B741}">
      <dgm:prSet/>
      <dgm:spPr/>
      <dgm:t>
        <a:bodyPr/>
        <a:lstStyle/>
        <a:p>
          <a:r>
            <a:rPr lang="en-US"/>
            <a:t>Financial return</a:t>
          </a:r>
        </a:p>
      </dgm:t>
    </dgm:pt>
    <dgm:pt modelId="{CEDD4CAA-DFA2-4F8B-A5E4-562680DC23FD}" type="parTrans" cxnId="{BD486F62-E813-4719-B871-6BAD11E77C66}">
      <dgm:prSet/>
      <dgm:spPr/>
      <dgm:t>
        <a:bodyPr/>
        <a:lstStyle/>
        <a:p>
          <a:endParaRPr lang="en-US"/>
        </a:p>
      </dgm:t>
    </dgm:pt>
    <dgm:pt modelId="{8210E81C-9E05-4997-A979-FFF0F379CFCD}" type="sibTrans" cxnId="{BD486F62-E813-4719-B871-6BAD11E77C66}">
      <dgm:prSet/>
      <dgm:spPr/>
      <dgm:t>
        <a:bodyPr/>
        <a:lstStyle/>
        <a:p>
          <a:endParaRPr lang="en-US"/>
        </a:p>
      </dgm:t>
    </dgm:pt>
    <dgm:pt modelId="{0A6D6E87-1AAF-415B-8EF3-E4D527698EC4}">
      <dgm:prSet/>
      <dgm:spPr/>
      <dgm:t>
        <a:bodyPr/>
        <a:lstStyle/>
        <a:p>
          <a:r>
            <a:rPr lang="en-US"/>
            <a:t>Affordability</a:t>
          </a:r>
        </a:p>
      </dgm:t>
    </dgm:pt>
    <dgm:pt modelId="{18F89BAF-1480-4BFA-9824-A5467DE32363}" type="parTrans" cxnId="{4C21FEBC-54F8-4D8D-940E-C579317B058C}">
      <dgm:prSet/>
      <dgm:spPr/>
      <dgm:t>
        <a:bodyPr/>
        <a:lstStyle/>
        <a:p>
          <a:endParaRPr lang="en-US"/>
        </a:p>
      </dgm:t>
    </dgm:pt>
    <dgm:pt modelId="{F3AEF075-7D70-4082-A82F-4CCFC52024A6}" type="sibTrans" cxnId="{4C21FEBC-54F8-4D8D-940E-C579317B058C}">
      <dgm:prSet/>
      <dgm:spPr/>
      <dgm:t>
        <a:bodyPr/>
        <a:lstStyle/>
        <a:p>
          <a:endParaRPr lang="en-US"/>
        </a:p>
      </dgm:t>
    </dgm:pt>
    <dgm:pt modelId="{1DF03172-964A-4DC1-BD85-AACC36AA2C2D}">
      <dgm:prSet/>
      <dgm:spPr/>
      <dgm:t>
        <a:bodyPr/>
        <a:lstStyle/>
        <a:p>
          <a:r>
            <a:rPr lang="en-US"/>
            <a:t>Regulatory risk</a:t>
          </a:r>
        </a:p>
      </dgm:t>
    </dgm:pt>
    <dgm:pt modelId="{1AE082C2-643B-44DE-98FA-833C69FB48F4}" type="parTrans" cxnId="{089656D7-1ED1-495C-805B-300DE0F7DF3F}">
      <dgm:prSet/>
      <dgm:spPr/>
      <dgm:t>
        <a:bodyPr/>
        <a:lstStyle/>
        <a:p>
          <a:endParaRPr lang="en-US"/>
        </a:p>
      </dgm:t>
    </dgm:pt>
    <dgm:pt modelId="{EF97E51D-FA5C-4C39-A996-F27C6C096406}" type="sibTrans" cxnId="{089656D7-1ED1-495C-805B-300DE0F7DF3F}">
      <dgm:prSet/>
      <dgm:spPr/>
      <dgm:t>
        <a:bodyPr/>
        <a:lstStyle/>
        <a:p>
          <a:endParaRPr lang="en-US"/>
        </a:p>
      </dgm:t>
    </dgm:pt>
    <dgm:pt modelId="{4B60D02A-204C-4DDB-999E-CC42489D59FB}">
      <dgm:prSet/>
      <dgm:spPr/>
      <dgm:t>
        <a:bodyPr/>
        <a:lstStyle/>
        <a:p>
          <a:r>
            <a:rPr lang="en-US"/>
            <a:t>Operational capability</a:t>
          </a:r>
        </a:p>
      </dgm:t>
    </dgm:pt>
    <dgm:pt modelId="{4EEB184A-132D-43BD-9E2A-7F64430EFA34}" type="parTrans" cxnId="{9AD2F70C-2100-477B-B2A5-2192AA5B4E67}">
      <dgm:prSet/>
      <dgm:spPr/>
      <dgm:t>
        <a:bodyPr/>
        <a:lstStyle/>
        <a:p>
          <a:endParaRPr lang="en-US"/>
        </a:p>
      </dgm:t>
    </dgm:pt>
    <dgm:pt modelId="{81E27AC9-5545-4771-AFB9-B4F4A8046425}" type="sibTrans" cxnId="{9AD2F70C-2100-477B-B2A5-2192AA5B4E67}">
      <dgm:prSet/>
      <dgm:spPr/>
      <dgm:t>
        <a:bodyPr/>
        <a:lstStyle/>
        <a:p>
          <a:endParaRPr lang="en-US"/>
        </a:p>
      </dgm:t>
    </dgm:pt>
    <dgm:pt modelId="{C31DAC62-7F40-4CB7-86E6-84FF60BE870F}" type="pres">
      <dgm:prSet presAssocID="{B01B7D57-714C-4D1D-B3DE-A71E356BD600}" presName="cycle" presStyleCnt="0">
        <dgm:presLayoutVars>
          <dgm:chMax val="1"/>
          <dgm:dir/>
          <dgm:animLvl val="ctr"/>
          <dgm:resizeHandles val="exact"/>
        </dgm:presLayoutVars>
      </dgm:prSet>
      <dgm:spPr/>
    </dgm:pt>
    <dgm:pt modelId="{48C2A9F9-1FB1-485D-BD50-42C8EB981A45}" type="pres">
      <dgm:prSet presAssocID="{0B17A2A7-0EF0-4114-8A9E-21454818F9AD}" presName="centerShape" presStyleLbl="node0" presStyleIdx="0" presStyleCnt="1"/>
      <dgm:spPr/>
    </dgm:pt>
    <dgm:pt modelId="{553EE23F-7CC9-4584-A648-E8782613E7FC}" type="pres">
      <dgm:prSet presAssocID="{663B1582-E900-48CB-A145-37D7425DFBAC}" presName="Name9" presStyleLbl="parChTrans1D2" presStyleIdx="0" presStyleCnt="4"/>
      <dgm:spPr/>
    </dgm:pt>
    <dgm:pt modelId="{982A0880-76E7-4305-9CED-A0B44B54D4F5}" type="pres">
      <dgm:prSet presAssocID="{663B1582-E900-48CB-A145-37D7425DFBAC}" presName="connTx" presStyleLbl="parChTrans1D2" presStyleIdx="0" presStyleCnt="4"/>
      <dgm:spPr/>
    </dgm:pt>
    <dgm:pt modelId="{A2E3655A-6A3E-4C35-9317-6C6D50ADFF27}" type="pres">
      <dgm:prSet presAssocID="{5FC5E078-AD89-4B34-9839-41397F5A9501}" presName="node" presStyleLbl="node1" presStyleIdx="0" presStyleCnt="4">
        <dgm:presLayoutVars>
          <dgm:bulletEnabled val="1"/>
        </dgm:presLayoutVars>
      </dgm:prSet>
      <dgm:spPr/>
    </dgm:pt>
    <dgm:pt modelId="{50FEF7F3-C07A-4102-8DF4-51204F62C112}" type="pres">
      <dgm:prSet presAssocID="{D2BDF730-57D5-4D00-A182-37D6859A51DD}" presName="Name9" presStyleLbl="parChTrans1D2" presStyleIdx="1" presStyleCnt="4"/>
      <dgm:spPr/>
    </dgm:pt>
    <dgm:pt modelId="{545EC9D2-150E-4442-AD05-823F0091E472}" type="pres">
      <dgm:prSet presAssocID="{D2BDF730-57D5-4D00-A182-37D6859A51DD}" presName="connTx" presStyleLbl="parChTrans1D2" presStyleIdx="1" presStyleCnt="4"/>
      <dgm:spPr/>
    </dgm:pt>
    <dgm:pt modelId="{93F5E32B-DACC-41CF-A4C1-654E0605E1DB}" type="pres">
      <dgm:prSet presAssocID="{29DCA241-7C2B-40FB-B9FA-4219962A3E62}" presName="node" presStyleLbl="node1" presStyleIdx="1" presStyleCnt="4">
        <dgm:presLayoutVars>
          <dgm:bulletEnabled val="1"/>
        </dgm:presLayoutVars>
      </dgm:prSet>
      <dgm:spPr/>
    </dgm:pt>
    <dgm:pt modelId="{BEA5582C-2F15-4359-9380-BA84F0808840}" type="pres">
      <dgm:prSet presAssocID="{3082D381-F31D-40A6-B078-DA00C23CE5AD}" presName="Name9" presStyleLbl="parChTrans1D2" presStyleIdx="2" presStyleCnt="4"/>
      <dgm:spPr/>
    </dgm:pt>
    <dgm:pt modelId="{C64EFC2F-7401-4603-B68E-DE73EA699C07}" type="pres">
      <dgm:prSet presAssocID="{3082D381-F31D-40A6-B078-DA00C23CE5AD}" presName="connTx" presStyleLbl="parChTrans1D2" presStyleIdx="2" presStyleCnt="4"/>
      <dgm:spPr/>
    </dgm:pt>
    <dgm:pt modelId="{D627A664-811F-4DD6-A416-85FA66890FD3}" type="pres">
      <dgm:prSet presAssocID="{13772AB9-DB35-45B2-A005-D5D06FE8143C}" presName="node" presStyleLbl="node1" presStyleIdx="2" presStyleCnt="4">
        <dgm:presLayoutVars>
          <dgm:bulletEnabled val="1"/>
        </dgm:presLayoutVars>
      </dgm:prSet>
      <dgm:spPr/>
    </dgm:pt>
    <dgm:pt modelId="{45F0F72F-48E9-4D3D-8B8A-B59B3129BF12}" type="pres">
      <dgm:prSet presAssocID="{FF18F8D0-8B3F-492E-B078-0F760ACD7D74}" presName="Name9" presStyleLbl="parChTrans1D2" presStyleIdx="3" presStyleCnt="4"/>
      <dgm:spPr/>
    </dgm:pt>
    <dgm:pt modelId="{0CA23555-9A9F-4C40-82E7-DF7D99D577A8}" type="pres">
      <dgm:prSet presAssocID="{FF18F8D0-8B3F-492E-B078-0F760ACD7D74}" presName="connTx" presStyleLbl="parChTrans1D2" presStyleIdx="3" presStyleCnt="4"/>
      <dgm:spPr/>
    </dgm:pt>
    <dgm:pt modelId="{BC4F0F01-F53D-420D-8DE0-A9D2A280C7C0}" type="pres">
      <dgm:prSet presAssocID="{4FCC9758-A933-424E-8A24-664A6B73924B}" presName="node" presStyleLbl="node1" presStyleIdx="3" presStyleCnt="4">
        <dgm:presLayoutVars>
          <dgm:bulletEnabled val="1"/>
        </dgm:presLayoutVars>
      </dgm:prSet>
      <dgm:spPr/>
    </dgm:pt>
  </dgm:ptLst>
  <dgm:cxnLst>
    <dgm:cxn modelId="{7F67AE0C-9B27-408E-BCB9-8466B62EC834}" type="presOf" srcId="{0B17A2A7-0EF0-4114-8A9E-21454818F9AD}" destId="{48C2A9F9-1FB1-485D-BD50-42C8EB981A45}" srcOrd="0" destOrd="0" presId="urn:microsoft.com/office/officeart/2005/8/layout/radial1"/>
    <dgm:cxn modelId="{9AD2F70C-2100-477B-B2A5-2192AA5B4E67}" srcId="{4FCC9758-A933-424E-8A24-664A6B73924B}" destId="{4B60D02A-204C-4DDB-999E-CC42489D59FB}" srcOrd="3" destOrd="0" parTransId="{4EEB184A-132D-43BD-9E2A-7F64430EFA34}" sibTransId="{81E27AC9-5545-4771-AFB9-B4F4A8046425}"/>
    <dgm:cxn modelId="{CC1FB516-0EC0-4234-8F78-D7E06CC27617}" srcId="{5FC5E078-AD89-4B34-9839-41397F5A9501}" destId="{DE748B27-BDD3-433A-839B-5B8E9463FF64}" srcOrd="0" destOrd="0" parTransId="{E958C795-005F-4763-85F7-D4FDC3F31690}" sibTransId="{4AB03727-DC23-4369-83EC-3C13E98A5C5D}"/>
    <dgm:cxn modelId="{94CE3019-05C4-48F9-BF48-68E687D22857}" type="presOf" srcId="{0A6D6E87-1AAF-415B-8EF3-E4D527698EC4}" destId="{BC4F0F01-F53D-420D-8DE0-A9D2A280C7C0}" srcOrd="0" destOrd="2" presId="urn:microsoft.com/office/officeart/2005/8/layout/radial1"/>
    <dgm:cxn modelId="{1964ED19-2E5D-43BB-B306-0CB4860A3A4F}" type="presOf" srcId="{D2BDF730-57D5-4D00-A182-37D6859A51DD}" destId="{545EC9D2-150E-4442-AD05-823F0091E472}" srcOrd="1" destOrd="0" presId="urn:microsoft.com/office/officeart/2005/8/layout/radial1"/>
    <dgm:cxn modelId="{E109C21F-BDF8-4B62-968A-AF846B184D93}" type="presOf" srcId="{13772AB9-DB35-45B2-A005-D5D06FE8143C}" destId="{D627A664-811F-4DD6-A416-85FA66890FD3}" srcOrd="0" destOrd="0" presId="urn:microsoft.com/office/officeart/2005/8/layout/radial1"/>
    <dgm:cxn modelId="{DE7E7C3D-77C5-45BB-86EF-38BCAF30DDEC}" type="presOf" srcId="{3082D381-F31D-40A6-B078-DA00C23CE5AD}" destId="{C64EFC2F-7401-4603-B68E-DE73EA699C07}" srcOrd="1" destOrd="0" presId="urn:microsoft.com/office/officeart/2005/8/layout/radial1"/>
    <dgm:cxn modelId="{66284D61-0E2A-4656-8621-4937638AFB57}" type="presOf" srcId="{4B60D02A-204C-4DDB-999E-CC42489D59FB}" destId="{BC4F0F01-F53D-420D-8DE0-A9D2A280C7C0}" srcOrd="0" destOrd="4" presId="urn:microsoft.com/office/officeart/2005/8/layout/radial1"/>
    <dgm:cxn modelId="{BD486F62-E813-4719-B871-6BAD11E77C66}" srcId="{4FCC9758-A933-424E-8A24-664A6B73924B}" destId="{4CEEABBB-B367-43E9-B4B8-81E2B646B741}" srcOrd="0" destOrd="0" parTransId="{CEDD4CAA-DFA2-4F8B-A5E4-562680DC23FD}" sibTransId="{8210E81C-9E05-4997-A979-FFF0F379CFCD}"/>
    <dgm:cxn modelId="{205C0C43-4986-41A6-9FE3-0FC65075829C}" type="presOf" srcId="{1191FCB3-BFF7-4B62-B2B4-07D4871EDB4A}" destId="{A2E3655A-6A3E-4C35-9317-6C6D50ADFF27}" srcOrd="0" destOrd="2" presId="urn:microsoft.com/office/officeart/2005/8/layout/radial1"/>
    <dgm:cxn modelId="{5C1D3F67-F1E9-4474-924F-F0C7A03F9C75}" type="presOf" srcId="{DE748B27-BDD3-433A-839B-5B8E9463FF64}" destId="{A2E3655A-6A3E-4C35-9317-6C6D50ADFF27}" srcOrd="0" destOrd="1" presId="urn:microsoft.com/office/officeart/2005/8/layout/radial1"/>
    <dgm:cxn modelId="{1D1E6E76-240E-4059-B4EF-67372CEF53F8}" srcId="{0B17A2A7-0EF0-4114-8A9E-21454818F9AD}" destId="{5FC5E078-AD89-4B34-9839-41397F5A9501}" srcOrd="0" destOrd="0" parTransId="{663B1582-E900-48CB-A145-37D7425DFBAC}" sibTransId="{B1B36CAA-A903-495F-BDA0-261AB1C57EFB}"/>
    <dgm:cxn modelId="{06796C59-FF53-406B-9DC5-11F25C6F274A}" type="presOf" srcId="{B01B7D57-714C-4D1D-B3DE-A71E356BD600}" destId="{C31DAC62-7F40-4CB7-86E6-84FF60BE870F}" srcOrd="0" destOrd="0" presId="urn:microsoft.com/office/officeart/2005/8/layout/radial1"/>
    <dgm:cxn modelId="{F0088A7A-0689-48E6-89BF-52EFF450AEFB}" type="presOf" srcId="{663B1582-E900-48CB-A145-37D7425DFBAC}" destId="{553EE23F-7CC9-4584-A648-E8782613E7FC}" srcOrd="0" destOrd="0" presId="urn:microsoft.com/office/officeart/2005/8/layout/radial1"/>
    <dgm:cxn modelId="{1B962786-9079-4210-9730-CBEA8EEE5F2E}" srcId="{B01B7D57-714C-4D1D-B3DE-A71E356BD600}" destId="{0B17A2A7-0EF0-4114-8A9E-21454818F9AD}" srcOrd="0" destOrd="0" parTransId="{7B57D046-F8D2-46D5-A024-B9E5BED1EBA9}" sibTransId="{8B7B81E3-B8D8-4898-95AA-0CB0EEB55C15}"/>
    <dgm:cxn modelId="{B73FE786-BC58-4A53-B41E-38AE6BFA48EA}" type="presOf" srcId="{FF18F8D0-8B3F-492E-B078-0F760ACD7D74}" destId="{0CA23555-9A9F-4C40-82E7-DF7D99D577A8}" srcOrd="1" destOrd="0" presId="urn:microsoft.com/office/officeart/2005/8/layout/radial1"/>
    <dgm:cxn modelId="{13049887-EAB2-45B4-B528-2A5A83ADD2F3}" type="presOf" srcId="{FF18F8D0-8B3F-492E-B078-0F760ACD7D74}" destId="{45F0F72F-48E9-4D3D-8B8A-B59B3129BF12}" srcOrd="0" destOrd="0" presId="urn:microsoft.com/office/officeart/2005/8/layout/radial1"/>
    <dgm:cxn modelId="{7494A1A1-4408-40E7-83D0-DECB3E752873}" type="presOf" srcId="{1DF03172-964A-4DC1-BD85-AACC36AA2C2D}" destId="{BC4F0F01-F53D-420D-8DE0-A9D2A280C7C0}" srcOrd="0" destOrd="3" presId="urn:microsoft.com/office/officeart/2005/8/layout/radial1"/>
    <dgm:cxn modelId="{35E2FBA3-5950-4E13-870B-C3AFB2223CE7}" srcId="{5FC5E078-AD89-4B34-9839-41397F5A9501}" destId="{1191FCB3-BFF7-4B62-B2B4-07D4871EDB4A}" srcOrd="1" destOrd="0" parTransId="{FE6E8D63-4136-4611-9A29-58802970A819}" sibTransId="{F6A7D4BF-68C2-40F5-BF3D-8F4AA022642C}"/>
    <dgm:cxn modelId="{8EA305A8-AA6D-4E25-84A8-A30E7B5255E2}" srcId="{0B17A2A7-0EF0-4114-8A9E-21454818F9AD}" destId="{29DCA241-7C2B-40FB-B9FA-4219962A3E62}" srcOrd="1" destOrd="0" parTransId="{D2BDF730-57D5-4D00-A182-37D6859A51DD}" sibTransId="{C60E82A2-1F12-4093-87F4-169DECE7F5D4}"/>
    <dgm:cxn modelId="{482AABAC-8E10-4740-A750-54025919795C}" type="presOf" srcId="{5FC5E078-AD89-4B34-9839-41397F5A9501}" destId="{A2E3655A-6A3E-4C35-9317-6C6D50ADFF27}" srcOrd="0" destOrd="0" presId="urn:microsoft.com/office/officeart/2005/8/layout/radial1"/>
    <dgm:cxn modelId="{4C21FEBC-54F8-4D8D-940E-C579317B058C}" srcId="{4FCC9758-A933-424E-8A24-664A6B73924B}" destId="{0A6D6E87-1AAF-415B-8EF3-E4D527698EC4}" srcOrd="1" destOrd="0" parTransId="{18F89BAF-1480-4BFA-9824-A5467DE32363}" sibTransId="{F3AEF075-7D70-4082-A82F-4CCFC52024A6}"/>
    <dgm:cxn modelId="{18B497C2-2C6B-4FE5-A197-75FCE4BE146B}" type="presOf" srcId="{663B1582-E900-48CB-A145-37D7425DFBAC}" destId="{982A0880-76E7-4305-9CED-A0B44B54D4F5}" srcOrd="1" destOrd="0" presId="urn:microsoft.com/office/officeart/2005/8/layout/radial1"/>
    <dgm:cxn modelId="{1FF487CC-7B3F-4F3A-8015-AC0675C2B2E5}" type="presOf" srcId="{D2BDF730-57D5-4D00-A182-37D6859A51DD}" destId="{50FEF7F3-C07A-4102-8DF4-51204F62C112}" srcOrd="0" destOrd="0" presId="urn:microsoft.com/office/officeart/2005/8/layout/radial1"/>
    <dgm:cxn modelId="{089656D7-1ED1-495C-805B-300DE0F7DF3F}" srcId="{4FCC9758-A933-424E-8A24-664A6B73924B}" destId="{1DF03172-964A-4DC1-BD85-AACC36AA2C2D}" srcOrd="2" destOrd="0" parTransId="{1AE082C2-643B-44DE-98FA-833C69FB48F4}" sibTransId="{EF97E51D-FA5C-4C39-A996-F27C6C096406}"/>
    <dgm:cxn modelId="{C8A82FE9-C4AA-478F-A9B1-2F1A450CC353}" srcId="{0B17A2A7-0EF0-4114-8A9E-21454818F9AD}" destId="{13772AB9-DB35-45B2-A005-D5D06FE8143C}" srcOrd="2" destOrd="0" parTransId="{3082D381-F31D-40A6-B078-DA00C23CE5AD}" sibTransId="{83B90C63-B927-4265-BA8B-DF8C28F29CE6}"/>
    <dgm:cxn modelId="{9B0265E9-6DCC-4525-98BF-6284BBE6B0B8}" type="presOf" srcId="{4CEEABBB-B367-43E9-B4B8-81E2B646B741}" destId="{BC4F0F01-F53D-420D-8DE0-A9D2A280C7C0}" srcOrd="0" destOrd="1" presId="urn:microsoft.com/office/officeart/2005/8/layout/radial1"/>
    <dgm:cxn modelId="{EED9D8EC-676D-4151-839F-1B52221B3DEF}" type="presOf" srcId="{4FCC9758-A933-424E-8A24-664A6B73924B}" destId="{BC4F0F01-F53D-420D-8DE0-A9D2A280C7C0}" srcOrd="0" destOrd="0" presId="urn:microsoft.com/office/officeart/2005/8/layout/radial1"/>
    <dgm:cxn modelId="{BA5350F2-1EE6-4238-A8BE-10CD8A9B7AEC}" type="presOf" srcId="{29DCA241-7C2B-40FB-B9FA-4219962A3E62}" destId="{93F5E32B-DACC-41CF-A4C1-654E0605E1DB}" srcOrd="0" destOrd="0" presId="urn:microsoft.com/office/officeart/2005/8/layout/radial1"/>
    <dgm:cxn modelId="{EA4F61F3-8663-439B-BC35-0948A7941AAF}" srcId="{0B17A2A7-0EF0-4114-8A9E-21454818F9AD}" destId="{4FCC9758-A933-424E-8A24-664A6B73924B}" srcOrd="3" destOrd="0" parTransId="{FF18F8D0-8B3F-492E-B078-0F760ACD7D74}" sibTransId="{8583C021-E414-4DCC-87E3-40F3D0C475A7}"/>
    <dgm:cxn modelId="{EE7859FB-E91C-4FAA-9FB4-D851762D81A1}" type="presOf" srcId="{3082D381-F31D-40A6-B078-DA00C23CE5AD}" destId="{BEA5582C-2F15-4359-9380-BA84F0808840}" srcOrd="0" destOrd="0" presId="urn:microsoft.com/office/officeart/2005/8/layout/radial1"/>
    <dgm:cxn modelId="{0F102123-5E84-498C-87CB-E8FA2E48D8C2}" type="presParOf" srcId="{C31DAC62-7F40-4CB7-86E6-84FF60BE870F}" destId="{48C2A9F9-1FB1-485D-BD50-42C8EB981A45}" srcOrd="0" destOrd="0" presId="urn:microsoft.com/office/officeart/2005/8/layout/radial1"/>
    <dgm:cxn modelId="{FD5048EF-606E-4364-8CEA-B1EF7313C28E}" type="presParOf" srcId="{C31DAC62-7F40-4CB7-86E6-84FF60BE870F}" destId="{553EE23F-7CC9-4584-A648-E8782613E7FC}" srcOrd="1" destOrd="0" presId="urn:microsoft.com/office/officeart/2005/8/layout/radial1"/>
    <dgm:cxn modelId="{9E25C0F0-BF5C-4C77-A29E-A6B10B272DF2}" type="presParOf" srcId="{553EE23F-7CC9-4584-A648-E8782613E7FC}" destId="{982A0880-76E7-4305-9CED-A0B44B54D4F5}" srcOrd="0" destOrd="0" presId="urn:microsoft.com/office/officeart/2005/8/layout/radial1"/>
    <dgm:cxn modelId="{2134BBD0-EB0A-405F-B1FB-B84612432934}" type="presParOf" srcId="{C31DAC62-7F40-4CB7-86E6-84FF60BE870F}" destId="{A2E3655A-6A3E-4C35-9317-6C6D50ADFF27}" srcOrd="2" destOrd="0" presId="urn:microsoft.com/office/officeart/2005/8/layout/radial1"/>
    <dgm:cxn modelId="{A5671318-2E85-46F4-8EA6-9C3EA43BAF33}" type="presParOf" srcId="{C31DAC62-7F40-4CB7-86E6-84FF60BE870F}" destId="{50FEF7F3-C07A-4102-8DF4-51204F62C112}" srcOrd="3" destOrd="0" presId="urn:microsoft.com/office/officeart/2005/8/layout/radial1"/>
    <dgm:cxn modelId="{8093B6A8-E5C0-46E5-A31A-F181F18A7A30}" type="presParOf" srcId="{50FEF7F3-C07A-4102-8DF4-51204F62C112}" destId="{545EC9D2-150E-4442-AD05-823F0091E472}" srcOrd="0" destOrd="0" presId="urn:microsoft.com/office/officeart/2005/8/layout/radial1"/>
    <dgm:cxn modelId="{C37DCCDF-4563-4C3D-9B95-063CA5BE130E}" type="presParOf" srcId="{C31DAC62-7F40-4CB7-86E6-84FF60BE870F}" destId="{93F5E32B-DACC-41CF-A4C1-654E0605E1DB}" srcOrd="4" destOrd="0" presId="urn:microsoft.com/office/officeart/2005/8/layout/radial1"/>
    <dgm:cxn modelId="{6186BB39-477F-420A-B5F1-E804A1D2AB31}" type="presParOf" srcId="{C31DAC62-7F40-4CB7-86E6-84FF60BE870F}" destId="{BEA5582C-2F15-4359-9380-BA84F0808840}" srcOrd="5" destOrd="0" presId="urn:microsoft.com/office/officeart/2005/8/layout/radial1"/>
    <dgm:cxn modelId="{C27B7BF0-DC61-4A49-BAE6-A5A5F2575415}" type="presParOf" srcId="{BEA5582C-2F15-4359-9380-BA84F0808840}" destId="{C64EFC2F-7401-4603-B68E-DE73EA699C07}" srcOrd="0" destOrd="0" presId="urn:microsoft.com/office/officeart/2005/8/layout/radial1"/>
    <dgm:cxn modelId="{28514DF3-84A1-4824-AC5C-58AC2ED02794}" type="presParOf" srcId="{C31DAC62-7F40-4CB7-86E6-84FF60BE870F}" destId="{D627A664-811F-4DD6-A416-85FA66890FD3}" srcOrd="6" destOrd="0" presId="urn:microsoft.com/office/officeart/2005/8/layout/radial1"/>
    <dgm:cxn modelId="{F18D7764-74AC-48DF-8E71-DC74BC0192D8}" type="presParOf" srcId="{C31DAC62-7F40-4CB7-86E6-84FF60BE870F}" destId="{45F0F72F-48E9-4D3D-8B8A-B59B3129BF12}" srcOrd="7" destOrd="0" presId="urn:microsoft.com/office/officeart/2005/8/layout/radial1"/>
    <dgm:cxn modelId="{498F30E0-8609-46C7-8C5D-8F175C656CFA}" type="presParOf" srcId="{45F0F72F-48E9-4D3D-8B8A-B59B3129BF12}" destId="{0CA23555-9A9F-4C40-82E7-DF7D99D577A8}" srcOrd="0" destOrd="0" presId="urn:microsoft.com/office/officeart/2005/8/layout/radial1"/>
    <dgm:cxn modelId="{9921E5FA-6743-4994-8973-84C8F4FCC3FD}" type="presParOf" srcId="{C31DAC62-7F40-4CB7-86E6-84FF60BE870F}" destId="{BC4F0F01-F53D-420D-8DE0-A9D2A280C7C0}" srcOrd="8"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BB3B82-553C-486D-90D8-671C8D549290}" type="doc">
      <dgm:prSet loTypeId="urn:microsoft.com/office/officeart/2005/8/layout/process5" loCatId="process" qsTypeId="urn:microsoft.com/office/officeart/2005/8/quickstyle/simple1#2" qsCatId="simple" csTypeId="urn:microsoft.com/office/officeart/2005/8/colors/colorful1#1" csCatId="colorful" phldr="1"/>
      <dgm:spPr/>
      <dgm:t>
        <a:bodyPr/>
        <a:lstStyle/>
        <a:p>
          <a:endParaRPr lang="en-US"/>
        </a:p>
      </dgm:t>
    </dgm:pt>
    <dgm:pt modelId="{C6913A54-1261-4479-8BEB-D1EF3825D812}">
      <dgm:prSet/>
      <dgm:spPr/>
      <dgm:t>
        <a:bodyPr/>
        <a:lstStyle/>
        <a:p>
          <a:r>
            <a:rPr lang="en-US"/>
            <a:t>LONDON RENTAL DEMAND</a:t>
          </a:r>
        </a:p>
      </dgm:t>
    </dgm:pt>
    <dgm:pt modelId="{1CA10FDE-10AA-42D3-A048-780382D1D531}" type="parTrans" cxnId="{654E8499-2AB6-49EC-9BE3-2A4B2AD1AE70}">
      <dgm:prSet/>
      <dgm:spPr/>
      <dgm:t>
        <a:bodyPr/>
        <a:lstStyle/>
        <a:p>
          <a:endParaRPr lang="en-US"/>
        </a:p>
      </dgm:t>
    </dgm:pt>
    <dgm:pt modelId="{477245EE-2195-4652-9583-EF304122CEBF}" type="sibTrans" cxnId="{654E8499-2AB6-49EC-9BE3-2A4B2AD1AE70}">
      <dgm:prSet/>
      <dgm:spPr>
        <a:noFill/>
        <a:ln>
          <a:solidFill>
            <a:srgbClr val="C00000"/>
          </a:solidFill>
        </a:ln>
      </dgm:spPr>
      <dgm:t>
        <a:bodyPr/>
        <a:lstStyle/>
        <a:p>
          <a:endParaRPr lang="en-US"/>
        </a:p>
      </dgm:t>
    </dgm:pt>
    <dgm:pt modelId="{8EDB092D-759C-451B-A2C8-B7D5A628F96F}">
      <dgm:prSet/>
      <dgm:spPr/>
      <dgm:t>
        <a:bodyPr/>
        <a:lstStyle/>
        <a:p>
          <a:r>
            <a:rPr lang="en-US"/>
            <a:t>£2,332 average monthly rent</a:t>
          </a:r>
        </a:p>
      </dgm:t>
    </dgm:pt>
    <dgm:pt modelId="{6286C33F-3E52-4A5B-B19A-A1CDC8E63789}" type="parTrans" cxnId="{E64C9A41-85E3-4C37-ACFA-214FD05CAD45}">
      <dgm:prSet/>
      <dgm:spPr/>
      <dgm:t>
        <a:bodyPr/>
        <a:lstStyle/>
        <a:p>
          <a:endParaRPr lang="en-US"/>
        </a:p>
      </dgm:t>
    </dgm:pt>
    <dgm:pt modelId="{CE24DE3D-2C61-48CE-8C90-C5FD1D63C98D}" type="sibTrans" cxnId="{E64C9A41-85E3-4C37-ACFA-214FD05CAD45}">
      <dgm:prSet/>
      <dgm:spPr/>
      <dgm:t>
        <a:bodyPr/>
        <a:lstStyle/>
        <a:p>
          <a:endParaRPr lang="en-US"/>
        </a:p>
      </dgm:t>
    </dgm:pt>
    <dgm:pt modelId="{33CF4B8C-DD57-42D8-A640-029D3FA65988}">
      <dgm:prSet/>
      <dgm:spPr/>
      <dgm:t>
        <a:bodyPr/>
        <a:lstStyle/>
        <a:p>
          <a:r>
            <a:rPr lang="en-US"/>
            <a:t>+3.5% annual growth</a:t>
          </a:r>
        </a:p>
      </dgm:t>
    </dgm:pt>
    <dgm:pt modelId="{C93E95AF-9B04-4780-91F6-1491054AE599}" type="parTrans" cxnId="{78198861-A5CD-48B9-89ED-FA32277CC860}">
      <dgm:prSet/>
      <dgm:spPr/>
      <dgm:t>
        <a:bodyPr/>
        <a:lstStyle/>
        <a:p>
          <a:endParaRPr lang="en-US"/>
        </a:p>
      </dgm:t>
    </dgm:pt>
    <dgm:pt modelId="{6BED8E0F-087B-4210-A4A6-6CF6C9192199}" type="sibTrans" cxnId="{78198861-A5CD-48B9-89ED-FA32277CC860}">
      <dgm:prSet/>
      <dgm:spPr/>
      <dgm:t>
        <a:bodyPr/>
        <a:lstStyle/>
        <a:p>
          <a:endParaRPr lang="en-US"/>
        </a:p>
      </dgm:t>
    </dgm:pt>
    <dgm:pt modelId="{49F91625-3E54-48A6-B9A4-8A464418BC48}">
      <dgm:prSet/>
      <dgm:spPr/>
      <dgm:t>
        <a:bodyPr/>
        <a:lstStyle/>
        <a:p>
          <a:r>
            <a:rPr lang="en-US"/>
            <a:t>PRIVATE RENTAL SUPPLY PRESSURE</a:t>
          </a:r>
        </a:p>
      </dgm:t>
    </dgm:pt>
    <dgm:pt modelId="{64D62182-85AE-4B73-B409-C6D9DCA22368}" type="parTrans" cxnId="{2066C6AE-1317-449F-AC47-C9FBDD4A270A}">
      <dgm:prSet/>
      <dgm:spPr/>
      <dgm:t>
        <a:bodyPr/>
        <a:lstStyle/>
        <a:p>
          <a:endParaRPr lang="en-US"/>
        </a:p>
      </dgm:t>
    </dgm:pt>
    <dgm:pt modelId="{D0C0D011-BE3D-44F4-A2D1-2F14867FECC8}" type="sibTrans" cxnId="{2066C6AE-1317-449F-AC47-C9FBDD4A270A}">
      <dgm:prSet/>
      <dgm:spPr>
        <a:noFill/>
        <a:ln>
          <a:solidFill>
            <a:srgbClr val="C00000"/>
          </a:solidFill>
        </a:ln>
      </dgm:spPr>
      <dgm:t>
        <a:bodyPr/>
        <a:lstStyle/>
        <a:p>
          <a:endParaRPr lang="en-US"/>
        </a:p>
      </dgm:t>
    </dgm:pt>
    <dgm:pt modelId="{E0120B09-4118-4C7F-98E2-E4C23C37279D}">
      <dgm:prSet/>
      <dgm:spPr/>
      <dgm:t>
        <a:bodyPr/>
        <a:lstStyle/>
        <a:p>
          <a:r>
            <a:rPr lang="en-US"/>
            <a:t>PRS stock ↓ c.200,000 homes since October 2022</a:t>
          </a:r>
        </a:p>
      </dgm:t>
    </dgm:pt>
    <dgm:pt modelId="{D5C9FB62-EC7F-467B-9621-221CEEA4DFDA}" type="parTrans" cxnId="{211DD101-B595-42B1-9103-0FAA51853F81}">
      <dgm:prSet/>
      <dgm:spPr/>
      <dgm:t>
        <a:bodyPr/>
        <a:lstStyle/>
        <a:p>
          <a:endParaRPr lang="en-US"/>
        </a:p>
      </dgm:t>
    </dgm:pt>
    <dgm:pt modelId="{E914FD3E-746A-41B1-8037-DD8582AEAC0F}" type="sibTrans" cxnId="{211DD101-B595-42B1-9103-0FAA51853F81}">
      <dgm:prSet/>
      <dgm:spPr/>
      <dgm:t>
        <a:bodyPr/>
        <a:lstStyle/>
        <a:p>
          <a:endParaRPr lang="en-US"/>
        </a:p>
      </dgm:t>
    </dgm:pt>
    <dgm:pt modelId="{C0ED6899-6F48-4C51-BD01-A680C7696742}">
      <dgm:prSet/>
      <dgm:spPr/>
      <dgm:t>
        <a:bodyPr/>
        <a:lstStyle/>
        <a:p>
          <a:r>
            <a:rPr lang="en-US"/>
            <a:t>BTR SUPPLY CONSTRAINT</a:t>
          </a:r>
        </a:p>
      </dgm:t>
    </dgm:pt>
    <dgm:pt modelId="{33EF18EC-4615-4C58-8893-8FE1063BB9B8}" type="parTrans" cxnId="{D8CC6B6F-776C-41A5-8D6B-19A45833949F}">
      <dgm:prSet/>
      <dgm:spPr/>
      <dgm:t>
        <a:bodyPr/>
        <a:lstStyle/>
        <a:p>
          <a:endParaRPr lang="en-US"/>
        </a:p>
      </dgm:t>
    </dgm:pt>
    <dgm:pt modelId="{A2D230BA-BE23-44DD-A06A-C3EB60BC8C9B}" type="sibTrans" cxnId="{D8CC6B6F-776C-41A5-8D6B-19A45833949F}">
      <dgm:prSet/>
      <dgm:spPr>
        <a:noFill/>
        <a:ln>
          <a:solidFill>
            <a:srgbClr val="C00000"/>
          </a:solidFill>
        </a:ln>
      </dgm:spPr>
      <dgm:t>
        <a:bodyPr/>
        <a:lstStyle/>
        <a:p>
          <a:endParaRPr lang="en-US"/>
        </a:p>
      </dgm:t>
    </dgm:pt>
    <dgm:pt modelId="{054E089C-17B2-469F-9D88-02B2852753A6}">
      <dgm:prSet/>
      <dgm:spPr/>
      <dgm:t>
        <a:bodyPr/>
        <a:lstStyle/>
        <a:p>
          <a:r>
            <a:rPr lang="en-US"/>
            <a:t>UK starts ↓79%
Construction ↓21%</a:t>
          </a:r>
        </a:p>
      </dgm:t>
    </dgm:pt>
    <dgm:pt modelId="{35C2D941-3B14-4124-812C-CC65C273C21E}" type="parTrans" cxnId="{A6E15073-75C3-44F1-AF99-D6113D20C467}">
      <dgm:prSet/>
      <dgm:spPr/>
      <dgm:t>
        <a:bodyPr/>
        <a:lstStyle/>
        <a:p>
          <a:endParaRPr lang="en-US"/>
        </a:p>
      </dgm:t>
    </dgm:pt>
    <dgm:pt modelId="{1D433C3F-B360-4303-8CBD-097649F3D27E}" type="sibTrans" cxnId="{A6E15073-75C3-44F1-AF99-D6113D20C467}">
      <dgm:prSet/>
      <dgm:spPr/>
      <dgm:t>
        <a:bodyPr/>
        <a:lstStyle/>
        <a:p>
          <a:endParaRPr lang="en-US"/>
        </a:p>
      </dgm:t>
    </dgm:pt>
    <dgm:pt modelId="{DA596438-D804-4F86-8B87-F542003A3907}">
      <dgm:prSet/>
      <dgm:spPr/>
      <dgm:t>
        <a:bodyPr/>
        <a:lstStyle/>
        <a:p>
          <a:r>
            <a:rPr lang="en-US"/>
            <a:t>INSTITUTIONAL INVESTMENT</a:t>
          </a:r>
        </a:p>
      </dgm:t>
    </dgm:pt>
    <dgm:pt modelId="{38EDA2DD-E93C-41E2-82AD-B692152A2319}" type="parTrans" cxnId="{D12B1BE2-68C1-4029-8C21-F7E5264E1FCF}">
      <dgm:prSet/>
      <dgm:spPr/>
      <dgm:t>
        <a:bodyPr/>
        <a:lstStyle/>
        <a:p>
          <a:endParaRPr lang="en-US"/>
        </a:p>
      </dgm:t>
    </dgm:pt>
    <dgm:pt modelId="{07BFA4A3-6C4D-4C48-8862-7F0BFB3BC0F0}" type="sibTrans" cxnId="{D12B1BE2-68C1-4029-8C21-F7E5264E1FCF}">
      <dgm:prSet/>
      <dgm:spPr>
        <a:noFill/>
        <a:ln>
          <a:solidFill>
            <a:srgbClr val="C00000"/>
          </a:solidFill>
        </a:ln>
      </dgm:spPr>
      <dgm:t>
        <a:bodyPr/>
        <a:lstStyle/>
        <a:p>
          <a:endParaRPr lang="en-US"/>
        </a:p>
      </dgm:t>
    </dgm:pt>
    <dgm:pt modelId="{448EBE70-1E56-439B-81FC-343BDA0277CA}">
      <dgm:prSet/>
      <dgm:spPr/>
      <dgm:t>
        <a:bodyPr/>
        <a:lstStyle/>
        <a:p>
          <a:r>
            <a:rPr lang="en-US"/>
            <a:t>£1.8bn multifamily BTR
investment in Q2 2026</a:t>
          </a:r>
        </a:p>
      </dgm:t>
    </dgm:pt>
    <dgm:pt modelId="{C6B8FF48-CC93-4532-A888-A891A61515AD}" type="parTrans" cxnId="{3DAAB63D-23AA-478D-A589-65847E856939}">
      <dgm:prSet/>
      <dgm:spPr/>
      <dgm:t>
        <a:bodyPr/>
        <a:lstStyle/>
        <a:p>
          <a:endParaRPr lang="en-US"/>
        </a:p>
      </dgm:t>
    </dgm:pt>
    <dgm:pt modelId="{8375DE03-62AE-404D-ABD2-F9FBB362A733}" type="sibTrans" cxnId="{3DAAB63D-23AA-478D-A589-65847E856939}">
      <dgm:prSet/>
      <dgm:spPr/>
      <dgm:t>
        <a:bodyPr/>
        <a:lstStyle/>
        <a:p>
          <a:endParaRPr lang="en-US"/>
        </a:p>
      </dgm:t>
    </dgm:pt>
    <dgm:pt modelId="{3743DA43-B960-49EA-ACA2-1C1EA71E8598}">
      <dgm:prSet/>
      <dgm:spPr/>
      <dgm:t>
        <a:bodyPr/>
        <a:lstStyle/>
        <a:p>
          <a:r>
            <a:rPr lang="en-US"/>
            <a:t>BERKELEY CAPABILITY</a:t>
          </a:r>
        </a:p>
      </dgm:t>
    </dgm:pt>
    <dgm:pt modelId="{06F5F55D-FB07-4622-BBDC-681F3800FDBD}" type="parTrans" cxnId="{EEF867EE-B2AD-47AB-B741-7163ADBE7DE1}">
      <dgm:prSet/>
      <dgm:spPr/>
      <dgm:t>
        <a:bodyPr/>
        <a:lstStyle/>
        <a:p>
          <a:endParaRPr lang="en-US"/>
        </a:p>
      </dgm:t>
    </dgm:pt>
    <dgm:pt modelId="{22BC8DB3-E1FD-45FC-BCDD-765878EB6141}" type="sibTrans" cxnId="{EEF867EE-B2AD-47AB-B741-7163ADBE7DE1}">
      <dgm:prSet/>
      <dgm:spPr>
        <a:noFill/>
        <a:ln>
          <a:solidFill>
            <a:srgbClr val="C00000"/>
          </a:solidFill>
        </a:ln>
      </dgm:spPr>
      <dgm:t>
        <a:bodyPr/>
        <a:lstStyle/>
        <a:p>
          <a:endParaRPr lang="en-US"/>
        </a:p>
      </dgm:t>
    </dgm:pt>
    <dgm:pt modelId="{722ECA50-56F3-4F69-9DE4-B4F995D51B51}">
      <dgm:prSet/>
      <dgm:spPr/>
      <dgm:t>
        <a:bodyPr/>
        <a:lstStyle/>
        <a:p>
          <a:r>
            <a:rPr lang="en-US"/>
            <a:t>4,000-home target
1,122 homes in production
£1bn+ planned investment</a:t>
          </a:r>
        </a:p>
      </dgm:t>
    </dgm:pt>
    <dgm:pt modelId="{D8A0981F-35A5-4200-B776-29FF33548172}" type="parTrans" cxnId="{1C0005F2-C77E-498A-8A63-B898689A750A}">
      <dgm:prSet/>
      <dgm:spPr/>
      <dgm:t>
        <a:bodyPr/>
        <a:lstStyle/>
        <a:p>
          <a:endParaRPr lang="en-US"/>
        </a:p>
      </dgm:t>
    </dgm:pt>
    <dgm:pt modelId="{B852083A-0071-4E99-A6CA-796B73D80A5C}" type="sibTrans" cxnId="{1C0005F2-C77E-498A-8A63-B898689A750A}">
      <dgm:prSet/>
      <dgm:spPr/>
      <dgm:t>
        <a:bodyPr/>
        <a:lstStyle/>
        <a:p>
          <a:endParaRPr lang="en-US"/>
        </a:p>
      </dgm:t>
    </dgm:pt>
    <dgm:pt modelId="{3260162F-48FC-40F9-A379-84541A501BFF}">
      <dgm:prSet/>
      <dgm:spPr/>
      <dgm:t>
        <a:bodyPr/>
        <a:lstStyle/>
        <a:p>
          <a:r>
            <a:rPr lang="en-US"/>
            <a:t>BERKELEY LIVING</a:t>
          </a:r>
        </a:p>
      </dgm:t>
    </dgm:pt>
    <dgm:pt modelId="{A483D9E1-8FC9-4896-A397-B137934E5E9E}" type="parTrans" cxnId="{2C5311AA-E884-4645-ADDA-3738C17CC2A0}">
      <dgm:prSet/>
      <dgm:spPr/>
      <dgm:t>
        <a:bodyPr/>
        <a:lstStyle/>
        <a:p>
          <a:endParaRPr lang="en-US"/>
        </a:p>
      </dgm:t>
    </dgm:pt>
    <dgm:pt modelId="{66CBDACA-B8B8-4E64-A729-26FCB17B3D2D}" type="sibTrans" cxnId="{2C5311AA-E884-4645-ADDA-3738C17CC2A0}">
      <dgm:prSet/>
      <dgm:spPr/>
      <dgm:t>
        <a:bodyPr/>
        <a:lstStyle/>
        <a:p>
          <a:endParaRPr lang="en-US"/>
        </a:p>
      </dgm:t>
    </dgm:pt>
    <dgm:pt modelId="{792D921F-09B4-4BB9-B34D-BA8F2A6B408A}">
      <dgm:prSet/>
      <dgm:spPr/>
      <dgm:t>
        <a:bodyPr/>
        <a:lstStyle/>
        <a:p>
          <a:r>
            <a:rPr lang="en-US"/>
            <a:t>SELECTIVE BTR EXPANSION</a:t>
          </a:r>
        </a:p>
      </dgm:t>
    </dgm:pt>
    <dgm:pt modelId="{57EE9CE0-A4E6-481E-BB45-BBF49B647EED}" type="parTrans" cxnId="{CCB99B24-8223-4335-9A4B-3A1A35007597}">
      <dgm:prSet/>
      <dgm:spPr/>
      <dgm:t>
        <a:bodyPr/>
        <a:lstStyle/>
        <a:p>
          <a:endParaRPr lang="en-US"/>
        </a:p>
      </dgm:t>
    </dgm:pt>
    <dgm:pt modelId="{9899A1BC-B424-4B8E-A15F-D2C24ED46353}" type="sibTrans" cxnId="{CCB99B24-8223-4335-9A4B-3A1A35007597}">
      <dgm:prSet/>
      <dgm:spPr/>
      <dgm:t>
        <a:bodyPr/>
        <a:lstStyle/>
        <a:p>
          <a:endParaRPr lang="en-US"/>
        </a:p>
      </dgm:t>
    </dgm:pt>
    <dgm:pt modelId="{29615263-C654-4B4F-9DA1-6AB8D593A4EC}" type="pres">
      <dgm:prSet presAssocID="{E8BB3B82-553C-486D-90D8-671C8D549290}" presName="diagram" presStyleCnt="0">
        <dgm:presLayoutVars>
          <dgm:dir/>
          <dgm:resizeHandles val="exact"/>
        </dgm:presLayoutVars>
      </dgm:prSet>
      <dgm:spPr/>
    </dgm:pt>
    <dgm:pt modelId="{FD00BDDC-0A6D-4D4B-9E17-D1194BF6B31C}" type="pres">
      <dgm:prSet presAssocID="{C6913A54-1261-4479-8BEB-D1EF3825D812}" presName="node" presStyleLbl="node1" presStyleIdx="0" presStyleCnt="6">
        <dgm:presLayoutVars>
          <dgm:bulletEnabled val="1"/>
        </dgm:presLayoutVars>
      </dgm:prSet>
      <dgm:spPr/>
    </dgm:pt>
    <dgm:pt modelId="{D1C5067C-C120-488B-8CF0-884F3641CE80}" type="pres">
      <dgm:prSet presAssocID="{477245EE-2195-4652-9583-EF304122CEBF}" presName="sibTrans" presStyleLbl="sibTrans2D1" presStyleIdx="0" presStyleCnt="5"/>
      <dgm:spPr/>
    </dgm:pt>
    <dgm:pt modelId="{3A1D7DC3-D0EF-4461-B05E-A40A08FFCAA9}" type="pres">
      <dgm:prSet presAssocID="{477245EE-2195-4652-9583-EF304122CEBF}" presName="connectorText" presStyleLbl="sibTrans2D1" presStyleIdx="0" presStyleCnt="5"/>
      <dgm:spPr/>
    </dgm:pt>
    <dgm:pt modelId="{BE5645E3-888E-42FB-B679-61791C636BF2}" type="pres">
      <dgm:prSet presAssocID="{49F91625-3E54-48A6-B9A4-8A464418BC48}" presName="node" presStyleLbl="node1" presStyleIdx="1" presStyleCnt="6">
        <dgm:presLayoutVars>
          <dgm:bulletEnabled val="1"/>
        </dgm:presLayoutVars>
      </dgm:prSet>
      <dgm:spPr/>
    </dgm:pt>
    <dgm:pt modelId="{24F9F205-18BB-430C-BE1C-2D732941F14E}" type="pres">
      <dgm:prSet presAssocID="{D0C0D011-BE3D-44F4-A2D1-2F14867FECC8}" presName="sibTrans" presStyleLbl="sibTrans2D1" presStyleIdx="1" presStyleCnt="5"/>
      <dgm:spPr/>
    </dgm:pt>
    <dgm:pt modelId="{DD02C379-DA74-47A4-8C13-A11F0B5E39EF}" type="pres">
      <dgm:prSet presAssocID="{D0C0D011-BE3D-44F4-A2D1-2F14867FECC8}" presName="connectorText" presStyleLbl="sibTrans2D1" presStyleIdx="1" presStyleCnt="5"/>
      <dgm:spPr/>
    </dgm:pt>
    <dgm:pt modelId="{3B179F69-01AC-4969-A93E-C17ADFF3AA4F}" type="pres">
      <dgm:prSet presAssocID="{C0ED6899-6F48-4C51-BD01-A680C7696742}" presName="node" presStyleLbl="node1" presStyleIdx="2" presStyleCnt="6">
        <dgm:presLayoutVars>
          <dgm:bulletEnabled val="1"/>
        </dgm:presLayoutVars>
      </dgm:prSet>
      <dgm:spPr/>
    </dgm:pt>
    <dgm:pt modelId="{1AF8F7FB-DD1F-4A10-9CB3-DF98C9A79B74}" type="pres">
      <dgm:prSet presAssocID="{A2D230BA-BE23-44DD-A06A-C3EB60BC8C9B}" presName="sibTrans" presStyleLbl="sibTrans2D1" presStyleIdx="2" presStyleCnt="5"/>
      <dgm:spPr/>
    </dgm:pt>
    <dgm:pt modelId="{CBDA5EAD-C21D-48B3-91E1-0F340BBC56A7}" type="pres">
      <dgm:prSet presAssocID="{A2D230BA-BE23-44DD-A06A-C3EB60BC8C9B}" presName="connectorText" presStyleLbl="sibTrans2D1" presStyleIdx="2" presStyleCnt="5"/>
      <dgm:spPr/>
    </dgm:pt>
    <dgm:pt modelId="{7D25E540-47EE-457A-9C88-46999997E629}" type="pres">
      <dgm:prSet presAssocID="{DA596438-D804-4F86-8B87-F542003A3907}" presName="node" presStyleLbl="node1" presStyleIdx="3" presStyleCnt="6">
        <dgm:presLayoutVars>
          <dgm:bulletEnabled val="1"/>
        </dgm:presLayoutVars>
      </dgm:prSet>
      <dgm:spPr/>
    </dgm:pt>
    <dgm:pt modelId="{09454FE8-7DEF-45AA-9A03-80FEE419F240}" type="pres">
      <dgm:prSet presAssocID="{07BFA4A3-6C4D-4C48-8862-7F0BFB3BC0F0}" presName="sibTrans" presStyleLbl="sibTrans2D1" presStyleIdx="3" presStyleCnt="5"/>
      <dgm:spPr/>
    </dgm:pt>
    <dgm:pt modelId="{D611042B-99F6-4652-8F0C-2C0CDB87A2A7}" type="pres">
      <dgm:prSet presAssocID="{07BFA4A3-6C4D-4C48-8862-7F0BFB3BC0F0}" presName="connectorText" presStyleLbl="sibTrans2D1" presStyleIdx="3" presStyleCnt="5"/>
      <dgm:spPr/>
    </dgm:pt>
    <dgm:pt modelId="{4112F37C-91A8-41DA-BE75-D27C9D58F0D4}" type="pres">
      <dgm:prSet presAssocID="{3743DA43-B960-49EA-ACA2-1C1EA71E8598}" presName="node" presStyleLbl="node1" presStyleIdx="4" presStyleCnt="6">
        <dgm:presLayoutVars>
          <dgm:bulletEnabled val="1"/>
        </dgm:presLayoutVars>
      </dgm:prSet>
      <dgm:spPr/>
    </dgm:pt>
    <dgm:pt modelId="{CC5780F0-1CD3-468F-B665-D981493AE1FC}" type="pres">
      <dgm:prSet presAssocID="{22BC8DB3-E1FD-45FC-BCDD-765878EB6141}" presName="sibTrans" presStyleLbl="sibTrans2D1" presStyleIdx="4" presStyleCnt="5"/>
      <dgm:spPr/>
    </dgm:pt>
    <dgm:pt modelId="{32473069-6802-4108-AADC-7709F35043D3}" type="pres">
      <dgm:prSet presAssocID="{22BC8DB3-E1FD-45FC-BCDD-765878EB6141}" presName="connectorText" presStyleLbl="sibTrans2D1" presStyleIdx="4" presStyleCnt="5"/>
      <dgm:spPr/>
    </dgm:pt>
    <dgm:pt modelId="{2FD02102-193B-4D0F-B966-40620A40C570}" type="pres">
      <dgm:prSet presAssocID="{3260162F-48FC-40F9-A379-84541A501BFF}" presName="node" presStyleLbl="node1" presStyleIdx="5" presStyleCnt="6">
        <dgm:presLayoutVars>
          <dgm:bulletEnabled val="1"/>
        </dgm:presLayoutVars>
      </dgm:prSet>
      <dgm:spPr/>
    </dgm:pt>
  </dgm:ptLst>
  <dgm:cxnLst>
    <dgm:cxn modelId="{211DD101-B595-42B1-9103-0FAA51853F81}" srcId="{49F91625-3E54-48A6-B9A4-8A464418BC48}" destId="{E0120B09-4118-4C7F-98E2-E4C23C37279D}" srcOrd="0" destOrd="0" parTransId="{D5C9FB62-EC7F-467B-9621-221CEEA4DFDA}" sibTransId="{E914FD3E-746A-41B1-8037-DD8582AEAC0F}"/>
    <dgm:cxn modelId="{DE4D5406-64E0-49C6-A493-0BD84F10FBED}" type="presOf" srcId="{3260162F-48FC-40F9-A379-84541A501BFF}" destId="{2FD02102-193B-4D0F-B966-40620A40C570}" srcOrd="0" destOrd="0" presId="urn:microsoft.com/office/officeart/2005/8/layout/process5"/>
    <dgm:cxn modelId="{08363F1C-AAE0-4A03-B751-ADAE99163680}" type="presOf" srcId="{33CF4B8C-DD57-42D8-A640-029D3FA65988}" destId="{FD00BDDC-0A6D-4D4B-9E17-D1194BF6B31C}" srcOrd="0" destOrd="2" presId="urn:microsoft.com/office/officeart/2005/8/layout/process5"/>
    <dgm:cxn modelId="{A8872823-381C-485F-8429-3C120EF46EEB}" type="presOf" srcId="{22BC8DB3-E1FD-45FC-BCDD-765878EB6141}" destId="{CC5780F0-1CD3-468F-B665-D981493AE1FC}" srcOrd="0" destOrd="0" presId="urn:microsoft.com/office/officeart/2005/8/layout/process5"/>
    <dgm:cxn modelId="{CCB99B24-8223-4335-9A4B-3A1A35007597}" srcId="{3260162F-48FC-40F9-A379-84541A501BFF}" destId="{792D921F-09B4-4BB9-B34D-BA8F2A6B408A}" srcOrd="0" destOrd="0" parTransId="{57EE9CE0-A4E6-481E-BB45-BBF49B647EED}" sibTransId="{9899A1BC-B424-4B8E-A15F-D2C24ED46353}"/>
    <dgm:cxn modelId="{48B05926-0E7B-4FBF-A5A2-75EE234ABD00}" type="presOf" srcId="{D0C0D011-BE3D-44F4-A2D1-2F14867FECC8}" destId="{DD02C379-DA74-47A4-8C13-A11F0B5E39EF}" srcOrd="1" destOrd="0" presId="urn:microsoft.com/office/officeart/2005/8/layout/process5"/>
    <dgm:cxn modelId="{D221D12C-D8B9-4679-B711-8686DF722193}" type="presOf" srcId="{477245EE-2195-4652-9583-EF304122CEBF}" destId="{3A1D7DC3-D0EF-4461-B05E-A40A08FFCAA9}" srcOrd="1" destOrd="0" presId="urn:microsoft.com/office/officeart/2005/8/layout/process5"/>
    <dgm:cxn modelId="{3DAAB63D-23AA-478D-A589-65847E856939}" srcId="{DA596438-D804-4F86-8B87-F542003A3907}" destId="{448EBE70-1E56-439B-81FC-343BDA0277CA}" srcOrd="0" destOrd="0" parTransId="{C6B8FF48-CC93-4532-A888-A891A61515AD}" sibTransId="{8375DE03-62AE-404D-ABD2-F9FBB362A733}"/>
    <dgm:cxn modelId="{65A3D65C-DB87-44FD-9098-048179AE32B5}" type="presOf" srcId="{3743DA43-B960-49EA-ACA2-1C1EA71E8598}" destId="{4112F37C-91A8-41DA-BE75-D27C9D58F0D4}" srcOrd="0" destOrd="0" presId="urn:microsoft.com/office/officeart/2005/8/layout/process5"/>
    <dgm:cxn modelId="{7388A25D-BDB5-4D11-9282-FB8013A73158}" type="presOf" srcId="{07BFA4A3-6C4D-4C48-8862-7F0BFB3BC0F0}" destId="{D611042B-99F6-4652-8F0C-2C0CDB87A2A7}" srcOrd="1" destOrd="0" presId="urn:microsoft.com/office/officeart/2005/8/layout/process5"/>
    <dgm:cxn modelId="{7FB77C5E-4EF1-4348-8718-F743DE1B6127}" type="presOf" srcId="{8EDB092D-759C-451B-A2C8-B7D5A628F96F}" destId="{FD00BDDC-0A6D-4D4B-9E17-D1194BF6B31C}" srcOrd="0" destOrd="1" presId="urn:microsoft.com/office/officeart/2005/8/layout/process5"/>
    <dgm:cxn modelId="{78198861-A5CD-48B9-89ED-FA32277CC860}" srcId="{C6913A54-1261-4479-8BEB-D1EF3825D812}" destId="{33CF4B8C-DD57-42D8-A640-029D3FA65988}" srcOrd="1" destOrd="0" parTransId="{C93E95AF-9B04-4780-91F6-1491054AE599}" sibTransId="{6BED8E0F-087B-4210-A4A6-6CF6C9192199}"/>
    <dgm:cxn modelId="{E64C9A41-85E3-4C37-ACFA-214FD05CAD45}" srcId="{C6913A54-1261-4479-8BEB-D1EF3825D812}" destId="{8EDB092D-759C-451B-A2C8-B7D5A628F96F}" srcOrd="0" destOrd="0" parTransId="{6286C33F-3E52-4A5B-B19A-A1CDC8E63789}" sibTransId="{CE24DE3D-2C61-48CE-8C90-C5FD1D63C98D}"/>
    <dgm:cxn modelId="{A964B241-BA67-4527-8F89-F8A3AA68C89A}" type="presOf" srcId="{A2D230BA-BE23-44DD-A06A-C3EB60BC8C9B}" destId="{CBDA5EAD-C21D-48B3-91E1-0F340BBC56A7}" srcOrd="1" destOrd="0" presId="urn:microsoft.com/office/officeart/2005/8/layout/process5"/>
    <dgm:cxn modelId="{68229644-BF70-4896-B45D-95A3873949C4}" type="presOf" srcId="{D0C0D011-BE3D-44F4-A2D1-2F14867FECC8}" destId="{24F9F205-18BB-430C-BE1C-2D732941F14E}" srcOrd="0" destOrd="0" presId="urn:microsoft.com/office/officeart/2005/8/layout/process5"/>
    <dgm:cxn modelId="{AF4A9267-7490-4007-9685-93E687FA34E1}" type="presOf" srcId="{E8BB3B82-553C-486D-90D8-671C8D549290}" destId="{29615263-C654-4B4F-9DA1-6AB8D593A4EC}" srcOrd="0" destOrd="0" presId="urn:microsoft.com/office/officeart/2005/8/layout/process5"/>
    <dgm:cxn modelId="{B226246F-5461-41FE-B4A2-B971CF3E4A09}" type="presOf" srcId="{054E089C-17B2-469F-9D88-02B2852753A6}" destId="{3B179F69-01AC-4969-A93E-C17ADFF3AA4F}" srcOrd="0" destOrd="1" presId="urn:microsoft.com/office/officeart/2005/8/layout/process5"/>
    <dgm:cxn modelId="{D8CC6B6F-776C-41A5-8D6B-19A45833949F}" srcId="{E8BB3B82-553C-486D-90D8-671C8D549290}" destId="{C0ED6899-6F48-4C51-BD01-A680C7696742}" srcOrd="2" destOrd="0" parTransId="{33EF18EC-4615-4C58-8893-8FE1063BB9B8}" sibTransId="{A2D230BA-BE23-44DD-A06A-C3EB60BC8C9B}"/>
    <dgm:cxn modelId="{A6E15073-75C3-44F1-AF99-D6113D20C467}" srcId="{C0ED6899-6F48-4C51-BD01-A680C7696742}" destId="{054E089C-17B2-469F-9D88-02B2852753A6}" srcOrd="0" destOrd="0" parTransId="{35C2D941-3B14-4124-812C-CC65C273C21E}" sibTransId="{1D433C3F-B360-4303-8CBD-097649F3D27E}"/>
    <dgm:cxn modelId="{85C51F77-E8BA-4A7F-A63C-9477072A34A6}" type="presOf" srcId="{C6913A54-1261-4479-8BEB-D1EF3825D812}" destId="{FD00BDDC-0A6D-4D4B-9E17-D1194BF6B31C}" srcOrd="0" destOrd="0" presId="urn:microsoft.com/office/officeart/2005/8/layout/process5"/>
    <dgm:cxn modelId="{FE8F2B7B-8E83-475E-A054-2B3FBEA8A4DC}" type="presOf" srcId="{C0ED6899-6F48-4C51-BD01-A680C7696742}" destId="{3B179F69-01AC-4969-A93E-C17ADFF3AA4F}" srcOrd="0" destOrd="0" presId="urn:microsoft.com/office/officeart/2005/8/layout/process5"/>
    <dgm:cxn modelId="{2269BD85-40A8-4D83-A010-6528758E07AD}" type="presOf" srcId="{DA596438-D804-4F86-8B87-F542003A3907}" destId="{7D25E540-47EE-457A-9C88-46999997E629}" srcOrd="0" destOrd="0" presId="urn:microsoft.com/office/officeart/2005/8/layout/process5"/>
    <dgm:cxn modelId="{654E8499-2AB6-49EC-9BE3-2A4B2AD1AE70}" srcId="{E8BB3B82-553C-486D-90D8-671C8D549290}" destId="{C6913A54-1261-4479-8BEB-D1EF3825D812}" srcOrd="0" destOrd="0" parTransId="{1CA10FDE-10AA-42D3-A048-780382D1D531}" sibTransId="{477245EE-2195-4652-9583-EF304122CEBF}"/>
    <dgm:cxn modelId="{770557A6-22B0-45A4-A8F4-1AABEC28C02E}" type="presOf" srcId="{22BC8DB3-E1FD-45FC-BCDD-765878EB6141}" destId="{32473069-6802-4108-AADC-7709F35043D3}" srcOrd="1" destOrd="0" presId="urn:microsoft.com/office/officeart/2005/8/layout/process5"/>
    <dgm:cxn modelId="{2C5311AA-E884-4645-ADDA-3738C17CC2A0}" srcId="{E8BB3B82-553C-486D-90D8-671C8D549290}" destId="{3260162F-48FC-40F9-A379-84541A501BFF}" srcOrd="5" destOrd="0" parTransId="{A483D9E1-8FC9-4896-A397-B137934E5E9E}" sibTransId="{66CBDACA-B8B8-4E64-A729-26FCB17B3D2D}"/>
    <dgm:cxn modelId="{2BF2FDAA-0BCA-4B1A-BEE6-73F7BAB6D6D8}" type="presOf" srcId="{448EBE70-1E56-439B-81FC-343BDA0277CA}" destId="{7D25E540-47EE-457A-9C88-46999997E629}" srcOrd="0" destOrd="1" presId="urn:microsoft.com/office/officeart/2005/8/layout/process5"/>
    <dgm:cxn modelId="{7DF463AD-AA25-4596-9E7C-56656230DC6C}" type="presOf" srcId="{792D921F-09B4-4BB9-B34D-BA8F2A6B408A}" destId="{2FD02102-193B-4D0F-B966-40620A40C570}" srcOrd="0" destOrd="1" presId="urn:microsoft.com/office/officeart/2005/8/layout/process5"/>
    <dgm:cxn modelId="{2066C6AE-1317-449F-AC47-C9FBDD4A270A}" srcId="{E8BB3B82-553C-486D-90D8-671C8D549290}" destId="{49F91625-3E54-48A6-B9A4-8A464418BC48}" srcOrd="1" destOrd="0" parTransId="{64D62182-85AE-4B73-B409-C6D9DCA22368}" sibTransId="{D0C0D011-BE3D-44F4-A2D1-2F14867FECC8}"/>
    <dgm:cxn modelId="{0B2E19B0-5A8F-40E2-B86B-CF2AD0868E93}" type="presOf" srcId="{E0120B09-4118-4C7F-98E2-E4C23C37279D}" destId="{BE5645E3-888E-42FB-B679-61791C636BF2}" srcOrd="0" destOrd="1" presId="urn:microsoft.com/office/officeart/2005/8/layout/process5"/>
    <dgm:cxn modelId="{8E47F0B2-1F2B-4DC8-9711-AD88162DF540}" type="presOf" srcId="{07BFA4A3-6C4D-4C48-8862-7F0BFB3BC0F0}" destId="{09454FE8-7DEF-45AA-9A03-80FEE419F240}" srcOrd="0" destOrd="0" presId="urn:microsoft.com/office/officeart/2005/8/layout/process5"/>
    <dgm:cxn modelId="{F9CB7CBB-7B82-4566-A9B5-F37F0D077280}" type="presOf" srcId="{49F91625-3E54-48A6-B9A4-8A464418BC48}" destId="{BE5645E3-888E-42FB-B679-61791C636BF2}" srcOrd="0" destOrd="0" presId="urn:microsoft.com/office/officeart/2005/8/layout/process5"/>
    <dgm:cxn modelId="{8A3523CF-9E4C-4966-B987-CB83E750237A}" type="presOf" srcId="{722ECA50-56F3-4F69-9DE4-B4F995D51B51}" destId="{4112F37C-91A8-41DA-BE75-D27C9D58F0D4}" srcOrd="0" destOrd="1" presId="urn:microsoft.com/office/officeart/2005/8/layout/process5"/>
    <dgm:cxn modelId="{B58CC0DA-B8F0-4AFB-8828-FB209B9500CD}" type="presOf" srcId="{477245EE-2195-4652-9583-EF304122CEBF}" destId="{D1C5067C-C120-488B-8CF0-884F3641CE80}" srcOrd="0" destOrd="0" presId="urn:microsoft.com/office/officeart/2005/8/layout/process5"/>
    <dgm:cxn modelId="{D12B1BE2-68C1-4029-8C21-F7E5264E1FCF}" srcId="{E8BB3B82-553C-486D-90D8-671C8D549290}" destId="{DA596438-D804-4F86-8B87-F542003A3907}" srcOrd="3" destOrd="0" parTransId="{38EDA2DD-E93C-41E2-82AD-B692152A2319}" sibTransId="{07BFA4A3-6C4D-4C48-8862-7F0BFB3BC0F0}"/>
    <dgm:cxn modelId="{EEF867EE-B2AD-47AB-B741-7163ADBE7DE1}" srcId="{E8BB3B82-553C-486D-90D8-671C8D549290}" destId="{3743DA43-B960-49EA-ACA2-1C1EA71E8598}" srcOrd="4" destOrd="0" parTransId="{06F5F55D-FB07-4622-BBDC-681F3800FDBD}" sibTransId="{22BC8DB3-E1FD-45FC-BCDD-765878EB6141}"/>
    <dgm:cxn modelId="{1C0005F2-C77E-498A-8A63-B898689A750A}" srcId="{3743DA43-B960-49EA-ACA2-1C1EA71E8598}" destId="{722ECA50-56F3-4F69-9DE4-B4F995D51B51}" srcOrd="0" destOrd="0" parTransId="{D8A0981F-35A5-4200-B776-29FF33548172}" sibTransId="{B852083A-0071-4E99-A6CA-796B73D80A5C}"/>
    <dgm:cxn modelId="{C73442F8-EA97-45E9-BEE5-EE742C7AEDCC}" type="presOf" srcId="{A2D230BA-BE23-44DD-A06A-C3EB60BC8C9B}" destId="{1AF8F7FB-DD1F-4A10-9CB3-DF98C9A79B74}" srcOrd="0" destOrd="0" presId="urn:microsoft.com/office/officeart/2005/8/layout/process5"/>
    <dgm:cxn modelId="{9AD0E422-57AF-4BFF-A79B-99B50EE7B258}" type="presParOf" srcId="{29615263-C654-4B4F-9DA1-6AB8D593A4EC}" destId="{FD00BDDC-0A6D-4D4B-9E17-D1194BF6B31C}" srcOrd="0" destOrd="0" presId="urn:microsoft.com/office/officeart/2005/8/layout/process5"/>
    <dgm:cxn modelId="{4714832F-474D-499E-8480-2ABAE65A3EE9}" type="presParOf" srcId="{29615263-C654-4B4F-9DA1-6AB8D593A4EC}" destId="{D1C5067C-C120-488B-8CF0-884F3641CE80}" srcOrd="1" destOrd="0" presId="urn:microsoft.com/office/officeart/2005/8/layout/process5"/>
    <dgm:cxn modelId="{9CB0BAF2-4309-4821-B370-77C267265CC9}" type="presParOf" srcId="{D1C5067C-C120-488B-8CF0-884F3641CE80}" destId="{3A1D7DC3-D0EF-4461-B05E-A40A08FFCAA9}" srcOrd="0" destOrd="0" presId="urn:microsoft.com/office/officeart/2005/8/layout/process5"/>
    <dgm:cxn modelId="{8CB5D1DA-5A73-4823-B41E-8EB1EB6D2E7D}" type="presParOf" srcId="{29615263-C654-4B4F-9DA1-6AB8D593A4EC}" destId="{BE5645E3-888E-42FB-B679-61791C636BF2}" srcOrd="2" destOrd="0" presId="urn:microsoft.com/office/officeart/2005/8/layout/process5"/>
    <dgm:cxn modelId="{EDBE1A95-41E6-47D1-8658-CC677F6BE579}" type="presParOf" srcId="{29615263-C654-4B4F-9DA1-6AB8D593A4EC}" destId="{24F9F205-18BB-430C-BE1C-2D732941F14E}" srcOrd="3" destOrd="0" presId="urn:microsoft.com/office/officeart/2005/8/layout/process5"/>
    <dgm:cxn modelId="{7336D55C-5942-4702-9C7A-AA966EC1D832}" type="presParOf" srcId="{24F9F205-18BB-430C-BE1C-2D732941F14E}" destId="{DD02C379-DA74-47A4-8C13-A11F0B5E39EF}" srcOrd="0" destOrd="0" presId="urn:microsoft.com/office/officeart/2005/8/layout/process5"/>
    <dgm:cxn modelId="{E731D02E-A98A-4157-92A7-5D1B1E0EC50E}" type="presParOf" srcId="{29615263-C654-4B4F-9DA1-6AB8D593A4EC}" destId="{3B179F69-01AC-4969-A93E-C17ADFF3AA4F}" srcOrd="4" destOrd="0" presId="urn:microsoft.com/office/officeart/2005/8/layout/process5"/>
    <dgm:cxn modelId="{2E4198DF-51CA-4E30-B197-D5400E1961DB}" type="presParOf" srcId="{29615263-C654-4B4F-9DA1-6AB8D593A4EC}" destId="{1AF8F7FB-DD1F-4A10-9CB3-DF98C9A79B74}" srcOrd="5" destOrd="0" presId="urn:microsoft.com/office/officeart/2005/8/layout/process5"/>
    <dgm:cxn modelId="{AE591F4D-C98C-44CB-9DC7-614BE479F8AC}" type="presParOf" srcId="{1AF8F7FB-DD1F-4A10-9CB3-DF98C9A79B74}" destId="{CBDA5EAD-C21D-48B3-91E1-0F340BBC56A7}" srcOrd="0" destOrd="0" presId="urn:microsoft.com/office/officeart/2005/8/layout/process5"/>
    <dgm:cxn modelId="{8BFE2C00-A699-4458-AEF9-3DA2D8FB5ADC}" type="presParOf" srcId="{29615263-C654-4B4F-9DA1-6AB8D593A4EC}" destId="{7D25E540-47EE-457A-9C88-46999997E629}" srcOrd="6" destOrd="0" presId="urn:microsoft.com/office/officeart/2005/8/layout/process5"/>
    <dgm:cxn modelId="{434CC20C-9C8E-4044-BF9A-D959B1744CE0}" type="presParOf" srcId="{29615263-C654-4B4F-9DA1-6AB8D593A4EC}" destId="{09454FE8-7DEF-45AA-9A03-80FEE419F240}" srcOrd="7" destOrd="0" presId="urn:microsoft.com/office/officeart/2005/8/layout/process5"/>
    <dgm:cxn modelId="{C289D71B-8856-4A5D-9D12-D6D6ADE23756}" type="presParOf" srcId="{09454FE8-7DEF-45AA-9A03-80FEE419F240}" destId="{D611042B-99F6-4652-8F0C-2C0CDB87A2A7}" srcOrd="0" destOrd="0" presId="urn:microsoft.com/office/officeart/2005/8/layout/process5"/>
    <dgm:cxn modelId="{B3C09E2C-1625-40C3-83BA-C6C200921A7C}" type="presParOf" srcId="{29615263-C654-4B4F-9DA1-6AB8D593A4EC}" destId="{4112F37C-91A8-41DA-BE75-D27C9D58F0D4}" srcOrd="8" destOrd="0" presId="urn:microsoft.com/office/officeart/2005/8/layout/process5"/>
    <dgm:cxn modelId="{52F1FC1B-ADEF-455A-B5C9-0568E2B42CA7}" type="presParOf" srcId="{29615263-C654-4B4F-9DA1-6AB8D593A4EC}" destId="{CC5780F0-1CD3-468F-B665-D981493AE1FC}" srcOrd="9" destOrd="0" presId="urn:microsoft.com/office/officeart/2005/8/layout/process5"/>
    <dgm:cxn modelId="{1B869A7A-05A7-48E3-9BD3-16303EA7E116}" type="presParOf" srcId="{CC5780F0-1CD3-468F-B665-D981493AE1FC}" destId="{32473069-6802-4108-AADC-7709F35043D3}" srcOrd="0" destOrd="0" presId="urn:microsoft.com/office/officeart/2005/8/layout/process5"/>
    <dgm:cxn modelId="{774CAEAC-A3DD-4FCF-9A9F-E05181B4DAFC}" type="presParOf" srcId="{29615263-C654-4B4F-9DA1-6AB8D593A4EC}" destId="{2FD02102-193B-4D0F-B966-40620A40C570}" srcOrd="10" destOrd="0" presId="urn:microsoft.com/office/officeart/2005/8/layout/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C2A9F9-1FB1-485D-BD50-42C8EB981A45}">
      <dsp:nvSpPr>
        <dsp:cNvPr id="0" name=""/>
        <dsp:cNvSpPr/>
      </dsp:nvSpPr>
      <dsp:spPr>
        <a:xfrm>
          <a:off x="2285902" y="1733699"/>
          <a:ext cx="1318356" cy="1318356"/>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Berkeley Living Build-to-Rent Expansion</a:t>
          </a:r>
        </a:p>
      </dsp:txBody>
      <dsp:txXfrm>
        <a:off x="2478971" y="1926768"/>
        <a:ext cx="932218" cy="932218"/>
      </dsp:txXfrm>
    </dsp:sp>
    <dsp:sp modelId="{553EE23F-7CC9-4584-A648-E8782613E7FC}">
      <dsp:nvSpPr>
        <dsp:cNvPr id="0" name=""/>
        <dsp:cNvSpPr/>
      </dsp:nvSpPr>
      <dsp:spPr>
        <a:xfrm rot="16200000">
          <a:off x="2746236" y="1514711"/>
          <a:ext cx="397687" cy="40288"/>
        </a:xfrm>
        <a:custGeom>
          <a:avLst/>
          <a:gdLst/>
          <a:ahLst/>
          <a:cxnLst/>
          <a:rect l="0" t="0" r="0" b="0"/>
          <a:pathLst>
            <a:path>
              <a:moveTo>
                <a:pt x="0" y="20144"/>
              </a:moveTo>
              <a:lnTo>
                <a:pt x="397687" y="20144"/>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5138" y="1524913"/>
        <a:ext cx="19884" cy="19884"/>
      </dsp:txXfrm>
    </dsp:sp>
    <dsp:sp modelId="{A2E3655A-6A3E-4C35-9317-6C6D50ADFF27}">
      <dsp:nvSpPr>
        <dsp:cNvPr id="0" name=""/>
        <dsp:cNvSpPr/>
      </dsp:nvSpPr>
      <dsp:spPr>
        <a:xfrm>
          <a:off x="2285902" y="17655"/>
          <a:ext cx="1318356" cy="1318356"/>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t>Rental Market </a:t>
          </a:r>
          <a:endParaRPr lang="en-US" sz="1000" kern="1200"/>
        </a:p>
        <a:p>
          <a:pPr marL="57150" lvl="1" indent="-57150" algn="l" defTabSz="355600">
            <a:lnSpc>
              <a:spcPct val="90000"/>
            </a:lnSpc>
            <a:spcBef>
              <a:spcPct val="0"/>
            </a:spcBef>
            <a:spcAft>
              <a:spcPct val="15000"/>
            </a:spcAft>
            <a:buChar char="•"/>
          </a:pPr>
          <a:r>
            <a:rPr lang="en-GB" sz="800" kern="1200"/>
            <a:t>London rent growth </a:t>
          </a:r>
          <a:endParaRPr lang="en-US" sz="800" kern="1200"/>
        </a:p>
        <a:p>
          <a:pPr marL="57150" lvl="1" indent="-57150" algn="l" defTabSz="355600">
            <a:lnSpc>
              <a:spcPct val="90000"/>
            </a:lnSpc>
            <a:spcBef>
              <a:spcPct val="0"/>
            </a:spcBef>
            <a:spcAft>
              <a:spcPct val="15000"/>
            </a:spcAft>
            <a:buChar char="•"/>
          </a:pPr>
          <a:r>
            <a:rPr lang="en-GB" sz="800" kern="1200"/>
            <a:t>£2,332 per month </a:t>
          </a:r>
          <a:endParaRPr lang="en-US" sz="800" kern="1200"/>
        </a:p>
      </dsp:txBody>
      <dsp:txXfrm>
        <a:off x="2478971" y="210724"/>
        <a:ext cx="932218" cy="932218"/>
      </dsp:txXfrm>
    </dsp:sp>
    <dsp:sp modelId="{50FEF7F3-C07A-4102-8DF4-51204F62C112}">
      <dsp:nvSpPr>
        <dsp:cNvPr id="0" name=""/>
        <dsp:cNvSpPr/>
      </dsp:nvSpPr>
      <dsp:spPr>
        <a:xfrm>
          <a:off x="3604258" y="2372733"/>
          <a:ext cx="397687" cy="40288"/>
        </a:xfrm>
        <a:custGeom>
          <a:avLst/>
          <a:gdLst/>
          <a:ahLst/>
          <a:cxnLst/>
          <a:rect l="0" t="0" r="0" b="0"/>
          <a:pathLst>
            <a:path>
              <a:moveTo>
                <a:pt x="0" y="20144"/>
              </a:moveTo>
              <a:lnTo>
                <a:pt x="397687" y="20144"/>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93160" y="2382935"/>
        <a:ext cx="19884" cy="19884"/>
      </dsp:txXfrm>
    </dsp:sp>
    <dsp:sp modelId="{93F5E32B-DACC-41CF-A4C1-654E0605E1DB}">
      <dsp:nvSpPr>
        <dsp:cNvPr id="0" name=""/>
        <dsp:cNvSpPr/>
      </dsp:nvSpPr>
      <dsp:spPr>
        <a:xfrm>
          <a:off x="4001946" y="1733699"/>
          <a:ext cx="1318356" cy="1318356"/>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Berkeley Financial Capability</a:t>
          </a:r>
        </a:p>
      </dsp:txBody>
      <dsp:txXfrm>
        <a:off x="4195015" y="1926768"/>
        <a:ext cx="932218" cy="932218"/>
      </dsp:txXfrm>
    </dsp:sp>
    <dsp:sp modelId="{BEA5582C-2F15-4359-9380-BA84F0808840}">
      <dsp:nvSpPr>
        <dsp:cNvPr id="0" name=""/>
        <dsp:cNvSpPr/>
      </dsp:nvSpPr>
      <dsp:spPr>
        <a:xfrm rot="5400000">
          <a:off x="2746236" y="3230756"/>
          <a:ext cx="397687" cy="40288"/>
        </a:xfrm>
        <a:custGeom>
          <a:avLst/>
          <a:gdLst/>
          <a:ahLst/>
          <a:cxnLst/>
          <a:rect l="0" t="0" r="0" b="0"/>
          <a:pathLst>
            <a:path>
              <a:moveTo>
                <a:pt x="0" y="20144"/>
              </a:moveTo>
              <a:lnTo>
                <a:pt x="397687" y="20144"/>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5138" y="3240958"/>
        <a:ext cx="19884" cy="19884"/>
      </dsp:txXfrm>
    </dsp:sp>
    <dsp:sp modelId="{D627A664-811F-4DD6-A416-85FA66890FD3}">
      <dsp:nvSpPr>
        <dsp:cNvPr id="0" name=""/>
        <dsp:cNvSpPr/>
      </dsp:nvSpPr>
      <dsp:spPr>
        <a:xfrm>
          <a:off x="2285902" y="3449744"/>
          <a:ext cx="1318356" cy="1318356"/>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Brownfield Development Pipeline</a:t>
          </a:r>
        </a:p>
      </dsp:txBody>
      <dsp:txXfrm>
        <a:off x="2478971" y="3642813"/>
        <a:ext cx="932218" cy="932218"/>
      </dsp:txXfrm>
    </dsp:sp>
    <dsp:sp modelId="{45F0F72F-48E9-4D3D-8B8A-B59B3129BF12}">
      <dsp:nvSpPr>
        <dsp:cNvPr id="0" name=""/>
        <dsp:cNvSpPr/>
      </dsp:nvSpPr>
      <dsp:spPr>
        <a:xfrm rot="10800000">
          <a:off x="1888214" y="2372733"/>
          <a:ext cx="397687" cy="40288"/>
        </a:xfrm>
        <a:custGeom>
          <a:avLst/>
          <a:gdLst/>
          <a:ahLst/>
          <a:cxnLst/>
          <a:rect l="0" t="0" r="0" b="0"/>
          <a:pathLst>
            <a:path>
              <a:moveTo>
                <a:pt x="0" y="20144"/>
              </a:moveTo>
              <a:lnTo>
                <a:pt x="397687" y="20144"/>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7116" y="2382935"/>
        <a:ext cx="19884" cy="19884"/>
      </dsp:txXfrm>
    </dsp:sp>
    <dsp:sp modelId="{BC4F0F01-F53D-420D-8DE0-A9D2A280C7C0}">
      <dsp:nvSpPr>
        <dsp:cNvPr id="0" name=""/>
        <dsp:cNvSpPr/>
      </dsp:nvSpPr>
      <dsp:spPr>
        <a:xfrm>
          <a:off x="569857" y="1733699"/>
          <a:ext cx="1318356" cy="1318356"/>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US" sz="1000" kern="1200"/>
            <a:t>Critical Feasibility</a:t>
          </a:r>
        </a:p>
        <a:p>
          <a:pPr marL="57150" lvl="1" indent="-57150" algn="l" defTabSz="355600">
            <a:lnSpc>
              <a:spcPct val="90000"/>
            </a:lnSpc>
            <a:spcBef>
              <a:spcPct val="0"/>
            </a:spcBef>
            <a:spcAft>
              <a:spcPct val="15000"/>
            </a:spcAft>
            <a:buChar char="•"/>
          </a:pPr>
          <a:r>
            <a:rPr lang="en-US" sz="800" kern="1200"/>
            <a:t>Financial return</a:t>
          </a:r>
        </a:p>
        <a:p>
          <a:pPr marL="57150" lvl="1" indent="-57150" algn="l" defTabSz="355600">
            <a:lnSpc>
              <a:spcPct val="90000"/>
            </a:lnSpc>
            <a:spcBef>
              <a:spcPct val="0"/>
            </a:spcBef>
            <a:spcAft>
              <a:spcPct val="15000"/>
            </a:spcAft>
            <a:buChar char="•"/>
          </a:pPr>
          <a:r>
            <a:rPr lang="en-US" sz="800" kern="1200"/>
            <a:t>Affordability</a:t>
          </a:r>
        </a:p>
        <a:p>
          <a:pPr marL="57150" lvl="1" indent="-57150" algn="l" defTabSz="355600">
            <a:lnSpc>
              <a:spcPct val="90000"/>
            </a:lnSpc>
            <a:spcBef>
              <a:spcPct val="0"/>
            </a:spcBef>
            <a:spcAft>
              <a:spcPct val="15000"/>
            </a:spcAft>
            <a:buChar char="•"/>
          </a:pPr>
          <a:r>
            <a:rPr lang="en-US" sz="800" kern="1200"/>
            <a:t>Regulatory risk</a:t>
          </a:r>
        </a:p>
        <a:p>
          <a:pPr marL="57150" lvl="1" indent="-57150" algn="l" defTabSz="355600">
            <a:lnSpc>
              <a:spcPct val="90000"/>
            </a:lnSpc>
            <a:spcBef>
              <a:spcPct val="0"/>
            </a:spcBef>
            <a:spcAft>
              <a:spcPct val="15000"/>
            </a:spcAft>
            <a:buChar char="•"/>
          </a:pPr>
          <a:r>
            <a:rPr lang="en-US" sz="800" kern="1200"/>
            <a:t>Operational capability</a:t>
          </a:r>
        </a:p>
      </dsp:txBody>
      <dsp:txXfrm>
        <a:off x="762926" y="1926768"/>
        <a:ext cx="932218" cy="9322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00BDDC-0A6D-4D4B-9E17-D1194BF6B31C}">
      <dsp:nvSpPr>
        <dsp:cNvPr id="0" name=""/>
        <dsp:cNvSpPr/>
      </dsp:nvSpPr>
      <dsp:spPr>
        <a:xfrm>
          <a:off x="5151" y="228763"/>
          <a:ext cx="1539670" cy="923802"/>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LONDON RENTAL DEMAND</a:t>
          </a:r>
        </a:p>
        <a:p>
          <a:pPr marL="57150" lvl="1" indent="-57150" algn="l" defTabSz="400050">
            <a:lnSpc>
              <a:spcPct val="90000"/>
            </a:lnSpc>
            <a:spcBef>
              <a:spcPct val="0"/>
            </a:spcBef>
            <a:spcAft>
              <a:spcPct val="15000"/>
            </a:spcAft>
            <a:buChar char="•"/>
          </a:pPr>
          <a:r>
            <a:rPr lang="en-US" sz="900" kern="1200"/>
            <a:t>£2,332 average monthly rent</a:t>
          </a:r>
        </a:p>
        <a:p>
          <a:pPr marL="57150" lvl="1" indent="-57150" algn="l" defTabSz="400050">
            <a:lnSpc>
              <a:spcPct val="90000"/>
            </a:lnSpc>
            <a:spcBef>
              <a:spcPct val="0"/>
            </a:spcBef>
            <a:spcAft>
              <a:spcPct val="15000"/>
            </a:spcAft>
            <a:buChar char="•"/>
          </a:pPr>
          <a:r>
            <a:rPr lang="en-US" sz="900" kern="1200"/>
            <a:t>+3.5% annual growth</a:t>
          </a:r>
        </a:p>
      </dsp:txBody>
      <dsp:txXfrm>
        <a:off x="32208" y="255820"/>
        <a:ext cx="1485556" cy="869688"/>
      </dsp:txXfrm>
    </dsp:sp>
    <dsp:sp modelId="{D1C5067C-C120-488B-8CF0-884F3641CE80}">
      <dsp:nvSpPr>
        <dsp:cNvPr id="0" name=""/>
        <dsp:cNvSpPr/>
      </dsp:nvSpPr>
      <dsp:spPr>
        <a:xfrm>
          <a:off x="1680312" y="499745"/>
          <a:ext cx="326410" cy="381838"/>
        </a:xfrm>
        <a:prstGeom prst="rightArrow">
          <a:avLst>
            <a:gd name="adj1" fmla="val 60000"/>
            <a:gd name="adj2" fmla="val 50000"/>
          </a:avLst>
        </a:prstGeom>
        <a:noFill/>
        <a:ln>
          <a:solidFill>
            <a:srgbClr val="C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680312" y="576113"/>
        <a:ext cx="228487" cy="229102"/>
      </dsp:txXfrm>
    </dsp:sp>
    <dsp:sp modelId="{BE5645E3-888E-42FB-B679-61791C636BF2}">
      <dsp:nvSpPr>
        <dsp:cNvPr id="0" name=""/>
        <dsp:cNvSpPr/>
      </dsp:nvSpPr>
      <dsp:spPr>
        <a:xfrm>
          <a:off x="2160689" y="228763"/>
          <a:ext cx="1539670" cy="92380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PRIVATE RENTAL SUPPLY PRESSURE</a:t>
          </a:r>
        </a:p>
        <a:p>
          <a:pPr marL="57150" lvl="1" indent="-57150" algn="l" defTabSz="400050">
            <a:lnSpc>
              <a:spcPct val="90000"/>
            </a:lnSpc>
            <a:spcBef>
              <a:spcPct val="0"/>
            </a:spcBef>
            <a:spcAft>
              <a:spcPct val="15000"/>
            </a:spcAft>
            <a:buChar char="•"/>
          </a:pPr>
          <a:r>
            <a:rPr lang="en-US" sz="900" kern="1200"/>
            <a:t>PRS stock ↓ c.200,000 homes since October 2022</a:t>
          </a:r>
        </a:p>
      </dsp:txBody>
      <dsp:txXfrm>
        <a:off x="2187746" y="255820"/>
        <a:ext cx="1485556" cy="869688"/>
      </dsp:txXfrm>
    </dsp:sp>
    <dsp:sp modelId="{24F9F205-18BB-430C-BE1C-2D732941F14E}">
      <dsp:nvSpPr>
        <dsp:cNvPr id="0" name=""/>
        <dsp:cNvSpPr/>
      </dsp:nvSpPr>
      <dsp:spPr>
        <a:xfrm>
          <a:off x="3835851" y="499745"/>
          <a:ext cx="326410" cy="381838"/>
        </a:xfrm>
        <a:prstGeom prst="rightArrow">
          <a:avLst>
            <a:gd name="adj1" fmla="val 60000"/>
            <a:gd name="adj2" fmla="val 50000"/>
          </a:avLst>
        </a:prstGeom>
        <a:noFill/>
        <a:ln>
          <a:solidFill>
            <a:srgbClr val="C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835851" y="576113"/>
        <a:ext cx="228487" cy="229102"/>
      </dsp:txXfrm>
    </dsp:sp>
    <dsp:sp modelId="{3B179F69-01AC-4969-A93E-C17ADFF3AA4F}">
      <dsp:nvSpPr>
        <dsp:cNvPr id="0" name=""/>
        <dsp:cNvSpPr/>
      </dsp:nvSpPr>
      <dsp:spPr>
        <a:xfrm>
          <a:off x="4316228" y="228763"/>
          <a:ext cx="1539670" cy="92380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BTR SUPPLY CONSTRAINT</a:t>
          </a:r>
        </a:p>
        <a:p>
          <a:pPr marL="57150" lvl="1" indent="-57150" algn="l" defTabSz="400050">
            <a:lnSpc>
              <a:spcPct val="90000"/>
            </a:lnSpc>
            <a:spcBef>
              <a:spcPct val="0"/>
            </a:spcBef>
            <a:spcAft>
              <a:spcPct val="15000"/>
            </a:spcAft>
            <a:buChar char="•"/>
          </a:pPr>
          <a:r>
            <a:rPr lang="en-US" sz="900" kern="1200"/>
            <a:t>UK starts ↓79%
Construction ↓21%</a:t>
          </a:r>
        </a:p>
      </dsp:txBody>
      <dsp:txXfrm>
        <a:off x="4343285" y="255820"/>
        <a:ext cx="1485556" cy="869688"/>
      </dsp:txXfrm>
    </dsp:sp>
    <dsp:sp modelId="{1AF8F7FB-DD1F-4A10-9CB3-DF98C9A79B74}">
      <dsp:nvSpPr>
        <dsp:cNvPr id="0" name=""/>
        <dsp:cNvSpPr/>
      </dsp:nvSpPr>
      <dsp:spPr>
        <a:xfrm rot="5400000">
          <a:off x="4922858" y="1260342"/>
          <a:ext cx="326410" cy="381838"/>
        </a:xfrm>
        <a:prstGeom prst="rightArrow">
          <a:avLst>
            <a:gd name="adj1" fmla="val 60000"/>
            <a:gd name="adj2" fmla="val 50000"/>
          </a:avLst>
        </a:prstGeom>
        <a:noFill/>
        <a:ln>
          <a:solidFill>
            <a:srgbClr val="C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5400000">
        <a:off x="4971513" y="1288056"/>
        <a:ext cx="229102" cy="228487"/>
      </dsp:txXfrm>
    </dsp:sp>
    <dsp:sp modelId="{7D25E540-47EE-457A-9C88-46999997E629}">
      <dsp:nvSpPr>
        <dsp:cNvPr id="0" name=""/>
        <dsp:cNvSpPr/>
      </dsp:nvSpPr>
      <dsp:spPr>
        <a:xfrm>
          <a:off x="4316228" y="1768434"/>
          <a:ext cx="1539670" cy="923802"/>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INSTITUTIONAL INVESTMENT</a:t>
          </a:r>
        </a:p>
        <a:p>
          <a:pPr marL="57150" lvl="1" indent="-57150" algn="l" defTabSz="400050">
            <a:lnSpc>
              <a:spcPct val="90000"/>
            </a:lnSpc>
            <a:spcBef>
              <a:spcPct val="0"/>
            </a:spcBef>
            <a:spcAft>
              <a:spcPct val="15000"/>
            </a:spcAft>
            <a:buChar char="•"/>
          </a:pPr>
          <a:r>
            <a:rPr lang="en-US" sz="900" kern="1200"/>
            <a:t>£1.8bn multifamily BTR
investment in Q2 2026</a:t>
          </a:r>
        </a:p>
      </dsp:txBody>
      <dsp:txXfrm>
        <a:off x="4343285" y="1795491"/>
        <a:ext cx="1485556" cy="869688"/>
      </dsp:txXfrm>
    </dsp:sp>
    <dsp:sp modelId="{09454FE8-7DEF-45AA-9A03-80FEE419F240}">
      <dsp:nvSpPr>
        <dsp:cNvPr id="0" name=""/>
        <dsp:cNvSpPr/>
      </dsp:nvSpPr>
      <dsp:spPr>
        <a:xfrm rot="10800000">
          <a:off x="3854327" y="2039416"/>
          <a:ext cx="326410" cy="381838"/>
        </a:xfrm>
        <a:prstGeom prst="rightArrow">
          <a:avLst>
            <a:gd name="adj1" fmla="val 60000"/>
            <a:gd name="adj2" fmla="val 50000"/>
          </a:avLst>
        </a:prstGeom>
        <a:noFill/>
        <a:ln>
          <a:solidFill>
            <a:srgbClr val="C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3952250" y="2115784"/>
        <a:ext cx="228487" cy="229102"/>
      </dsp:txXfrm>
    </dsp:sp>
    <dsp:sp modelId="{4112F37C-91A8-41DA-BE75-D27C9D58F0D4}">
      <dsp:nvSpPr>
        <dsp:cNvPr id="0" name=""/>
        <dsp:cNvSpPr/>
      </dsp:nvSpPr>
      <dsp:spPr>
        <a:xfrm>
          <a:off x="2160689" y="1768434"/>
          <a:ext cx="1539670" cy="923802"/>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BERKELEY CAPABILITY</a:t>
          </a:r>
        </a:p>
        <a:p>
          <a:pPr marL="57150" lvl="1" indent="-57150" algn="l" defTabSz="400050">
            <a:lnSpc>
              <a:spcPct val="90000"/>
            </a:lnSpc>
            <a:spcBef>
              <a:spcPct val="0"/>
            </a:spcBef>
            <a:spcAft>
              <a:spcPct val="15000"/>
            </a:spcAft>
            <a:buChar char="•"/>
          </a:pPr>
          <a:r>
            <a:rPr lang="en-US" sz="900" kern="1200"/>
            <a:t>4,000-home target
1,122 homes in production
£1bn+ planned investment</a:t>
          </a:r>
        </a:p>
      </dsp:txBody>
      <dsp:txXfrm>
        <a:off x="2187746" y="1795491"/>
        <a:ext cx="1485556" cy="869688"/>
      </dsp:txXfrm>
    </dsp:sp>
    <dsp:sp modelId="{CC5780F0-1CD3-468F-B665-D981493AE1FC}">
      <dsp:nvSpPr>
        <dsp:cNvPr id="0" name=""/>
        <dsp:cNvSpPr/>
      </dsp:nvSpPr>
      <dsp:spPr>
        <a:xfrm rot="10800000">
          <a:off x="1698788" y="2039416"/>
          <a:ext cx="326410" cy="381838"/>
        </a:xfrm>
        <a:prstGeom prst="rightArrow">
          <a:avLst>
            <a:gd name="adj1" fmla="val 60000"/>
            <a:gd name="adj2" fmla="val 50000"/>
          </a:avLst>
        </a:prstGeom>
        <a:noFill/>
        <a:ln>
          <a:solidFill>
            <a:srgbClr val="C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1796711" y="2115784"/>
        <a:ext cx="228487" cy="229102"/>
      </dsp:txXfrm>
    </dsp:sp>
    <dsp:sp modelId="{2FD02102-193B-4D0F-B966-40620A40C570}">
      <dsp:nvSpPr>
        <dsp:cNvPr id="0" name=""/>
        <dsp:cNvSpPr/>
      </dsp:nvSpPr>
      <dsp:spPr>
        <a:xfrm>
          <a:off x="5151" y="1768434"/>
          <a:ext cx="1539670" cy="923802"/>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BERKELEY LIVING</a:t>
          </a:r>
        </a:p>
        <a:p>
          <a:pPr marL="57150" lvl="1" indent="-57150" algn="l" defTabSz="400050">
            <a:lnSpc>
              <a:spcPct val="90000"/>
            </a:lnSpc>
            <a:spcBef>
              <a:spcPct val="0"/>
            </a:spcBef>
            <a:spcAft>
              <a:spcPct val="15000"/>
            </a:spcAft>
            <a:buChar char="•"/>
          </a:pPr>
          <a:r>
            <a:rPr lang="en-US" sz="900" kern="1200"/>
            <a:t>SELECTIVE BTR EXPANSION</a:t>
          </a:r>
        </a:p>
      </dsp:txBody>
      <dsp:txXfrm>
        <a:off x="32208" y="1795491"/>
        <a:ext cx="1485556" cy="86968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B10BDA3117D04FAA88CCE7BEBD4E99" ma:contentTypeVersion="4" ma:contentTypeDescription="Create a new document." ma:contentTypeScope="" ma:versionID="c94eaa99a089b95703628c60f1c8c90c">
  <xsd:schema xmlns:xsd="http://www.w3.org/2001/XMLSchema" xmlns:xs="http://www.w3.org/2001/XMLSchema" xmlns:p="http://schemas.microsoft.com/office/2006/metadata/properties" xmlns:ns3="1787bddc-d7ba-4790-bff9-f3c701814ed6" targetNamespace="http://schemas.microsoft.com/office/2006/metadata/properties" ma:root="true" ma:fieldsID="b14b72f96b8f06b2ca8aef96d71b123a" ns3:_="">
    <xsd:import namespace="1787bddc-d7ba-4790-bff9-f3c701814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7bddc-d7ba-4790-bff9-f3c701814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5905C0-6FE2-4A23-8D5B-BA776E7AD3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1ABDBE-9618-4AFE-8A44-F52AA7AA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7bddc-d7ba-4790-bff9-f3c701814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58066-D4FD-42C0-9700-C434D0EDF49A}">
  <ds:schemaRefs>
    <ds:schemaRef ds:uri="http://schemas.openxmlformats.org/officeDocument/2006/bibliography"/>
  </ds:schemaRefs>
</ds:datastoreItem>
</file>

<file path=customXml/itemProps4.xml><?xml version="1.0" encoding="utf-8"?>
<ds:datastoreItem xmlns:ds="http://schemas.openxmlformats.org/officeDocument/2006/customXml" ds:itemID="{4C18D9BC-5EBD-45C6-96D3-5EB8E779E8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18</Pages>
  <Words>3661</Words>
  <Characters>20870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Olimpia Ciolte</cp:lastModifiedBy>
  <cp:revision>4922</cp:revision>
  <dcterms:created xsi:type="dcterms:W3CDTF">2023-07-06T02:29:00Z</dcterms:created>
  <dcterms:modified xsi:type="dcterms:W3CDTF">2026-09-30T09:25:00Z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0x0101004EB10BDA3117D04FAA88CCE7BEBD4E99</vt:lpwstr>
  </property>
  <property fmtid="{D5CDD505-2E9C-101B-9397-08002B2CF9AE}" pid="3" name="GrammarlyDocumentId">
    <vt:lpwstr>3cfe5858-1dfb-405f-87d5-2780f1eee74e</vt:lpwstr>
  </property>
  <property fmtid="{D5CDD505-2E9C-101B-9397-08002B2CF9AE}" pid="4" name="ICV">
    <vt:lpwstr>9084622ef6d5484d9205bb6fde01c4c9</vt:lpwstr>
  </property>
</Properties>
</file>