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8034F6" w14:textId="1AC3838A" w:rsidR="00E261AB" w:rsidRPr="00820D82" w:rsidRDefault="006C7921" w:rsidP="00820D82">
      <w:pPr>
        <w:spacing w:line="360" w:lineRule="auto"/>
        <w:jc w:val="center"/>
        <w:rPr>
          <w:rFonts w:ascii="Arial" w:hAnsi="Arial" w:cs="Arial"/>
          <w:b/>
          <w:bCs/>
          <w:u w:val="single"/>
        </w:rPr>
      </w:pPr>
      <w:r w:rsidRPr="00820D82">
        <w:rPr>
          <w:rFonts w:ascii="Arial" w:hAnsi="Arial" w:cs="Arial"/>
          <w:b/>
          <w:bCs/>
          <w:u w:val="single"/>
        </w:rPr>
        <w:t>E</w:t>
      </w:r>
      <w:r w:rsidR="00774D54" w:rsidRPr="00820D82">
        <w:rPr>
          <w:rFonts w:ascii="Arial" w:hAnsi="Arial" w:cs="Arial"/>
          <w:b/>
          <w:bCs/>
          <w:u w:val="single"/>
        </w:rPr>
        <w:t>U</w:t>
      </w:r>
      <w:r w:rsidRPr="00820D82">
        <w:rPr>
          <w:rFonts w:ascii="Arial" w:hAnsi="Arial" w:cs="Arial"/>
          <w:b/>
          <w:bCs/>
          <w:u w:val="single"/>
        </w:rPr>
        <w:t xml:space="preserve"> Law Assignment One.</w:t>
      </w:r>
    </w:p>
    <w:p w14:paraId="1B2EC408" w14:textId="6C233547" w:rsidR="00441B4D" w:rsidRPr="00820D82" w:rsidRDefault="00441B4D" w:rsidP="00820D82">
      <w:pPr>
        <w:spacing w:line="360" w:lineRule="auto"/>
        <w:jc w:val="center"/>
        <w:rPr>
          <w:rFonts w:ascii="Arial" w:hAnsi="Arial" w:cs="Arial"/>
          <w:b/>
          <w:bCs/>
          <w:u w:val="single"/>
        </w:rPr>
      </w:pPr>
    </w:p>
    <w:p w14:paraId="5EEB8C10" w14:textId="0D29C672" w:rsidR="0046097F" w:rsidRPr="00820D82" w:rsidRDefault="006C7921" w:rsidP="00820D82">
      <w:pPr>
        <w:spacing w:line="360" w:lineRule="auto"/>
        <w:jc w:val="both"/>
        <w:rPr>
          <w:rFonts w:ascii="Arial" w:hAnsi="Arial" w:cs="Arial"/>
        </w:rPr>
      </w:pPr>
      <w:r w:rsidRPr="00820D82">
        <w:rPr>
          <w:rFonts w:ascii="Arial" w:hAnsi="Arial" w:cs="Arial"/>
        </w:rPr>
        <w:t>To effectively reflect on whether the European Union does or does not have a demo</w:t>
      </w:r>
      <w:r w:rsidR="00144502" w:rsidRPr="00820D82">
        <w:rPr>
          <w:rFonts w:ascii="Arial" w:hAnsi="Arial" w:cs="Arial"/>
        </w:rPr>
        <w:t>c</w:t>
      </w:r>
      <w:r w:rsidRPr="00820D82">
        <w:rPr>
          <w:rFonts w:ascii="Arial" w:hAnsi="Arial" w:cs="Arial"/>
        </w:rPr>
        <w:t>ra</w:t>
      </w:r>
      <w:r w:rsidR="00144502" w:rsidRPr="00820D82">
        <w:rPr>
          <w:rFonts w:ascii="Arial" w:hAnsi="Arial" w:cs="Arial"/>
        </w:rPr>
        <w:t>t</w:t>
      </w:r>
      <w:r w:rsidRPr="00820D82">
        <w:rPr>
          <w:rFonts w:ascii="Arial" w:hAnsi="Arial" w:cs="Arial"/>
        </w:rPr>
        <w:t xml:space="preserve">ic deficit it is important to consider the institutional structure of the EU and the law-making powers given to each institution. </w:t>
      </w:r>
      <w:r w:rsidR="005933DE">
        <w:rPr>
          <w:rFonts w:ascii="Arial" w:hAnsi="Arial" w:cs="Arial"/>
        </w:rPr>
        <w:t xml:space="preserve">Essential to discuss would be the primary legislative institutions and observe how they best serve the citizens of the </w:t>
      </w:r>
      <w:r w:rsidR="00E672E4">
        <w:rPr>
          <w:rFonts w:ascii="Arial" w:hAnsi="Arial" w:cs="Arial"/>
        </w:rPr>
        <w:t>EU</w:t>
      </w:r>
      <w:r w:rsidR="005933DE">
        <w:rPr>
          <w:rFonts w:ascii="Arial" w:hAnsi="Arial" w:cs="Arial"/>
        </w:rPr>
        <w:t xml:space="preserve">. </w:t>
      </w:r>
    </w:p>
    <w:p w14:paraId="1C464B2B" w14:textId="4FBE7AF3" w:rsidR="003A149D" w:rsidRPr="00820D82" w:rsidRDefault="003A149D" w:rsidP="00820D82">
      <w:pPr>
        <w:spacing w:line="360" w:lineRule="auto"/>
        <w:jc w:val="both"/>
        <w:rPr>
          <w:rFonts w:ascii="Arial" w:hAnsi="Arial" w:cs="Arial"/>
        </w:rPr>
      </w:pPr>
    </w:p>
    <w:p w14:paraId="597F9D4F" w14:textId="4E6554EF" w:rsidR="003A149D" w:rsidRPr="00820D82" w:rsidRDefault="006C7921" w:rsidP="00820D82">
      <w:pPr>
        <w:spacing w:line="360" w:lineRule="auto"/>
        <w:jc w:val="both"/>
        <w:rPr>
          <w:rFonts w:ascii="Arial" w:hAnsi="Arial" w:cs="Arial"/>
        </w:rPr>
      </w:pPr>
      <w:r w:rsidRPr="00820D82">
        <w:rPr>
          <w:rFonts w:ascii="Arial" w:hAnsi="Arial" w:cs="Arial"/>
        </w:rPr>
        <w:t>D</w:t>
      </w:r>
      <w:r w:rsidRPr="00820D82">
        <w:rPr>
          <w:rFonts w:ascii="Arial" w:hAnsi="Arial" w:cs="Arial"/>
        </w:rPr>
        <w:t>emocratic deficit is the accusation that the EU lacks democracy within its legislative institutions. The perception that the EU lacks democracy is largely due to the direct democratic accountability to the citizens of the EU differs from the democratic sys</w:t>
      </w:r>
      <w:r w:rsidRPr="00820D82">
        <w:rPr>
          <w:rFonts w:ascii="Arial" w:hAnsi="Arial" w:cs="Arial"/>
        </w:rPr>
        <w:t>tems of its member states</w:t>
      </w:r>
      <w:r w:rsidR="00122E14">
        <w:rPr>
          <w:rFonts w:ascii="Arial" w:hAnsi="Arial" w:cs="Arial"/>
        </w:rPr>
        <w:t xml:space="preserve">. </w:t>
      </w:r>
      <w:r w:rsidRPr="00820D82">
        <w:rPr>
          <w:rFonts w:ascii="Arial" w:hAnsi="Arial" w:cs="Arial"/>
        </w:rPr>
        <w:t xml:space="preserve"> </w:t>
      </w:r>
    </w:p>
    <w:p w14:paraId="47D0792E" w14:textId="23C5BCFE" w:rsidR="003F1ACE" w:rsidRPr="00820D82" w:rsidRDefault="003F1ACE" w:rsidP="00820D82">
      <w:pPr>
        <w:spacing w:line="360" w:lineRule="auto"/>
        <w:jc w:val="both"/>
        <w:rPr>
          <w:rFonts w:ascii="Arial" w:hAnsi="Arial" w:cs="Arial"/>
        </w:rPr>
      </w:pPr>
    </w:p>
    <w:p w14:paraId="73F02999" w14:textId="72703E82" w:rsidR="003F1ACE" w:rsidRPr="00820D82" w:rsidRDefault="006C7921" w:rsidP="00820D82">
      <w:pPr>
        <w:spacing w:line="360" w:lineRule="auto"/>
        <w:jc w:val="both"/>
        <w:rPr>
          <w:rFonts w:ascii="Arial" w:hAnsi="Arial" w:cs="Arial"/>
        </w:rPr>
      </w:pPr>
      <w:r w:rsidRPr="00820D82">
        <w:rPr>
          <w:rFonts w:ascii="Arial" w:hAnsi="Arial" w:cs="Arial"/>
        </w:rPr>
        <w:t>Democracy largely indicates that there is some form of parliamentary democracy</w:t>
      </w:r>
      <w:r w:rsidR="007A3500">
        <w:rPr>
          <w:rFonts w:ascii="Arial" w:hAnsi="Arial" w:cs="Arial"/>
        </w:rPr>
        <w:t>,</w:t>
      </w:r>
      <w:r w:rsidRPr="00820D82">
        <w:rPr>
          <w:rFonts w:ascii="Arial" w:hAnsi="Arial" w:cs="Arial"/>
        </w:rPr>
        <w:t xml:space="preserve"> meaning that citizens can vote in a representative who they trust to regulate law-making powers (Guth, 2019). </w:t>
      </w:r>
    </w:p>
    <w:p w14:paraId="65957551" w14:textId="31C2A1A2" w:rsidR="00FB0BBF" w:rsidRPr="00820D82" w:rsidRDefault="00FB0BBF" w:rsidP="00820D82">
      <w:pPr>
        <w:spacing w:line="360" w:lineRule="auto"/>
        <w:jc w:val="both"/>
        <w:rPr>
          <w:rFonts w:ascii="Arial" w:hAnsi="Arial" w:cs="Arial"/>
        </w:rPr>
      </w:pPr>
    </w:p>
    <w:p w14:paraId="12BF8B56" w14:textId="29DD8137" w:rsidR="00FB0BBF" w:rsidRPr="00820D82" w:rsidRDefault="006C7921" w:rsidP="00820D82">
      <w:pPr>
        <w:spacing w:line="360" w:lineRule="auto"/>
        <w:jc w:val="both"/>
        <w:rPr>
          <w:rFonts w:ascii="Arial" w:hAnsi="Arial" w:cs="Arial"/>
        </w:rPr>
      </w:pPr>
      <w:r w:rsidRPr="00820D82">
        <w:rPr>
          <w:rFonts w:ascii="Arial" w:hAnsi="Arial" w:cs="Arial"/>
        </w:rPr>
        <w:t xml:space="preserve">Article 13 of the Treaty of the </w:t>
      </w:r>
      <w:r w:rsidR="00892411">
        <w:rPr>
          <w:rFonts w:ascii="Arial" w:hAnsi="Arial" w:cs="Arial"/>
        </w:rPr>
        <w:t>E</w:t>
      </w:r>
      <w:r w:rsidR="00E672E4">
        <w:rPr>
          <w:rFonts w:ascii="Arial" w:hAnsi="Arial" w:cs="Arial"/>
        </w:rPr>
        <w:t xml:space="preserve">uropean </w:t>
      </w:r>
      <w:r w:rsidR="00892411">
        <w:rPr>
          <w:rFonts w:ascii="Arial" w:hAnsi="Arial" w:cs="Arial"/>
        </w:rPr>
        <w:t>U</w:t>
      </w:r>
      <w:r w:rsidR="00E672E4">
        <w:rPr>
          <w:rFonts w:ascii="Arial" w:hAnsi="Arial" w:cs="Arial"/>
        </w:rPr>
        <w:t>nion</w:t>
      </w:r>
      <w:r w:rsidRPr="00820D82">
        <w:rPr>
          <w:rFonts w:ascii="Arial" w:hAnsi="Arial" w:cs="Arial"/>
        </w:rPr>
        <w:t xml:space="preserve"> lists the names of the institutions</w:t>
      </w:r>
      <w:r w:rsidR="007A3500">
        <w:rPr>
          <w:rFonts w:ascii="Arial" w:hAnsi="Arial" w:cs="Arial"/>
        </w:rPr>
        <w:t xml:space="preserve">, </w:t>
      </w:r>
      <w:r w:rsidRPr="00820D82">
        <w:rPr>
          <w:rFonts w:ascii="Arial" w:hAnsi="Arial" w:cs="Arial"/>
        </w:rPr>
        <w:t xml:space="preserve">The European Parliament, The Council of the European Union, the European Council, The European Commission, The court of Justice of the European Union, the European Central Bank and The Court of Auditors. </w:t>
      </w:r>
    </w:p>
    <w:p w14:paraId="15D91041" w14:textId="77777777" w:rsidR="004E5B00" w:rsidRPr="00820D82" w:rsidRDefault="004E5B00" w:rsidP="00820D82">
      <w:pPr>
        <w:spacing w:line="360" w:lineRule="auto"/>
        <w:jc w:val="both"/>
        <w:rPr>
          <w:rFonts w:ascii="Arial" w:hAnsi="Arial" w:cs="Arial"/>
        </w:rPr>
      </w:pPr>
    </w:p>
    <w:p w14:paraId="44A6D45D" w14:textId="41A04861" w:rsidR="00B568DE" w:rsidRPr="00820D82" w:rsidRDefault="006C7921" w:rsidP="00820D82">
      <w:pPr>
        <w:spacing w:line="360" w:lineRule="auto"/>
        <w:jc w:val="both"/>
        <w:rPr>
          <w:rFonts w:ascii="Arial" w:hAnsi="Arial" w:cs="Arial"/>
        </w:rPr>
      </w:pPr>
      <w:r w:rsidRPr="00820D82">
        <w:rPr>
          <w:rFonts w:ascii="Arial" w:hAnsi="Arial" w:cs="Arial"/>
        </w:rPr>
        <w:t>However, t</w:t>
      </w:r>
      <w:r w:rsidR="004E5B00" w:rsidRPr="00820D82">
        <w:rPr>
          <w:rFonts w:ascii="Arial" w:hAnsi="Arial" w:cs="Arial"/>
        </w:rPr>
        <w:t xml:space="preserve">hree primary legislative institutions that represent the EU, are the Council of Ministers this institution </w:t>
      </w:r>
      <w:r w:rsidRPr="00820D82">
        <w:rPr>
          <w:rFonts w:ascii="Arial" w:hAnsi="Arial" w:cs="Arial"/>
        </w:rPr>
        <w:t>represents</w:t>
      </w:r>
      <w:r w:rsidR="004E5B00" w:rsidRPr="00820D82">
        <w:rPr>
          <w:rFonts w:ascii="Arial" w:hAnsi="Arial" w:cs="Arial"/>
        </w:rPr>
        <w:t xml:space="preserve"> the </w:t>
      </w:r>
      <w:r w:rsidRPr="00820D82">
        <w:rPr>
          <w:rFonts w:ascii="Arial" w:hAnsi="Arial" w:cs="Arial"/>
        </w:rPr>
        <w:t>interests</w:t>
      </w:r>
      <w:r w:rsidR="004E5B00" w:rsidRPr="00820D82">
        <w:rPr>
          <w:rFonts w:ascii="Arial" w:hAnsi="Arial" w:cs="Arial"/>
        </w:rPr>
        <w:t xml:space="preserve"> of the member states governments, secondly, there is the European Parliament which is in place to serve the interests of the EU citizens and lastly the commission whose role is to serve the interests of the EU as an organisation.</w:t>
      </w:r>
    </w:p>
    <w:p w14:paraId="320E32B9" w14:textId="2F01F940" w:rsidR="00265057" w:rsidRDefault="006C7921" w:rsidP="00820D82">
      <w:pPr>
        <w:spacing w:line="360" w:lineRule="auto"/>
        <w:jc w:val="both"/>
        <w:rPr>
          <w:rFonts w:ascii="Arial" w:hAnsi="Arial" w:cs="Arial"/>
        </w:rPr>
      </w:pPr>
      <w:r w:rsidRPr="00820D82">
        <w:rPr>
          <w:rFonts w:ascii="Arial" w:hAnsi="Arial" w:cs="Arial"/>
        </w:rPr>
        <w:t xml:space="preserve">  </w:t>
      </w:r>
    </w:p>
    <w:p w14:paraId="79C3CB43" w14:textId="77777777" w:rsidR="0084056A" w:rsidRPr="00820D82" w:rsidRDefault="0084056A" w:rsidP="00820D82">
      <w:pPr>
        <w:spacing w:line="360" w:lineRule="auto"/>
        <w:jc w:val="both"/>
        <w:rPr>
          <w:rFonts w:ascii="Arial" w:hAnsi="Arial" w:cs="Arial"/>
        </w:rPr>
      </w:pPr>
    </w:p>
    <w:p w14:paraId="2D3C01AF" w14:textId="77777777" w:rsidR="00B250CF" w:rsidRDefault="006C7921" w:rsidP="00820D82">
      <w:pPr>
        <w:spacing w:line="360" w:lineRule="auto"/>
        <w:jc w:val="both"/>
        <w:rPr>
          <w:rFonts w:ascii="Arial" w:hAnsi="Arial" w:cs="Arial"/>
        </w:rPr>
      </w:pPr>
      <w:r w:rsidRPr="00820D82">
        <w:rPr>
          <w:rFonts w:ascii="Arial" w:hAnsi="Arial" w:cs="Arial"/>
        </w:rPr>
        <w:t>The European Commission is the role of an executive administrator for the Union. It has the sole right to propose legislation under the original treaties. It can form policies within the</w:t>
      </w:r>
      <w:r w:rsidRPr="00820D82">
        <w:rPr>
          <w:rFonts w:ascii="Arial" w:hAnsi="Arial" w:cs="Arial"/>
        </w:rPr>
        <w:t xml:space="preserve"> scope of the already agreed policy areas which are contained within the treaties and can initiate proposals for legislation. The commission consists of one commissioner from each member state. </w:t>
      </w:r>
    </w:p>
    <w:p w14:paraId="5DCFC9FC" w14:textId="17156161" w:rsidR="00265057" w:rsidRDefault="006C7921" w:rsidP="00820D82">
      <w:pPr>
        <w:spacing w:line="360" w:lineRule="auto"/>
        <w:jc w:val="both"/>
        <w:rPr>
          <w:rFonts w:ascii="Arial" w:hAnsi="Arial" w:cs="Arial"/>
        </w:rPr>
      </w:pPr>
      <w:r w:rsidRPr="00820D82">
        <w:rPr>
          <w:rFonts w:ascii="Arial" w:hAnsi="Arial" w:cs="Arial"/>
        </w:rPr>
        <w:t>The commissioners are appointed by the member states and must</w:t>
      </w:r>
      <w:r w:rsidRPr="00820D82">
        <w:rPr>
          <w:rFonts w:ascii="Arial" w:hAnsi="Arial" w:cs="Arial"/>
        </w:rPr>
        <w:t xml:space="preserve"> act completely independent whilst performing their duties and must not seek or take any instructions from any government body. The Commission president is appointed through qualified majority voting as stipulated under Article 17 of the Treaty of the Euro</w:t>
      </w:r>
      <w:r w:rsidRPr="00820D82">
        <w:rPr>
          <w:rFonts w:ascii="Arial" w:hAnsi="Arial" w:cs="Arial"/>
        </w:rPr>
        <w:t>pean Union (Foster, 2021)</w:t>
      </w:r>
    </w:p>
    <w:p w14:paraId="2A457F09" w14:textId="60535369" w:rsidR="00B250CF" w:rsidRDefault="00B250CF" w:rsidP="00820D82">
      <w:pPr>
        <w:spacing w:line="360" w:lineRule="auto"/>
        <w:jc w:val="both"/>
        <w:rPr>
          <w:rFonts w:ascii="Arial" w:hAnsi="Arial" w:cs="Arial"/>
        </w:rPr>
      </w:pPr>
    </w:p>
    <w:p w14:paraId="6A33CF96" w14:textId="77777777" w:rsidR="00503D63" w:rsidRDefault="00503D63" w:rsidP="00820D82">
      <w:pPr>
        <w:spacing w:line="360" w:lineRule="auto"/>
        <w:jc w:val="both"/>
        <w:rPr>
          <w:rFonts w:ascii="Arial" w:hAnsi="Arial" w:cs="Arial"/>
        </w:rPr>
      </w:pPr>
    </w:p>
    <w:p w14:paraId="3354A3C7" w14:textId="4A66F0E1" w:rsidR="00FA21EF" w:rsidRPr="00820D82" w:rsidRDefault="006C7921" w:rsidP="00820D82">
      <w:pPr>
        <w:spacing w:line="360" w:lineRule="auto"/>
        <w:jc w:val="both"/>
        <w:rPr>
          <w:rFonts w:ascii="Arial" w:hAnsi="Arial" w:cs="Arial"/>
        </w:rPr>
      </w:pPr>
      <w:r>
        <w:rPr>
          <w:rFonts w:ascii="Arial" w:hAnsi="Arial" w:cs="Arial"/>
        </w:rPr>
        <w:t>Majone (2005) has crit</w:t>
      </w:r>
      <w:r w:rsidR="008D2A8C">
        <w:rPr>
          <w:rFonts w:ascii="Arial" w:hAnsi="Arial" w:cs="Arial"/>
        </w:rPr>
        <w:t>icised</w:t>
      </w:r>
      <w:r>
        <w:rPr>
          <w:rFonts w:ascii="Arial" w:hAnsi="Arial" w:cs="Arial"/>
        </w:rPr>
        <w:t xml:space="preserve"> the European Commission for adding to a democratic deficit within the E</w:t>
      </w:r>
      <w:r w:rsidR="00892411">
        <w:rPr>
          <w:rFonts w:ascii="Arial" w:hAnsi="Arial" w:cs="Arial"/>
        </w:rPr>
        <w:t>U</w:t>
      </w:r>
      <w:r>
        <w:rPr>
          <w:rFonts w:ascii="Arial" w:hAnsi="Arial" w:cs="Arial"/>
        </w:rPr>
        <w:t xml:space="preserve"> as he has </w:t>
      </w:r>
      <w:r w:rsidR="008D2A8C">
        <w:rPr>
          <w:rFonts w:ascii="Arial" w:hAnsi="Arial" w:cs="Arial"/>
        </w:rPr>
        <w:t>state</w:t>
      </w:r>
      <w:r w:rsidR="00892411">
        <w:rPr>
          <w:rFonts w:ascii="Arial" w:hAnsi="Arial" w:cs="Arial"/>
        </w:rPr>
        <w:t>d</w:t>
      </w:r>
      <w:r w:rsidR="008D2A8C">
        <w:rPr>
          <w:rFonts w:ascii="Arial" w:hAnsi="Arial" w:cs="Arial"/>
        </w:rPr>
        <w:t xml:space="preserve"> that one of the main issues surrounding the lack of democracy is largely due to the institutions that are in place to exercise important public functions are not directly accountable </w:t>
      </w:r>
      <w:r w:rsidR="008D2A8C">
        <w:rPr>
          <w:rFonts w:ascii="Arial" w:hAnsi="Arial" w:cs="Arial"/>
        </w:rPr>
        <w:lastRenderedPageBreak/>
        <w:t>to the voters or the elected representatives</w:t>
      </w:r>
      <w:r>
        <w:rPr>
          <w:rFonts w:ascii="Arial" w:hAnsi="Arial" w:cs="Arial"/>
        </w:rPr>
        <w:t>, he also states that as politically independent bodies have been allowed to impose important policymaking powers thus causing problems to</w:t>
      </w:r>
      <w:r>
        <w:rPr>
          <w:rFonts w:ascii="Arial" w:hAnsi="Arial" w:cs="Arial"/>
        </w:rPr>
        <w:t xml:space="preserve"> arise. </w:t>
      </w:r>
    </w:p>
    <w:p w14:paraId="7D259776" w14:textId="3BE81291" w:rsidR="003A149D" w:rsidRPr="00820D82" w:rsidRDefault="003A149D" w:rsidP="00820D82">
      <w:pPr>
        <w:spacing w:line="360" w:lineRule="auto"/>
        <w:jc w:val="both"/>
        <w:rPr>
          <w:rFonts w:ascii="Arial" w:hAnsi="Arial" w:cs="Arial"/>
        </w:rPr>
      </w:pPr>
    </w:p>
    <w:p w14:paraId="511D1A8B" w14:textId="05130EC5" w:rsidR="003A149D" w:rsidRPr="00820D82" w:rsidRDefault="006C7921" w:rsidP="00820D82">
      <w:pPr>
        <w:spacing w:line="360" w:lineRule="auto"/>
        <w:jc w:val="both"/>
        <w:rPr>
          <w:rFonts w:ascii="Arial" w:hAnsi="Arial" w:cs="Arial"/>
        </w:rPr>
      </w:pPr>
      <w:r w:rsidRPr="00820D82">
        <w:rPr>
          <w:rFonts w:ascii="Arial" w:hAnsi="Arial" w:cs="Arial"/>
        </w:rPr>
        <w:t>It has been</w:t>
      </w:r>
      <w:r w:rsidR="00B250CF">
        <w:rPr>
          <w:rFonts w:ascii="Arial" w:hAnsi="Arial" w:cs="Arial"/>
        </w:rPr>
        <w:t xml:space="preserve"> further</w:t>
      </w:r>
      <w:r w:rsidRPr="00820D82">
        <w:rPr>
          <w:rFonts w:ascii="Arial" w:hAnsi="Arial" w:cs="Arial"/>
        </w:rPr>
        <w:t xml:space="preserve"> criticised that since the introduction of the use of qualified majority that no EU citizen can rely on their government to assure the outcome they have promised. It also must be considered that there is no single decision-maki</w:t>
      </w:r>
      <w:r w:rsidRPr="00820D82">
        <w:rPr>
          <w:rFonts w:ascii="Arial" w:hAnsi="Arial" w:cs="Arial"/>
        </w:rPr>
        <w:t>ng authority that can be held accountable as within the EU regarding decision making there is no clear separation of powers (Warleigh, 2003).</w:t>
      </w:r>
    </w:p>
    <w:p w14:paraId="3DEA69D6" w14:textId="64EAFAED" w:rsidR="003A149D" w:rsidRPr="00820D82" w:rsidRDefault="003A149D" w:rsidP="00820D82">
      <w:pPr>
        <w:spacing w:line="360" w:lineRule="auto"/>
        <w:jc w:val="both"/>
        <w:rPr>
          <w:rFonts w:ascii="Arial" w:hAnsi="Arial" w:cs="Arial"/>
        </w:rPr>
      </w:pPr>
    </w:p>
    <w:p w14:paraId="68500875" w14:textId="07A16CCE" w:rsidR="003A149D" w:rsidRPr="00820D82" w:rsidRDefault="006C7921" w:rsidP="00820D82">
      <w:pPr>
        <w:spacing w:line="360" w:lineRule="auto"/>
        <w:jc w:val="both"/>
        <w:rPr>
          <w:rFonts w:ascii="Arial" w:hAnsi="Arial" w:cs="Arial"/>
        </w:rPr>
      </w:pPr>
      <w:r w:rsidRPr="00820D82">
        <w:rPr>
          <w:rFonts w:ascii="Arial" w:hAnsi="Arial" w:cs="Arial"/>
        </w:rPr>
        <w:t xml:space="preserve">Article 10.3 of the Treaty of the </w:t>
      </w:r>
      <w:r w:rsidR="00E672E4">
        <w:rPr>
          <w:rFonts w:ascii="Arial" w:hAnsi="Arial" w:cs="Arial"/>
        </w:rPr>
        <w:t>European Union</w:t>
      </w:r>
      <w:r w:rsidRPr="00820D82">
        <w:rPr>
          <w:rFonts w:ascii="Arial" w:hAnsi="Arial" w:cs="Arial"/>
        </w:rPr>
        <w:t xml:space="preserve"> states that ‘Every citizen should have the right to participate </w:t>
      </w:r>
      <w:r w:rsidRPr="00820D82">
        <w:rPr>
          <w:rFonts w:ascii="Arial" w:hAnsi="Arial" w:cs="Arial"/>
        </w:rPr>
        <w:t>in the democratic life of the union. Decisions will be taken openly and as closely as possible to the citizen’ similarly Article 11 states that ‘the institutions shall give citizens to make known and publicly exchange their views in all areas of union acti</w:t>
      </w:r>
      <w:r w:rsidRPr="00820D82">
        <w:rPr>
          <w:rFonts w:ascii="Arial" w:hAnsi="Arial" w:cs="Arial"/>
        </w:rPr>
        <w:t xml:space="preserve">on’ </w:t>
      </w:r>
      <w:r w:rsidR="00F21CFA">
        <w:rPr>
          <w:rFonts w:ascii="Arial" w:hAnsi="Arial" w:cs="Arial"/>
        </w:rPr>
        <w:t>(</w:t>
      </w:r>
      <w:r w:rsidRPr="00820D82">
        <w:rPr>
          <w:rFonts w:ascii="Arial" w:hAnsi="Arial" w:cs="Arial"/>
        </w:rPr>
        <w:t>UK</w:t>
      </w:r>
      <w:r w:rsidR="00F21CFA">
        <w:rPr>
          <w:rFonts w:ascii="Arial" w:hAnsi="Arial" w:cs="Arial"/>
        </w:rPr>
        <w:t xml:space="preserve"> Government, </w:t>
      </w:r>
      <w:r w:rsidRPr="00820D82">
        <w:rPr>
          <w:rFonts w:ascii="Arial" w:hAnsi="Arial" w:cs="Arial"/>
        </w:rPr>
        <w:t xml:space="preserve">2021) </w:t>
      </w:r>
    </w:p>
    <w:p w14:paraId="61616BE9" w14:textId="77777777" w:rsidR="003A149D" w:rsidRPr="00820D82" w:rsidRDefault="006C7921" w:rsidP="00820D82">
      <w:pPr>
        <w:spacing w:line="360" w:lineRule="auto"/>
        <w:jc w:val="both"/>
        <w:rPr>
          <w:rFonts w:ascii="Arial" w:hAnsi="Arial" w:cs="Arial"/>
        </w:rPr>
      </w:pPr>
      <w:r w:rsidRPr="00820D82">
        <w:rPr>
          <w:rFonts w:ascii="Arial" w:hAnsi="Arial" w:cs="Arial"/>
        </w:rPr>
        <w:t xml:space="preserve">Whereas article 12 states that it now offers more direct involvement to the national parliaments in the decision-making process for the EU. </w:t>
      </w:r>
    </w:p>
    <w:p w14:paraId="7175A9B3" w14:textId="77777777" w:rsidR="003A149D" w:rsidRPr="00820D82" w:rsidRDefault="003A149D" w:rsidP="00820D82">
      <w:pPr>
        <w:spacing w:line="360" w:lineRule="auto"/>
        <w:jc w:val="both"/>
        <w:rPr>
          <w:rFonts w:ascii="Arial" w:hAnsi="Arial" w:cs="Arial"/>
        </w:rPr>
      </w:pPr>
    </w:p>
    <w:p w14:paraId="49FC32FC" w14:textId="2DE23466" w:rsidR="003A149D" w:rsidRPr="00820D82" w:rsidRDefault="006C7921" w:rsidP="00820D82">
      <w:pPr>
        <w:spacing w:line="360" w:lineRule="auto"/>
        <w:jc w:val="both"/>
        <w:rPr>
          <w:rFonts w:ascii="Arial" w:hAnsi="Arial" w:cs="Arial"/>
        </w:rPr>
      </w:pPr>
      <w:r w:rsidRPr="00820D82">
        <w:rPr>
          <w:rFonts w:ascii="Arial" w:hAnsi="Arial" w:cs="Arial"/>
        </w:rPr>
        <w:t>These articles depict the provisions on the democratic principles such as the right to access documents, good admi</w:t>
      </w:r>
      <w:r w:rsidRPr="00820D82">
        <w:rPr>
          <w:rFonts w:ascii="Arial" w:hAnsi="Arial" w:cs="Arial"/>
        </w:rPr>
        <w:t xml:space="preserve">nistration and the ‘citizens’ rights introduced by the Lisbon treaty and integrated into articles 9 to 12 of the Treaty of the </w:t>
      </w:r>
      <w:r w:rsidR="00892411">
        <w:rPr>
          <w:rFonts w:ascii="Arial" w:hAnsi="Arial" w:cs="Arial"/>
        </w:rPr>
        <w:t>E</w:t>
      </w:r>
      <w:r w:rsidR="00800DF8">
        <w:rPr>
          <w:rFonts w:ascii="Arial" w:hAnsi="Arial" w:cs="Arial"/>
        </w:rPr>
        <w:t xml:space="preserve">uropean </w:t>
      </w:r>
      <w:r w:rsidR="00892411">
        <w:rPr>
          <w:rFonts w:ascii="Arial" w:hAnsi="Arial" w:cs="Arial"/>
        </w:rPr>
        <w:t>U</w:t>
      </w:r>
      <w:r w:rsidR="00800DF8">
        <w:rPr>
          <w:rFonts w:ascii="Arial" w:hAnsi="Arial" w:cs="Arial"/>
        </w:rPr>
        <w:t>nion</w:t>
      </w:r>
      <w:r w:rsidRPr="00820D82">
        <w:rPr>
          <w:rFonts w:ascii="Arial" w:hAnsi="Arial" w:cs="Arial"/>
        </w:rPr>
        <w:t>. It has been argued that a European citizenship can be viewed positively due to its ongoing potential as a success</w:t>
      </w:r>
      <w:r w:rsidRPr="00820D82">
        <w:rPr>
          <w:rFonts w:ascii="Arial" w:hAnsi="Arial" w:cs="Arial"/>
        </w:rPr>
        <w:t xml:space="preserve">ful future will require a large political and democratic participation (Craig and De Búrca, 2020). </w:t>
      </w:r>
    </w:p>
    <w:p w14:paraId="719F89AE" w14:textId="1071D3D9" w:rsidR="003A149D" w:rsidRPr="00820D82" w:rsidRDefault="003A149D" w:rsidP="00820D82">
      <w:pPr>
        <w:spacing w:line="360" w:lineRule="auto"/>
        <w:jc w:val="both"/>
        <w:rPr>
          <w:rFonts w:ascii="Arial" w:hAnsi="Arial" w:cs="Arial"/>
        </w:rPr>
      </w:pPr>
    </w:p>
    <w:p w14:paraId="0E523E84" w14:textId="7246E7BF" w:rsidR="003A149D" w:rsidRPr="00820D82" w:rsidRDefault="006C7921" w:rsidP="00820D82">
      <w:pPr>
        <w:spacing w:line="360" w:lineRule="auto"/>
        <w:jc w:val="both"/>
        <w:rPr>
          <w:rFonts w:ascii="Arial" w:hAnsi="Arial" w:cs="Arial"/>
        </w:rPr>
      </w:pPr>
      <w:r w:rsidRPr="00820D82">
        <w:rPr>
          <w:rFonts w:ascii="Arial" w:hAnsi="Arial" w:cs="Arial"/>
        </w:rPr>
        <w:t>It is stipulated in article 258 of the Treaty of the European union that if the commission considers that a Member State has failed to fulfil an obligation</w:t>
      </w:r>
      <w:r w:rsidRPr="00820D82">
        <w:rPr>
          <w:rFonts w:ascii="Arial" w:hAnsi="Arial" w:cs="Arial"/>
        </w:rPr>
        <w:t xml:space="preserve"> under the Treaty of the E</w:t>
      </w:r>
      <w:r w:rsidR="00800DF8">
        <w:rPr>
          <w:rFonts w:ascii="Arial" w:hAnsi="Arial" w:cs="Arial"/>
        </w:rPr>
        <w:t xml:space="preserve">uropean </w:t>
      </w:r>
      <w:r w:rsidR="00892411">
        <w:rPr>
          <w:rFonts w:ascii="Arial" w:hAnsi="Arial" w:cs="Arial"/>
        </w:rPr>
        <w:t>U</w:t>
      </w:r>
      <w:r w:rsidR="00800DF8">
        <w:rPr>
          <w:rFonts w:ascii="Arial" w:hAnsi="Arial" w:cs="Arial"/>
        </w:rPr>
        <w:t>nion</w:t>
      </w:r>
      <w:r w:rsidRPr="00820D82">
        <w:rPr>
          <w:rFonts w:ascii="Arial" w:hAnsi="Arial" w:cs="Arial"/>
        </w:rPr>
        <w:t xml:space="preserve"> then it shall deliver a reasoned opinion on the matter after giving the member state concerned an opportunity to submit its observations. If the State does not conform within the period issued by the commission the m</w:t>
      </w:r>
      <w:r w:rsidRPr="00820D82">
        <w:rPr>
          <w:rFonts w:ascii="Arial" w:hAnsi="Arial" w:cs="Arial"/>
        </w:rPr>
        <w:t>atter may be brough</w:t>
      </w:r>
      <w:r w:rsidR="002504E9">
        <w:rPr>
          <w:rFonts w:ascii="Arial" w:hAnsi="Arial" w:cs="Arial"/>
        </w:rPr>
        <w:t>t</w:t>
      </w:r>
      <w:r w:rsidRPr="00820D82">
        <w:rPr>
          <w:rFonts w:ascii="Arial" w:hAnsi="Arial" w:cs="Arial"/>
        </w:rPr>
        <w:t xml:space="preserve"> before the Court of Justice of the E</w:t>
      </w:r>
      <w:r w:rsidR="00800DF8">
        <w:rPr>
          <w:rFonts w:ascii="Arial" w:hAnsi="Arial" w:cs="Arial"/>
        </w:rPr>
        <w:t xml:space="preserve">uropean </w:t>
      </w:r>
      <w:r w:rsidR="00892411">
        <w:rPr>
          <w:rFonts w:ascii="Arial" w:hAnsi="Arial" w:cs="Arial"/>
        </w:rPr>
        <w:t>U</w:t>
      </w:r>
      <w:r w:rsidR="00800DF8">
        <w:rPr>
          <w:rFonts w:ascii="Arial" w:hAnsi="Arial" w:cs="Arial"/>
        </w:rPr>
        <w:t>nion</w:t>
      </w:r>
      <w:r w:rsidRPr="00820D82">
        <w:rPr>
          <w:rFonts w:ascii="Arial" w:hAnsi="Arial" w:cs="Arial"/>
        </w:rPr>
        <w:t xml:space="preserve">. </w:t>
      </w:r>
    </w:p>
    <w:p w14:paraId="0434FD3D" w14:textId="77777777" w:rsidR="003A149D" w:rsidRPr="00820D82" w:rsidRDefault="003A149D" w:rsidP="00820D82">
      <w:pPr>
        <w:spacing w:line="360" w:lineRule="auto"/>
        <w:jc w:val="both"/>
        <w:rPr>
          <w:rFonts w:ascii="Arial" w:hAnsi="Arial" w:cs="Arial"/>
        </w:rPr>
      </w:pPr>
    </w:p>
    <w:p w14:paraId="7FE3B1DF" w14:textId="15A37CD3" w:rsidR="003A149D" w:rsidRPr="00820D82" w:rsidRDefault="006C7921" w:rsidP="00820D82">
      <w:pPr>
        <w:spacing w:line="360" w:lineRule="auto"/>
        <w:jc w:val="both"/>
        <w:rPr>
          <w:rFonts w:ascii="Arial" w:hAnsi="Arial" w:cs="Arial"/>
        </w:rPr>
      </w:pPr>
      <w:r w:rsidRPr="00820D82">
        <w:rPr>
          <w:rFonts w:ascii="Arial" w:hAnsi="Arial" w:cs="Arial"/>
        </w:rPr>
        <w:t xml:space="preserve">Moreover, this allows the Commission some discretion as to when and for what violations it will act this can be seen in the case of Star Fruit Company v Commission (1989). This </w:t>
      </w:r>
      <w:r w:rsidRPr="00820D82">
        <w:rPr>
          <w:rFonts w:ascii="Arial" w:hAnsi="Arial" w:cs="Arial"/>
        </w:rPr>
        <w:t>case shows that the Commission is not forced to act under Article 258. Allowing the Commission to have flexibility is an important aspect to consider within Article 258 as it allows the commission to make decisions on which actions it will pursue thus allo</w:t>
      </w:r>
      <w:r w:rsidRPr="00820D82">
        <w:rPr>
          <w:rFonts w:ascii="Arial" w:hAnsi="Arial" w:cs="Arial"/>
        </w:rPr>
        <w:t>wing the Commission to attend to more important infringements first (Commission v France (1997))</w:t>
      </w:r>
      <w:r w:rsidR="002504E9">
        <w:rPr>
          <w:rFonts w:ascii="Arial" w:hAnsi="Arial" w:cs="Arial"/>
        </w:rPr>
        <w:t>.</w:t>
      </w:r>
    </w:p>
    <w:p w14:paraId="2A43AF1D" w14:textId="01A1A35C" w:rsidR="00144502" w:rsidRPr="00820D82" w:rsidRDefault="00144502" w:rsidP="00820D82">
      <w:pPr>
        <w:spacing w:line="360" w:lineRule="auto"/>
        <w:jc w:val="both"/>
        <w:rPr>
          <w:rFonts w:ascii="Arial" w:hAnsi="Arial" w:cs="Arial"/>
        </w:rPr>
      </w:pPr>
    </w:p>
    <w:p w14:paraId="3104C043" w14:textId="08AA6D4B" w:rsidR="00144502" w:rsidRDefault="006C7921" w:rsidP="00820D82">
      <w:pPr>
        <w:spacing w:line="360" w:lineRule="auto"/>
        <w:jc w:val="both"/>
        <w:rPr>
          <w:rFonts w:ascii="Arial" w:hAnsi="Arial" w:cs="Arial"/>
        </w:rPr>
      </w:pPr>
      <w:r w:rsidRPr="00820D82">
        <w:rPr>
          <w:rFonts w:ascii="Arial" w:hAnsi="Arial" w:cs="Arial"/>
        </w:rPr>
        <w:t>It has been argued that the European Commission lacks democracy as an institution as it is the sole law-making body within the E</w:t>
      </w:r>
      <w:r w:rsidR="00E672E4">
        <w:rPr>
          <w:rFonts w:ascii="Arial" w:hAnsi="Arial" w:cs="Arial"/>
        </w:rPr>
        <w:t>U</w:t>
      </w:r>
      <w:r w:rsidRPr="00820D82">
        <w:rPr>
          <w:rFonts w:ascii="Arial" w:hAnsi="Arial" w:cs="Arial"/>
        </w:rPr>
        <w:t xml:space="preserve"> to which its commissioners </w:t>
      </w:r>
      <w:r w:rsidRPr="00820D82">
        <w:rPr>
          <w:rFonts w:ascii="Arial" w:hAnsi="Arial" w:cs="Arial"/>
        </w:rPr>
        <w:t xml:space="preserve">are not elected therefore not directly linked to the citizens of the EU. Whereas a solution could be to better involve the citizens by allowing </w:t>
      </w:r>
      <w:r w:rsidRPr="00820D82">
        <w:rPr>
          <w:rFonts w:ascii="Arial" w:hAnsi="Arial" w:cs="Arial"/>
        </w:rPr>
        <w:lastRenderedPageBreak/>
        <w:t>the voters to choose their commissioner by direct election which could be done in conjunction with the parliamen</w:t>
      </w:r>
      <w:r w:rsidRPr="00820D82">
        <w:rPr>
          <w:rFonts w:ascii="Arial" w:hAnsi="Arial" w:cs="Arial"/>
        </w:rPr>
        <w:t xml:space="preserve">tary elections. A direct election would mean that political parties would put their best candidates forward, by doing this they would enhance the legitimacy of the commissioners (Bonde, 2011). </w:t>
      </w:r>
    </w:p>
    <w:p w14:paraId="6AA27FB3" w14:textId="7709F660" w:rsidR="00E14C59" w:rsidRDefault="00E14C59" w:rsidP="00820D82">
      <w:pPr>
        <w:spacing w:line="360" w:lineRule="auto"/>
        <w:jc w:val="both"/>
        <w:rPr>
          <w:rFonts w:ascii="Arial" w:hAnsi="Arial" w:cs="Arial"/>
        </w:rPr>
      </w:pPr>
    </w:p>
    <w:p w14:paraId="543DC6D9" w14:textId="68F656F5" w:rsidR="00E14C59" w:rsidRDefault="006C7921" w:rsidP="00820D82">
      <w:pPr>
        <w:spacing w:line="360" w:lineRule="auto"/>
        <w:jc w:val="both"/>
        <w:rPr>
          <w:rFonts w:ascii="Arial" w:hAnsi="Arial" w:cs="Arial"/>
        </w:rPr>
      </w:pPr>
      <w:r>
        <w:rPr>
          <w:rFonts w:ascii="Arial" w:hAnsi="Arial" w:cs="Arial"/>
        </w:rPr>
        <w:t>There was an attempt to add to the democratic legitimacy of t</w:t>
      </w:r>
      <w:r>
        <w:rPr>
          <w:rFonts w:ascii="Arial" w:hAnsi="Arial" w:cs="Arial"/>
        </w:rPr>
        <w:t xml:space="preserve">he European Commission in 2014 by the introduction of the SpitzenKandidat which was a process used to elect the president of the commission, the purpose of this was to increase transparency and legitimacy of the process however the decision was to </w:t>
      </w:r>
      <w:r w:rsidR="00AE7A87">
        <w:rPr>
          <w:rFonts w:ascii="Arial" w:hAnsi="Arial" w:cs="Arial"/>
        </w:rPr>
        <w:t>discard</w:t>
      </w:r>
      <w:r>
        <w:rPr>
          <w:rFonts w:ascii="Arial" w:hAnsi="Arial" w:cs="Arial"/>
        </w:rPr>
        <w:t xml:space="preserve"> </w:t>
      </w:r>
      <w:r>
        <w:rPr>
          <w:rFonts w:ascii="Arial" w:hAnsi="Arial" w:cs="Arial"/>
        </w:rPr>
        <w:t xml:space="preserve">this process in the most recent 2019 elections. </w:t>
      </w:r>
      <w:r w:rsidR="00450EC7">
        <w:rPr>
          <w:rFonts w:ascii="Arial" w:hAnsi="Arial" w:cs="Arial"/>
        </w:rPr>
        <w:t>This is arguabl</w:t>
      </w:r>
      <w:r w:rsidR="006109BC">
        <w:rPr>
          <w:rFonts w:ascii="Arial" w:hAnsi="Arial" w:cs="Arial"/>
        </w:rPr>
        <w:t>y</w:t>
      </w:r>
      <w:r w:rsidR="00450EC7">
        <w:rPr>
          <w:rFonts w:ascii="Arial" w:hAnsi="Arial" w:cs="Arial"/>
        </w:rPr>
        <w:t xml:space="preserve"> a step backwards for democracy within the EU as a survey conducted before the 2019 elections showed that 60% of respondents agreed that the Spitzenkandidat process would increase transparency and legitimacy within the European Commission. As in 2014 for the first time, the lead candidates had to present themselves and ask for support from the European public to be elected (Fotopoulos, 2019).</w:t>
      </w:r>
    </w:p>
    <w:p w14:paraId="59C3199E" w14:textId="4AC87466" w:rsidR="00FA21EF" w:rsidRDefault="00FA21EF" w:rsidP="00820D82">
      <w:pPr>
        <w:spacing w:line="360" w:lineRule="auto"/>
        <w:jc w:val="both"/>
        <w:rPr>
          <w:rFonts w:ascii="Arial" w:hAnsi="Arial" w:cs="Arial"/>
        </w:rPr>
      </w:pPr>
    </w:p>
    <w:p w14:paraId="20CEF56A" w14:textId="050DDE89" w:rsidR="00151BC3" w:rsidRPr="00820D82" w:rsidRDefault="006C7921" w:rsidP="00820D82">
      <w:pPr>
        <w:spacing w:line="360" w:lineRule="auto"/>
        <w:jc w:val="both"/>
        <w:rPr>
          <w:rFonts w:ascii="Arial" w:hAnsi="Arial" w:cs="Arial"/>
        </w:rPr>
      </w:pPr>
      <w:r>
        <w:rPr>
          <w:rFonts w:ascii="Arial" w:hAnsi="Arial" w:cs="Arial"/>
        </w:rPr>
        <w:t xml:space="preserve">In aid to help </w:t>
      </w:r>
      <w:r w:rsidR="00D27E75">
        <w:rPr>
          <w:rFonts w:ascii="Arial" w:hAnsi="Arial" w:cs="Arial"/>
        </w:rPr>
        <w:t xml:space="preserve">democratise the European Commission </w:t>
      </w:r>
      <w:r>
        <w:rPr>
          <w:rFonts w:ascii="Arial" w:hAnsi="Arial" w:cs="Arial"/>
        </w:rPr>
        <w:t>the European Citizens</w:t>
      </w:r>
      <w:r w:rsidR="00091A1F">
        <w:rPr>
          <w:rFonts w:ascii="Arial" w:hAnsi="Arial" w:cs="Arial"/>
        </w:rPr>
        <w:t xml:space="preserve"> Initiative was launched in April 2012 which </w:t>
      </w:r>
      <w:r w:rsidR="00D27E75">
        <w:rPr>
          <w:rFonts w:ascii="Arial" w:hAnsi="Arial" w:cs="Arial"/>
        </w:rPr>
        <w:t>allows at least</w:t>
      </w:r>
      <w:r w:rsidR="00091A1F">
        <w:rPr>
          <w:rFonts w:ascii="Arial" w:hAnsi="Arial" w:cs="Arial"/>
        </w:rPr>
        <w:t xml:space="preserve"> seven citizens from different member states to prepare an initiative and form a citizens committee. Once the initiative has been registered the citizens' committee will then have one year to obtain one million signatures</w:t>
      </w:r>
      <w:r w:rsidR="008D44CD">
        <w:rPr>
          <w:rFonts w:ascii="Arial" w:hAnsi="Arial" w:cs="Arial"/>
        </w:rPr>
        <w:t>, once the signature</w:t>
      </w:r>
      <w:r w:rsidR="00D27E75">
        <w:rPr>
          <w:rFonts w:ascii="Arial" w:hAnsi="Arial" w:cs="Arial"/>
        </w:rPr>
        <w:t>s</w:t>
      </w:r>
      <w:r w:rsidR="008D44CD">
        <w:rPr>
          <w:rFonts w:ascii="Arial" w:hAnsi="Arial" w:cs="Arial"/>
        </w:rPr>
        <w:t xml:space="preserve"> are obtained and validated the </w:t>
      </w:r>
      <w:r w:rsidR="005B1379">
        <w:rPr>
          <w:rFonts w:ascii="Arial" w:hAnsi="Arial" w:cs="Arial"/>
        </w:rPr>
        <w:t>initiative can be presented to the European Commission to start the motion for the legislative procedure</w:t>
      </w:r>
      <w:r w:rsidR="0082678E">
        <w:rPr>
          <w:rFonts w:ascii="Arial" w:hAnsi="Arial" w:cs="Arial"/>
        </w:rPr>
        <w:t>. Since the Covid 19 pandemic temporary measures have been adopted allowing extensions for the collection of signatures. (</w:t>
      </w:r>
      <w:r w:rsidR="001F1F2E">
        <w:rPr>
          <w:rFonts w:ascii="Arial" w:hAnsi="Arial" w:cs="Arial"/>
        </w:rPr>
        <w:t>European Parliament</w:t>
      </w:r>
      <w:r w:rsidR="0082678E">
        <w:rPr>
          <w:rFonts w:ascii="Arial" w:hAnsi="Arial" w:cs="Arial"/>
        </w:rPr>
        <w:t>, 2022)</w:t>
      </w:r>
      <w:r>
        <w:rPr>
          <w:rFonts w:ascii="Arial" w:hAnsi="Arial" w:cs="Arial"/>
        </w:rPr>
        <w:t xml:space="preserve">. </w:t>
      </w:r>
    </w:p>
    <w:p w14:paraId="714CA777" w14:textId="512F8C9E" w:rsidR="003A149D" w:rsidRDefault="003A149D" w:rsidP="00820D82">
      <w:pPr>
        <w:spacing w:line="360" w:lineRule="auto"/>
        <w:jc w:val="both"/>
        <w:rPr>
          <w:rFonts w:ascii="Arial" w:hAnsi="Arial" w:cs="Arial"/>
        </w:rPr>
      </w:pPr>
    </w:p>
    <w:p w14:paraId="28325C0C" w14:textId="77777777" w:rsidR="0084056A" w:rsidRPr="00820D82" w:rsidRDefault="0084056A" w:rsidP="00820D82">
      <w:pPr>
        <w:spacing w:line="360" w:lineRule="auto"/>
        <w:jc w:val="both"/>
        <w:rPr>
          <w:rFonts w:ascii="Arial" w:hAnsi="Arial" w:cs="Arial"/>
        </w:rPr>
      </w:pPr>
    </w:p>
    <w:p w14:paraId="24C17EB6" w14:textId="77777777" w:rsidR="003A149D" w:rsidRPr="00820D82" w:rsidRDefault="006C7921" w:rsidP="00820D82">
      <w:pPr>
        <w:spacing w:line="360" w:lineRule="auto"/>
        <w:jc w:val="both"/>
        <w:rPr>
          <w:rFonts w:ascii="Arial" w:hAnsi="Arial" w:cs="Arial"/>
        </w:rPr>
      </w:pPr>
      <w:r w:rsidRPr="00820D82">
        <w:rPr>
          <w:rFonts w:ascii="Arial" w:hAnsi="Arial" w:cs="Arial"/>
        </w:rPr>
        <w:t>Article 14 of the Treaty on European Union defines the European Parliaments' powers as 'The European Parliament shall, j</w:t>
      </w:r>
      <w:r w:rsidRPr="00820D82">
        <w:rPr>
          <w:rFonts w:ascii="Arial" w:hAnsi="Arial" w:cs="Arial"/>
        </w:rPr>
        <w:t xml:space="preserve">ointly with the council, exercise legislative and budgetary functions. It shall exercise functions of political control and consultation as laid down in the Treaties. It shall elect the president of the Commission.' </w:t>
      </w:r>
    </w:p>
    <w:p w14:paraId="2E26D6F9" w14:textId="77777777" w:rsidR="003A149D" w:rsidRPr="00820D82" w:rsidRDefault="003A149D" w:rsidP="00820D82">
      <w:pPr>
        <w:spacing w:line="360" w:lineRule="auto"/>
        <w:jc w:val="both"/>
        <w:rPr>
          <w:rFonts w:ascii="Arial" w:hAnsi="Arial" w:cs="Arial"/>
        </w:rPr>
      </w:pPr>
    </w:p>
    <w:p w14:paraId="79D8D437" w14:textId="7DED411A" w:rsidR="003A149D" w:rsidRPr="00820D82" w:rsidRDefault="006C7921" w:rsidP="00820D82">
      <w:pPr>
        <w:spacing w:line="360" w:lineRule="auto"/>
        <w:jc w:val="both"/>
        <w:rPr>
          <w:rFonts w:ascii="Arial" w:hAnsi="Arial" w:cs="Arial"/>
        </w:rPr>
      </w:pPr>
      <w:r w:rsidRPr="00820D82">
        <w:rPr>
          <w:rFonts w:ascii="Arial" w:hAnsi="Arial" w:cs="Arial"/>
        </w:rPr>
        <w:t>This definition shows four different t</w:t>
      </w:r>
      <w:r w:rsidRPr="00820D82">
        <w:rPr>
          <w:rFonts w:ascii="Arial" w:hAnsi="Arial" w:cs="Arial"/>
        </w:rPr>
        <w:t>ypes of power these are legislative, budgetary, supervisory and elective. In 1951 when the European Parliament was established the sole function was only to exercise supervisory powers, these were then expanded in 1957 (Schütze, 2020).</w:t>
      </w:r>
    </w:p>
    <w:p w14:paraId="25A93B2E" w14:textId="77777777" w:rsidR="003A149D" w:rsidRPr="00820D82" w:rsidRDefault="003A149D" w:rsidP="00820D82">
      <w:pPr>
        <w:spacing w:line="360" w:lineRule="auto"/>
        <w:jc w:val="both"/>
        <w:rPr>
          <w:rFonts w:ascii="Arial" w:hAnsi="Arial" w:cs="Arial"/>
        </w:rPr>
      </w:pPr>
    </w:p>
    <w:p w14:paraId="3216477C" w14:textId="5D3190B2" w:rsidR="0046097F" w:rsidRPr="00820D82" w:rsidRDefault="0046097F" w:rsidP="00820D82">
      <w:pPr>
        <w:spacing w:line="360" w:lineRule="auto"/>
        <w:jc w:val="both"/>
        <w:rPr>
          <w:rFonts w:ascii="Arial" w:hAnsi="Arial" w:cs="Arial"/>
        </w:rPr>
      </w:pPr>
    </w:p>
    <w:p w14:paraId="5188E351" w14:textId="2A279DEA" w:rsidR="0046097F" w:rsidRPr="00820D82" w:rsidRDefault="006C7921" w:rsidP="00820D82">
      <w:pPr>
        <w:spacing w:line="360" w:lineRule="auto"/>
        <w:jc w:val="both"/>
        <w:rPr>
          <w:rFonts w:ascii="Arial" w:hAnsi="Arial" w:cs="Arial"/>
        </w:rPr>
      </w:pPr>
      <w:r w:rsidRPr="00820D82">
        <w:rPr>
          <w:rFonts w:ascii="Arial" w:hAnsi="Arial" w:cs="Arial"/>
        </w:rPr>
        <w:t>The European Parli</w:t>
      </w:r>
      <w:r w:rsidRPr="00820D82">
        <w:rPr>
          <w:rFonts w:ascii="Arial" w:hAnsi="Arial" w:cs="Arial"/>
        </w:rPr>
        <w:t>ament consists of representatives of the member states a minimum of six per state and no more than ninety-six seats. No more than seven hundred and fifty total members plus the president however since Britain has withdrawn as a member state the European Pa</w:t>
      </w:r>
      <w:r w:rsidRPr="00820D82">
        <w:rPr>
          <w:rFonts w:ascii="Arial" w:hAnsi="Arial" w:cs="Arial"/>
        </w:rPr>
        <w:t xml:space="preserve">rliament has </w:t>
      </w:r>
      <w:r w:rsidRPr="00820D82">
        <w:rPr>
          <w:rFonts w:ascii="Arial" w:hAnsi="Arial" w:cs="Arial"/>
        </w:rPr>
        <w:lastRenderedPageBreak/>
        <w:t xml:space="preserve">now decreased to seven hundred and five members. </w:t>
      </w:r>
      <w:r w:rsidR="00FB0BBF" w:rsidRPr="00820D82">
        <w:rPr>
          <w:rFonts w:ascii="Arial" w:hAnsi="Arial" w:cs="Arial"/>
        </w:rPr>
        <w:t xml:space="preserve">Members of the European Parliament are elected every five years with that last election being held in 2019 the number of seats allocated per member state depends upon the size of their population. </w:t>
      </w:r>
    </w:p>
    <w:p w14:paraId="698D5453" w14:textId="77777777" w:rsidR="003A149D" w:rsidRPr="00820D82" w:rsidRDefault="003A149D" w:rsidP="00820D82">
      <w:pPr>
        <w:spacing w:line="360" w:lineRule="auto"/>
        <w:jc w:val="both"/>
        <w:rPr>
          <w:rFonts w:ascii="Arial" w:hAnsi="Arial" w:cs="Arial"/>
        </w:rPr>
      </w:pPr>
    </w:p>
    <w:p w14:paraId="55839A8B" w14:textId="61765302" w:rsidR="004131A6" w:rsidRPr="00820D82" w:rsidRDefault="006C7921" w:rsidP="00820D82">
      <w:pPr>
        <w:spacing w:line="360" w:lineRule="auto"/>
        <w:jc w:val="both"/>
        <w:rPr>
          <w:rFonts w:ascii="Arial" w:hAnsi="Arial" w:cs="Arial"/>
        </w:rPr>
      </w:pPr>
      <w:r w:rsidRPr="00820D82">
        <w:rPr>
          <w:rFonts w:ascii="Arial" w:hAnsi="Arial" w:cs="Arial"/>
        </w:rPr>
        <w:t>Since the introduction of direct elections in 1979, this introduced a process that sees the European Government gradually being given more power within the EU. Many of these powers have been added due to the different treaties. Before this the EU parl</w:t>
      </w:r>
      <w:r w:rsidRPr="00820D82">
        <w:rPr>
          <w:rFonts w:ascii="Arial" w:hAnsi="Arial" w:cs="Arial"/>
        </w:rPr>
        <w:t>iament had little power as the Members of the European Parliament were appointed and not elected. However, it has been deemed that Members of the European Parliament feel this is contributing to there being a demo</w:t>
      </w:r>
      <w:r w:rsidR="00144502" w:rsidRPr="00820D82">
        <w:rPr>
          <w:rFonts w:ascii="Arial" w:hAnsi="Arial" w:cs="Arial"/>
        </w:rPr>
        <w:t>c</w:t>
      </w:r>
      <w:r w:rsidRPr="00820D82">
        <w:rPr>
          <w:rFonts w:ascii="Arial" w:hAnsi="Arial" w:cs="Arial"/>
        </w:rPr>
        <w:t>ra</w:t>
      </w:r>
      <w:r w:rsidR="00144502" w:rsidRPr="00820D82">
        <w:rPr>
          <w:rFonts w:ascii="Arial" w:hAnsi="Arial" w:cs="Arial"/>
        </w:rPr>
        <w:t>t</w:t>
      </w:r>
      <w:r w:rsidRPr="00820D82">
        <w:rPr>
          <w:rFonts w:ascii="Arial" w:hAnsi="Arial" w:cs="Arial"/>
        </w:rPr>
        <w:t xml:space="preserve">ic deficit as it is felt that the </w:t>
      </w:r>
      <w:r w:rsidRPr="00820D82">
        <w:rPr>
          <w:rFonts w:ascii="Arial" w:hAnsi="Arial" w:cs="Arial"/>
        </w:rPr>
        <w:t>elections are fought primarily based on national political concerns instead of problems that are relevant to the ‘European Arena’. Criticism continues to state that European Parliament does lack some powers in comparison to other national parliaments howev</w:t>
      </w:r>
      <w:r w:rsidRPr="00820D82">
        <w:rPr>
          <w:rFonts w:ascii="Arial" w:hAnsi="Arial" w:cs="Arial"/>
        </w:rPr>
        <w:t>er it is not power that it lacks but the ability to use that power in a particular way (Katz, 2001).</w:t>
      </w:r>
    </w:p>
    <w:p w14:paraId="444889C8" w14:textId="2DDA9D6B" w:rsidR="003A149D" w:rsidRPr="00820D82" w:rsidRDefault="003A149D" w:rsidP="00820D82">
      <w:pPr>
        <w:spacing w:line="360" w:lineRule="auto"/>
        <w:jc w:val="both"/>
        <w:rPr>
          <w:rFonts w:ascii="Arial" w:hAnsi="Arial" w:cs="Arial"/>
        </w:rPr>
      </w:pPr>
    </w:p>
    <w:p w14:paraId="55472708" w14:textId="67422AC6" w:rsidR="003A149D" w:rsidRPr="00820D82" w:rsidRDefault="006C7921" w:rsidP="00820D82">
      <w:pPr>
        <w:spacing w:line="360" w:lineRule="auto"/>
        <w:jc w:val="both"/>
        <w:rPr>
          <w:rFonts w:ascii="Arial" w:hAnsi="Arial" w:cs="Arial"/>
        </w:rPr>
      </w:pPr>
      <w:r w:rsidRPr="00820D82">
        <w:rPr>
          <w:rFonts w:ascii="Arial" w:hAnsi="Arial" w:cs="Arial"/>
        </w:rPr>
        <w:t>It is important to note that the population of the E</w:t>
      </w:r>
      <w:r w:rsidR="00E672E4">
        <w:rPr>
          <w:rFonts w:ascii="Arial" w:hAnsi="Arial" w:cs="Arial"/>
        </w:rPr>
        <w:t>U</w:t>
      </w:r>
      <w:r w:rsidRPr="00820D82">
        <w:rPr>
          <w:rFonts w:ascii="Arial" w:hAnsi="Arial" w:cs="Arial"/>
        </w:rPr>
        <w:t xml:space="preserve"> are directly involved in electing the European Parliament despite Members of the European Parliament</w:t>
      </w:r>
      <w:r w:rsidRPr="00820D82">
        <w:rPr>
          <w:rFonts w:ascii="Arial" w:hAnsi="Arial" w:cs="Arial"/>
        </w:rPr>
        <w:t xml:space="preserve"> being connected to each Member States national party they are not an extension of the government there. They are there to represent the interests of the people within their constituency and are directly linked to the citizens of the EU. </w:t>
      </w:r>
    </w:p>
    <w:p w14:paraId="196CBACE" w14:textId="77777777" w:rsidR="003A149D" w:rsidRPr="00820D82" w:rsidRDefault="003A149D" w:rsidP="00820D82">
      <w:pPr>
        <w:spacing w:line="360" w:lineRule="auto"/>
        <w:jc w:val="both"/>
        <w:rPr>
          <w:rFonts w:ascii="Arial" w:hAnsi="Arial" w:cs="Arial"/>
        </w:rPr>
      </w:pPr>
    </w:p>
    <w:p w14:paraId="65B302B2" w14:textId="6CAA22A2" w:rsidR="003A149D" w:rsidRDefault="006C7921" w:rsidP="00820D82">
      <w:pPr>
        <w:spacing w:line="360" w:lineRule="auto"/>
        <w:jc w:val="both"/>
        <w:rPr>
          <w:rFonts w:ascii="Arial" w:hAnsi="Arial" w:cs="Arial"/>
        </w:rPr>
      </w:pPr>
      <w:r w:rsidRPr="00820D82">
        <w:rPr>
          <w:rFonts w:ascii="Arial" w:hAnsi="Arial" w:cs="Arial"/>
        </w:rPr>
        <w:t>The European Par</w:t>
      </w:r>
      <w:r w:rsidRPr="00820D82">
        <w:rPr>
          <w:rFonts w:ascii="Arial" w:hAnsi="Arial" w:cs="Arial"/>
        </w:rPr>
        <w:t>liament is the institution in which the role has changed the most as increasing its powers considered democratic as its members are directly elected and had a direct link to the EU citizens. The E</w:t>
      </w:r>
      <w:r w:rsidR="00E672E4">
        <w:rPr>
          <w:rFonts w:ascii="Arial" w:hAnsi="Arial" w:cs="Arial"/>
        </w:rPr>
        <w:t>U</w:t>
      </w:r>
      <w:r w:rsidRPr="00820D82">
        <w:rPr>
          <w:rFonts w:ascii="Arial" w:hAnsi="Arial" w:cs="Arial"/>
        </w:rPr>
        <w:t xml:space="preserve"> believes that increasing the European Parliaments' powers </w:t>
      </w:r>
      <w:r w:rsidRPr="00820D82">
        <w:rPr>
          <w:rFonts w:ascii="Arial" w:hAnsi="Arial" w:cs="Arial"/>
        </w:rPr>
        <w:t>is addressing the problems of a democratic deficit. With the Parliament representing the people and the Council representing the Member States and the Commission acting as the executive, this has the potential to lead to democratic policies (Crombez, 2003)</w:t>
      </w:r>
      <w:r w:rsidRPr="00820D82">
        <w:rPr>
          <w:rFonts w:ascii="Arial" w:hAnsi="Arial" w:cs="Arial"/>
        </w:rPr>
        <w:t>.</w:t>
      </w:r>
    </w:p>
    <w:p w14:paraId="5B13189B" w14:textId="06A3DF1C" w:rsidR="005A6CDD" w:rsidRDefault="005A6CDD" w:rsidP="00820D82">
      <w:pPr>
        <w:spacing w:line="360" w:lineRule="auto"/>
        <w:jc w:val="both"/>
        <w:rPr>
          <w:rFonts w:ascii="Arial" w:hAnsi="Arial" w:cs="Arial"/>
        </w:rPr>
      </w:pPr>
    </w:p>
    <w:p w14:paraId="57B2DEC2" w14:textId="0EBE3FED" w:rsidR="005A6CDD" w:rsidRDefault="006C7921" w:rsidP="00820D82">
      <w:pPr>
        <w:spacing w:line="360" w:lineRule="auto"/>
        <w:jc w:val="both"/>
        <w:rPr>
          <w:rFonts w:ascii="Arial" w:hAnsi="Arial" w:cs="Arial"/>
        </w:rPr>
      </w:pPr>
      <w:r>
        <w:rPr>
          <w:rFonts w:ascii="Arial" w:hAnsi="Arial" w:cs="Arial"/>
        </w:rPr>
        <w:t>Voter turnout in Europe has been steadily declining, in 2019 the turnout between member states was vastly different with Slovakia only having a turnout of 22% to Belgium having a voter turnout of 88% (Politico, 2018).</w:t>
      </w:r>
      <w:r w:rsidR="004D0CFA">
        <w:rPr>
          <w:rFonts w:ascii="Arial" w:hAnsi="Arial" w:cs="Arial"/>
        </w:rPr>
        <w:t xml:space="preserve"> There have been arguments stating that these stark differences between member states could be due to structural factors for example as compulsory voting rules and what day of the week elections are held and the budgetary contribution from each country</w:t>
      </w:r>
      <w:r w:rsidR="00B341A1">
        <w:rPr>
          <w:rFonts w:ascii="Arial" w:hAnsi="Arial" w:cs="Arial"/>
        </w:rPr>
        <w:t>, there are many factors to consider which could arguably be making the system confusing for voters</w:t>
      </w:r>
      <w:r w:rsidR="00D33A38">
        <w:rPr>
          <w:rFonts w:ascii="Arial" w:hAnsi="Arial" w:cs="Arial"/>
        </w:rPr>
        <w:t xml:space="preserve"> (De Vreese et al, 2020).</w:t>
      </w:r>
    </w:p>
    <w:p w14:paraId="33A7170E" w14:textId="2C2C3127" w:rsidR="00B341A1" w:rsidRDefault="00B341A1" w:rsidP="00820D82">
      <w:pPr>
        <w:spacing w:line="360" w:lineRule="auto"/>
        <w:jc w:val="both"/>
        <w:rPr>
          <w:rFonts w:ascii="Arial" w:hAnsi="Arial" w:cs="Arial"/>
        </w:rPr>
      </w:pPr>
    </w:p>
    <w:p w14:paraId="3666806E" w14:textId="48F89C13" w:rsidR="00B341A1" w:rsidRDefault="006C7921" w:rsidP="00820D82">
      <w:pPr>
        <w:spacing w:line="360" w:lineRule="auto"/>
        <w:jc w:val="both"/>
        <w:rPr>
          <w:rFonts w:ascii="Arial" w:hAnsi="Arial" w:cs="Arial"/>
        </w:rPr>
      </w:pPr>
      <w:r>
        <w:rPr>
          <w:rFonts w:ascii="Arial" w:hAnsi="Arial" w:cs="Arial"/>
        </w:rPr>
        <w:t xml:space="preserve">It has been noted that voter turnout is better in states that have strong support for the EU membership as well as countries that benefit from the EU subsidies vote more </w:t>
      </w:r>
      <w:r>
        <w:rPr>
          <w:rFonts w:ascii="Arial" w:hAnsi="Arial" w:cs="Arial"/>
        </w:rPr>
        <w:t xml:space="preserve">actively </w:t>
      </w:r>
      <w:r w:rsidR="002011E9">
        <w:rPr>
          <w:rFonts w:ascii="Arial" w:hAnsi="Arial" w:cs="Arial"/>
        </w:rPr>
        <w:t xml:space="preserve">than the countries that pay the subsidies. It has been argued that if elections were held during weekends </w:t>
      </w:r>
      <w:r w:rsidR="002011E9">
        <w:rPr>
          <w:rFonts w:ascii="Arial" w:hAnsi="Arial" w:cs="Arial"/>
        </w:rPr>
        <w:lastRenderedPageBreak/>
        <w:t>with multiple constituencies in all countries may see a voter turnout increase by approximately ten percentage points (Mattila, 2003).</w:t>
      </w:r>
    </w:p>
    <w:p w14:paraId="04887094" w14:textId="6759C053" w:rsidR="0084056A" w:rsidRDefault="0084056A" w:rsidP="00820D82">
      <w:pPr>
        <w:spacing w:line="360" w:lineRule="auto"/>
        <w:jc w:val="both"/>
        <w:rPr>
          <w:rFonts w:ascii="Arial" w:hAnsi="Arial" w:cs="Arial"/>
        </w:rPr>
      </w:pPr>
    </w:p>
    <w:p w14:paraId="79341B12" w14:textId="77777777" w:rsidR="0084056A" w:rsidRDefault="0084056A" w:rsidP="00820D82">
      <w:pPr>
        <w:spacing w:line="360" w:lineRule="auto"/>
        <w:jc w:val="both"/>
        <w:rPr>
          <w:rFonts w:ascii="Arial" w:hAnsi="Arial" w:cs="Arial"/>
        </w:rPr>
      </w:pPr>
    </w:p>
    <w:p w14:paraId="4E7B00B9" w14:textId="77777777" w:rsidR="0084056A" w:rsidRPr="00820D82" w:rsidRDefault="006C7921" w:rsidP="0084056A">
      <w:pPr>
        <w:spacing w:line="360" w:lineRule="auto"/>
        <w:jc w:val="both"/>
        <w:rPr>
          <w:rFonts w:ascii="Arial" w:hAnsi="Arial" w:cs="Arial"/>
        </w:rPr>
      </w:pPr>
      <w:r w:rsidRPr="00820D82">
        <w:rPr>
          <w:rFonts w:ascii="Arial" w:hAnsi="Arial" w:cs="Arial"/>
        </w:rPr>
        <w:t>The Council of Ministers consist of ministerial representatives from each member state</w:t>
      </w:r>
      <w:r>
        <w:rPr>
          <w:rFonts w:ascii="Arial" w:hAnsi="Arial" w:cs="Arial"/>
        </w:rPr>
        <w:t>,</w:t>
      </w:r>
      <w:r w:rsidRPr="00820D82">
        <w:rPr>
          <w:rFonts w:ascii="Arial" w:hAnsi="Arial" w:cs="Arial"/>
        </w:rPr>
        <w:t xml:space="preserve"> the purpose is to discuss issues surrounding ten specific areas. Within these ten areas, the Ministers will vote using a qualified majority voting, bare majority or una</w:t>
      </w:r>
      <w:r w:rsidRPr="00820D82">
        <w:rPr>
          <w:rFonts w:ascii="Arial" w:hAnsi="Arial" w:cs="Arial"/>
        </w:rPr>
        <w:t xml:space="preserve">nimity.  </w:t>
      </w:r>
    </w:p>
    <w:p w14:paraId="5FD797EA" w14:textId="77777777" w:rsidR="0084056A" w:rsidRPr="00820D82" w:rsidRDefault="0084056A" w:rsidP="0084056A">
      <w:pPr>
        <w:spacing w:line="360" w:lineRule="auto"/>
        <w:jc w:val="both"/>
        <w:rPr>
          <w:rFonts w:ascii="Arial" w:hAnsi="Arial" w:cs="Arial"/>
        </w:rPr>
      </w:pPr>
    </w:p>
    <w:p w14:paraId="62105F2C" w14:textId="6CEBDC9F" w:rsidR="0084056A" w:rsidRDefault="006C7921" w:rsidP="0084056A">
      <w:pPr>
        <w:spacing w:line="360" w:lineRule="auto"/>
        <w:jc w:val="both"/>
        <w:rPr>
          <w:rFonts w:ascii="Arial" w:hAnsi="Arial" w:cs="Arial"/>
        </w:rPr>
      </w:pPr>
      <w:r w:rsidRPr="00820D82">
        <w:rPr>
          <w:rFonts w:ascii="Arial" w:hAnsi="Arial" w:cs="Arial"/>
        </w:rPr>
        <w:t>Qualified Majority voting requires that at least fifty-five per cent of the Member States vote in favour of the decision with at least sixty-five per cent of the EU population represented by the favourable vote. This is to ensure that any decisi</w:t>
      </w:r>
      <w:r w:rsidRPr="00820D82">
        <w:rPr>
          <w:rFonts w:ascii="Arial" w:hAnsi="Arial" w:cs="Arial"/>
        </w:rPr>
        <w:t>on made represents twice the number of citizens as those voting against ensuring that smaller states cannot be marginalised by large states this is known as 'double majority'. Secondly, the EU Parliament Is in place to serve the interests of the EU citizen</w:t>
      </w:r>
      <w:r w:rsidRPr="00820D82">
        <w:rPr>
          <w:rFonts w:ascii="Arial" w:hAnsi="Arial" w:cs="Arial"/>
        </w:rPr>
        <w:t>s and lastly, the commissions' role serves the interests of the EU citizens as an organisation</w:t>
      </w:r>
      <w:r>
        <w:rPr>
          <w:rFonts w:ascii="Arial" w:hAnsi="Arial" w:cs="Arial"/>
        </w:rPr>
        <w:t xml:space="preserve"> </w:t>
      </w:r>
      <w:r w:rsidRPr="00820D82">
        <w:rPr>
          <w:rFonts w:ascii="Arial" w:hAnsi="Arial" w:cs="Arial"/>
        </w:rPr>
        <w:t>(Kirk, 2021).</w:t>
      </w:r>
    </w:p>
    <w:p w14:paraId="123E931C" w14:textId="0C493A87" w:rsidR="00767312" w:rsidRPr="00820D82" w:rsidRDefault="00767312" w:rsidP="00820D82">
      <w:pPr>
        <w:spacing w:line="360" w:lineRule="auto"/>
        <w:jc w:val="both"/>
        <w:rPr>
          <w:rFonts w:ascii="Arial" w:hAnsi="Arial" w:cs="Arial"/>
        </w:rPr>
      </w:pPr>
    </w:p>
    <w:p w14:paraId="23572058" w14:textId="34B1A17F" w:rsidR="00767312" w:rsidRPr="00820D82" w:rsidRDefault="006C7921" w:rsidP="00820D82">
      <w:pPr>
        <w:spacing w:line="360" w:lineRule="auto"/>
        <w:jc w:val="both"/>
        <w:rPr>
          <w:rFonts w:ascii="Arial" w:hAnsi="Arial" w:cs="Arial"/>
        </w:rPr>
      </w:pPr>
      <w:r w:rsidRPr="00820D82">
        <w:rPr>
          <w:rFonts w:ascii="Arial" w:hAnsi="Arial" w:cs="Arial"/>
        </w:rPr>
        <w:t xml:space="preserve">The Court of Justice of the European </w:t>
      </w:r>
      <w:r w:rsidR="00FE6521" w:rsidRPr="00820D82">
        <w:rPr>
          <w:rFonts w:ascii="Arial" w:hAnsi="Arial" w:cs="Arial"/>
        </w:rPr>
        <w:t>U</w:t>
      </w:r>
      <w:r w:rsidRPr="00820D82">
        <w:rPr>
          <w:rFonts w:ascii="Arial" w:hAnsi="Arial" w:cs="Arial"/>
        </w:rPr>
        <w:t>nion</w:t>
      </w:r>
      <w:r w:rsidR="00FE6521" w:rsidRPr="00820D82">
        <w:rPr>
          <w:rFonts w:ascii="Arial" w:hAnsi="Arial" w:cs="Arial"/>
        </w:rPr>
        <w:t xml:space="preserve"> is in place to ‘oversee the correct application and implementation of EU law’ it </w:t>
      </w:r>
      <w:r w:rsidR="00CA7E35" w:rsidRPr="00820D82">
        <w:rPr>
          <w:rFonts w:ascii="Arial" w:hAnsi="Arial" w:cs="Arial"/>
        </w:rPr>
        <w:t>consist</w:t>
      </w:r>
      <w:r w:rsidR="00FE6521" w:rsidRPr="00820D82">
        <w:rPr>
          <w:rFonts w:ascii="Arial" w:hAnsi="Arial" w:cs="Arial"/>
        </w:rPr>
        <w:t>s</w:t>
      </w:r>
      <w:r w:rsidR="00CA7E35" w:rsidRPr="00820D82">
        <w:rPr>
          <w:rFonts w:ascii="Arial" w:hAnsi="Arial" w:cs="Arial"/>
        </w:rPr>
        <w:t xml:space="preserve"> of one judge per state with two per state in the general court</w:t>
      </w:r>
      <w:r w:rsidR="00E27A68">
        <w:rPr>
          <w:rFonts w:ascii="Arial" w:hAnsi="Arial" w:cs="Arial"/>
        </w:rPr>
        <w:t xml:space="preserve"> this arrangement stops any one state from having an advantage over another</w:t>
      </w:r>
      <w:r w:rsidR="00FE6521" w:rsidRPr="00820D82">
        <w:rPr>
          <w:rFonts w:ascii="Arial" w:hAnsi="Arial" w:cs="Arial"/>
        </w:rPr>
        <w:t>. The Court of Justice of the European Union also has Advocates General. Advocates General have the potential to be influential as they are required to give their legal opinion on important cases although this opinion may be influential it is not legally binding on the court (The Law Society, 2021).</w:t>
      </w:r>
    </w:p>
    <w:p w14:paraId="744FDB64" w14:textId="36A0908D" w:rsidR="003F1ACE" w:rsidRPr="00820D82" w:rsidRDefault="003F1ACE" w:rsidP="00820D82">
      <w:pPr>
        <w:spacing w:line="360" w:lineRule="auto"/>
        <w:jc w:val="both"/>
        <w:rPr>
          <w:rFonts w:ascii="Arial" w:hAnsi="Arial" w:cs="Arial"/>
        </w:rPr>
      </w:pPr>
    </w:p>
    <w:p w14:paraId="5335A9E2" w14:textId="45E72E31" w:rsidR="003A149D" w:rsidRPr="00820D82" w:rsidRDefault="006C7921" w:rsidP="00820D82">
      <w:pPr>
        <w:spacing w:line="360" w:lineRule="auto"/>
        <w:jc w:val="both"/>
        <w:rPr>
          <w:rFonts w:ascii="Arial" w:hAnsi="Arial" w:cs="Arial"/>
        </w:rPr>
      </w:pPr>
      <w:r w:rsidRPr="00820D82">
        <w:rPr>
          <w:rFonts w:ascii="Arial" w:hAnsi="Arial" w:cs="Arial"/>
        </w:rPr>
        <w:t xml:space="preserve">The relationship between the Court of Justice of the European Union and </w:t>
      </w:r>
      <w:r w:rsidRPr="00820D82">
        <w:rPr>
          <w:rFonts w:ascii="Arial" w:hAnsi="Arial" w:cs="Arial"/>
        </w:rPr>
        <w:t xml:space="preserve">its member states is set out in article 267 of the Treaty of the European Union. Article 267 aids consistency within the interpretation of EU law and is the only court that hears cases from this article. </w:t>
      </w:r>
    </w:p>
    <w:p w14:paraId="209BF3E6" w14:textId="77777777" w:rsidR="00144502" w:rsidRPr="00820D82" w:rsidRDefault="00144502" w:rsidP="00820D82">
      <w:pPr>
        <w:spacing w:line="360" w:lineRule="auto"/>
        <w:jc w:val="both"/>
        <w:rPr>
          <w:rFonts w:ascii="Arial" w:hAnsi="Arial" w:cs="Arial"/>
        </w:rPr>
      </w:pPr>
    </w:p>
    <w:p w14:paraId="17C73AB0" w14:textId="52324346" w:rsidR="00144502" w:rsidRPr="00820D82" w:rsidRDefault="006C7921" w:rsidP="00820D82">
      <w:pPr>
        <w:spacing w:line="360" w:lineRule="auto"/>
        <w:jc w:val="both"/>
        <w:rPr>
          <w:rFonts w:ascii="Arial" w:hAnsi="Arial" w:cs="Arial"/>
        </w:rPr>
      </w:pPr>
      <w:r w:rsidRPr="00820D82">
        <w:rPr>
          <w:rFonts w:ascii="Arial" w:hAnsi="Arial" w:cs="Arial"/>
        </w:rPr>
        <w:t>To conclude based on how the three main institutio</w:t>
      </w:r>
      <w:r w:rsidRPr="00820D82">
        <w:rPr>
          <w:rFonts w:ascii="Arial" w:hAnsi="Arial" w:cs="Arial"/>
        </w:rPr>
        <w:t>ns are formed with only one of the three institutions having direct relations with the citizens of the E</w:t>
      </w:r>
      <w:r w:rsidR="00E672E4">
        <w:rPr>
          <w:rFonts w:ascii="Arial" w:hAnsi="Arial" w:cs="Arial"/>
        </w:rPr>
        <w:t>U</w:t>
      </w:r>
      <w:r w:rsidRPr="00820D82">
        <w:rPr>
          <w:rFonts w:ascii="Arial" w:hAnsi="Arial" w:cs="Arial"/>
        </w:rPr>
        <w:t>, understandably, there has been so much criticism surro</w:t>
      </w:r>
      <w:r w:rsidR="00A219F5" w:rsidRPr="00820D82">
        <w:rPr>
          <w:rFonts w:ascii="Arial" w:hAnsi="Arial" w:cs="Arial"/>
        </w:rPr>
        <w:t>unding the existence of a democratic deficit within the EU</w:t>
      </w:r>
      <w:r w:rsidRPr="00820D82">
        <w:rPr>
          <w:rFonts w:ascii="Arial" w:hAnsi="Arial" w:cs="Arial"/>
        </w:rPr>
        <w:t>. All institutions that have executiv</w:t>
      </w:r>
      <w:r w:rsidRPr="00820D82">
        <w:rPr>
          <w:rFonts w:ascii="Arial" w:hAnsi="Arial" w:cs="Arial"/>
        </w:rPr>
        <w:t>e power should be subject to democratic accountability</w:t>
      </w:r>
      <w:r w:rsidR="00A219F5" w:rsidRPr="00820D82">
        <w:rPr>
          <w:rFonts w:ascii="Arial" w:hAnsi="Arial" w:cs="Arial"/>
        </w:rPr>
        <w:t>. Despite there being attempts to make the E</w:t>
      </w:r>
      <w:r w:rsidR="00E672E4">
        <w:rPr>
          <w:rFonts w:ascii="Arial" w:hAnsi="Arial" w:cs="Arial"/>
        </w:rPr>
        <w:t>U</w:t>
      </w:r>
      <w:r w:rsidR="00A219F5" w:rsidRPr="00820D82">
        <w:rPr>
          <w:rFonts w:ascii="Arial" w:hAnsi="Arial" w:cs="Arial"/>
        </w:rPr>
        <w:t xml:space="preserve"> more democratic by way of amendments specifically due to the Lisbon Treaty it will eventually require more involvement within EU politics through electoral votes, increased media coverage, allowing more knowledge of EU politics </w:t>
      </w:r>
      <w:r w:rsidRPr="00820D82">
        <w:rPr>
          <w:rFonts w:ascii="Arial" w:hAnsi="Arial" w:cs="Arial"/>
        </w:rPr>
        <w:t xml:space="preserve">(Crum, 2005).  </w:t>
      </w:r>
      <w:r w:rsidR="00122E14">
        <w:rPr>
          <w:rFonts w:ascii="Arial" w:hAnsi="Arial" w:cs="Arial"/>
        </w:rPr>
        <w:t xml:space="preserve">It </w:t>
      </w:r>
      <w:r w:rsidR="000F0541">
        <w:rPr>
          <w:rFonts w:ascii="Arial" w:hAnsi="Arial" w:cs="Arial"/>
        </w:rPr>
        <w:t>was stated around twenty years ago that if the EU wishes to democrati</w:t>
      </w:r>
      <w:r w:rsidR="00433608">
        <w:rPr>
          <w:rFonts w:ascii="Arial" w:hAnsi="Arial" w:cs="Arial"/>
        </w:rPr>
        <w:t>s</w:t>
      </w:r>
      <w:r w:rsidR="000F0541">
        <w:rPr>
          <w:rFonts w:ascii="Arial" w:hAnsi="Arial" w:cs="Arial"/>
        </w:rPr>
        <w:t>e itself it will need ‘new forms of Citizenship, representation and decision making if it is ever going to democrati</w:t>
      </w:r>
      <w:r w:rsidR="00433608">
        <w:rPr>
          <w:rFonts w:ascii="Arial" w:hAnsi="Arial" w:cs="Arial"/>
        </w:rPr>
        <w:t>s</w:t>
      </w:r>
      <w:r w:rsidR="000F0541">
        <w:rPr>
          <w:rFonts w:ascii="Arial" w:hAnsi="Arial" w:cs="Arial"/>
        </w:rPr>
        <w:t xml:space="preserve">e itself’. Despite partially trying to do this these attempts seem to fall short due to the system continually changing (Neuhold, 2020). </w:t>
      </w:r>
    </w:p>
    <w:p w14:paraId="49B96770" w14:textId="77777777" w:rsidR="003F1ACE" w:rsidRPr="00820D82" w:rsidRDefault="003F1ACE" w:rsidP="00820D82">
      <w:pPr>
        <w:spacing w:line="360" w:lineRule="auto"/>
        <w:jc w:val="both"/>
        <w:rPr>
          <w:rFonts w:ascii="Arial" w:hAnsi="Arial" w:cs="Arial"/>
        </w:rPr>
      </w:pPr>
    </w:p>
    <w:p w14:paraId="7487B7BA" w14:textId="77777777" w:rsidR="003A149D" w:rsidRPr="00820D82" w:rsidRDefault="003A149D" w:rsidP="00820D82">
      <w:pPr>
        <w:spacing w:line="360" w:lineRule="auto"/>
        <w:jc w:val="both"/>
        <w:rPr>
          <w:rFonts w:ascii="Arial" w:hAnsi="Arial" w:cs="Arial"/>
        </w:rPr>
      </w:pPr>
    </w:p>
    <w:p w14:paraId="25F4B29E" w14:textId="37750DCC" w:rsidR="003A149D" w:rsidRPr="00820D82" w:rsidRDefault="003A149D" w:rsidP="00820D82">
      <w:pPr>
        <w:spacing w:line="360" w:lineRule="auto"/>
        <w:jc w:val="both"/>
        <w:rPr>
          <w:rFonts w:ascii="Arial" w:hAnsi="Arial" w:cs="Arial"/>
        </w:rPr>
      </w:pPr>
    </w:p>
    <w:p w14:paraId="209F2001" w14:textId="77777777" w:rsidR="003A149D" w:rsidRPr="00820D82" w:rsidRDefault="003A149D" w:rsidP="00820D82">
      <w:pPr>
        <w:spacing w:line="360" w:lineRule="auto"/>
        <w:jc w:val="both"/>
        <w:rPr>
          <w:rFonts w:ascii="Arial" w:hAnsi="Arial" w:cs="Arial"/>
        </w:rPr>
      </w:pPr>
    </w:p>
    <w:p w14:paraId="0B598513" w14:textId="23847D4C" w:rsidR="00265057" w:rsidRPr="00820D82" w:rsidRDefault="00265057" w:rsidP="00820D82">
      <w:pPr>
        <w:spacing w:line="360" w:lineRule="auto"/>
        <w:jc w:val="both"/>
        <w:rPr>
          <w:rFonts w:ascii="Arial" w:hAnsi="Arial" w:cs="Arial"/>
        </w:rPr>
      </w:pPr>
    </w:p>
    <w:p w14:paraId="7D1180BB" w14:textId="77777777" w:rsidR="00265057" w:rsidRPr="00820D82" w:rsidRDefault="00265057" w:rsidP="00820D82">
      <w:pPr>
        <w:spacing w:line="360" w:lineRule="auto"/>
        <w:jc w:val="both"/>
        <w:rPr>
          <w:rFonts w:ascii="Arial" w:hAnsi="Arial" w:cs="Arial"/>
        </w:rPr>
      </w:pPr>
    </w:p>
    <w:p w14:paraId="31433367" w14:textId="7A17B92D" w:rsidR="00265057" w:rsidRPr="00820D82" w:rsidRDefault="00265057" w:rsidP="00820D82">
      <w:pPr>
        <w:spacing w:line="360" w:lineRule="auto"/>
        <w:jc w:val="both"/>
        <w:rPr>
          <w:rFonts w:ascii="Arial" w:hAnsi="Arial" w:cs="Arial"/>
        </w:rPr>
      </w:pPr>
    </w:p>
    <w:p w14:paraId="7B27ED7A" w14:textId="77777777" w:rsidR="00265057" w:rsidRPr="00820D82" w:rsidRDefault="00265057" w:rsidP="00820D82">
      <w:pPr>
        <w:spacing w:line="360" w:lineRule="auto"/>
        <w:jc w:val="both"/>
        <w:rPr>
          <w:rFonts w:ascii="Arial" w:hAnsi="Arial" w:cs="Arial"/>
        </w:rPr>
      </w:pPr>
    </w:p>
    <w:p w14:paraId="5818AEBC" w14:textId="45F43B89" w:rsidR="00265057" w:rsidRPr="00820D82" w:rsidRDefault="00265057" w:rsidP="00820D82">
      <w:pPr>
        <w:spacing w:line="360" w:lineRule="auto"/>
        <w:jc w:val="both"/>
        <w:rPr>
          <w:rFonts w:ascii="Arial" w:hAnsi="Arial" w:cs="Arial"/>
        </w:rPr>
      </w:pPr>
    </w:p>
    <w:p w14:paraId="459CDD6C" w14:textId="77777777" w:rsidR="00265057" w:rsidRPr="00820D82" w:rsidRDefault="00265057" w:rsidP="00820D82">
      <w:pPr>
        <w:spacing w:line="360" w:lineRule="auto"/>
        <w:jc w:val="both"/>
        <w:rPr>
          <w:rFonts w:ascii="Arial" w:hAnsi="Arial" w:cs="Arial"/>
        </w:rPr>
      </w:pPr>
    </w:p>
    <w:p w14:paraId="76A2F262" w14:textId="77777777" w:rsidR="00225B6B" w:rsidRPr="00820D82" w:rsidRDefault="00225B6B" w:rsidP="00820D82">
      <w:pPr>
        <w:spacing w:line="360" w:lineRule="auto"/>
        <w:jc w:val="both"/>
        <w:rPr>
          <w:rFonts w:ascii="Arial" w:hAnsi="Arial" w:cs="Arial"/>
        </w:rPr>
      </w:pPr>
    </w:p>
    <w:p w14:paraId="7C669B2C" w14:textId="77777777" w:rsidR="00B568DE" w:rsidRPr="00820D82" w:rsidRDefault="00B568DE" w:rsidP="00820D82">
      <w:pPr>
        <w:spacing w:line="360" w:lineRule="auto"/>
        <w:jc w:val="both"/>
        <w:rPr>
          <w:rFonts w:ascii="Arial" w:hAnsi="Arial" w:cs="Arial"/>
        </w:rPr>
      </w:pPr>
    </w:p>
    <w:p w14:paraId="7986D495" w14:textId="4B477A67" w:rsidR="00B568DE" w:rsidRPr="00820D82" w:rsidRDefault="006C7921" w:rsidP="00820D82">
      <w:pPr>
        <w:spacing w:line="360" w:lineRule="auto"/>
        <w:jc w:val="both"/>
        <w:rPr>
          <w:rFonts w:ascii="Arial" w:hAnsi="Arial" w:cs="Arial"/>
        </w:rPr>
      </w:pPr>
      <w:r>
        <w:rPr>
          <w:rFonts w:ascii="Arial" w:hAnsi="Arial" w:cs="Arial"/>
        </w:rPr>
        <w:tab/>
      </w:r>
    </w:p>
    <w:p w14:paraId="536EED2A" w14:textId="618D4510" w:rsidR="00B568DE" w:rsidRPr="00820D82" w:rsidRDefault="00B568DE" w:rsidP="00820D82">
      <w:pPr>
        <w:spacing w:line="360" w:lineRule="auto"/>
        <w:jc w:val="both"/>
        <w:rPr>
          <w:rFonts w:ascii="Arial" w:hAnsi="Arial" w:cs="Arial"/>
        </w:rPr>
      </w:pPr>
    </w:p>
    <w:p w14:paraId="039F6ABB" w14:textId="3AF296D2" w:rsidR="00B568DE" w:rsidRDefault="00B568DE" w:rsidP="00820D82">
      <w:pPr>
        <w:spacing w:line="360" w:lineRule="auto"/>
        <w:jc w:val="both"/>
        <w:rPr>
          <w:rFonts w:ascii="Arial" w:hAnsi="Arial" w:cs="Arial"/>
        </w:rPr>
      </w:pPr>
    </w:p>
    <w:p w14:paraId="0790BAB4" w14:textId="565738A5" w:rsidR="0000049D" w:rsidRDefault="0000049D" w:rsidP="00820D82">
      <w:pPr>
        <w:spacing w:line="360" w:lineRule="auto"/>
        <w:jc w:val="both"/>
        <w:rPr>
          <w:rFonts w:ascii="Arial" w:hAnsi="Arial" w:cs="Arial"/>
        </w:rPr>
      </w:pPr>
    </w:p>
    <w:p w14:paraId="6B25070D" w14:textId="068C7A42" w:rsidR="0000049D" w:rsidRDefault="0000049D" w:rsidP="00820D82">
      <w:pPr>
        <w:spacing w:line="360" w:lineRule="auto"/>
        <w:jc w:val="both"/>
        <w:rPr>
          <w:rFonts w:ascii="Arial" w:hAnsi="Arial" w:cs="Arial"/>
        </w:rPr>
      </w:pPr>
    </w:p>
    <w:p w14:paraId="563AE541" w14:textId="2C79E00E" w:rsidR="0000049D" w:rsidRDefault="0000049D" w:rsidP="00820D82">
      <w:pPr>
        <w:spacing w:line="360" w:lineRule="auto"/>
        <w:jc w:val="both"/>
        <w:rPr>
          <w:rFonts w:ascii="Arial" w:hAnsi="Arial" w:cs="Arial"/>
        </w:rPr>
      </w:pPr>
    </w:p>
    <w:p w14:paraId="5A955313" w14:textId="2DA0DF83" w:rsidR="0000049D" w:rsidRDefault="0000049D" w:rsidP="00820D82">
      <w:pPr>
        <w:spacing w:line="360" w:lineRule="auto"/>
        <w:jc w:val="both"/>
        <w:rPr>
          <w:rFonts w:ascii="Arial" w:hAnsi="Arial" w:cs="Arial"/>
        </w:rPr>
      </w:pPr>
    </w:p>
    <w:p w14:paraId="0FAB75BE" w14:textId="3FD0A2A3" w:rsidR="0000049D" w:rsidRDefault="0000049D" w:rsidP="00820D82">
      <w:pPr>
        <w:spacing w:line="360" w:lineRule="auto"/>
        <w:jc w:val="both"/>
        <w:rPr>
          <w:rFonts w:ascii="Arial" w:hAnsi="Arial" w:cs="Arial"/>
        </w:rPr>
      </w:pPr>
    </w:p>
    <w:p w14:paraId="41FC0BED" w14:textId="7D624C39" w:rsidR="0000049D" w:rsidRDefault="0000049D" w:rsidP="00820D82">
      <w:pPr>
        <w:spacing w:line="360" w:lineRule="auto"/>
        <w:jc w:val="both"/>
        <w:rPr>
          <w:rFonts w:ascii="Arial" w:hAnsi="Arial" w:cs="Arial"/>
        </w:rPr>
      </w:pPr>
    </w:p>
    <w:p w14:paraId="3F1331B3" w14:textId="5E6677C4" w:rsidR="0000049D" w:rsidRDefault="0000049D" w:rsidP="00820D82">
      <w:pPr>
        <w:spacing w:line="360" w:lineRule="auto"/>
        <w:jc w:val="both"/>
        <w:rPr>
          <w:rFonts w:ascii="Arial" w:hAnsi="Arial" w:cs="Arial"/>
        </w:rPr>
      </w:pPr>
    </w:p>
    <w:p w14:paraId="1C0D8EF2" w14:textId="4F318D3D" w:rsidR="0000049D" w:rsidRDefault="0000049D" w:rsidP="00820D82">
      <w:pPr>
        <w:spacing w:line="360" w:lineRule="auto"/>
        <w:jc w:val="both"/>
        <w:rPr>
          <w:rFonts w:ascii="Arial" w:hAnsi="Arial" w:cs="Arial"/>
        </w:rPr>
      </w:pPr>
    </w:p>
    <w:p w14:paraId="3B044742" w14:textId="2E2E909C" w:rsidR="0000049D" w:rsidRDefault="0000049D" w:rsidP="00820D82">
      <w:pPr>
        <w:spacing w:line="360" w:lineRule="auto"/>
        <w:jc w:val="both"/>
        <w:rPr>
          <w:rFonts w:ascii="Arial" w:hAnsi="Arial" w:cs="Arial"/>
        </w:rPr>
      </w:pPr>
    </w:p>
    <w:p w14:paraId="4B6E7E26" w14:textId="68EA4A99" w:rsidR="0000049D" w:rsidRDefault="0000049D" w:rsidP="00820D82">
      <w:pPr>
        <w:spacing w:line="360" w:lineRule="auto"/>
        <w:jc w:val="both"/>
        <w:rPr>
          <w:rFonts w:ascii="Arial" w:hAnsi="Arial" w:cs="Arial"/>
        </w:rPr>
      </w:pPr>
    </w:p>
    <w:p w14:paraId="7F3CC4C4" w14:textId="595596B3" w:rsidR="0000049D" w:rsidRDefault="0000049D" w:rsidP="00820D82">
      <w:pPr>
        <w:spacing w:line="360" w:lineRule="auto"/>
        <w:jc w:val="both"/>
        <w:rPr>
          <w:rFonts w:ascii="Arial" w:hAnsi="Arial" w:cs="Arial"/>
        </w:rPr>
      </w:pPr>
    </w:p>
    <w:p w14:paraId="438348D6" w14:textId="1E8E2498" w:rsidR="0000049D" w:rsidRDefault="0000049D" w:rsidP="00820D82">
      <w:pPr>
        <w:spacing w:line="360" w:lineRule="auto"/>
        <w:jc w:val="both"/>
        <w:rPr>
          <w:rFonts w:ascii="Arial" w:hAnsi="Arial" w:cs="Arial"/>
        </w:rPr>
      </w:pPr>
    </w:p>
    <w:p w14:paraId="4E1E8F71" w14:textId="0571D30C" w:rsidR="0000049D" w:rsidRDefault="0000049D" w:rsidP="00820D82">
      <w:pPr>
        <w:spacing w:line="360" w:lineRule="auto"/>
        <w:jc w:val="both"/>
        <w:rPr>
          <w:rFonts w:ascii="Arial" w:hAnsi="Arial" w:cs="Arial"/>
        </w:rPr>
      </w:pPr>
    </w:p>
    <w:p w14:paraId="7ABA2389" w14:textId="51F2371B" w:rsidR="0000049D" w:rsidRDefault="0000049D" w:rsidP="00820D82">
      <w:pPr>
        <w:spacing w:line="360" w:lineRule="auto"/>
        <w:jc w:val="both"/>
        <w:rPr>
          <w:rFonts w:ascii="Arial" w:hAnsi="Arial" w:cs="Arial"/>
        </w:rPr>
      </w:pPr>
    </w:p>
    <w:p w14:paraId="5438D5DB" w14:textId="2371249A" w:rsidR="0000049D" w:rsidRDefault="0000049D" w:rsidP="00820D82">
      <w:pPr>
        <w:spacing w:line="360" w:lineRule="auto"/>
        <w:jc w:val="both"/>
        <w:rPr>
          <w:rFonts w:ascii="Arial" w:hAnsi="Arial" w:cs="Arial"/>
        </w:rPr>
      </w:pPr>
    </w:p>
    <w:p w14:paraId="4695ECF4" w14:textId="00B031A6" w:rsidR="0000049D" w:rsidRDefault="0000049D" w:rsidP="00820D82">
      <w:pPr>
        <w:spacing w:line="360" w:lineRule="auto"/>
        <w:jc w:val="both"/>
        <w:rPr>
          <w:rFonts w:ascii="Arial" w:hAnsi="Arial" w:cs="Arial"/>
        </w:rPr>
      </w:pPr>
    </w:p>
    <w:p w14:paraId="026D5B17" w14:textId="384C3429" w:rsidR="0000049D" w:rsidRDefault="0000049D" w:rsidP="00820D82">
      <w:pPr>
        <w:spacing w:line="360" w:lineRule="auto"/>
        <w:jc w:val="both"/>
        <w:rPr>
          <w:rFonts w:ascii="Arial" w:hAnsi="Arial" w:cs="Arial"/>
        </w:rPr>
      </w:pPr>
    </w:p>
    <w:p w14:paraId="5E79CDB6" w14:textId="01D5B549" w:rsidR="0000049D" w:rsidRDefault="0000049D" w:rsidP="00820D82">
      <w:pPr>
        <w:spacing w:line="360" w:lineRule="auto"/>
        <w:jc w:val="both"/>
        <w:rPr>
          <w:rFonts w:ascii="Arial" w:hAnsi="Arial" w:cs="Arial"/>
        </w:rPr>
      </w:pPr>
    </w:p>
    <w:p w14:paraId="7E984FC9" w14:textId="77777777" w:rsidR="0000049D" w:rsidRPr="00820D82" w:rsidRDefault="0000049D" w:rsidP="00820D82">
      <w:pPr>
        <w:spacing w:line="360" w:lineRule="auto"/>
        <w:jc w:val="both"/>
        <w:rPr>
          <w:rFonts w:ascii="Arial" w:hAnsi="Arial" w:cs="Arial"/>
        </w:rPr>
      </w:pPr>
    </w:p>
    <w:p w14:paraId="23C71CF3" w14:textId="37570B4D" w:rsidR="00B568DE" w:rsidRPr="00820D82" w:rsidRDefault="006C7921" w:rsidP="00820D82">
      <w:pPr>
        <w:spacing w:line="360" w:lineRule="auto"/>
        <w:jc w:val="both"/>
        <w:rPr>
          <w:rFonts w:ascii="Arial" w:hAnsi="Arial" w:cs="Arial"/>
          <w:b/>
          <w:bCs/>
          <w:u w:val="single"/>
        </w:rPr>
      </w:pPr>
      <w:r w:rsidRPr="00820D82">
        <w:rPr>
          <w:rFonts w:ascii="Arial" w:hAnsi="Arial" w:cs="Arial"/>
          <w:b/>
          <w:bCs/>
          <w:u w:val="single"/>
        </w:rPr>
        <w:t>Reference list</w:t>
      </w:r>
    </w:p>
    <w:p w14:paraId="2DA048FE" w14:textId="21595ADF" w:rsidR="00B568DE" w:rsidRPr="00820D82" w:rsidRDefault="00B568DE" w:rsidP="00820D82">
      <w:pPr>
        <w:spacing w:line="360" w:lineRule="auto"/>
        <w:jc w:val="both"/>
        <w:rPr>
          <w:rFonts w:ascii="Arial" w:hAnsi="Arial" w:cs="Arial"/>
        </w:rPr>
      </w:pPr>
    </w:p>
    <w:p w14:paraId="56444015" w14:textId="6195ABA8" w:rsidR="00144502" w:rsidRPr="00820D82" w:rsidRDefault="006C7921" w:rsidP="00820D82">
      <w:pPr>
        <w:spacing w:line="360" w:lineRule="auto"/>
        <w:jc w:val="both"/>
        <w:rPr>
          <w:rFonts w:ascii="Arial" w:hAnsi="Arial" w:cs="Arial"/>
        </w:rPr>
      </w:pPr>
      <w:r w:rsidRPr="00820D82">
        <w:rPr>
          <w:rFonts w:ascii="Arial" w:hAnsi="Arial" w:cs="Arial"/>
        </w:rPr>
        <w:lastRenderedPageBreak/>
        <w:t>Bonde</w:t>
      </w:r>
      <w:r w:rsidRPr="00820D82">
        <w:rPr>
          <w:rFonts w:ascii="Arial" w:hAnsi="Arial" w:cs="Arial"/>
        </w:rPr>
        <w:t xml:space="preserve">, J. (2011) ‘The European Union’s Democratic Deficit: How to Fix it’, </w:t>
      </w:r>
      <w:r w:rsidRPr="00820D82">
        <w:rPr>
          <w:rFonts w:ascii="Arial" w:hAnsi="Arial" w:cs="Arial"/>
          <w:i/>
          <w:iCs/>
        </w:rPr>
        <w:t xml:space="preserve">Brown Journal of World Affairs, </w:t>
      </w:r>
      <w:r w:rsidRPr="00820D82">
        <w:rPr>
          <w:rFonts w:ascii="Arial" w:hAnsi="Arial" w:cs="Arial"/>
        </w:rPr>
        <w:t xml:space="preserve">17(2), pp. 147-162. </w:t>
      </w:r>
    </w:p>
    <w:p w14:paraId="2F4E0861" w14:textId="77777777" w:rsidR="00144502" w:rsidRPr="00820D82" w:rsidRDefault="00144502" w:rsidP="00820D82">
      <w:pPr>
        <w:spacing w:line="360" w:lineRule="auto"/>
        <w:jc w:val="both"/>
        <w:rPr>
          <w:rFonts w:ascii="Arial" w:hAnsi="Arial" w:cs="Arial"/>
        </w:rPr>
      </w:pPr>
    </w:p>
    <w:p w14:paraId="64E22BAD" w14:textId="135B440B" w:rsidR="00265057" w:rsidRPr="00820D82" w:rsidRDefault="006C7921" w:rsidP="00820D82">
      <w:pPr>
        <w:spacing w:line="360" w:lineRule="auto"/>
        <w:jc w:val="both"/>
        <w:rPr>
          <w:rFonts w:ascii="Arial" w:hAnsi="Arial" w:cs="Arial"/>
        </w:rPr>
      </w:pPr>
      <w:r w:rsidRPr="00820D82">
        <w:rPr>
          <w:rFonts w:ascii="Arial" w:hAnsi="Arial" w:cs="Arial"/>
        </w:rPr>
        <w:t xml:space="preserve">Craig, P. and De Búrca, G. (2020) </w:t>
      </w:r>
      <w:r w:rsidRPr="00820D82">
        <w:rPr>
          <w:rFonts w:ascii="Arial" w:hAnsi="Arial" w:cs="Arial"/>
          <w:i/>
          <w:iCs/>
        </w:rPr>
        <w:t xml:space="preserve">EU Law, Text Cases and Materials. </w:t>
      </w:r>
      <w:r w:rsidRPr="00820D82">
        <w:rPr>
          <w:rFonts w:ascii="Arial" w:hAnsi="Arial" w:cs="Arial"/>
        </w:rPr>
        <w:t>7</w:t>
      </w:r>
      <w:r w:rsidRPr="00820D82">
        <w:rPr>
          <w:rFonts w:ascii="Arial" w:hAnsi="Arial" w:cs="Arial"/>
          <w:vertAlign w:val="superscript"/>
        </w:rPr>
        <w:t>th</w:t>
      </w:r>
      <w:r w:rsidRPr="00820D82">
        <w:rPr>
          <w:rFonts w:ascii="Arial" w:hAnsi="Arial" w:cs="Arial"/>
        </w:rPr>
        <w:t xml:space="preserve"> edn. Oxford: Oxford University Press. </w:t>
      </w:r>
    </w:p>
    <w:p w14:paraId="78135CEA" w14:textId="19E07F89" w:rsidR="003A149D" w:rsidRPr="00820D82" w:rsidRDefault="003A149D" w:rsidP="00820D82">
      <w:pPr>
        <w:spacing w:line="360" w:lineRule="auto"/>
        <w:jc w:val="both"/>
        <w:rPr>
          <w:rFonts w:ascii="Arial" w:hAnsi="Arial" w:cs="Arial"/>
        </w:rPr>
      </w:pPr>
    </w:p>
    <w:p w14:paraId="54896E6E" w14:textId="39D6FD02" w:rsidR="003A149D" w:rsidRPr="00820D82" w:rsidRDefault="006C7921" w:rsidP="00820D82">
      <w:pPr>
        <w:spacing w:line="360" w:lineRule="auto"/>
        <w:jc w:val="both"/>
        <w:rPr>
          <w:rFonts w:ascii="Arial" w:hAnsi="Arial" w:cs="Arial"/>
          <w:i/>
          <w:iCs/>
        </w:rPr>
      </w:pPr>
      <w:r w:rsidRPr="00820D82">
        <w:rPr>
          <w:rFonts w:ascii="Arial" w:hAnsi="Arial" w:cs="Arial"/>
        </w:rPr>
        <w:t>Crombez, C. (2003) ‘</w:t>
      </w:r>
      <w:r w:rsidRPr="00820D82">
        <w:rPr>
          <w:rFonts w:ascii="Arial" w:hAnsi="Arial" w:cs="Arial"/>
        </w:rPr>
        <w:t xml:space="preserve">The Democratic Deficit in the European Union’, </w:t>
      </w:r>
      <w:r w:rsidRPr="00820D82">
        <w:rPr>
          <w:rFonts w:ascii="Arial" w:hAnsi="Arial" w:cs="Arial"/>
          <w:i/>
          <w:iCs/>
        </w:rPr>
        <w:t xml:space="preserve">European Union Politics, </w:t>
      </w:r>
      <w:r w:rsidRPr="00820D82">
        <w:rPr>
          <w:rFonts w:ascii="Arial" w:hAnsi="Arial" w:cs="Arial"/>
        </w:rPr>
        <w:t>4(1), pp. 101-120.</w:t>
      </w:r>
      <w:r w:rsidRPr="00820D82">
        <w:rPr>
          <w:rFonts w:ascii="Arial" w:hAnsi="Arial" w:cs="Arial"/>
          <w:i/>
          <w:iCs/>
        </w:rPr>
        <w:t xml:space="preserve"> </w:t>
      </w:r>
    </w:p>
    <w:p w14:paraId="03187E63" w14:textId="5DB3C690" w:rsidR="00265057" w:rsidRPr="00820D82" w:rsidRDefault="00265057" w:rsidP="00820D82">
      <w:pPr>
        <w:spacing w:line="360" w:lineRule="auto"/>
        <w:jc w:val="both"/>
        <w:rPr>
          <w:rFonts w:ascii="Arial" w:hAnsi="Arial" w:cs="Arial"/>
        </w:rPr>
      </w:pPr>
    </w:p>
    <w:p w14:paraId="54D55867" w14:textId="3EF22939" w:rsidR="00144502" w:rsidRDefault="006C7921" w:rsidP="00820D82">
      <w:pPr>
        <w:spacing w:line="360" w:lineRule="auto"/>
        <w:jc w:val="both"/>
        <w:rPr>
          <w:rFonts w:ascii="Arial" w:hAnsi="Arial" w:cs="Arial"/>
        </w:rPr>
      </w:pPr>
      <w:r w:rsidRPr="00820D82">
        <w:rPr>
          <w:rFonts w:ascii="Arial" w:hAnsi="Arial" w:cs="Arial"/>
        </w:rPr>
        <w:t xml:space="preserve">Crum, B. (2005) ‘Tailoring Representative Democracy to the European Union: Does the European Constitution Reduce Democratic Deficit?’, </w:t>
      </w:r>
      <w:r w:rsidRPr="00820D82">
        <w:rPr>
          <w:rFonts w:ascii="Arial" w:hAnsi="Arial" w:cs="Arial"/>
          <w:i/>
          <w:iCs/>
        </w:rPr>
        <w:t xml:space="preserve">European Law Journal, </w:t>
      </w:r>
      <w:r w:rsidRPr="00820D82">
        <w:rPr>
          <w:rFonts w:ascii="Arial" w:hAnsi="Arial" w:cs="Arial"/>
        </w:rPr>
        <w:t xml:space="preserve">11(4), pp. 452-467. </w:t>
      </w:r>
    </w:p>
    <w:p w14:paraId="6B243BD5" w14:textId="68184932" w:rsidR="00D33A38" w:rsidRDefault="00D33A38" w:rsidP="00820D82">
      <w:pPr>
        <w:spacing w:line="360" w:lineRule="auto"/>
        <w:jc w:val="both"/>
        <w:rPr>
          <w:rFonts w:ascii="Arial" w:hAnsi="Arial" w:cs="Arial"/>
        </w:rPr>
      </w:pPr>
    </w:p>
    <w:p w14:paraId="06BCF5E2" w14:textId="16C492B7" w:rsidR="00D33A38" w:rsidRPr="00F32EE5" w:rsidRDefault="006C7921" w:rsidP="00820D82">
      <w:pPr>
        <w:spacing w:line="360" w:lineRule="auto"/>
        <w:jc w:val="both"/>
        <w:rPr>
          <w:rFonts w:ascii="Arial" w:hAnsi="Arial" w:cs="Arial"/>
        </w:rPr>
      </w:pPr>
      <w:r>
        <w:rPr>
          <w:rFonts w:ascii="Arial" w:hAnsi="Arial" w:cs="Arial"/>
        </w:rPr>
        <w:t xml:space="preserve">De Vreese, H.C. </w:t>
      </w:r>
      <w:r>
        <w:rPr>
          <w:rFonts w:ascii="Arial" w:hAnsi="Arial" w:cs="Arial"/>
          <w:i/>
          <w:iCs/>
        </w:rPr>
        <w:t xml:space="preserve">et al. </w:t>
      </w:r>
      <w:r w:rsidRPr="00D33A38">
        <w:rPr>
          <w:rFonts w:ascii="Arial" w:hAnsi="Arial" w:cs="Arial"/>
        </w:rPr>
        <w:t>(2020)</w:t>
      </w:r>
      <w:r>
        <w:rPr>
          <w:rFonts w:ascii="Arial" w:hAnsi="Arial" w:cs="Arial"/>
        </w:rPr>
        <w:t xml:space="preserve"> </w:t>
      </w:r>
      <w:r w:rsidR="00F32EE5">
        <w:rPr>
          <w:rFonts w:ascii="Arial" w:hAnsi="Arial" w:cs="Arial"/>
        </w:rPr>
        <w:t xml:space="preserve">‘’This Time I’m (not) Voting’’: A Comprehensive Overview of Campaign Factors Influencing Turnout at European Parliament Elections’, </w:t>
      </w:r>
      <w:r w:rsidR="00F32EE5">
        <w:rPr>
          <w:rFonts w:ascii="Arial" w:hAnsi="Arial" w:cs="Arial"/>
          <w:i/>
          <w:iCs/>
        </w:rPr>
        <w:t xml:space="preserve">Sage Journals, </w:t>
      </w:r>
      <w:r w:rsidR="00F32EE5">
        <w:rPr>
          <w:rFonts w:ascii="Arial" w:hAnsi="Arial" w:cs="Arial"/>
        </w:rPr>
        <w:t xml:space="preserve">Available at: </w:t>
      </w:r>
      <w:hyperlink r:id="rId4" w:history="1">
        <w:r w:rsidR="00F32EE5" w:rsidRPr="008378C7">
          <w:rPr>
            <w:rStyle w:val="Hyperlink"/>
            <w:rFonts w:ascii="Arial" w:hAnsi="Arial" w:cs="Arial"/>
          </w:rPr>
          <w:t>https://journals.sagepub.com/doi/10.1177/1465116520943670</w:t>
        </w:r>
      </w:hyperlink>
      <w:r w:rsidR="00F32EE5">
        <w:rPr>
          <w:rFonts w:ascii="Arial" w:hAnsi="Arial" w:cs="Arial"/>
        </w:rPr>
        <w:t xml:space="preserve"> (Accessed: 1 March 2022). </w:t>
      </w:r>
    </w:p>
    <w:p w14:paraId="2A141C0D" w14:textId="6084F530" w:rsidR="0082678E" w:rsidRDefault="0082678E" w:rsidP="00820D82">
      <w:pPr>
        <w:spacing w:line="360" w:lineRule="auto"/>
        <w:jc w:val="both"/>
        <w:rPr>
          <w:rFonts w:ascii="Arial" w:hAnsi="Arial" w:cs="Arial"/>
        </w:rPr>
      </w:pPr>
    </w:p>
    <w:p w14:paraId="67BF23CD" w14:textId="349B181A" w:rsidR="0082678E" w:rsidRPr="001F1F2E" w:rsidRDefault="006C7921" w:rsidP="00820D82">
      <w:pPr>
        <w:spacing w:line="360" w:lineRule="auto"/>
        <w:jc w:val="both"/>
        <w:rPr>
          <w:rFonts w:ascii="Arial" w:hAnsi="Arial" w:cs="Arial"/>
        </w:rPr>
      </w:pPr>
      <w:r>
        <w:rPr>
          <w:rFonts w:ascii="Arial" w:hAnsi="Arial" w:cs="Arial"/>
        </w:rPr>
        <w:t xml:space="preserve">European Parliament (2022) </w:t>
      </w:r>
      <w:r>
        <w:rPr>
          <w:rFonts w:ascii="Arial" w:hAnsi="Arial" w:cs="Arial"/>
          <w:i/>
          <w:iCs/>
        </w:rPr>
        <w:t>European Citizens’ Initiative.</w:t>
      </w:r>
      <w:r>
        <w:rPr>
          <w:rFonts w:ascii="Arial" w:hAnsi="Arial" w:cs="Arial"/>
        </w:rPr>
        <w:t xml:space="preserve"> Available at: </w:t>
      </w:r>
      <w:hyperlink r:id="rId5" w:history="1">
        <w:r w:rsidRPr="008378C7">
          <w:rPr>
            <w:rStyle w:val="Hyperlink"/>
            <w:rFonts w:ascii="Arial" w:hAnsi="Arial" w:cs="Arial"/>
          </w:rPr>
          <w:t>https://www.europarl.europa.eu/at-your-service/en/be-heard/citizen-s-initiative</w:t>
        </w:r>
      </w:hyperlink>
      <w:r>
        <w:rPr>
          <w:rFonts w:ascii="Arial" w:hAnsi="Arial" w:cs="Arial"/>
        </w:rPr>
        <w:t xml:space="preserve"> (Accessed: 28 February). </w:t>
      </w:r>
    </w:p>
    <w:p w14:paraId="0275B611" w14:textId="78D659E7" w:rsidR="00144502" w:rsidRPr="00820D82" w:rsidRDefault="00144502" w:rsidP="00820D82">
      <w:pPr>
        <w:spacing w:line="360" w:lineRule="auto"/>
        <w:jc w:val="both"/>
        <w:rPr>
          <w:rFonts w:ascii="Arial" w:hAnsi="Arial" w:cs="Arial"/>
        </w:rPr>
      </w:pPr>
    </w:p>
    <w:p w14:paraId="38AD8AC2" w14:textId="6A5A173C" w:rsidR="00265057" w:rsidRDefault="006C7921" w:rsidP="00820D82">
      <w:pPr>
        <w:spacing w:line="360" w:lineRule="auto"/>
        <w:jc w:val="both"/>
        <w:rPr>
          <w:rFonts w:ascii="Arial" w:hAnsi="Arial" w:cs="Arial"/>
        </w:rPr>
      </w:pPr>
      <w:r w:rsidRPr="00820D82">
        <w:rPr>
          <w:rFonts w:ascii="Arial" w:hAnsi="Arial" w:cs="Arial"/>
        </w:rPr>
        <w:t xml:space="preserve">Foster, N. (2021) </w:t>
      </w:r>
      <w:r w:rsidRPr="00820D82">
        <w:rPr>
          <w:rFonts w:ascii="Arial" w:hAnsi="Arial" w:cs="Arial"/>
          <w:i/>
          <w:iCs/>
        </w:rPr>
        <w:t xml:space="preserve">Foster on EU Law.  </w:t>
      </w:r>
      <w:r w:rsidRPr="00820D82">
        <w:rPr>
          <w:rFonts w:ascii="Arial" w:hAnsi="Arial" w:cs="Arial"/>
        </w:rPr>
        <w:t>8</w:t>
      </w:r>
      <w:r w:rsidRPr="00820D82">
        <w:rPr>
          <w:rFonts w:ascii="Arial" w:hAnsi="Arial" w:cs="Arial"/>
          <w:vertAlign w:val="superscript"/>
        </w:rPr>
        <w:t>th</w:t>
      </w:r>
      <w:r w:rsidRPr="00820D82">
        <w:rPr>
          <w:rFonts w:ascii="Arial" w:hAnsi="Arial" w:cs="Arial"/>
        </w:rPr>
        <w:t xml:space="preserve"> edn</w:t>
      </w:r>
      <w:r w:rsidRPr="00820D82">
        <w:rPr>
          <w:rFonts w:ascii="Arial" w:hAnsi="Arial" w:cs="Arial"/>
        </w:rPr>
        <w:t xml:space="preserve">. Oxford: Oxford University Press. </w:t>
      </w:r>
    </w:p>
    <w:p w14:paraId="1D3A48AB" w14:textId="600282DD" w:rsidR="00450EC7" w:rsidRDefault="00450EC7" w:rsidP="00820D82">
      <w:pPr>
        <w:spacing w:line="360" w:lineRule="auto"/>
        <w:jc w:val="both"/>
        <w:rPr>
          <w:rFonts w:ascii="Arial" w:hAnsi="Arial" w:cs="Arial"/>
        </w:rPr>
      </w:pPr>
    </w:p>
    <w:p w14:paraId="5B6341B5" w14:textId="3ED3F661" w:rsidR="00450EC7" w:rsidRPr="003801CD" w:rsidRDefault="006C7921" w:rsidP="00820D82">
      <w:pPr>
        <w:spacing w:line="360" w:lineRule="auto"/>
        <w:jc w:val="both"/>
        <w:rPr>
          <w:rFonts w:ascii="Arial" w:hAnsi="Arial" w:cs="Arial"/>
        </w:rPr>
      </w:pPr>
      <w:r>
        <w:rPr>
          <w:rFonts w:ascii="Arial" w:hAnsi="Arial" w:cs="Arial"/>
        </w:rPr>
        <w:t>Fotopoulos, S. (2019)</w:t>
      </w:r>
      <w:r w:rsidR="003801CD">
        <w:rPr>
          <w:rFonts w:ascii="Arial" w:hAnsi="Arial" w:cs="Arial"/>
        </w:rPr>
        <w:t xml:space="preserve"> ‘What Sort of Changes did the Spitzenkandidat Process Bring to the Quality of the EU’s Democracy?’ </w:t>
      </w:r>
      <w:r w:rsidR="003801CD">
        <w:rPr>
          <w:rFonts w:ascii="Arial" w:hAnsi="Arial" w:cs="Arial"/>
          <w:i/>
          <w:iCs/>
        </w:rPr>
        <w:t>European View</w:t>
      </w:r>
      <w:r w:rsidR="003801CD">
        <w:rPr>
          <w:rFonts w:ascii="Arial" w:hAnsi="Arial" w:cs="Arial"/>
        </w:rPr>
        <w:t xml:space="preserve">, 18(2), pp. 194-202. </w:t>
      </w:r>
    </w:p>
    <w:p w14:paraId="14A6BA89" w14:textId="5B4EE958" w:rsidR="003F1ACE" w:rsidRPr="00820D82" w:rsidRDefault="003F1ACE" w:rsidP="00820D82">
      <w:pPr>
        <w:spacing w:line="360" w:lineRule="auto"/>
        <w:jc w:val="both"/>
        <w:rPr>
          <w:rFonts w:ascii="Arial" w:hAnsi="Arial" w:cs="Arial"/>
        </w:rPr>
      </w:pPr>
    </w:p>
    <w:p w14:paraId="7D5AAB0F" w14:textId="5D2543D3" w:rsidR="003F1ACE" w:rsidRPr="00820D82" w:rsidRDefault="006C7921" w:rsidP="00820D82">
      <w:pPr>
        <w:spacing w:line="360" w:lineRule="auto"/>
        <w:jc w:val="both"/>
        <w:rPr>
          <w:rFonts w:ascii="Arial" w:hAnsi="Arial" w:cs="Arial"/>
        </w:rPr>
      </w:pPr>
      <w:r w:rsidRPr="00820D82">
        <w:rPr>
          <w:rFonts w:ascii="Arial" w:hAnsi="Arial" w:cs="Arial"/>
        </w:rPr>
        <w:t xml:space="preserve">Guth, J. (2019) </w:t>
      </w:r>
      <w:r w:rsidRPr="00820D82">
        <w:rPr>
          <w:rFonts w:ascii="Arial" w:hAnsi="Arial" w:cs="Arial"/>
          <w:i/>
          <w:iCs/>
        </w:rPr>
        <w:t xml:space="preserve">Question &amp; Answer EU Law. </w:t>
      </w:r>
      <w:r w:rsidRPr="00820D82">
        <w:rPr>
          <w:rFonts w:ascii="Arial" w:hAnsi="Arial" w:cs="Arial"/>
        </w:rPr>
        <w:t>5</w:t>
      </w:r>
      <w:r w:rsidRPr="00820D82">
        <w:rPr>
          <w:rFonts w:ascii="Arial" w:hAnsi="Arial" w:cs="Arial"/>
          <w:vertAlign w:val="superscript"/>
        </w:rPr>
        <w:t>th</w:t>
      </w:r>
      <w:r w:rsidRPr="00820D82">
        <w:rPr>
          <w:rFonts w:ascii="Arial" w:hAnsi="Arial" w:cs="Arial"/>
        </w:rPr>
        <w:t xml:space="preserve"> edn. Harlow: Pe</w:t>
      </w:r>
      <w:r w:rsidRPr="00820D82">
        <w:rPr>
          <w:rFonts w:ascii="Arial" w:hAnsi="Arial" w:cs="Arial"/>
        </w:rPr>
        <w:t xml:space="preserve">arson Education Limited. </w:t>
      </w:r>
    </w:p>
    <w:p w14:paraId="79A7E5F7" w14:textId="392E3FA6" w:rsidR="004131A6" w:rsidRPr="00820D82" w:rsidRDefault="004131A6" w:rsidP="00820D82">
      <w:pPr>
        <w:spacing w:line="360" w:lineRule="auto"/>
        <w:jc w:val="both"/>
        <w:rPr>
          <w:rFonts w:ascii="Arial" w:hAnsi="Arial" w:cs="Arial"/>
        </w:rPr>
      </w:pPr>
    </w:p>
    <w:p w14:paraId="3E4C9427" w14:textId="2BF9C82B" w:rsidR="004131A6" w:rsidRPr="00820D82" w:rsidRDefault="006C7921" w:rsidP="00820D82">
      <w:pPr>
        <w:spacing w:line="360" w:lineRule="auto"/>
        <w:jc w:val="both"/>
        <w:rPr>
          <w:rFonts w:ascii="Arial" w:hAnsi="Arial" w:cs="Arial"/>
        </w:rPr>
      </w:pPr>
      <w:r w:rsidRPr="00820D82">
        <w:rPr>
          <w:rFonts w:ascii="Arial" w:hAnsi="Arial" w:cs="Arial"/>
        </w:rPr>
        <w:t xml:space="preserve">Katz, R. (2001) ‘Models of Democracy’, </w:t>
      </w:r>
      <w:r w:rsidRPr="00820D82">
        <w:rPr>
          <w:rFonts w:ascii="Arial" w:hAnsi="Arial" w:cs="Arial"/>
          <w:i/>
          <w:iCs/>
        </w:rPr>
        <w:t xml:space="preserve">European Union Politics, </w:t>
      </w:r>
      <w:r w:rsidRPr="00820D82">
        <w:rPr>
          <w:rFonts w:ascii="Arial" w:hAnsi="Arial" w:cs="Arial"/>
        </w:rPr>
        <w:t>2(1), pp. 53-79.</w:t>
      </w:r>
    </w:p>
    <w:p w14:paraId="36C77C1F" w14:textId="77777777" w:rsidR="00265057" w:rsidRPr="00820D82" w:rsidRDefault="00265057" w:rsidP="00820D82">
      <w:pPr>
        <w:spacing w:line="360" w:lineRule="auto"/>
        <w:jc w:val="both"/>
        <w:rPr>
          <w:rFonts w:ascii="Arial" w:hAnsi="Arial" w:cs="Arial"/>
        </w:rPr>
      </w:pPr>
    </w:p>
    <w:p w14:paraId="7BFFE4F1" w14:textId="1391F5AB" w:rsidR="00B568DE" w:rsidRDefault="006C7921" w:rsidP="00820D82">
      <w:pPr>
        <w:spacing w:line="360" w:lineRule="auto"/>
        <w:jc w:val="both"/>
        <w:rPr>
          <w:rFonts w:ascii="Arial" w:hAnsi="Arial" w:cs="Arial"/>
        </w:rPr>
      </w:pPr>
      <w:r w:rsidRPr="00820D82">
        <w:rPr>
          <w:rFonts w:ascii="Arial" w:hAnsi="Arial" w:cs="Arial"/>
        </w:rPr>
        <w:t xml:space="preserve">Kirk, E. (2021) </w:t>
      </w:r>
      <w:r w:rsidRPr="00820D82">
        <w:rPr>
          <w:rFonts w:ascii="Arial" w:hAnsi="Arial" w:cs="Arial"/>
          <w:i/>
          <w:iCs/>
        </w:rPr>
        <w:t xml:space="preserve">EU Law. </w:t>
      </w:r>
      <w:r w:rsidRPr="00820D82">
        <w:rPr>
          <w:rFonts w:ascii="Arial" w:hAnsi="Arial" w:cs="Arial"/>
        </w:rPr>
        <w:t>7</w:t>
      </w:r>
      <w:r w:rsidRPr="00820D82">
        <w:rPr>
          <w:rFonts w:ascii="Arial" w:hAnsi="Arial" w:cs="Arial"/>
          <w:vertAlign w:val="superscript"/>
        </w:rPr>
        <w:t>th</w:t>
      </w:r>
      <w:r w:rsidRPr="00820D82">
        <w:rPr>
          <w:rFonts w:ascii="Arial" w:hAnsi="Arial" w:cs="Arial"/>
        </w:rPr>
        <w:t xml:space="preserve"> edn. Harlow: Pearson Education Limited. </w:t>
      </w:r>
    </w:p>
    <w:p w14:paraId="618A68E7" w14:textId="15E74036" w:rsidR="004E501C" w:rsidRDefault="004E501C" w:rsidP="00820D82">
      <w:pPr>
        <w:spacing w:line="360" w:lineRule="auto"/>
        <w:jc w:val="both"/>
        <w:rPr>
          <w:rFonts w:ascii="Arial" w:hAnsi="Arial" w:cs="Arial"/>
        </w:rPr>
      </w:pPr>
    </w:p>
    <w:p w14:paraId="6397065F" w14:textId="7576AFB6" w:rsidR="004E501C" w:rsidRDefault="006C7921" w:rsidP="00820D82">
      <w:pPr>
        <w:spacing w:line="360" w:lineRule="auto"/>
        <w:jc w:val="both"/>
        <w:rPr>
          <w:rFonts w:ascii="Arial" w:hAnsi="Arial" w:cs="Arial"/>
        </w:rPr>
      </w:pPr>
      <w:r>
        <w:rPr>
          <w:rFonts w:ascii="Arial" w:hAnsi="Arial" w:cs="Arial"/>
        </w:rPr>
        <w:t xml:space="preserve">Majone, G. (2005) </w:t>
      </w:r>
      <w:r w:rsidR="00CF1119">
        <w:rPr>
          <w:rFonts w:ascii="Arial" w:hAnsi="Arial" w:cs="Arial"/>
          <w:i/>
          <w:iCs/>
        </w:rPr>
        <w:t>Dilemmas of European Integration: The Ambiguities and Pitfalls of Integration by Stealt</w:t>
      </w:r>
      <w:r w:rsidR="0073296F">
        <w:rPr>
          <w:rFonts w:ascii="Arial" w:hAnsi="Arial" w:cs="Arial"/>
          <w:i/>
          <w:iCs/>
        </w:rPr>
        <w:t xml:space="preserve">h. </w:t>
      </w:r>
      <w:r w:rsidR="0073296F">
        <w:rPr>
          <w:rFonts w:ascii="Arial" w:hAnsi="Arial" w:cs="Arial"/>
        </w:rPr>
        <w:t>Oxford: Oxford University Press.</w:t>
      </w:r>
    </w:p>
    <w:p w14:paraId="653FD2F3" w14:textId="5C8C9B9A" w:rsidR="002011E9" w:rsidRDefault="002011E9" w:rsidP="00820D82">
      <w:pPr>
        <w:spacing w:line="360" w:lineRule="auto"/>
        <w:jc w:val="both"/>
        <w:rPr>
          <w:rFonts w:ascii="Arial" w:hAnsi="Arial" w:cs="Arial"/>
        </w:rPr>
      </w:pPr>
    </w:p>
    <w:p w14:paraId="7BE55669" w14:textId="01AB6E79" w:rsidR="002011E9" w:rsidRPr="003A099A" w:rsidRDefault="006C7921" w:rsidP="00820D82">
      <w:pPr>
        <w:spacing w:line="360" w:lineRule="auto"/>
        <w:jc w:val="both"/>
        <w:rPr>
          <w:rFonts w:ascii="Arial" w:hAnsi="Arial" w:cs="Arial"/>
        </w:rPr>
      </w:pPr>
      <w:r>
        <w:rPr>
          <w:rFonts w:ascii="Arial" w:hAnsi="Arial" w:cs="Arial"/>
        </w:rPr>
        <w:t xml:space="preserve">Matilla, M. (2003) ‘Why Bother? Determinants of Turnout in the European Elections’, </w:t>
      </w:r>
      <w:r>
        <w:rPr>
          <w:rFonts w:ascii="Arial" w:hAnsi="Arial" w:cs="Arial"/>
          <w:i/>
          <w:iCs/>
        </w:rPr>
        <w:t>Electoral Studies</w:t>
      </w:r>
      <w:r w:rsidR="003A099A">
        <w:rPr>
          <w:rFonts w:ascii="Arial" w:hAnsi="Arial" w:cs="Arial"/>
          <w:i/>
          <w:iCs/>
        </w:rPr>
        <w:t xml:space="preserve">, </w:t>
      </w:r>
      <w:r w:rsidR="003A099A">
        <w:rPr>
          <w:rFonts w:ascii="Arial" w:hAnsi="Arial" w:cs="Arial"/>
        </w:rPr>
        <w:t xml:space="preserve">22(3), pp. 449-468. </w:t>
      </w:r>
    </w:p>
    <w:p w14:paraId="771039E2" w14:textId="44897D20" w:rsidR="000F0541" w:rsidRDefault="000F0541" w:rsidP="00820D82">
      <w:pPr>
        <w:spacing w:line="360" w:lineRule="auto"/>
        <w:jc w:val="both"/>
        <w:rPr>
          <w:rFonts w:ascii="Arial" w:hAnsi="Arial" w:cs="Arial"/>
        </w:rPr>
      </w:pPr>
    </w:p>
    <w:p w14:paraId="69920F5C" w14:textId="032CB617" w:rsidR="000F0541" w:rsidRPr="00F816BE" w:rsidRDefault="006C7921" w:rsidP="00820D82">
      <w:pPr>
        <w:spacing w:line="360" w:lineRule="auto"/>
        <w:jc w:val="both"/>
        <w:rPr>
          <w:rFonts w:ascii="Arial" w:hAnsi="Arial" w:cs="Arial"/>
        </w:rPr>
      </w:pPr>
      <w:r>
        <w:rPr>
          <w:rFonts w:ascii="Arial" w:hAnsi="Arial" w:cs="Arial"/>
        </w:rPr>
        <w:lastRenderedPageBreak/>
        <w:t xml:space="preserve">Nuhold, C. (2020) </w:t>
      </w:r>
      <w:r>
        <w:rPr>
          <w:rFonts w:ascii="Arial" w:hAnsi="Arial" w:cs="Arial"/>
          <w:i/>
          <w:iCs/>
        </w:rPr>
        <w:t>Democratic Deficit in the European Union</w:t>
      </w:r>
      <w:r w:rsidR="00F816BE">
        <w:rPr>
          <w:rFonts w:ascii="Arial" w:hAnsi="Arial" w:cs="Arial"/>
          <w:i/>
          <w:iCs/>
        </w:rPr>
        <w:t xml:space="preserve">. </w:t>
      </w:r>
      <w:r w:rsidR="00F816BE">
        <w:rPr>
          <w:rFonts w:ascii="Arial" w:hAnsi="Arial" w:cs="Arial"/>
        </w:rPr>
        <w:t xml:space="preserve">Available at: </w:t>
      </w:r>
      <w:hyperlink r:id="rId6" w:history="1">
        <w:r w:rsidR="00F816BE" w:rsidRPr="008378C7">
          <w:rPr>
            <w:rStyle w:val="Hyperlink"/>
            <w:rFonts w:ascii="Arial" w:hAnsi="Arial" w:cs="Arial"/>
          </w:rPr>
          <w:t>https://oxfordre.com/politics/view/10.1093/acrefore/9780190228637.001.0001/acrefore-9780190228637-e-1141</w:t>
        </w:r>
      </w:hyperlink>
      <w:r w:rsidR="00F816BE">
        <w:rPr>
          <w:rFonts w:ascii="Arial" w:hAnsi="Arial" w:cs="Arial"/>
        </w:rPr>
        <w:t xml:space="preserve"> (Accessed: 1 March 2022). </w:t>
      </w:r>
    </w:p>
    <w:p w14:paraId="42215382" w14:textId="138D733A" w:rsidR="005A6CDD" w:rsidRDefault="005A6CDD" w:rsidP="00820D82">
      <w:pPr>
        <w:spacing w:line="360" w:lineRule="auto"/>
        <w:jc w:val="both"/>
        <w:rPr>
          <w:rFonts w:ascii="Arial" w:hAnsi="Arial" w:cs="Arial"/>
        </w:rPr>
      </w:pPr>
    </w:p>
    <w:p w14:paraId="5A58D097" w14:textId="0C16B589" w:rsidR="004D0CFA" w:rsidRPr="004D0CFA" w:rsidRDefault="006C7921" w:rsidP="00820D82">
      <w:pPr>
        <w:spacing w:line="360" w:lineRule="auto"/>
        <w:jc w:val="both"/>
        <w:rPr>
          <w:rFonts w:ascii="Arial" w:hAnsi="Arial" w:cs="Arial"/>
        </w:rPr>
      </w:pPr>
      <w:r>
        <w:rPr>
          <w:rFonts w:ascii="Arial" w:hAnsi="Arial" w:cs="Arial"/>
        </w:rPr>
        <w:t xml:space="preserve">Politico (2018) </w:t>
      </w:r>
      <w:r>
        <w:rPr>
          <w:rFonts w:ascii="Arial" w:hAnsi="Arial" w:cs="Arial"/>
          <w:i/>
          <w:iCs/>
        </w:rPr>
        <w:t xml:space="preserve">European Elections 2019: Voter Turnout. </w:t>
      </w:r>
      <w:r>
        <w:rPr>
          <w:rFonts w:ascii="Arial" w:hAnsi="Arial" w:cs="Arial"/>
        </w:rPr>
        <w:t xml:space="preserve">Available at: </w:t>
      </w:r>
      <w:hyperlink r:id="rId7" w:history="1">
        <w:r w:rsidRPr="008378C7">
          <w:rPr>
            <w:rStyle w:val="Hyperlink"/>
            <w:rFonts w:ascii="Arial" w:hAnsi="Arial" w:cs="Arial"/>
          </w:rPr>
          <w:t>https://www.politico.eu/interactive/voters-turnout-in-the-european-elections/</w:t>
        </w:r>
      </w:hyperlink>
      <w:r>
        <w:rPr>
          <w:rFonts w:ascii="Arial" w:hAnsi="Arial" w:cs="Arial"/>
        </w:rPr>
        <w:t xml:space="preserve"> (A</w:t>
      </w:r>
      <w:r>
        <w:rPr>
          <w:rFonts w:ascii="Arial" w:hAnsi="Arial" w:cs="Arial"/>
        </w:rPr>
        <w:t>ccessed: 1 March</w:t>
      </w:r>
      <w:r w:rsidR="00F32EE5">
        <w:rPr>
          <w:rFonts w:ascii="Arial" w:hAnsi="Arial" w:cs="Arial"/>
        </w:rPr>
        <w:t xml:space="preserve"> 2022</w:t>
      </w:r>
      <w:r>
        <w:rPr>
          <w:rFonts w:ascii="Arial" w:hAnsi="Arial" w:cs="Arial"/>
        </w:rPr>
        <w:t xml:space="preserve">). </w:t>
      </w:r>
    </w:p>
    <w:p w14:paraId="5D6D3AA6" w14:textId="426FDAC1" w:rsidR="0046097F" w:rsidRPr="00820D82" w:rsidRDefault="0046097F" w:rsidP="00820D82">
      <w:pPr>
        <w:spacing w:line="360" w:lineRule="auto"/>
        <w:jc w:val="both"/>
        <w:rPr>
          <w:rFonts w:ascii="Arial" w:hAnsi="Arial" w:cs="Arial"/>
        </w:rPr>
      </w:pPr>
    </w:p>
    <w:p w14:paraId="5827FFE5" w14:textId="1B5F57C6" w:rsidR="0046097F" w:rsidRPr="00820D82" w:rsidRDefault="006C7921" w:rsidP="00820D82">
      <w:pPr>
        <w:spacing w:line="360" w:lineRule="auto"/>
        <w:jc w:val="both"/>
        <w:rPr>
          <w:rFonts w:ascii="Arial" w:hAnsi="Arial" w:cs="Arial"/>
        </w:rPr>
      </w:pPr>
      <w:r w:rsidRPr="00820D82">
        <w:rPr>
          <w:rFonts w:ascii="Arial" w:hAnsi="Arial" w:cs="Arial"/>
        </w:rPr>
        <w:t xml:space="preserve">Schütze, R. (2020) </w:t>
      </w:r>
      <w:r w:rsidRPr="00820D82">
        <w:rPr>
          <w:rFonts w:ascii="Arial" w:hAnsi="Arial" w:cs="Arial"/>
          <w:i/>
          <w:iCs/>
        </w:rPr>
        <w:t xml:space="preserve">An Introduction to European Law. </w:t>
      </w:r>
      <w:r w:rsidRPr="00820D82">
        <w:rPr>
          <w:rFonts w:ascii="Arial" w:hAnsi="Arial" w:cs="Arial"/>
        </w:rPr>
        <w:t>3</w:t>
      </w:r>
      <w:r w:rsidRPr="00820D82">
        <w:rPr>
          <w:rFonts w:ascii="Arial" w:hAnsi="Arial" w:cs="Arial"/>
          <w:vertAlign w:val="superscript"/>
        </w:rPr>
        <w:t>rd</w:t>
      </w:r>
      <w:r w:rsidRPr="00820D82">
        <w:rPr>
          <w:rFonts w:ascii="Arial" w:hAnsi="Arial" w:cs="Arial"/>
        </w:rPr>
        <w:t xml:space="preserve"> edn. Oxford: Oxford University Press.</w:t>
      </w:r>
    </w:p>
    <w:p w14:paraId="33B708CB" w14:textId="0FD920A0" w:rsidR="00FE6521" w:rsidRPr="00820D82" w:rsidRDefault="00FE6521" w:rsidP="00820D82">
      <w:pPr>
        <w:spacing w:line="360" w:lineRule="auto"/>
        <w:jc w:val="both"/>
        <w:rPr>
          <w:rFonts w:ascii="Arial" w:hAnsi="Arial" w:cs="Arial"/>
        </w:rPr>
      </w:pPr>
    </w:p>
    <w:p w14:paraId="17C55B8A" w14:textId="6731CB8D" w:rsidR="00FE6521" w:rsidRPr="00820D82" w:rsidRDefault="006C7921" w:rsidP="00820D82">
      <w:pPr>
        <w:spacing w:line="360" w:lineRule="auto"/>
        <w:jc w:val="both"/>
        <w:rPr>
          <w:rFonts w:ascii="Arial" w:hAnsi="Arial" w:cs="Arial"/>
        </w:rPr>
      </w:pPr>
      <w:r w:rsidRPr="00820D82">
        <w:rPr>
          <w:rFonts w:ascii="Arial" w:hAnsi="Arial" w:cs="Arial"/>
          <w:i/>
          <w:iCs/>
        </w:rPr>
        <w:t xml:space="preserve">The Law Society </w:t>
      </w:r>
      <w:r w:rsidRPr="00820D82">
        <w:rPr>
          <w:rFonts w:ascii="Arial" w:hAnsi="Arial" w:cs="Arial"/>
        </w:rPr>
        <w:t xml:space="preserve">(2021) Available at: </w:t>
      </w:r>
      <w:hyperlink r:id="rId8" w:history="1">
        <w:r w:rsidRPr="00820D82">
          <w:rPr>
            <w:rStyle w:val="Hyperlink"/>
            <w:rFonts w:ascii="Arial" w:hAnsi="Arial" w:cs="Arial"/>
          </w:rPr>
          <w:t>https://www.lawsociety.org.uk/en/topics/brexit/what-is-the-european-court-of-justice-and-why-does-it-matter</w:t>
        </w:r>
      </w:hyperlink>
      <w:r w:rsidRPr="00820D82">
        <w:rPr>
          <w:rFonts w:ascii="Arial" w:hAnsi="Arial" w:cs="Arial"/>
        </w:rPr>
        <w:t xml:space="preserve"> (Accessed: 17 February 202</w:t>
      </w:r>
      <w:r w:rsidRPr="00820D82">
        <w:rPr>
          <w:rFonts w:ascii="Arial" w:hAnsi="Arial" w:cs="Arial"/>
        </w:rPr>
        <w:t xml:space="preserve">2). </w:t>
      </w:r>
    </w:p>
    <w:p w14:paraId="60ADB137" w14:textId="027470ED" w:rsidR="000D72DF" w:rsidRPr="00820D82" w:rsidRDefault="000D72DF" w:rsidP="00820D82">
      <w:pPr>
        <w:spacing w:line="360" w:lineRule="auto"/>
        <w:jc w:val="both"/>
        <w:rPr>
          <w:rFonts w:ascii="Arial" w:hAnsi="Arial" w:cs="Arial"/>
        </w:rPr>
      </w:pPr>
    </w:p>
    <w:p w14:paraId="481CD91D" w14:textId="60513F8D" w:rsidR="000D72DF" w:rsidRPr="00820D82" w:rsidRDefault="006C7921" w:rsidP="00820D82">
      <w:pPr>
        <w:spacing w:line="360" w:lineRule="auto"/>
        <w:jc w:val="both"/>
        <w:rPr>
          <w:rFonts w:ascii="Arial" w:hAnsi="Arial" w:cs="Arial"/>
        </w:rPr>
      </w:pPr>
      <w:r w:rsidRPr="00820D82">
        <w:rPr>
          <w:rFonts w:ascii="Arial" w:hAnsi="Arial" w:cs="Arial"/>
        </w:rPr>
        <w:t xml:space="preserve">Warleigh, A. (2003) </w:t>
      </w:r>
      <w:r w:rsidRPr="00820D82">
        <w:rPr>
          <w:rFonts w:ascii="Arial" w:hAnsi="Arial" w:cs="Arial"/>
          <w:i/>
          <w:iCs/>
        </w:rPr>
        <w:t xml:space="preserve">Democracy and the European Union: Theory, Practice and Reform. </w:t>
      </w:r>
      <w:r w:rsidRPr="00820D82">
        <w:rPr>
          <w:rFonts w:ascii="Arial" w:hAnsi="Arial" w:cs="Arial"/>
        </w:rPr>
        <w:t xml:space="preserve">London: Sage Publications Ltd. </w:t>
      </w:r>
    </w:p>
    <w:p w14:paraId="4BE978DB" w14:textId="56CE3D67" w:rsidR="00265057" w:rsidRPr="00820D82" w:rsidRDefault="00265057" w:rsidP="00820D82">
      <w:pPr>
        <w:spacing w:line="360" w:lineRule="auto"/>
        <w:jc w:val="both"/>
        <w:rPr>
          <w:rFonts w:ascii="Arial" w:hAnsi="Arial" w:cs="Arial"/>
        </w:rPr>
      </w:pPr>
    </w:p>
    <w:p w14:paraId="41167C13" w14:textId="77777777" w:rsidR="00265057" w:rsidRPr="00820D82" w:rsidRDefault="00265057" w:rsidP="00820D82">
      <w:pPr>
        <w:spacing w:line="360" w:lineRule="auto"/>
        <w:jc w:val="both"/>
        <w:rPr>
          <w:rFonts w:ascii="Arial" w:hAnsi="Arial" w:cs="Arial"/>
        </w:rPr>
      </w:pPr>
    </w:p>
    <w:p w14:paraId="2250445B" w14:textId="77777777" w:rsidR="00265057" w:rsidRPr="00820D82" w:rsidRDefault="00265057" w:rsidP="00820D82">
      <w:pPr>
        <w:spacing w:line="360" w:lineRule="auto"/>
        <w:jc w:val="both"/>
        <w:rPr>
          <w:rFonts w:ascii="Arial" w:hAnsi="Arial" w:cs="Arial"/>
        </w:rPr>
      </w:pPr>
    </w:p>
    <w:p w14:paraId="1DBFE4D9" w14:textId="2F2E25CF" w:rsidR="00441B4D" w:rsidRPr="00820D82" w:rsidRDefault="006C7921" w:rsidP="00820D82">
      <w:pPr>
        <w:spacing w:line="360" w:lineRule="auto"/>
        <w:jc w:val="both"/>
        <w:rPr>
          <w:rFonts w:ascii="Arial" w:hAnsi="Arial" w:cs="Arial"/>
          <w:b/>
          <w:bCs/>
          <w:u w:val="single"/>
        </w:rPr>
      </w:pPr>
      <w:r w:rsidRPr="00820D82">
        <w:rPr>
          <w:rFonts w:ascii="Arial" w:hAnsi="Arial" w:cs="Arial"/>
        </w:rPr>
        <w:t xml:space="preserve"> </w:t>
      </w:r>
      <w:r w:rsidR="00265057" w:rsidRPr="00820D82">
        <w:rPr>
          <w:rFonts w:ascii="Arial" w:hAnsi="Arial" w:cs="Arial"/>
          <w:b/>
          <w:bCs/>
          <w:u w:val="single"/>
        </w:rPr>
        <w:t>Legislation</w:t>
      </w:r>
      <w:r w:rsidR="003A149D" w:rsidRPr="00820D82">
        <w:rPr>
          <w:rFonts w:ascii="Arial" w:hAnsi="Arial" w:cs="Arial"/>
          <w:b/>
          <w:bCs/>
          <w:u w:val="single"/>
        </w:rPr>
        <w:t xml:space="preserve"> and Case Law. </w:t>
      </w:r>
    </w:p>
    <w:p w14:paraId="186D518A" w14:textId="34DDDEB8" w:rsidR="003A149D" w:rsidRPr="00820D82" w:rsidRDefault="003A149D" w:rsidP="00820D82">
      <w:pPr>
        <w:spacing w:line="360" w:lineRule="auto"/>
        <w:jc w:val="both"/>
        <w:rPr>
          <w:rFonts w:ascii="Arial" w:hAnsi="Arial" w:cs="Arial"/>
          <w:b/>
          <w:bCs/>
          <w:u w:val="single"/>
        </w:rPr>
      </w:pPr>
    </w:p>
    <w:p w14:paraId="3EB60C8A" w14:textId="690BDFD9" w:rsidR="003A149D" w:rsidRPr="00820D82" w:rsidRDefault="003A149D" w:rsidP="00820D82">
      <w:pPr>
        <w:spacing w:line="360" w:lineRule="auto"/>
        <w:jc w:val="both"/>
        <w:rPr>
          <w:rFonts w:ascii="Arial" w:hAnsi="Arial" w:cs="Arial"/>
          <w:b/>
          <w:bCs/>
          <w:u w:val="single"/>
        </w:rPr>
      </w:pPr>
    </w:p>
    <w:p w14:paraId="31A7CC19" w14:textId="69207368" w:rsidR="003A149D" w:rsidRPr="00820D82" w:rsidRDefault="006C7921" w:rsidP="00820D82">
      <w:pPr>
        <w:spacing w:line="360" w:lineRule="auto"/>
        <w:jc w:val="both"/>
        <w:rPr>
          <w:rFonts w:ascii="Arial" w:hAnsi="Arial" w:cs="Arial"/>
        </w:rPr>
      </w:pPr>
      <w:r w:rsidRPr="00820D82">
        <w:rPr>
          <w:rFonts w:ascii="Arial" w:hAnsi="Arial" w:cs="Arial"/>
        </w:rPr>
        <w:t>Commission v France (1997) C-265/95</w:t>
      </w:r>
    </w:p>
    <w:p w14:paraId="7514E217" w14:textId="77777777" w:rsidR="003A149D" w:rsidRPr="00820D82" w:rsidRDefault="003A149D" w:rsidP="00820D82">
      <w:pPr>
        <w:spacing w:line="360" w:lineRule="auto"/>
        <w:jc w:val="both"/>
        <w:rPr>
          <w:rFonts w:ascii="Arial" w:hAnsi="Arial" w:cs="Arial"/>
        </w:rPr>
      </w:pPr>
    </w:p>
    <w:p w14:paraId="0797803F" w14:textId="0D4D99E0" w:rsidR="003A149D" w:rsidRPr="00820D82" w:rsidRDefault="006C7921" w:rsidP="00820D82">
      <w:pPr>
        <w:spacing w:line="360" w:lineRule="auto"/>
        <w:jc w:val="both"/>
        <w:rPr>
          <w:rFonts w:ascii="Arial" w:hAnsi="Arial" w:cs="Arial"/>
        </w:rPr>
      </w:pPr>
      <w:r w:rsidRPr="00820D82">
        <w:rPr>
          <w:rFonts w:ascii="Arial" w:hAnsi="Arial" w:cs="Arial"/>
        </w:rPr>
        <w:t>Star Fruit Company v Commission (1989) ECR 291</w:t>
      </w:r>
    </w:p>
    <w:p w14:paraId="69376B7E" w14:textId="0E23AB06" w:rsidR="00265057" w:rsidRPr="00820D82" w:rsidRDefault="00265057" w:rsidP="00820D82">
      <w:pPr>
        <w:spacing w:line="360" w:lineRule="auto"/>
        <w:jc w:val="both"/>
        <w:rPr>
          <w:rFonts w:ascii="Arial" w:hAnsi="Arial" w:cs="Arial"/>
          <w:b/>
          <w:bCs/>
          <w:u w:val="single"/>
        </w:rPr>
      </w:pPr>
    </w:p>
    <w:p w14:paraId="0964CE63" w14:textId="4B9706BD" w:rsidR="00265057" w:rsidRPr="00820D82" w:rsidRDefault="006C7921" w:rsidP="00820D82">
      <w:pPr>
        <w:spacing w:line="360" w:lineRule="auto"/>
        <w:jc w:val="both"/>
        <w:rPr>
          <w:rFonts w:ascii="Arial" w:hAnsi="Arial" w:cs="Arial"/>
        </w:rPr>
      </w:pPr>
      <w:r w:rsidRPr="00820D82">
        <w:rPr>
          <w:rFonts w:ascii="Arial" w:hAnsi="Arial" w:cs="Arial"/>
        </w:rPr>
        <w:t xml:space="preserve">The Treaty of the European Union Article 10 </w:t>
      </w:r>
    </w:p>
    <w:p w14:paraId="1397B7D5" w14:textId="52682831" w:rsidR="00265057" w:rsidRPr="00820D82" w:rsidRDefault="00265057" w:rsidP="00820D82">
      <w:pPr>
        <w:spacing w:line="360" w:lineRule="auto"/>
        <w:jc w:val="both"/>
        <w:rPr>
          <w:rFonts w:ascii="Arial" w:hAnsi="Arial" w:cs="Arial"/>
        </w:rPr>
      </w:pPr>
    </w:p>
    <w:p w14:paraId="00DAAEDB" w14:textId="3E7A81DA" w:rsidR="00265057" w:rsidRPr="00820D82" w:rsidRDefault="006C7921" w:rsidP="00820D82">
      <w:pPr>
        <w:spacing w:line="360" w:lineRule="auto"/>
        <w:jc w:val="both"/>
        <w:rPr>
          <w:rFonts w:ascii="Arial" w:hAnsi="Arial" w:cs="Arial"/>
        </w:rPr>
      </w:pPr>
      <w:r w:rsidRPr="00820D82">
        <w:rPr>
          <w:rFonts w:ascii="Arial" w:hAnsi="Arial" w:cs="Arial"/>
        </w:rPr>
        <w:t>The Treaty of the European Union Article 11</w:t>
      </w:r>
    </w:p>
    <w:p w14:paraId="7CD46A93" w14:textId="1208527B" w:rsidR="00265057" w:rsidRPr="00820D82" w:rsidRDefault="006C7921" w:rsidP="00820D82">
      <w:pPr>
        <w:spacing w:line="360" w:lineRule="auto"/>
        <w:jc w:val="both"/>
        <w:rPr>
          <w:rFonts w:ascii="Arial" w:hAnsi="Arial" w:cs="Arial"/>
        </w:rPr>
      </w:pPr>
      <w:r w:rsidRPr="00820D82">
        <w:rPr>
          <w:rFonts w:ascii="Arial" w:hAnsi="Arial" w:cs="Arial"/>
        </w:rPr>
        <w:t xml:space="preserve"> </w:t>
      </w:r>
    </w:p>
    <w:p w14:paraId="6450E4F7" w14:textId="7BBBE5E1" w:rsidR="00265057" w:rsidRPr="00820D82" w:rsidRDefault="006C7921" w:rsidP="00820D82">
      <w:pPr>
        <w:spacing w:line="360" w:lineRule="auto"/>
        <w:jc w:val="both"/>
        <w:rPr>
          <w:rFonts w:ascii="Arial" w:hAnsi="Arial" w:cs="Arial"/>
        </w:rPr>
      </w:pPr>
      <w:r w:rsidRPr="00820D82">
        <w:rPr>
          <w:rFonts w:ascii="Arial" w:hAnsi="Arial" w:cs="Arial"/>
        </w:rPr>
        <w:t xml:space="preserve">The Treaty of the European Union Article 12 </w:t>
      </w:r>
    </w:p>
    <w:p w14:paraId="726ED070" w14:textId="203F4184" w:rsidR="00FB0BBF" w:rsidRPr="00820D82" w:rsidRDefault="00FB0BBF" w:rsidP="00820D82">
      <w:pPr>
        <w:spacing w:line="360" w:lineRule="auto"/>
        <w:jc w:val="both"/>
        <w:rPr>
          <w:rFonts w:ascii="Arial" w:hAnsi="Arial" w:cs="Arial"/>
        </w:rPr>
      </w:pPr>
    </w:p>
    <w:p w14:paraId="35C11CED" w14:textId="563FFCA4" w:rsidR="00FB0BBF" w:rsidRPr="00820D82" w:rsidRDefault="006C7921" w:rsidP="00820D82">
      <w:pPr>
        <w:spacing w:line="360" w:lineRule="auto"/>
        <w:jc w:val="both"/>
        <w:rPr>
          <w:rFonts w:ascii="Arial" w:hAnsi="Arial" w:cs="Arial"/>
        </w:rPr>
      </w:pPr>
      <w:r w:rsidRPr="00820D82">
        <w:rPr>
          <w:rFonts w:ascii="Arial" w:hAnsi="Arial" w:cs="Arial"/>
        </w:rPr>
        <w:t>The Treaty of the European Union Article 13</w:t>
      </w:r>
    </w:p>
    <w:p w14:paraId="17694686" w14:textId="3CC3467E" w:rsidR="0046097F" w:rsidRPr="00820D82" w:rsidRDefault="0046097F" w:rsidP="00820D82">
      <w:pPr>
        <w:spacing w:line="360" w:lineRule="auto"/>
        <w:jc w:val="both"/>
        <w:rPr>
          <w:rFonts w:ascii="Arial" w:hAnsi="Arial" w:cs="Arial"/>
        </w:rPr>
      </w:pPr>
    </w:p>
    <w:p w14:paraId="2A741203" w14:textId="095773D4" w:rsidR="0046097F" w:rsidRPr="00820D82" w:rsidRDefault="006C7921" w:rsidP="00820D82">
      <w:pPr>
        <w:spacing w:line="360" w:lineRule="auto"/>
        <w:jc w:val="both"/>
        <w:rPr>
          <w:rFonts w:ascii="Arial" w:hAnsi="Arial" w:cs="Arial"/>
        </w:rPr>
      </w:pPr>
      <w:r w:rsidRPr="00820D82">
        <w:rPr>
          <w:rFonts w:ascii="Arial" w:hAnsi="Arial" w:cs="Arial"/>
        </w:rPr>
        <w:t>The Treaty of the European Union Article 14</w:t>
      </w:r>
    </w:p>
    <w:p w14:paraId="0D135B3B" w14:textId="3A9F9590" w:rsidR="00265057" w:rsidRPr="00820D82" w:rsidRDefault="00265057" w:rsidP="00820D82">
      <w:pPr>
        <w:spacing w:line="360" w:lineRule="auto"/>
        <w:jc w:val="both"/>
        <w:rPr>
          <w:rFonts w:ascii="Arial" w:hAnsi="Arial" w:cs="Arial"/>
        </w:rPr>
      </w:pPr>
    </w:p>
    <w:p w14:paraId="173998D2" w14:textId="77CE1FAD" w:rsidR="00265057" w:rsidRPr="00820D82" w:rsidRDefault="006C7921" w:rsidP="00820D82">
      <w:pPr>
        <w:spacing w:line="360" w:lineRule="auto"/>
        <w:jc w:val="both"/>
        <w:rPr>
          <w:rFonts w:ascii="Arial" w:hAnsi="Arial" w:cs="Arial"/>
        </w:rPr>
      </w:pPr>
      <w:r w:rsidRPr="00820D82">
        <w:rPr>
          <w:rFonts w:ascii="Arial" w:hAnsi="Arial" w:cs="Arial"/>
        </w:rPr>
        <w:t>The Treaty of the European U</w:t>
      </w:r>
      <w:r w:rsidRPr="00820D82">
        <w:rPr>
          <w:rFonts w:ascii="Arial" w:hAnsi="Arial" w:cs="Arial"/>
        </w:rPr>
        <w:t>nion Article 17</w:t>
      </w:r>
    </w:p>
    <w:p w14:paraId="39A23A17" w14:textId="1F9B6324" w:rsidR="003A149D" w:rsidRPr="00820D82" w:rsidRDefault="003A149D" w:rsidP="00820D82">
      <w:pPr>
        <w:spacing w:line="360" w:lineRule="auto"/>
        <w:jc w:val="both"/>
        <w:rPr>
          <w:rFonts w:ascii="Arial" w:hAnsi="Arial" w:cs="Arial"/>
        </w:rPr>
      </w:pPr>
    </w:p>
    <w:p w14:paraId="27372D4D" w14:textId="6F39D178" w:rsidR="003A149D" w:rsidRPr="00820D82" w:rsidRDefault="006C7921" w:rsidP="00820D82">
      <w:pPr>
        <w:spacing w:line="360" w:lineRule="auto"/>
        <w:jc w:val="both"/>
        <w:rPr>
          <w:rFonts w:ascii="Arial" w:hAnsi="Arial" w:cs="Arial"/>
        </w:rPr>
      </w:pPr>
      <w:r w:rsidRPr="00820D82">
        <w:rPr>
          <w:rFonts w:ascii="Arial" w:hAnsi="Arial" w:cs="Arial"/>
        </w:rPr>
        <w:lastRenderedPageBreak/>
        <w:t>The Treaty of the European Union Article 258</w:t>
      </w:r>
    </w:p>
    <w:p w14:paraId="1825CE20" w14:textId="7D6159E5" w:rsidR="003A149D" w:rsidRPr="00820D82" w:rsidRDefault="003A149D" w:rsidP="00820D82">
      <w:pPr>
        <w:spacing w:line="360" w:lineRule="auto"/>
        <w:jc w:val="both"/>
        <w:rPr>
          <w:rFonts w:ascii="Arial" w:hAnsi="Arial" w:cs="Arial"/>
        </w:rPr>
      </w:pPr>
    </w:p>
    <w:p w14:paraId="1AC28FD8" w14:textId="77777777" w:rsidR="003A149D" w:rsidRPr="00265057" w:rsidRDefault="003A149D" w:rsidP="00441B4D">
      <w:pPr>
        <w:jc w:val="both"/>
        <w:rPr>
          <w:rFonts w:asciiTheme="majorHAnsi" w:hAnsiTheme="majorHAnsi" w:cstheme="majorHAnsi"/>
        </w:rPr>
      </w:pPr>
    </w:p>
    <w:sectPr w:rsidR="003A149D" w:rsidRPr="00265057" w:rsidSect="00BD7923">
      <w:pgSz w:w="11900" w:h="16820"/>
      <w:pgMar w:top="720" w:right="720" w:bottom="720" w:left="720" w:header="709" w:footer="454" w:gutter="0"/>
      <w:cols w:space="708"/>
      <w:docGrid w:linePitch="27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drawingGridHorizontalSpacing w:val="100"/>
  <w:drawingGridVerticalSpacing w:val="136"/>
  <w:displayHorizontalDrawingGridEvery w:val="0"/>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1B4D"/>
    <w:rsid w:val="0000049D"/>
    <w:rsid w:val="0008301F"/>
    <w:rsid w:val="00091A1F"/>
    <w:rsid w:val="000D72DF"/>
    <w:rsid w:val="000F0541"/>
    <w:rsid w:val="001147C7"/>
    <w:rsid w:val="00122E14"/>
    <w:rsid w:val="00144502"/>
    <w:rsid w:val="00151BC3"/>
    <w:rsid w:val="001F1F2E"/>
    <w:rsid w:val="002011E9"/>
    <w:rsid w:val="0022590B"/>
    <w:rsid w:val="00225B6B"/>
    <w:rsid w:val="002504E9"/>
    <w:rsid w:val="00265057"/>
    <w:rsid w:val="002F0EBB"/>
    <w:rsid w:val="003801CD"/>
    <w:rsid w:val="003A099A"/>
    <w:rsid w:val="003A149D"/>
    <w:rsid w:val="003F1ACE"/>
    <w:rsid w:val="004131A6"/>
    <w:rsid w:val="0042795E"/>
    <w:rsid w:val="00433608"/>
    <w:rsid w:val="00441B4D"/>
    <w:rsid w:val="00450EC7"/>
    <w:rsid w:val="0046097F"/>
    <w:rsid w:val="004D0CFA"/>
    <w:rsid w:val="004E501C"/>
    <w:rsid w:val="004E5B00"/>
    <w:rsid w:val="00503D63"/>
    <w:rsid w:val="005506A0"/>
    <w:rsid w:val="005933DE"/>
    <w:rsid w:val="005A6CDD"/>
    <w:rsid w:val="005B1379"/>
    <w:rsid w:val="006109BC"/>
    <w:rsid w:val="0061330A"/>
    <w:rsid w:val="00615E32"/>
    <w:rsid w:val="006B675C"/>
    <w:rsid w:val="006C7921"/>
    <w:rsid w:val="0073296F"/>
    <w:rsid w:val="00752897"/>
    <w:rsid w:val="00767312"/>
    <w:rsid w:val="00774D54"/>
    <w:rsid w:val="007A3500"/>
    <w:rsid w:val="00800DF8"/>
    <w:rsid w:val="0081428A"/>
    <w:rsid w:val="00820D82"/>
    <w:rsid w:val="0082678E"/>
    <w:rsid w:val="00835581"/>
    <w:rsid w:val="008378C7"/>
    <w:rsid w:val="0084056A"/>
    <w:rsid w:val="00892411"/>
    <w:rsid w:val="008D2A8C"/>
    <w:rsid w:val="008D44CD"/>
    <w:rsid w:val="009F26E5"/>
    <w:rsid w:val="00A219F5"/>
    <w:rsid w:val="00AD7A54"/>
    <w:rsid w:val="00AE7A87"/>
    <w:rsid w:val="00B250CF"/>
    <w:rsid w:val="00B341A1"/>
    <w:rsid w:val="00B568DE"/>
    <w:rsid w:val="00BD7923"/>
    <w:rsid w:val="00CA7E35"/>
    <w:rsid w:val="00CF1119"/>
    <w:rsid w:val="00D27E75"/>
    <w:rsid w:val="00D33A38"/>
    <w:rsid w:val="00DD677C"/>
    <w:rsid w:val="00E14C59"/>
    <w:rsid w:val="00E261AB"/>
    <w:rsid w:val="00E27A68"/>
    <w:rsid w:val="00E672E4"/>
    <w:rsid w:val="00EF674C"/>
    <w:rsid w:val="00F21CFA"/>
    <w:rsid w:val="00F32EE5"/>
    <w:rsid w:val="00F816BE"/>
    <w:rsid w:val="00F95931"/>
    <w:rsid w:val="00FA21EF"/>
    <w:rsid w:val="00FB0BBF"/>
    <w:rsid w:val="00FE6521"/>
    <w:rsid w:val="00FE73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1D785EA"/>
  <w15:chartTrackingRefBased/>
  <w15:docId w15:val="{6808A16F-0232-874F-87AA-4FB3989659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E6521"/>
    <w:rPr>
      <w:color w:val="0563C1" w:themeColor="hyperlink"/>
      <w:u w:val="single"/>
    </w:rPr>
  </w:style>
  <w:style w:type="character" w:customStyle="1" w:styleId="UnresolvedMention1">
    <w:name w:val="Unresolved Mention1"/>
    <w:basedOn w:val="DefaultParagraphFont"/>
    <w:uiPriority w:val="99"/>
    <w:semiHidden/>
    <w:unhideWhenUsed/>
    <w:rsid w:val="00FE652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awsociety.org.uk/en/topics/brexit/what-is-the-european-court-of-justice-and-why-does-it-matter" TargetMode="External"/><Relationship Id="rId3" Type="http://schemas.openxmlformats.org/officeDocument/2006/relationships/webSettings" Target="webSettings.xml"/><Relationship Id="rId7" Type="http://schemas.openxmlformats.org/officeDocument/2006/relationships/hyperlink" Target="https://www.politico.eu/interactive/voters-turnout-in-the-european-election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oxfordre.com/politics/view/10.1093/acrefore/9780190228637.001.0001/acrefore-9780190228637-e-1141" TargetMode="External"/><Relationship Id="rId5" Type="http://schemas.openxmlformats.org/officeDocument/2006/relationships/hyperlink" Target="https://www.europarl.europa.eu/at-your-service/en/be-heard/citizen-s-initiative" TargetMode="External"/><Relationship Id="rId10" Type="http://schemas.openxmlformats.org/officeDocument/2006/relationships/theme" Target="theme/theme1.xml"/><Relationship Id="rId4" Type="http://schemas.openxmlformats.org/officeDocument/2006/relationships/hyperlink" Target="https://journals.sagepub.com/doi/10.1177/1465116520943670"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9</Pages>
  <Words>2589</Words>
  <Characters>14763</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Teresa Anne Kan (2017444)</dc:creator>
  <cp:lastModifiedBy>Teresa Kan (2017444)</cp:lastModifiedBy>
  <cp:revision>2</cp:revision>
  <dcterms:created xsi:type="dcterms:W3CDTF">2022-03-03T21:40:00Z</dcterms:created>
  <dcterms:modified xsi:type="dcterms:W3CDTF">2022-03-03T21:40:00Z</dcterms:modified>
</cp:coreProperties>
</file>