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8D281" w14:textId="48BEDAA9" w:rsidR="00AC3682" w:rsidRDefault="00656878" w:rsidP="00656878">
      <w:pPr>
        <w:jc w:val="center"/>
        <w:rPr>
          <w:rFonts w:ascii="Arial" w:hAnsi="Arial" w:cs="Arial"/>
          <w:b/>
          <w:bCs/>
          <w:sz w:val="40"/>
          <w:szCs w:val="40"/>
        </w:rPr>
      </w:pPr>
      <w:r w:rsidRPr="00656878">
        <w:rPr>
          <w:rFonts w:ascii="Arial" w:hAnsi="Arial" w:cs="Arial"/>
          <w:b/>
          <w:bCs/>
          <w:sz w:val="40"/>
          <w:szCs w:val="40"/>
        </w:rPr>
        <w:t>LCLM 5001</w:t>
      </w:r>
    </w:p>
    <w:p w14:paraId="01CEBCA1" w14:textId="77777777" w:rsidR="00656878" w:rsidRPr="00656878" w:rsidRDefault="00656878" w:rsidP="00656878">
      <w:pPr>
        <w:jc w:val="center"/>
        <w:rPr>
          <w:rFonts w:ascii="Arial" w:hAnsi="Arial" w:cs="Arial"/>
          <w:b/>
          <w:bCs/>
          <w:sz w:val="40"/>
          <w:szCs w:val="40"/>
        </w:rPr>
      </w:pPr>
    </w:p>
    <w:p w14:paraId="501973B0" w14:textId="057BE1FC" w:rsidR="00656878" w:rsidRDefault="00656878" w:rsidP="00656878">
      <w:pPr>
        <w:jc w:val="center"/>
        <w:rPr>
          <w:rFonts w:ascii="Arial" w:hAnsi="Arial" w:cs="Arial"/>
          <w:b/>
          <w:bCs/>
          <w:sz w:val="40"/>
          <w:szCs w:val="40"/>
        </w:rPr>
      </w:pPr>
      <w:r w:rsidRPr="00656878">
        <w:rPr>
          <w:rFonts w:ascii="Arial" w:hAnsi="Arial" w:cs="Arial"/>
          <w:b/>
          <w:bCs/>
          <w:sz w:val="40"/>
          <w:szCs w:val="40"/>
        </w:rPr>
        <w:t>BA (Hons) Leadership and Management Skills for the Workplace</w:t>
      </w:r>
    </w:p>
    <w:p w14:paraId="3D5E6B49" w14:textId="77777777" w:rsidR="00656878" w:rsidRPr="00656878" w:rsidRDefault="00656878" w:rsidP="00656878">
      <w:pPr>
        <w:jc w:val="center"/>
        <w:rPr>
          <w:rFonts w:ascii="Arial" w:hAnsi="Arial" w:cs="Arial"/>
          <w:b/>
          <w:bCs/>
          <w:sz w:val="40"/>
          <w:szCs w:val="40"/>
        </w:rPr>
      </w:pPr>
    </w:p>
    <w:p w14:paraId="795A7557" w14:textId="7C993E36" w:rsidR="00656878" w:rsidRDefault="00656878" w:rsidP="00656878">
      <w:pPr>
        <w:jc w:val="center"/>
        <w:rPr>
          <w:rFonts w:ascii="Arial" w:hAnsi="Arial" w:cs="Arial"/>
          <w:b/>
          <w:bCs/>
          <w:sz w:val="40"/>
          <w:szCs w:val="40"/>
        </w:rPr>
      </w:pPr>
      <w:r w:rsidRPr="00656878">
        <w:rPr>
          <w:rFonts w:ascii="Arial" w:hAnsi="Arial" w:cs="Arial"/>
          <w:b/>
          <w:bCs/>
          <w:sz w:val="40"/>
          <w:szCs w:val="40"/>
        </w:rPr>
        <w:t>Understanding and Engaging Stakeholders  </w:t>
      </w:r>
    </w:p>
    <w:p w14:paraId="356E6DFD" w14:textId="77777777" w:rsidR="00656878" w:rsidRDefault="00656878" w:rsidP="00656878">
      <w:pPr>
        <w:jc w:val="center"/>
        <w:rPr>
          <w:rFonts w:ascii="Arial" w:hAnsi="Arial" w:cs="Arial"/>
          <w:b/>
          <w:bCs/>
          <w:sz w:val="40"/>
          <w:szCs w:val="40"/>
        </w:rPr>
      </w:pPr>
    </w:p>
    <w:p w14:paraId="526E46C9" w14:textId="77777777" w:rsidR="00656878" w:rsidRDefault="00656878" w:rsidP="00656878">
      <w:pPr>
        <w:jc w:val="center"/>
        <w:rPr>
          <w:rFonts w:ascii="Arial" w:hAnsi="Arial" w:cs="Arial"/>
          <w:b/>
          <w:bCs/>
          <w:sz w:val="40"/>
          <w:szCs w:val="40"/>
        </w:rPr>
      </w:pPr>
    </w:p>
    <w:p w14:paraId="359AE614" w14:textId="77777777" w:rsidR="00656878" w:rsidRDefault="00656878" w:rsidP="00656878">
      <w:pPr>
        <w:jc w:val="center"/>
        <w:rPr>
          <w:rFonts w:ascii="Arial" w:hAnsi="Arial" w:cs="Arial"/>
          <w:b/>
          <w:bCs/>
          <w:sz w:val="40"/>
          <w:szCs w:val="40"/>
        </w:rPr>
      </w:pPr>
    </w:p>
    <w:p w14:paraId="5697C6ED" w14:textId="77777777" w:rsidR="00656878" w:rsidRDefault="00656878" w:rsidP="00656878">
      <w:pPr>
        <w:jc w:val="center"/>
        <w:rPr>
          <w:rFonts w:ascii="Arial" w:hAnsi="Arial" w:cs="Arial"/>
          <w:b/>
          <w:bCs/>
          <w:sz w:val="40"/>
          <w:szCs w:val="40"/>
        </w:rPr>
      </w:pPr>
    </w:p>
    <w:p w14:paraId="71EE198F" w14:textId="3536CF32" w:rsidR="00656878" w:rsidRDefault="00656878" w:rsidP="00656878">
      <w:pPr>
        <w:jc w:val="center"/>
        <w:rPr>
          <w:rFonts w:ascii="Arial" w:hAnsi="Arial" w:cs="Arial"/>
          <w:b/>
          <w:bCs/>
          <w:sz w:val="40"/>
          <w:szCs w:val="40"/>
        </w:rPr>
      </w:pPr>
      <w:r>
        <w:rPr>
          <w:rFonts w:ascii="Arial" w:hAnsi="Arial" w:cs="Arial"/>
          <w:b/>
          <w:bCs/>
          <w:sz w:val="40"/>
          <w:szCs w:val="40"/>
        </w:rPr>
        <w:t xml:space="preserve">  </w:t>
      </w:r>
    </w:p>
    <w:p w14:paraId="22D01FE7" w14:textId="66964185" w:rsidR="00656878" w:rsidRDefault="00AA5737" w:rsidP="00656878">
      <w:pPr>
        <w:jc w:val="center"/>
        <w:rPr>
          <w:rFonts w:ascii="Arial" w:hAnsi="Arial" w:cs="Arial"/>
          <w:b/>
          <w:bCs/>
          <w:sz w:val="40"/>
          <w:szCs w:val="40"/>
        </w:rPr>
      </w:pPr>
      <w:r>
        <w:rPr>
          <w:rFonts w:ascii="Arial" w:hAnsi="Arial" w:cs="Arial"/>
          <w:b/>
          <w:bCs/>
          <w:noProof/>
          <w:sz w:val="40"/>
          <w:szCs w:val="40"/>
        </w:rPr>
        <w:drawing>
          <wp:inline distT="0" distB="0" distL="0" distR="0" wp14:anchorId="752FAF8E" wp14:editId="3FDB9956">
            <wp:extent cx="2621280" cy="1744980"/>
            <wp:effectExtent l="0" t="0" r="7620" b="7620"/>
            <wp:docPr id="1418079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23FBBA8C" w14:textId="77777777" w:rsidR="00656878" w:rsidRDefault="00656878" w:rsidP="00656878">
      <w:pPr>
        <w:jc w:val="center"/>
        <w:rPr>
          <w:rFonts w:ascii="Arial" w:hAnsi="Arial" w:cs="Arial"/>
          <w:b/>
          <w:bCs/>
          <w:sz w:val="40"/>
          <w:szCs w:val="40"/>
        </w:rPr>
      </w:pPr>
    </w:p>
    <w:p w14:paraId="58CFCA7E" w14:textId="77777777" w:rsidR="00656878" w:rsidRDefault="00656878" w:rsidP="00656878">
      <w:pPr>
        <w:jc w:val="center"/>
        <w:rPr>
          <w:rFonts w:ascii="Arial" w:hAnsi="Arial" w:cs="Arial"/>
          <w:b/>
          <w:bCs/>
          <w:sz w:val="40"/>
          <w:szCs w:val="40"/>
        </w:rPr>
      </w:pPr>
    </w:p>
    <w:p w14:paraId="7BC065EE" w14:textId="77777777" w:rsidR="00656878" w:rsidRDefault="00656878" w:rsidP="00AA5737">
      <w:pPr>
        <w:rPr>
          <w:rFonts w:ascii="Arial" w:hAnsi="Arial" w:cs="Arial"/>
          <w:b/>
          <w:bCs/>
          <w:sz w:val="40"/>
          <w:szCs w:val="40"/>
        </w:rPr>
      </w:pPr>
    </w:p>
    <w:p w14:paraId="739D5FF3" w14:textId="72E61356" w:rsidR="00656878" w:rsidRDefault="00656878" w:rsidP="00656878">
      <w:pPr>
        <w:rPr>
          <w:rFonts w:ascii="Arial" w:hAnsi="Arial" w:cs="Arial"/>
          <w:b/>
          <w:bCs/>
          <w:sz w:val="40"/>
          <w:szCs w:val="40"/>
        </w:rPr>
      </w:pPr>
      <w:r>
        <w:rPr>
          <w:rFonts w:ascii="Arial" w:hAnsi="Arial" w:cs="Arial"/>
          <w:b/>
          <w:bCs/>
          <w:sz w:val="40"/>
          <w:szCs w:val="40"/>
        </w:rPr>
        <w:t>Student: Maria Ratoi</w:t>
      </w:r>
    </w:p>
    <w:p w14:paraId="0A31112F" w14:textId="7FD81BFD" w:rsidR="00656878" w:rsidRDefault="00656878" w:rsidP="00656878">
      <w:pPr>
        <w:rPr>
          <w:rFonts w:ascii="Arial" w:hAnsi="Arial" w:cs="Arial"/>
          <w:b/>
          <w:bCs/>
          <w:sz w:val="40"/>
          <w:szCs w:val="40"/>
        </w:rPr>
      </w:pPr>
      <w:r>
        <w:rPr>
          <w:rFonts w:ascii="Arial" w:hAnsi="Arial" w:cs="Arial"/>
          <w:b/>
          <w:bCs/>
          <w:sz w:val="40"/>
          <w:szCs w:val="40"/>
        </w:rPr>
        <w:t>No:</w:t>
      </w:r>
      <w:r w:rsidR="00AE7A58">
        <w:rPr>
          <w:rFonts w:ascii="Arial" w:hAnsi="Arial" w:cs="Arial"/>
          <w:b/>
          <w:bCs/>
          <w:sz w:val="40"/>
          <w:szCs w:val="40"/>
        </w:rPr>
        <w:t>22</w:t>
      </w:r>
      <w:r w:rsidR="001B6FA4">
        <w:rPr>
          <w:rFonts w:ascii="Arial" w:hAnsi="Arial" w:cs="Arial"/>
          <w:b/>
          <w:bCs/>
          <w:sz w:val="40"/>
          <w:szCs w:val="40"/>
        </w:rPr>
        <w:t>47715</w:t>
      </w:r>
    </w:p>
    <w:p w14:paraId="68432882" w14:textId="4A1F7CFC" w:rsidR="00656878" w:rsidRDefault="00656878" w:rsidP="00656878">
      <w:pPr>
        <w:rPr>
          <w:rFonts w:ascii="Arial" w:hAnsi="Arial" w:cs="Arial"/>
          <w:b/>
          <w:bCs/>
          <w:sz w:val="40"/>
          <w:szCs w:val="40"/>
        </w:rPr>
      </w:pPr>
      <w:r>
        <w:rPr>
          <w:rFonts w:ascii="Arial" w:hAnsi="Arial" w:cs="Arial"/>
          <w:b/>
          <w:bCs/>
          <w:sz w:val="40"/>
          <w:szCs w:val="40"/>
        </w:rPr>
        <w:t>Lecturer:</w:t>
      </w:r>
      <w:r w:rsidR="00C20494" w:rsidRPr="00C20494">
        <w:t xml:space="preserve"> </w:t>
      </w:r>
      <w:r w:rsidR="00C20494" w:rsidRPr="00C20494">
        <w:rPr>
          <w:rFonts w:ascii="Arial" w:hAnsi="Arial" w:cs="Arial"/>
          <w:b/>
          <w:bCs/>
          <w:sz w:val="40"/>
          <w:szCs w:val="40"/>
        </w:rPr>
        <w:t xml:space="preserve">Sharin </w:t>
      </w:r>
      <w:proofErr w:type="spellStart"/>
      <w:r w:rsidR="00C20494" w:rsidRPr="00C20494">
        <w:rPr>
          <w:rFonts w:ascii="Arial" w:hAnsi="Arial" w:cs="Arial"/>
          <w:b/>
          <w:bCs/>
          <w:sz w:val="40"/>
          <w:szCs w:val="40"/>
        </w:rPr>
        <w:t>Mcdowall-Emefiele</w:t>
      </w:r>
      <w:proofErr w:type="spellEnd"/>
    </w:p>
    <w:p w14:paraId="6E9DE564" w14:textId="77BCBB6E" w:rsidR="00656878" w:rsidRDefault="00656878" w:rsidP="00656878">
      <w:pPr>
        <w:jc w:val="center"/>
        <w:rPr>
          <w:rFonts w:ascii="Arial" w:hAnsi="Arial" w:cs="Arial"/>
          <w:b/>
          <w:bCs/>
          <w:sz w:val="40"/>
          <w:szCs w:val="40"/>
        </w:rPr>
      </w:pPr>
      <w:r>
        <w:rPr>
          <w:rFonts w:ascii="Arial" w:hAnsi="Arial" w:cs="Arial"/>
          <w:b/>
          <w:bCs/>
          <w:sz w:val="40"/>
          <w:szCs w:val="40"/>
        </w:rPr>
        <w:lastRenderedPageBreak/>
        <w:t>Table of Contents</w:t>
      </w:r>
    </w:p>
    <w:p w14:paraId="7C97DDDF" w14:textId="77777777" w:rsidR="00656878" w:rsidRDefault="00656878" w:rsidP="00076183">
      <w:pPr>
        <w:spacing w:line="360" w:lineRule="auto"/>
        <w:jc w:val="center"/>
        <w:rPr>
          <w:rFonts w:ascii="Arial" w:hAnsi="Arial" w:cs="Arial"/>
          <w:b/>
          <w:bCs/>
          <w:sz w:val="40"/>
          <w:szCs w:val="40"/>
        </w:rPr>
      </w:pPr>
    </w:p>
    <w:p w14:paraId="34D92BB6" w14:textId="200BE57F"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Introduction </w:t>
      </w:r>
      <w:r w:rsidRPr="00076183">
        <w:rPr>
          <w:rFonts w:ascii="Arial" w:hAnsi="Arial" w:cs="Arial"/>
          <w:b/>
          <w:bCs/>
          <w:sz w:val="24"/>
          <w:szCs w:val="24"/>
          <w:u w:val="dotted"/>
        </w:rPr>
        <w:t xml:space="preserve">                                                                            </w:t>
      </w:r>
      <w:r w:rsidRPr="00076183">
        <w:rPr>
          <w:rFonts w:ascii="Arial" w:hAnsi="Arial" w:cs="Arial"/>
          <w:b/>
          <w:bCs/>
          <w:sz w:val="24"/>
          <w:szCs w:val="24"/>
        </w:rPr>
        <w:t>3</w:t>
      </w:r>
    </w:p>
    <w:p w14:paraId="300358B7" w14:textId="7DCD3DE0" w:rsidR="00656878" w:rsidRPr="00076183" w:rsidRDefault="00656878" w:rsidP="00076183">
      <w:pPr>
        <w:pStyle w:val="ListParagraph"/>
        <w:numPr>
          <w:ilvl w:val="0"/>
          <w:numId w:val="1"/>
        </w:numPr>
        <w:spacing w:line="360" w:lineRule="auto"/>
        <w:rPr>
          <w:rFonts w:ascii="Arial" w:hAnsi="Arial" w:cs="Arial"/>
          <w:b/>
          <w:bCs/>
          <w:sz w:val="24"/>
          <w:szCs w:val="24"/>
        </w:rPr>
      </w:pPr>
      <w:r w:rsidRPr="00076183">
        <w:rPr>
          <w:rFonts w:ascii="Arial" w:hAnsi="Arial" w:cs="Arial"/>
          <w:b/>
          <w:bCs/>
          <w:sz w:val="24"/>
          <w:szCs w:val="24"/>
        </w:rPr>
        <w:t>Overview of Fitbit company its background, mission, and UK market presence</w:t>
      </w:r>
      <w:r w:rsidRPr="00076183">
        <w:rPr>
          <w:rFonts w:ascii="Arial" w:hAnsi="Arial" w:cs="Arial"/>
          <w:b/>
          <w:bCs/>
          <w:sz w:val="24"/>
          <w:szCs w:val="24"/>
          <w:u w:val="dotted"/>
        </w:rPr>
        <w:t xml:space="preserve">                                           </w:t>
      </w:r>
      <w:r w:rsidR="008E6498">
        <w:rPr>
          <w:rFonts w:ascii="Arial" w:hAnsi="Arial" w:cs="Arial"/>
          <w:b/>
          <w:bCs/>
          <w:sz w:val="24"/>
          <w:szCs w:val="24"/>
        </w:rPr>
        <w:t>3</w:t>
      </w:r>
    </w:p>
    <w:p w14:paraId="081C6A2E" w14:textId="33D5B0AF" w:rsidR="00656878" w:rsidRPr="00076183" w:rsidRDefault="00656878" w:rsidP="00076183">
      <w:pPr>
        <w:pStyle w:val="ListParagraph"/>
        <w:numPr>
          <w:ilvl w:val="0"/>
          <w:numId w:val="1"/>
        </w:numPr>
        <w:spacing w:line="360" w:lineRule="auto"/>
        <w:rPr>
          <w:rFonts w:ascii="Arial" w:hAnsi="Arial" w:cs="Arial"/>
          <w:b/>
          <w:bCs/>
          <w:sz w:val="24"/>
          <w:szCs w:val="24"/>
        </w:rPr>
      </w:pPr>
      <w:r w:rsidRPr="00076183">
        <w:rPr>
          <w:rFonts w:ascii="Arial" w:hAnsi="Arial" w:cs="Arial"/>
          <w:b/>
          <w:bCs/>
          <w:sz w:val="24"/>
          <w:szCs w:val="24"/>
        </w:rPr>
        <w:t xml:space="preserve">Introduction of the new wearable device and importance of stakeholder engagement for launch success </w:t>
      </w:r>
      <w:r w:rsidRPr="00076183">
        <w:rPr>
          <w:rFonts w:ascii="Arial" w:hAnsi="Arial" w:cs="Arial"/>
          <w:b/>
          <w:bCs/>
          <w:sz w:val="24"/>
          <w:szCs w:val="24"/>
          <w:u w:val="dotted"/>
        </w:rPr>
        <w:t xml:space="preserve">                </w:t>
      </w:r>
      <w:r w:rsidR="008E6498">
        <w:rPr>
          <w:rFonts w:ascii="Arial" w:hAnsi="Arial" w:cs="Arial"/>
          <w:b/>
          <w:bCs/>
          <w:sz w:val="24"/>
          <w:szCs w:val="24"/>
        </w:rPr>
        <w:t>3</w:t>
      </w:r>
    </w:p>
    <w:p w14:paraId="7423262F" w14:textId="088A85B2"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Strategic Appraisal of Fitbit using SWOT </w:t>
      </w:r>
      <w:r w:rsidRPr="00076183">
        <w:rPr>
          <w:rFonts w:ascii="Arial" w:hAnsi="Arial" w:cs="Arial"/>
          <w:b/>
          <w:bCs/>
          <w:sz w:val="24"/>
          <w:szCs w:val="24"/>
          <w:u w:val="dotted"/>
        </w:rPr>
        <w:t xml:space="preserve">                                 </w:t>
      </w:r>
      <w:r w:rsidR="008E6498">
        <w:rPr>
          <w:rFonts w:ascii="Arial" w:hAnsi="Arial" w:cs="Arial"/>
          <w:b/>
          <w:bCs/>
          <w:sz w:val="24"/>
          <w:szCs w:val="24"/>
        </w:rPr>
        <w:t>3</w:t>
      </w:r>
    </w:p>
    <w:p w14:paraId="51A22E4F" w14:textId="231CDD91"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Key Stakeholders </w:t>
      </w:r>
      <w:r w:rsidRPr="00076183">
        <w:rPr>
          <w:rFonts w:ascii="Arial" w:hAnsi="Arial" w:cs="Arial"/>
          <w:b/>
          <w:bCs/>
          <w:sz w:val="24"/>
          <w:szCs w:val="24"/>
          <w:u w:val="dotted"/>
        </w:rPr>
        <w:t xml:space="preserve">                                                                   </w:t>
      </w:r>
      <w:r w:rsidRPr="00076183">
        <w:rPr>
          <w:rFonts w:ascii="Arial" w:hAnsi="Arial" w:cs="Arial"/>
          <w:b/>
          <w:bCs/>
          <w:sz w:val="24"/>
          <w:szCs w:val="24"/>
        </w:rPr>
        <w:t>6</w:t>
      </w:r>
    </w:p>
    <w:p w14:paraId="5AE2B4FD" w14:textId="21830AF5"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Roles, Responsibilities, Benefits, and Challenges </w:t>
      </w:r>
      <w:r w:rsidRPr="00076183">
        <w:rPr>
          <w:rFonts w:ascii="Arial" w:hAnsi="Arial" w:cs="Arial"/>
          <w:b/>
          <w:bCs/>
          <w:sz w:val="24"/>
          <w:szCs w:val="24"/>
          <w:u w:val="dotted"/>
        </w:rPr>
        <w:t xml:space="preserve">                  </w:t>
      </w:r>
      <w:r w:rsidRPr="00076183">
        <w:rPr>
          <w:rFonts w:ascii="Arial" w:hAnsi="Arial" w:cs="Arial"/>
          <w:b/>
          <w:bCs/>
          <w:sz w:val="24"/>
          <w:szCs w:val="24"/>
        </w:rPr>
        <w:t>6</w:t>
      </w:r>
    </w:p>
    <w:p w14:paraId="5697D668" w14:textId="2BD61FEB" w:rsidR="00656878" w:rsidRPr="00076183" w:rsidRDefault="00656878" w:rsidP="00076183">
      <w:pPr>
        <w:spacing w:line="360" w:lineRule="auto"/>
        <w:rPr>
          <w:rFonts w:ascii="Arial" w:hAnsi="Arial" w:cs="Arial"/>
          <w:b/>
          <w:bCs/>
          <w:sz w:val="24"/>
          <w:szCs w:val="24"/>
        </w:rPr>
      </w:pPr>
      <w:r w:rsidRPr="00076183">
        <w:rPr>
          <w:rFonts w:ascii="Arial" w:hAnsi="Arial" w:cs="Arial"/>
          <w:b/>
          <w:bCs/>
          <w:sz w:val="24"/>
          <w:szCs w:val="24"/>
        </w:rPr>
        <w:t xml:space="preserve">Frameworks and Models for Engagement </w:t>
      </w:r>
      <w:r w:rsidRPr="00076183">
        <w:rPr>
          <w:rFonts w:ascii="Arial" w:hAnsi="Arial" w:cs="Arial"/>
          <w:b/>
          <w:bCs/>
          <w:sz w:val="24"/>
          <w:szCs w:val="24"/>
          <w:u w:val="dotted"/>
        </w:rPr>
        <w:t xml:space="preserve">                            </w:t>
      </w:r>
      <w:r w:rsidRPr="00076183">
        <w:rPr>
          <w:rFonts w:ascii="Arial" w:hAnsi="Arial" w:cs="Arial"/>
          <w:b/>
          <w:bCs/>
          <w:sz w:val="24"/>
          <w:szCs w:val="24"/>
        </w:rPr>
        <w:t>7</w:t>
      </w:r>
    </w:p>
    <w:p w14:paraId="0B6CB439" w14:textId="4FCC3656" w:rsidR="00076183" w:rsidRPr="00076183" w:rsidRDefault="00656878" w:rsidP="00076183">
      <w:pPr>
        <w:pStyle w:val="NormalWeb"/>
        <w:numPr>
          <w:ilvl w:val="0"/>
          <w:numId w:val="4"/>
        </w:numPr>
        <w:spacing w:line="360" w:lineRule="auto"/>
        <w:rPr>
          <w:rFonts w:ascii="Arial" w:hAnsi="Arial" w:cs="Arial"/>
          <w:b/>
          <w:bCs/>
        </w:rPr>
      </w:pPr>
      <w:r w:rsidRPr="00076183">
        <w:rPr>
          <w:rFonts w:ascii="Arial" w:hAnsi="Arial" w:cs="Arial"/>
          <w:b/>
          <w:bCs/>
        </w:rPr>
        <w:t xml:space="preserve">Application of </w:t>
      </w:r>
      <w:r w:rsidRPr="00076183">
        <w:rPr>
          <w:rStyle w:val="Strong"/>
          <w:rFonts w:ascii="Arial" w:eastAsiaTheme="majorEastAsia" w:hAnsi="Arial" w:cs="Arial"/>
        </w:rPr>
        <w:t>Mendelow’s Matrix</w:t>
      </w:r>
      <w:r w:rsidRPr="00076183">
        <w:rPr>
          <w:rFonts w:ascii="Arial" w:hAnsi="Arial" w:cs="Arial"/>
          <w:b/>
          <w:bCs/>
        </w:rPr>
        <w:t xml:space="preserve"> (Power vs. Interest </w:t>
      </w:r>
      <w:proofErr w:type="gramStart"/>
      <w:r w:rsidR="00076183" w:rsidRPr="00076183">
        <w:rPr>
          <w:rFonts w:ascii="Arial" w:hAnsi="Arial" w:cs="Arial"/>
          <w:b/>
          <w:bCs/>
        </w:rPr>
        <w:t xml:space="preserve">grid) </w:t>
      </w:r>
      <w:r w:rsidR="00076183" w:rsidRPr="00076183">
        <w:rPr>
          <w:rFonts w:ascii="Arial" w:hAnsi="Arial" w:cs="Arial"/>
          <w:b/>
          <w:bCs/>
          <w:u w:val="dotted"/>
        </w:rPr>
        <w:t xml:space="preserve">  </w:t>
      </w:r>
      <w:proofErr w:type="gramEnd"/>
      <w:r w:rsidR="00076183">
        <w:rPr>
          <w:rFonts w:ascii="Arial" w:hAnsi="Arial" w:cs="Arial"/>
          <w:b/>
          <w:bCs/>
          <w:u w:val="dotted"/>
        </w:rPr>
        <w:t xml:space="preserve">     </w:t>
      </w:r>
      <w:r w:rsidR="00076183" w:rsidRPr="00076183">
        <w:rPr>
          <w:rFonts w:ascii="Arial" w:hAnsi="Arial" w:cs="Arial"/>
          <w:b/>
          <w:bCs/>
          <w:u w:val="dotted"/>
        </w:rPr>
        <w:t xml:space="preserve"> </w:t>
      </w:r>
      <w:r w:rsidR="00076183" w:rsidRPr="00076183">
        <w:rPr>
          <w:rFonts w:ascii="Arial" w:hAnsi="Arial" w:cs="Arial"/>
          <w:b/>
          <w:bCs/>
        </w:rPr>
        <w:t>7</w:t>
      </w:r>
    </w:p>
    <w:p w14:paraId="2D988146" w14:textId="780C8398" w:rsidR="00076183" w:rsidRPr="00076183" w:rsidRDefault="00656878" w:rsidP="00076183">
      <w:pPr>
        <w:pStyle w:val="NormalWeb"/>
        <w:numPr>
          <w:ilvl w:val="0"/>
          <w:numId w:val="4"/>
        </w:numPr>
        <w:spacing w:line="360" w:lineRule="auto"/>
        <w:rPr>
          <w:rFonts w:ascii="Arial" w:hAnsi="Arial" w:cs="Arial"/>
          <w:b/>
          <w:bCs/>
        </w:rPr>
      </w:pPr>
      <w:r w:rsidRPr="00076183">
        <w:rPr>
          <w:rStyle w:val="Strong"/>
          <w:rFonts w:ascii="Arial" w:eastAsiaTheme="majorEastAsia" w:hAnsi="Arial" w:cs="Arial"/>
        </w:rPr>
        <w:t>Stakeholder Engagement Plan</w:t>
      </w:r>
      <w:r w:rsidRPr="00076183">
        <w:rPr>
          <w:rFonts w:ascii="Arial" w:hAnsi="Arial" w:cs="Arial"/>
          <w:b/>
          <w:bCs/>
        </w:rPr>
        <w:t>: objectives, activities, frequency</w:t>
      </w:r>
      <w:r w:rsidR="00076183">
        <w:rPr>
          <w:rFonts w:ascii="Arial" w:hAnsi="Arial" w:cs="Arial"/>
          <w:b/>
          <w:bCs/>
        </w:rPr>
        <w:t xml:space="preserve"> </w:t>
      </w:r>
      <w:r w:rsidR="00076183">
        <w:rPr>
          <w:rFonts w:ascii="Arial" w:hAnsi="Arial" w:cs="Arial"/>
          <w:b/>
          <w:bCs/>
          <w:u w:val="dotted"/>
        </w:rPr>
        <w:t xml:space="preserve">    </w:t>
      </w:r>
      <w:r w:rsidR="00076183">
        <w:rPr>
          <w:rFonts w:ascii="Arial" w:hAnsi="Arial" w:cs="Arial"/>
          <w:b/>
          <w:bCs/>
        </w:rPr>
        <w:t>7</w:t>
      </w:r>
      <w:r w:rsidR="00076183" w:rsidRPr="00076183">
        <w:rPr>
          <w:rFonts w:ascii="Arial" w:hAnsi="Arial" w:cs="Arial"/>
          <w:b/>
          <w:bCs/>
          <w:u w:val="dotted"/>
        </w:rPr>
        <w:t xml:space="preserve">                                               </w:t>
      </w:r>
    </w:p>
    <w:p w14:paraId="54030337" w14:textId="0C6D7B0C" w:rsidR="00076183" w:rsidRPr="00076183" w:rsidRDefault="00656878" w:rsidP="00076183">
      <w:pPr>
        <w:pStyle w:val="NormalWeb"/>
        <w:numPr>
          <w:ilvl w:val="0"/>
          <w:numId w:val="4"/>
        </w:numPr>
        <w:spacing w:line="360" w:lineRule="auto"/>
        <w:rPr>
          <w:rFonts w:ascii="Arial" w:hAnsi="Arial" w:cs="Arial"/>
          <w:b/>
          <w:bCs/>
        </w:rPr>
      </w:pPr>
      <w:r w:rsidRPr="00076183">
        <w:rPr>
          <w:rStyle w:val="Strong"/>
          <w:rFonts w:ascii="Arial" w:eastAsiaTheme="majorEastAsia" w:hAnsi="Arial" w:cs="Arial"/>
        </w:rPr>
        <w:t>Communication Plan</w:t>
      </w:r>
      <w:r w:rsidRPr="00076183">
        <w:rPr>
          <w:rFonts w:ascii="Arial" w:hAnsi="Arial" w:cs="Arial"/>
          <w:b/>
          <w:bCs/>
        </w:rPr>
        <w:t>: channels, frequency, audience</w:t>
      </w:r>
      <w:r w:rsidR="00076183">
        <w:rPr>
          <w:rFonts w:ascii="Arial" w:hAnsi="Arial" w:cs="Arial"/>
          <w:b/>
          <w:bCs/>
        </w:rPr>
        <w:t xml:space="preserve"> </w:t>
      </w:r>
      <w:r w:rsidR="00076183">
        <w:rPr>
          <w:rFonts w:ascii="Arial" w:hAnsi="Arial" w:cs="Arial"/>
          <w:b/>
          <w:bCs/>
          <w:u w:val="dotted"/>
        </w:rPr>
        <w:t xml:space="preserve">             </w:t>
      </w:r>
      <w:r w:rsidR="00076183">
        <w:rPr>
          <w:rFonts w:ascii="Arial" w:hAnsi="Arial" w:cs="Arial"/>
          <w:b/>
          <w:bCs/>
        </w:rPr>
        <w:t>8</w:t>
      </w:r>
    </w:p>
    <w:p w14:paraId="3BD6C64D" w14:textId="4EE936B3" w:rsidR="00656878" w:rsidRPr="00076183" w:rsidRDefault="00656878" w:rsidP="00076183">
      <w:pPr>
        <w:pStyle w:val="NormalWeb"/>
        <w:numPr>
          <w:ilvl w:val="0"/>
          <w:numId w:val="4"/>
        </w:numPr>
        <w:spacing w:line="360" w:lineRule="auto"/>
        <w:rPr>
          <w:rFonts w:ascii="Arial" w:hAnsi="Arial" w:cs="Arial"/>
          <w:b/>
          <w:bCs/>
        </w:rPr>
      </w:pPr>
      <w:r w:rsidRPr="00076183">
        <w:rPr>
          <w:rStyle w:val="Strong"/>
          <w:rFonts w:ascii="Arial" w:eastAsiaTheme="majorEastAsia" w:hAnsi="Arial" w:cs="Arial"/>
        </w:rPr>
        <w:t>RACI Matrix</w:t>
      </w:r>
      <w:r w:rsidRPr="00076183">
        <w:rPr>
          <w:rFonts w:ascii="Arial" w:hAnsi="Arial" w:cs="Arial"/>
          <w:b/>
          <w:bCs/>
        </w:rPr>
        <w:t xml:space="preserve"> (Responsible, Accountable, Consulted, </w:t>
      </w:r>
      <w:proofErr w:type="gramStart"/>
      <w:r w:rsidR="00076183" w:rsidRPr="00076183">
        <w:rPr>
          <w:rFonts w:ascii="Arial" w:hAnsi="Arial" w:cs="Arial"/>
          <w:b/>
          <w:bCs/>
        </w:rPr>
        <w:t>Informed)</w:t>
      </w:r>
      <w:r w:rsidR="00076183">
        <w:rPr>
          <w:rFonts w:ascii="Arial" w:hAnsi="Arial" w:cs="Arial"/>
          <w:b/>
          <w:bCs/>
        </w:rPr>
        <w:t xml:space="preserve"> </w:t>
      </w:r>
      <w:r w:rsidR="00076183">
        <w:rPr>
          <w:rFonts w:ascii="Arial" w:hAnsi="Arial" w:cs="Arial"/>
          <w:b/>
          <w:bCs/>
          <w:u w:val="dotted"/>
        </w:rPr>
        <w:t xml:space="preserve">  </w:t>
      </w:r>
      <w:proofErr w:type="gramEnd"/>
      <w:r w:rsidR="00076183">
        <w:rPr>
          <w:rFonts w:ascii="Arial" w:hAnsi="Arial" w:cs="Arial"/>
          <w:b/>
          <w:bCs/>
          <w:u w:val="dotted"/>
        </w:rPr>
        <w:t xml:space="preserve">   </w:t>
      </w:r>
      <w:r w:rsidR="00076183">
        <w:rPr>
          <w:rFonts w:ascii="Arial" w:hAnsi="Arial" w:cs="Arial"/>
          <w:b/>
          <w:bCs/>
        </w:rPr>
        <w:t>9</w:t>
      </w:r>
      <w:r w:rsidR="00076183" w:rsidRPr="00076183">
        <w:rPr>
          <w:rFonts w:ascii="Arial" w:hAnsi="Arial" w:cs="Arial"/>
          <w:b/>
          <w:bCs/>
          <w:u w:val="dotted"/>
        </w:rPr>
        <w:t xml:space="preserve">                                                        </w:t>
      </w:r>
    </w:p>
    <w:p w14:paraId="73152D1A" w14:textId="492EEC8B" w:rsidR="00076183" w:rsidRDefault="00076183" w:rsidP="00076183">
      <w:pPr>
        <w:pStyle w:val="NormalWeb"/>
        <w:spacing w:line="360" w:lineRule="auto"/>
        <w:rPr>
          <w:rFonts w:ascii="Arial" w:hAnsi="Arial" w:cs="Arial"/>
          <w:b/>
          <w:bCs/>
        </w:rPr>
      </w:pPr>
      <w:r w:rsidRPr="00076183">
        <w:rPr>
          <w:rFonts w:ascii="Arial" w:hAnsi="Arial" w:cs="Arial"/>
          <w:b/>
          <w:bCs/>
        </w:rPr>
        <w:t xml:space="preserve">Stakeholder Engagement Process and Conflict Management </w:t>
      </w:r>
      <w:r>
        <w:rPr>
          <w:rFonts w:ascii="Arial" w:hAnsi="Arial" w:cs="Arial"/>
          <w:b/>
          <w:bCs/>
          <w:u w:val="dotted"/>
        </w:rPr>
        <w:t xml:space="preserve">           </w:t>
      </w:r>
      <w:r w:rsidRPr="00076183">
        <w:rPr>
          <w:rFonts w:ascii="Arial" w:hAnsi="Arial" w:cs="Arial"/>
          <w:b/>
          <w:bCs/>
        </w:rPr>
        <w:t>10</w:t>
      </w:r>
    </w:p>
    <w:p w14:paraId="1E693C2F" w14:textId="19EB0B16" w:rsidR="002B6357" w:rsidRPr="002B6357" w:rsidRDefault="002B6357" w:rsidP="002B6357">
      <w:pPr>
        <w:pStyle w:val="ListParagraph"/>
        <w:numPr>
          <w:ilvl w:val="0"/>
          <w:numId w:val="25"/>
        </w:numPr>
        <w:spacing w:line="360" w:lineRule="auto"/>
        <w:rPr>
          <w:rFonts w:ascii="Arial" w:hAnsi="Arial" w:cs="Arial"/>
          <w:b/>
          <w:bCs/>
          <w:sz w:val="24"/>
          <w:szCs w:val="24"/>
        </w:rPr>
      </w:pPr>
      <w:r w:rsidRPr="002B6357">
        <w:rPr>
          <w:rFonts w:ascii="Arial" w:hAnsi="Arial" w:cs="Arial"/>
          <w:b/>
          <w:bCs/>
          <w:sz w:val="24"/>
          <w:szCs w:val="24"/>
        </w:rPr>
        <w:t xml:space="preserve">Stakeholder Engagement Process </w:t>
      </w:r>
      <w:r>
        <w:rPr>
          <w:rFonts w:ascii="Arial" w:hAnsi="Arial" w:cs="Arial"/>
          <w:b/>
          <w:bCs/>
          <w:sz w:val="24"/>
          <w:szCs w:val="24"/>
          <w:u w:val="dotted"/>
        </w:rPr>
        <w:t xml:space="preserve">                               </w:t>
      </w:r>
      <w:r>
        <w:rPr>
          <w:rFonts w:ascii="Arial" w:hAnsi="Arial" w:cs="Arial"/>
          <w:b/>
          <w:bCs/>
          <w:sz w:val="24"/>
          <w:szCs w:val="24"/>
        </w:rPr>
        <w:t>10</w:t>
      </w:r>
    </w:p>
    <w:p w14:paraId="682AB3F7" w14:textId="04F6095D" w:rsidR="002B6357" w:rsidRPr="002B6357" w:rsidRDefault="002B6357" w:rsidP="002B6357">
      <w:pPr>
        <w:pStyle w:val="ListParagraph"/>
        <w:numPr>
          <w:ilvl w:val="0"/>
          <w:numId w:val="25"/>
        </w:numPr>
        <w:spacing w:line="360" w:lineRule="auto"/>
        <w:rPr>
          <w:rFonts w:ascii="Arial" w:hAnsi="Arial" w:cs="Arial"/>
          <w:b/>
          <w:bCs/>
          <w:sz w:val="24"/>
          <w:szCs w:val="24"/>
        </w:rPr>
      </w:pPr>
      <w:r w:rsidRPr="002B6357">
        <w:rPr>
          <w:rFonts w:ascii="Arial" w:hAnsi="Arial" w:cs="Arial"/>
          <w:b/>
          <w:bCs/>
          <w:sz w:val="24"/>
          <w:szCs w:val="24"/>
        </w:rPr>
        <w:t>Applying the 4Cs Model</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10</w:t>
      </w:r>
    </w:p>
    <w:p w14:paraId="2B9103F1" w14:textId="45FF9C0D" w:rsidR="002B6357" w:rsidRPr="002B6357" w:rsidRDefault="002B6357" w:rsidP="002B6357">
      <w:pPr>
        <w:pStyle w:val="NormalWeb"/>
        <w:numPr>
          <w:ilvl w:val="0"/>
          <w:numId w:val="25"/>
        </w:numPr>
        <w:spacing w:line="360" w:lineRule="auto"/>
        <w:rPr>
          <w:rFonts w:ascii="Arial" w:hAnsi="Arial" w:cs="Arial"/>
          <w:b/>
          <w:bCs/>
        </w:rPr>
      </w:pPr>
      <w:r w:rsidRPr="002B6357">
        <w:rPr>
          <w:rFonts w:ascii="Arial" w:hAnsi="Arial" w:cs="Arial"/>
          <w:b/>
          <w:bCs/>
        </w:rPr>
        <w:t>Conflict Management</w:t>
      </w:r>
      <w:r>
        <w:rPr>
          <w:rFonts w:ascii="Arial" w:hAnsi="Arial" w:cs="Arial"/>
          <w:b/>
          <w:bCs/>
        </w:rPr>
        <w:t xml:space="preserve"> </w:t>
      </w:r>
      <w:r>
        <w:rPr>
          <w:rFonts w:ascii="Arial" w:hAnsi="Arial" w:cs="Arial"/>
          <w:b/>
          <w:bCs/>
          <w:u w:val="dotted"/>
        </w:rPr>
        <w:t xml:space="preserve">                                                        </w:t>
      </w:r>
      <w:r>
        <w:rPr>
          <w:rFonts w:ascii="Arial" w:hAnsi="Arial" w:cs="Arial"/>
          <w:b/>
          <w:bCs/>
        </w:rPr>
        <w:t>11</w:t>
      </w:r>
    </w:p>
    <w:p w14:paraId="1122B6FC" w14:textId="541CC39D" w:rsidR="002B6357" w:rsidRPr="002B6357" w:rsidRDefault="002B6357" w:rsidP="002B6357">
      <w:pPr>
        <w:pStyle w:val="NormalWeb"/>
        <w:numPr>
          <w:ilvl w:val="0"/>
          <w:numId w:val="25"/>
        </w:numPr>
        <w:spacing w:line="360" w:lineRule="auto"/>
        <w:rPr>
          <w:rFonts w:ascii="Arial" w:hAnsi="Arial" w:cs="Arial"/>
          <w:b/>
          <w:bCs/>
        </w:rPr>
      </w:pPr>
      <w:r w:rsidRPr="002B6357">
        <w:rPr>
          <w:rFonts w:ascii="Arial" w:hAnsi="Arial" w:cs="Arial"/>
          <w:b/>
          <w:bCs/>
        </w:rPr>
        <w:t>Evaluation Methods</w:t>
      </w:r>
      <w:r>
        <w:rPr>
          <w:rFonts w:ascii="Arial" w:hAnsi="Arial" w:cs="Arial"/>
          <w:b/>
          <w:bCs/>
          <w:u w:val="dotted"/>
        </w:rPr>
        <w:t xml:space="preserve">                                                                      </w:t>
      </w:r>
      <w:r w:rsidRPr="002B6357">
        <w:rPr>
          <w:rFonts w:ascii="Arial" w:hAnsi="Arial" w:cs="Arial"/>
          <w:b/>
          <w:bCs/>
        </w:rPr>
        <w:t>12</w:t>
      </w:r>
    </w:p>
    <w:p w14:paraId="26B87A56" w14:textId="5DDAF967" w:rsidR="00076183" w:rsidRDefault="00076183" w:rsidP="00076183">
      <w:pPr>
        <w:pStyle w:val="NormalWeb"/>
        <w:spacing w:line="360" w:lineRule="auto"/>
        <w:rPr>
          <w:rFonts w:ascii="Arial" w:hAnsi="Arial" w:cs="Arial"/>
          <w:b/>
          <w:bCs/>
        </w:rPr>
      </w:pPr>
      <w:r w:rsidRPr="00076183">
        <w:rPr>
          <w:rFonts w:ascii="Arial" w:hAnsi="Arial" w:cs="Arial"/>
          <w:b/>
          <w:bCs/>
        </w:rPr>
        <w:t>Evaluation of Stakeholder Engagement Impact and Recommendations</w:t>
      </w:r>
      <w:r>
        <w:rPr>
          <w:rFonts w:ascii="Arial" w:hAnsi="Arial" w:cs="Arial"/>
          <w:b/>
          <w:bCs/>
        </w:rPr>
        <w:t xml:space="preserve"> </w:t>
      </w:r>
      <w:r>
        <w:rPr>
          <w:rFonts w:ascii="Arial" w:hAnsi="Arial" w:cs="Arial"/>
          <w:b/>
          <w:bCs/>
          <w:u w:val="dotted"/>
        </w:rPr>
        <w:t xml:space="preserve">       </w:t>
      </w:r>
      <w:r>
        <w:rPr>
          <w:rFonts w:ascii="Arial" w:hAnsi="Arial" w:cs="Arial"/>
          <w:b/>
          <w:bCs/>
        </w:rPr>
        <w:t>11</w:t>
      </w:r>
    </w:p>
    <w:p w14:paraId="4968B67A" w14:textId="07B98E2B" w:rsidR="00076183" w:rsidRDefault="00076183" w:rsidP="00076183">
      <w:pPr>
        <w:pStyle w:val="NormalWeb"/>
        <w:spacing w:line="360" w:lineRule="auto"/>
        <w:rPr>
          <w:rFonts w:ascii="Arial" w:hAnsi="Arial" w:cs="Arial"/>
          <w:b/>
          <w:bCs/>
        </w:rPr>
      </w:pPr>
      <w:r>
        <w:rPr>
          <w:rFonts w:ascii="Arial" w:hAnsi="Arial" w:cs="Arial"/>
          <w:b/>
          <w:bCs/>
        </w:rPr>
        <w:t xml:space="preserve">Conclusion </w:t>
      </w:r>
      <w:r>
        <w:rPr>
          <w:rFonts w:ascii="Arial" w:hAnsi="Arial" w:cs="Arial"/>
          <w:b/>
          <w:bCs/>
          <w:u w:val="dotted"/>
        </w:rPr>
        <w:t xml:space="preserve">                                                                     </w:t>
      </w:r>
      <w:r>
        <w:rPr>
          <w:rFonts w:ascii="Arial" w:hAnsi="Arial" w:cs="Arial"/>
          <w:b/>
          <w:bCs/>
        </w:rPr>
        <w:t>12</w:t>
      </w:r>
    </w:p>
    <w:p w14:paraId="471B15FF" w14:textId="263DF90A" w:rsidR="00076183" w:rsidRDefault="00076183" w:rsidP="00076183">
      <w:pPr>
        <w:pStyle w:val="NormalWeb"/>
        <w:spacing w:line="360" w:lineRule="auto"/>
        <w:rPr>
          <w:rFonts w:ascii="Arial" w:hAnsi="Arial" w:cs="Arial"/>
          <w:b/>
          <w:bCs/>
        </w:rPr>
      </w:pPr>
      <w:r>
        <w:rPr>
          <w:rFonts w:ascii="Arial" w:hAnsi="Arial" w:cs="Arial"/>
          <w:b/>
          <w:bCs/>
        </w:rPr>
        <w:t xml:space="preserve">References </w:t>
      </w:r>
      <w:r>
        <w:rPr>
          <w:rFonts w:ascii="Arial" w:hAnsi="Arial" w:cs="Arial"/>
          <w:b/>
          <w:bCs/>
          <w:u w:val="dotted"/>
        </w:rPr>
        <w:t xml:space="preserve">                                                                                        </w:t>
      </w:r>
      <w:r>
        <w:rPr>
          <w:rFonts w:ascii="Arial" w:hAnsi="Arial" w:cs="Arial"/>
          <w:b/>
          <w:bCs/>
        </w:rPr>
        <w:t>13</w:t>
      </w:r>
    </w:p>
    <w:p w14:paraId="2F121C5B" w14:textId="77777777" w:rsidR="007C52EE" w:rsidRDefault="007C52EE" w:rsidP="00656878">
      <w:pPr>
        <w:rPr>
          <w:rFonts w:ascii="Arial" w:hAnsi="Arial" w:cs="Arial"/>
          <w:b/>
          <w:bCs/>
          <w:sz w:val="28"/>
          <w:szCs w:val="28"/>
        </w:rPr>
      </w:pPr>
    </w:p>
    <w:p w14:paraId="5F068FB2" w14:textId="77777777" w:rsidR="00227F5A" w:rsidRDefault="00227F5A" w:rsidP="00656878">
      <w:pPr>
        <w:rPr>
          <w:rFonts w:ascii="Arial" w:hAnsi="Arial" w:cs="Arial"/>
          <w:b/>
          <w:bCs/>
          <w:sz w:val="28"/>
          <w:szCs w:val="28"/>
        </w:rPr>
      </w:pPr>
    </w:p>
    <w:p w14:paraId="069626B2" w14:textId="2C6EBB3F" w:rsidR="00076183" w:rsidRDefault="00076183" w:rsidP="00656878">
      <w:pPr>
        <w:rPr>
          <w:rFonts w:ascii="Arial" w:hAnsi="Arial" w:cs="Arial"/>
          <w:b/>
          <w:bCs/>
          <w:sz w:val="28"/>
          <w:szCs w:val="28"/>
        </w:rPr>
      </w:pPr>
      <w:r>
        <w:rPr>
          <w:rFonts w:ascii="Arial" w:hAnsi="Arial" w:cs="Arial"/>
          <w:b/>
          <w:bCs/>
          <w:sz w:val="28"/>
          <w:szCs w:val="28"/>
        </w:rPr>
        <w:lastRenderedPageBreak/>
        <w:t>Introduction</w:t>
      </w:r>
    </w:p>
    <w:p w14:paraId="4D72D867" w14:textId="77777777" w:rsidR="00DB4C18" w:rsidRPr="00DB4C18" w:rsidRDefault="00DB4C18" w:rsidP="00DB4C18">
      <w:pPr>
        <w:spacing w:line="360" w:lineRule="auto"/>
        <w:rPr>
          <w:rFonts w:ascii="Arial" w:hAnsi="Arial" w:cs="Arial"/>
        </w:rPr>
      </w:pPr>
      <w:r w:rsidRPr="00DB4C18">
        <w:rPr>
          <w:rFonts w:ascii="Arial" w:hAnsi="Arial" w:cs="Arial"/>
        </w:rPr>
        <w:t>Fitbit, established in 2007 and later acquired by Google in 2021, is one of the most recognised global brands within the wearable health technology sector. The company’s mission has always centred around improving personal health through data-driven insights, easy-to-use technology, and user empowerment (Fitbit, 2024). Over the years, Fitbit has successfully positioned itself as a pioneer in the wearables market by introducing devices that track physical activity, heart rate, sleep quality, calorie intake, and more. In the UK, Fitbit benefits from a strong consumer base, wide retail presence, and partnerships with healthcare providers, positioning it as a trusted leader in both fitness and health monitoring.</w:t>
      </w:r>
    </w:p>
    <w:p w14:paraId="49E4D3D7" w14:textId="77777777" w:rsidR="00DB4C18" w:rsidRPr="00DB4C18" w:rsidRDefault="00DB4C18" w:rsidP="00DB4C18">
      <w:pPr>
        <w:spacing w:line="360" w:lineRule="auto"/>
        <w:rPr>
          <w:rFonts w:ascii="Arial" w:hAnsi="Arial" w:cs="Arial"/>
        </w:rPr>
      </w:pPr>
      <w:r w:rsidRPr="00DB4C18">
        <w:rPr>
          <w:rFonts w:ascii="Arial" w:hAnsi="Arial" w:cs="Arial"/>
        </w:rPr>
        <w:t>The rapid growth of digital health, telemedicine, and remote patient monitoring has increased demand for reliable wearable technology. Fitbit’s planned new wearable health device will introduce advanced monitoring features such as enhanced heart rate tracking, improved oxygen saturation measurement, and AI-driven sleep analytics. The device will be aimed at consumers seeking proactive management of personal health as well as individuals with specific medical conditions who may benefit from continuous monitoring.</w:t>
      </w:r>
    </w:p>
    <w:p w14:paraId="6A9FB293" w14:textId="77777777" w:rsidR="00DB4C18" w:rsidRDefault="00DB4C18" w:rsidP="00DB4C18">
      <w:pPr>
        <w:spacing w:line="360" w:lineRule="auto"/>
        <w:rPr>
          <w:rFonts w:ascii="Arial" w:hAnsi="Arial" w:cs="Arial"/>
        </w:rPr>
      </w:pPr>
      <w:r w:rsidRPr="00DB4C18">
        <w:rPr>
          <w:rFonts w:ascii="Arial" w:hAnsi="Arial" w:cs="Arial"/>
        </w:rPr>
        <w:t>Bringing such a technologically sophisticated product to market requires coordinated involvement from multiple internal and external stakeholders. The wearable health technology sector is highly competitive, fast-moving, and tightly regulated, and therefore effective stakeholder engagement becomes crucial. Stakeholder engagement ensures clarity of goals, reduces risk, and improves the likelihood of a successful product launch. This academic report critically explores how Fitbit can strategically identify, analyse, and engage stakeholders throughout the six-month project timeline to ensure efficient resource use, regulatory compliance, and long-term business success.</w:t>
      </w:r>
    </w:p>
    <w:p w14:paraId="3DF5A169" w14:textId="77777777" w:rsidR="000A7124" w:rsidRDefault="000A7124" w:rsidP="00DB4C18">
      <w:pPr>
        <w:spacing w:line="360" w:lineRule="auto"/>
        <w:rPr>
          <w:rFonts w:ascii="Arial" w:hAnsi="Arial" w:cs="Arial"/>
        </w:rPr>
      </w:pPr>
    </w:p>
    <w:p w14:paraId="4F3A416B" w14:textId="77777777" w:rsidR="000A7124" w:rsidRDefault="000A7124" w:rsidP="00DB4C18">
      <w:pPr>
        <w:spacing w:line="360" w:lineRule="auto"/>
        <w:rPr>
          <w:rFonts w:ascii="Arial" w:hAnsi="Arial" w:cs="Arial"/>
        </w:rPr>
      </w:pPr>
    </w:p>
    <w:p w14:paraId="72DB2712" w14:textId="77777777" w:rsidR="000A7124" w:rsidRDefault="000A7124" w:rsidP="00DB4C18">
      <w:pPr>
        <w:spacing w:line="360" w:lineRule="auto"/>
        <w:rPr>
          <w:rFonts w:ascii="Arial" w:hAnsi="Arial" w:cs="Arial"/>
        </w:rPr>
      </w:pPr>
    </w:p>
    <w:p w14:paraId="5842270A" w14:textId="77777777" w:rsidR="000A7124" w:rsidRDefault="000A7124" w:rsidP="00DB4C18">
      <w:pPr>
        <w:spacing w:line="360" w:lineRule="auto"/>
        <w:rPr>
          <w:rFonts w:ascii="Arial" w:hAnsi="Arial" w:cs="Arial"/>
        </w:rPr>
      </w:pPr>
    </w:p>
    <w:p w14:paraId="5065D82A" w14:textId="77777777" w:rsidR="000A7124" w:rsidRDefault="000A7124" w:rsidP="00DB4C18">
      <w:pPr>
        <w:spacing w:line="360" w:lineRule="auto"/>
        <w:rPr>
          <w:rFonts w:ascii="Arial" w:hAnsi="Arial" w:cs="Arial"/>
        </w:rPr>
      </w:pPr>
    </w:p>
    <w:p w14:paraId="44333440" w14:textId="77777777" w:rsidR="000A7124" w:rsidRDefault="000A7124" w:rsidP="00DB4C18">
      <w:pPr>
        <w:spacing w:line="360" w:lineRule="auto"/>
        <w:rPr>
          <w:rFonts w:ascii="Arial" w:hAnsi="Arial" w:cs="Arial"/>
        </w:rPr>
      </w:pPr>
    </w:p>
    <w:p w14:paraId="6BA3AFE3" w14:textId="77777777" w:rsidR="000A7124" w:rsidRDefault="000A7124" w:rsidP="00DB4C18">
      <w:pPr>
        <w:spacing w:line="360" w:lineRule="auto"/>
        <w:rPr>
          <w:rFonts w:ascii="Arial" w:hAnsi="Arial" w:cs="Arial"/>
        </w:rPr>
      </w:pPr>
    </w:p>
    <w:p w14:paraId="62A14BD5" w14:textId="77777777" w:rsidR="000A7124" w:rsidRPr="00DB4C18" w:rsidRDefault="000A7124" w:rsidP="00DB4C18">
      <w:pPr>
        <w:spacing w:line="360" w:lineRule="auto"/>
        <w:rPr>
          <w:rFonts w:ascii="Arial" w:hAnsi="Arial" w:cs="Arial"/>
        </w:rPr>
      </w:pPr>
    </w:p>
    <w:p w14:paraId="04A1E31B" w14:textId="51924798" w:rsidR="008E6498" w:rsidRPr="00166665" w:rsidRDefault="008E6498" w:rsidP="008E6498">
      <w:pPr>
        <w:spacing w:line="360" w:lineRule="auto"/>
        <w:rPr>
          <w:rFonts w:ascii="Arial" w:hAnsi="Arial" w:cs="Arial"/>
          <w:b/>
          <w:bCs/>
          <w:sz w:val="28"/>
          <w:szCs w:val="28"/>
        </w:rPr>
      </w:pPr>
      <w:r w:rsidRPr="00166665">
        <w:rPr>
          <w:rFonts w:ascii="Arial" w:hAnsi="Arial" w:cs="Arial"/>
          <w:b/>
          <w:bCs/>
          <w:sz w:val="28"/>
          <w:szCs w:val="28"/>
        </w:rPr>
        <w:lastRenderedPageBreak/>
        <w:t>Strategic Appraisal of Fitbit using SWOT</w:t>
      </w:r>
    </w:p>
    <w:p w14:paraId="1F539429" w14:textId="4B5CDC5B" w:rsidR="008271D5" w:rsidRDefault="008271D5" w:rsidP="008271D5">
      <w:pPr>
        <w:spacing w:line="360" w:lineRule="auto"/>
        <w:rPr>
          <w:rFonts w:ascii="Arial" w:hAnsi="Arial" w:cs="Arial"/>
        </w:rPr>
      </w:pPr>
      <w:r w:rsidRPr="008271D5">
        <w:rPr>
          <w:rFonts w:ascii="Arial" w:hAnsi="Arial" w:cs="Arial"/>
        </w:rPr>
        <w:t>The SWOT analysis assesses Fitbit's internal capabilities and external environment to determine its readiness to launch the new health product</w:t>
      </w:r>
      <w:r>
        <w:rPr>
          <w:rFonts w:ascii="Arial" w:hAnsi="Arial" w:cs="Arial"/>
        </w:rPr>
        <w:t xml:space="preserve"> </w:t>
      </w:r>
      <w:r w:rsidRPr="008271D5">
        <w:rPr>
          <w:rFonts w:ascii="Arial" w:hAnsi="Arial" w:cs="Arial"/>
        </w:rPr>
        <w:t>(Yang et al., 2017)</w:t>
      </w:r>
      <w:r>
        <w:rPr>
          <w:rFonts w:ascii="Arial" w:hAnsi="Arial" w:cs="Arial"/>
        </w:rPr>
        <w:t>.</w:t>
      </w:r>
    </w:p>
    <w:tbl>
      <w:tblPr>
        <w:tblStyle w:val="TableGrid"/>
        <w:tblW w:w="10348" w:type="dxa"/>
        <w:tblInd w:w="-714" w:type="dxa"/>
        <w:tblLook w:val="04A0" w:firstRow="1" w:lastRow="0" w:firstColumn="1" w:lastColumn="0" w:noHBand="0" w:noVBand="1"/>
      </w:tblPr>
      <w:tblGrid>
        <w:gridCol w:w="5222"/>
        <w:gridCol w:w="5126"/>
      </w:tblGrid>
      <w:tr w:rsidR="008271D5" w14:paraId="017D930E" w14:textId="77777777" w:rsidTr="00567E48">
        <w:tc>
          <w:tcPr>
            <w:tcW w:w="5222" w:type="dxa"/>
            <w:shd w:val="clear" w:color="auto" w:fill="C1E4F5" w:themeFill="accent1" w:themeFillTint="33"/>
          </w:tcPr>
          <w:p w14:paraId="1251425C" w14:textId="7BF60CEA"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Strengths</w:t>
            </w:r>
          </w:p>
        </w:tc>
        <w:tc>
          <w:tcPr>
            <w:tcW w:w="5126" w:type="dxa"/>
            <w:shd w:val="clear" w:color="auto" w:fill="C1E4F5" w:themeFill="accent1" w:themeFillTint="33"/>
          </w:tcPr>
          <w:p w14:paraId="526B8296" w14:textId="481447FA"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Weaknesses</w:t>
            </w:r>
          </w:p>
        </w:tc>
      </w:tr>
      <w:tr w:rsidR="008271D5" w14:paraId="10AA3380" w14:textId="77777777" w:rsidTr="00B70679">
        <w:tc>
          <w:tcPr>
            <w:tcW w:w="5222" w:type="dxa"/>
          </w:tcPr>
          <w:p w14:paraId="497F3C67" w14:textId="74796744" w:rsidR="008271D5" w:rsidRDefault="008271D5" w:rsidP="008271D5">
            <w:pPr>
              <w:spacing w:line="360" w:lineRule="auto"/>
              <w:rPr>
                <w:rFonts w:ascii="Arial" w:hAnsi="Arial" w:cs="Arial"/>
              </w:rPr>
            </w:pPr>
            <w:r w:rsidRPr="008271D5">
              <w:rPr>
                <w:rFonts w:ascii="Arial" w:hAnsi="Arial" w:cs="Arial"/>
              </w:rPr>
              <w:t>High levels of consumer loyalty and brand recognition</w:t>
            </w:r>
          </w:p>
        </w:tc>
        <w:tc>
          <w:tcPr>
            <w:tcW w:w="5126" w:type="dxa"/>
          </w:tcPr>
          <w:p w14:paraId="313D1DBA" w14:textId="1ECCFF9D" w:rsidR="008271D5" w:rsidRDefault="008271D5" w:rsidP="008271D5">
            <w:pPr>
              <w:spacing w:line="360" w:lineRule="auto"/>
              <w:rPr>
                <w:rFonts w:ascii="Arial" w:hAnsi="Arial" w:cs="Arial"/>
              </w:rPr>
            </w:pPr>
            <w:r>
              <w:rPr>
                <w:rFonts w:ascii="Arial" w:hAnsi="Arial" w:cs="Arial"/>
              </w:rPr>
              <w:t>S</w:t>
            </w:r>
            <w:r w:rsidRPr="008271D5">
              <w:rPr>
                <w:rFonts w:ascii="Arial" w:hAnsi="Arial" w:cs="Arial"/>
              </w:rPr>
              <w:t>ignificant dependence on the wearable product line</w:t>
            </w:r>
          </w:p>
        </w:tc>
      </w:tr>
      <w:tr w:rsidR="008271D5" w14:paraId="459B3773" w14:textId="77777777" w:rsidTr="00B70679">
        <w:tc>
          <w:tcPr>
            <w:tcW w:w="5222" w:type="dxa"/>
          </w:tcPr>
          <w:p w14:paraId="6C86818D" w14:textId="4CA289A8" w:rsidR="008271D5" w:rsidRDefault="008271D5" w:rsidP="008271D5">
            <w:pPr>
              <w:spacing w:line="360" w:lineRule="auto"/>
              <w:rPr>
                <w:rFonts w:ascii="Arial" w:hAnsi="Arial" w:cs="Arial"/>
              </w:rPr>
            </w:pPr>
            <w:r w:rsidRPr="008271D5">
              <w:rPr>
                <w:rFonts w:ascii="Arial" w:hAnsi="Arial" w:cs="Arial"/>
              </w:rPr>
              <w:t>Connectivity to Google's cloud and AI ecosystem</w:t>
            </w:r>
          </w:p>
        </w:tc>
        <w:tc>
          <w:tcPr>
            <w:tcW w:w="5126" w:type="dxa"/>
          </w:tcPr>
          <w:p w14:paraId="7F24E612" w14:textId="7F266F98" w:rsidR="008271D5" w:rsidRDefault="008271D5" w:rsidP="008271D5">
            <w:pPr>
              <w:spacing w:line="360" w:lineRule="auto"/>
              <w:rPr>
                <w:rFonts w:ascii="Arial" w:hAnsi="Arial" w:cs="Arial"/>
              </w:rPr>
            </w:pPr>
            <w:r>
              <w:rPr>
                <w:rFonts w:ascii="Arial" w:hAnsi="Arial" w:cs="Arial"/>
              </w:rPr>
              <w:t>L</w:t>
            </w:r>
            <w:r w:rsidRPr="008271D5">
              <w:rPr>
                <w:rFonts w:ascii="Arial" w:hAnsi="Arial" w:cs="Arial"/>
              </w:rPr>
              <w:t>ittle distinction from rivals such as Apple</w:t>
            </w:r>
          </w:p>
        </w:tc>
      </w:tr>
      <w:tr w:rsidR="008271D5" w14:paraId="16B38036" w14:textId="77777777" w:rsidTr="00B70679">
        <w:tc>
          <w:tcPr>
            <w:tcW w:w="5222" w:type="dxa"/>
          </w:tcPr>
          <w:p w14:paraId="6EAB1ACE" w14:textId="0F45AA26" w:rsidR="008271D5" w:rsidRDefault="008271D5" w:rsidP="008271D5">
            <w:pPr>
              <w:spacing w:line="360" w:lineRule="auto"/>
              <w:rPr>
                <w:rFonts w:ascii="Arial" w:hAnsi="Arial" w:cs="Arial"/>
              </w:rPr>
            </w:pPr>
            <w:r>
              <w:rPr>
                <w:rFonts w:ascii="Arial" w:hAnsi="Arial" w:cs="Arial"/>
              </w:rPr>
              <w:t>R</w:t>
            </w:r>
            <w:r w:rsidRPr="008271D5">
              <w:rPr>
                <w:rFonts w:ascii="Arial" w:hAnsi="Arial" w:cs="Arial"/>
              </w:rPr>
              <w:t>eputable position in the EU and UK health markets</w:t>
            </w:r>
          </w:p>
        </w:tc>
        <w:tc>
          <w:tcPr>
            <w:tcW w:w="5126" w:type="dxa"/>
          </w:tcPr>
          <w:p w14:paraId="35303D7C" w14:textId="2DFDC770" w:rsidR="008271D5" w:rsidRDefault="00B70679" w:rsidP="008271D5">
            <w:pPr>
              <w:spacing w:line="360" w:lineRule="auto"/>
              <w:rPr>
                <w:rFonts w:ascii="Arial" w:hAnsi="Arial" w:cs="Arial"/>
              </w:rPr>
            </w:pPr>
            <w:r w:rsidRPr="00B70679">
              <w:rPr>
                <w:rFonts w:ascii="Arial" w:hAnsi="Arial" w:cs="Arial"/>
              </w:rPr>
              <w:t>Privacy issues with data exchange</w:t>
            </w:r>
          </w:p>
        </w:tc>
      </w:tr>
      <w:tr w:rsidR="008271D5" w14:paraId="583E8B09" w14:textId="77777777" w:rsidTr="00B70679">
        <w:tc>
          <w:tcPr>
            <w:tcW w:w="5222" w:type="dxa"/>
          </w:tcPr>
          <w:p w14:paraId="7F4A5A00" w14:textId="66C7BC37" w:rsidR="008271D5" w:rsidRDefault="00B70679" w:rsidP="008271D5">
            <w:pPr>
              <w:spacing w:line="360" w:lineRule="auto"/>
              <w:rPr>
                <w:rFonts w:ascii="Arial" w:hAnsi="Arial" w:cs="Arial"/>
              </w:rPr>
            </w:pPr>
            <w:r w:rsidRPr="00B70679">
              <w:rPr>
                <w:rFonts w:ascii="Arial" w:hAnsi="Arial" w:cs="Arial"/>
              </w:rPr>
              <w:t>Analytics of health data and a worldwide user base</w:t>
            </w:r>
          </w:p>
        </w:tc>
        <w:tc>
          <w:tcPr>
            <w:tcW w:w="5126" w:type="dxa"/>
          </w:tcPr>
          <w:p w14:paraId="626BAFA7" w14:textId="1EB9BEC9" w:rsidR="008271D5" w:rsidRDefault="00B70679" w:rsidP="008271D5">
            <w:pPr>
              <w:spacing w:line="360" w:lineRule="auto"/>
              <w:rPr>
                <w:rFonts w:ascii="Arial" w:hAnsi="Arial" w:cs="Arial"/>
              </w:rPr>
            </w:pPr>
            <w:r>
              <w:rPr>
                <w:rFonts w:ascii="Arial" w:hAnsi="Arial" w:cs="Arial"/>
              </w:rPr>
              <w:t>D</w:t>
            </w:r>
            <w:r w:rsidRPr="00B70679">
              <w:rPr>
                <w:rFonts w:ascii="Arial" w:hAnsi="Arial" w:cs="Arial"/>
              </w:rPr>
              <w:t>eclining market share following the dominance of the Apple Watch</w:t>
            </w:r>
          </w:p>
        </w:tc>
      </w:tr>
      <w:tr w:rsidR="008271D5" w14:paraId="31636CE2" w14:textId="77777777" w:rsidTr="00567E48">
        <w:tc>
          <w:tcPr>
            <w:tcW w:w="5222" w:type="dxa"/>
            <w:shd w:val="clear" w:color="auto" w:fill="C1E4F5" w:themeFill="accent1" w:themeFillTint="33"/>
          </w:tcPr>
          <w:p w14:paraId="7268AB4A" w14:textId="635422AF"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Opportunities</w:t>
            </w:r>
          </w:p>
        </w:tc>
        <w:tc>
          <w:tcPr>
            <w:tcW w:w="5126" w:type="dxa"/>
            <w:shd w:val="clear" w:color="auto" w:fill="C1E4F5" w:themeFill="accent1" w:themeFillTint="33"/>
          </w:tcPr>
          <w:p w14:paraId="3480199D" w14:textId="33530440" w:rsidR="008271D5" w:rsidRPr="008271D5" w:rsidRDefault="008271D5" w:rsidP="008271D5">
            <w:pPr>
              <w:spacing w:line="360" w:lineRule="auto"/>
              <w:rPr>
                <w:rFonts w:ascii="Arial" w:hAnsi="Arial" w:cs="Arial"/>
                <w:b/>
                <w:bCs/>
                <w:color w:val="EE0000"/>
              </w:rPr>
            </w:pPr>
            <w:r w:rsidRPr="008271D5">
              <w:rPr>
                <w:rFonts w:ascii="Arial" w:hAnsi="Arial" w:cs="Arial"/>
                <w:b/>
                <w:bCs/>
                <w:color w:val="EE0000"/>
              </w:rPr>
              <w:t>Threats</w:t>
            </w:r>
          </w:p>
        </w:tc>
      </w:tr>
      <w:tr w:rsidR="008271D5" w14:paraId="1D0FF0A5" w14:textId="77777777" w:rsidTr="00B70679">
        <w:tc>
          <w:tcPr>
            <w:tcW w:w="5222" w:type="dxa"/>
          </w:tcPr>
          <w:p w14:paraId="4E54F391" w14:textId="1A0316E8" w:rsidR="008271D5" w:rsidRDefault="00B70679" w:rsidP="008271D5">
            <w:pPr>
              <w:spacing w:line="360" w:lineRule="auto"/>
              <w:rPr>
                <w:rFonts w:ascii="Arial" w:hAnsi="Arial" w:cs="Arial"/>
              </w:rPr>
            </w:pPr>
            <w:r>
              <w:rPr>
                <w:rFonts w:ascii="Arial" w:hAnsi="Arial" w:cs="Arial"/>
              </w:rPr>
              <w:t>E</w:t>
            </w:r>
            <w:r w:rsidRPr="00B70679">
              <w:rPr>
                <w:rFonts w:ascii="Arial" w:hAnsi="Arial" w:cs="Arial"/>
              </w:rPr>
              <w:t>xpansion into medical-grade gadgets and health monitoring</w:t>
            </w:r>
          </w:p>
        </w:tc>
        <w:tc>
          <w:tcPr>
            <w:tcW w:w="5126" w:type="dxa"/>
          </w:tcPr>
          <w:p w14:paraId="2C10D6DF" w14:textId="164D40E2" w:rsidR="008271D5" w:rsidRDefault="00B70679" w:rsidP="008271D5">
            <w:pPr>
              <w:spacing w:line="360" w:lineRule="auto"/>
              <w:rPr>
                <w:rFonts w:ascii="Arial" w:hAnsi="Arial" w:cs="Arial"/>
              </w:rPr>
            </w:pPr>
            <w:r w:rsidRPr="00B70679">
              <w:rPr>
                <w:rFonts w:ascii="Arial" w:hAnsi="Arial" w:cs="Arial"/>
              </w:rPr>
              <w:t>Increasing competition in the wearable health sector</w:t>
            </w:r>
          </w:p>
        </w:tc>
      </w:tr>
      <w:tr w:rsidR="008271D5" w14:paraId="59F57896" w14:textId="77777777" w:rsidTr="00B70679">
        <w:tc>
          <w:tcPr>
            <w:tcW w:w="5222" w:type="dxa"/>
          </w:tcPr>
          <w:p w14:paraId="078FB64C" w14:textId="41FC88FB" w:rsidR="008271D5" w:rsidRDefault="00B70679" w:rsidP="008271D5">
            <w:pPr>
              <w:spacing w:line="360" w:lineRule="auto"/>
              <w:rPr>
                <w:rFonts w:ascii="Arial" w:hAnsi="Arial" w:cs="Arial"/>
              </w:rPr>
            </w:pPr>
            <w:r w:rsidRPr="00B70679">
              <w:rPr>
                <w:rFonts w:ascii="Arial" w:hAnsi="Arial" w:cs="Arial"/>
              </w:rPr>
              <w:t>Partnerships with NHS and healthcare providers</w:t>
            </w:r>
            <w:r w:rsidRPr="00B70679">
              <w:rPr>
                <w:rFonts w:ascii="Arial" w:hAnsi="Arial" w:cs="Arial"/>
              </w:rPr>
              <w:tab/>
            </w:r>
          </w:p>
        </w:tc>
        <w:tc>
          <w:tcPr>
            <w:tcW w:w="5126" w:type="dxa"/>
          </w:tcPr>
          <w:p w14:paraId="2F51389C" w14:textId="0A3D3F5D" w:rsidR="008271D5" w:rsidRDefault="00B70679" w:rsidP="008271D5">
            <w:pPr>
              <w:spacing w:line="360" w:lineRule="auto"/>
              <w:rPr>
                <w:rFonts w:ascii="Arial" w:hAnsi="Arial" w:cs="Arial"/>
              </w:rPr>
            </w:pPr>
            <w:r>
              <w:rPr>
                <w:rFonts w:ascii="Arial" w:hAnsi="Arial" w:cs="Arial"/>
              </w:rPr>
              <w:t>S</w:t>
            </w:r>
            <w:r w:rsidRPr="00B70679">
              <w:rPr>
                <w:rFonts w:ascii="Arial" w:hAnsi="Arial" w:cs="Arial"/>
              </w:rPr>
              <w:t>trict laws governing data protection (GDPR, MHRA)</w:t>
            </w:r>
          </w:p>
        </w:tc>
      </w:tr>
      <w:tr w:rsidR="008271D5" w14:paraId="63440A00" w14:textId="77777777" w:rsidTr="00B70679">
        <w:tc>
          <w:tcPr>
            <w:tcW w:w="5222" w:type="dxa"/>
          </w:tcPr>
          <w:p w14:paraId="391FEA02" w14:textId="3807A5E2" w:rsidR="008271D5" w:rsidRDefault="00B70679" w:rsidP="008271D5">
            <w:pPr>
              <w:spacing w:line="360" w:lineRule="auto"/>
              <w:rPr>
                <w:rFonts w:ascii="Arial" w:hAnsi="Arial" w:cs="Arial"/>
              </w:rPr>
            </w:pPr>
            <w:r w:rsidRPr="00B70679">
              <w:rPr>
                <w:rFonts w:ascii="Arial" w:hAnsi="Arial" w:cs="Arial"/>
              </w:rPr>
              <w:t>Growth in remote patient monitoring and telehealth</w:t>
            </w:r>
          </w:p>
        </w:tc>
        <w:tc>
          <w:tcPr>
            <w:tcW w:w="5126" w:type="dxa"/>
          </w:tcPr>
          <w:p w14:paraId="18612E90" w14:textId="11EE3453" w:rsidR="008271D5" w:rsidRDefault="00B70679" w:rsidP="008271D5">
            <w:pPr>
              <w:spacing w:line="360" w:lineRule="auto"/>
              <w:rPr>
                <w:rFonts w:ascii="Arial" w:hAnsi="Arial" w:cs="Arial"/>
              </w:rPr>
            </w:pPr>
            <w:r w:rsidRPr="00B70679">
              <w:rPr>
                <w:rFonts w:ascii="Arial" w:hAnsi="Arial" w:cs="Arial"/>
              </w:rPr>
              <w:t>The risks of cybersecurity and technological obsolescence</w:t>
            </w:r>
          </w:p>
        </w:tc>
      </w:tr>
    </w:tbl>
    <w:p w14:paraId="4314B400" w14:textId="28F852E8" w:rsidR="008271D5" w:rsidRDefault="00B70679" w:rsidP="00B70679">
      <w:pPr>
        <w:spacing w:line="360" w:lineRule="auto"/>
        <w:jc w:val="right"/>
        <w:rPr>
          <w:rFonts w:ascii="Arial" w:hAnsi="Arial" w:cs="Arial"/>
          <w:b/>
          <w:bCs/>
          <w:i/>
          <w:iCs/>
        </w:rPr>
      </w:pPr>
      <w:r w:rsidRPr="00B70679">
        <w:rPr>
          <w:rFonts w:ascii="Arial" w:hAnsi="Arial" w:cs="Arial"/>
          <w:b/>
          <w:bCs/>
          <w:i/>
          <w:iCs/>
        </w:rPr>
        <w:t>TABLE 1</w:t>
      </w:r>
    </w:p>
    <w:p w14:paraId="16186C16" w14:textId="77777777" w:rsidR="00B70679" w:rsidRDefault="00B70679" w:rsidP="00B70679">
      <w:pPr>
        <w:spacing w:line="360" w:lineRule="auto"/>
        <w:rPr>
          <w:rFonts w:ascii="Arial" w:hAnsi="Arial" w:cs="Arial"/>
          <w:b/>
          <w:bCs/>
          <w:i/>
          <w:iCs/>
        </w:rPr>
      </w:pPr>
      <w:r w:rsidRPr="008271D5">
        <w:rPr>
          <w:rFonts w:ascii="Arial" w:hAnsi="Arial" w:cs="Arial"/>
          <w:b/>
          <w:bCs/>
          <w:color w:val="EE0000"/>
        </w:rPr>
        <w:t>Strengths</w:t>
      </w:r>
      <w:r w:rsidRPr="00B70679">
        <w:rPr>
          <w:rFonts w:ascii="Arial" w:hAnsi="Arial" w:cs="Arial"/>
          <w:b/>
          <w:bCs/>
          <w:i/>
          <w:iCs/>
        </w:rPr>
        <w:t xml:space="preserve"> </w:t>
      </w:r>
    </w:p>
    <w:p w14:paraId="0A743C37" w14:textId="436C2875" w:rsidR="00EB1C6D" w:rsidRPr="00EB1C6D" w:rsidRDefault="00EB1C6D" w:rsidP="00EB1C6D">
      <w:pPr>
        <w:spacing w:line="360" w:lineRule="auto"/>
        <w:rPr>
          <w:rFonts w:ascii="Arial" w:hAnsi="Arial" w:cs="Arial"/>
        </w:rPr>
      </w:pPr>
      <w:r w:rsidRPr="00EB1C6D">
        <w:rPr>
          <w:rFonts w:ascii="Arial" w:hAnsi="Arial" w:cs="Arial"/>
        </w:rPr>
        <w:t>Fitbit has consistently maintained a strong brand presence in the UK, with high levels of customer loyalty and market recognition. As a Google-owned company, Fitbit benefits from access to advanced machine learning algorithms, cloud storage capabilities, and a vast global data infrastructure (Statista, 2024). The integration with Google’s health services enhances Fitbit’s ability to deliver personalised insights using AI. Furthermore, Fitbit has an established research base and access to millions of data points collected from users worldwide, allowing it to refine and improve the accuracy of its health algorithms.</w:t>
      </w:r>
    </w:p>
    <w:p w14:paraId="341361C8" w14:textId="77777777" w:rsidR="00EB1C6D" w:rsidRDefault="00EB1C6D" w:rsidP="00EB1C6D">
      <w:pPr>
        <w:spacing w:line="360" w:lineRule="auto"/>
        <w:rPr>
          <w:rFonts w:ascii="Arial" w:hAnsi="Arial" w:cs="Arial"/>
        </w:rPr>
      </w:pPr>
      <w:r w:rsidRPr="00EB1C6D">
        <w:rPr>
          <w:rFonts w:ascii="Arial" w:hAnsi="Arial" w:cs="Arial"/>
        </w:rPr>
        <w:t xml:space="preserve">Another key strength lies in Fitbit’s cross-platform compatibility and affordability. Unlike some competitors that operate within closed ecosystems, Fitbit devices work with multiple </w:t>
      </w:r>
      <w:r w:rsidRPr="00EB1C6D">
        <w:rPr>
          <w:rFonts w:ascii="Arial" w:hAnsi="Arial" w:cs="Arial"/>
        </w:rPr>
        <w:t>smartphones</w:t>
      </w:r>
      <w:r w:rsidRPr="00EB1C6D">
        <w:rPr>
          <w:rFonts w:ascii="Arial" w:hAnsi="Arial" w:cs="Arial"/>
        </w:rPr>
        <w:t xml:space="preserve"> operating systems, giving them broader market appeal. Fitbit’s reputation for high-quality sleep tracking and ease of use also supports strong consumer satisfaction.</w:t>
      </w:r>
    </w:p>
    <w:p w14:paraId="42B59DEF" w14:textId="549A0735" w:rsidR="008E6498" w:rsidRDefault="00B70679" w:rsidP="00EB1C6D">
      <w:pPr>
        <w:spacing w:line="360" w:lineRule="auto"/>
        <w:rPr>
          <w:rFonts w:ascii="Arial" w:hAnsi="Arial" w:cs="Arial"/>
          <w:b/>
          <w:bCs/>
          <w:color w:val="EE0000"/>
        </w:rPr>
      </w:pPr>
      <w:r w:rsidRPr="00B70679">
        <w:rPr>
          <w:rFonts w:ascii="Arial" w:hAnsi="Arial" w:cs="Arial"/>
          <w:b/>
          <w:bCs/>
          <w:color w:val="EE0000"/>
        </w:rPr>
        <w:t>Weaknesses</w:t>
      </w:r>
    </w:p>
    <w:p w14:paraId="08C6E0D1" w14:textId="77777777" w:rsidR="00D05DDC" w:rsidRPr="00D05DDC" w:rsidRDefault="00D05DDC" w:rsidP="00D05DDC">
      <w:pPr>
        <w:spacing w:line="360" w:lineRule="auto"/>
        <w:rPr>
          <w:rFonts w:ascii="Arial" w:hAnsi="Arial" w:cs="Arial"/>
          <w:color w:val="000000" w:themeColor="text1"/>
        </w:rPr>
      </w:pPr>
      <w:r w:rsidRPr="00D05DDC">
        <w:rPr>
          <w:rFonts w:ascii="Arial" w:hAnsi="Arial" w:cs="Arial"/>
          <w:color w:val="000000" w:themeColor="text1"/>
        </w:rPr>
        <w:lastRenderedPageBreak/>
        <w:t>Despite its strengths, Fitbit faces several weaknesses that could affect the new device launch. One of the major concerns involves data privacy, especially following the Google acquisition. Consumers and regulators have expressed concerns over the use of sensitive health information (BBC, 2023). Any perception of mismanaged data could undermine consumer trust.</w:t>
      </w:r>
    </w:p>
    <w:p w14:paraId="50AB60C1" w14:textId="67A124AD" w:rsidR="00D05DDC" w:rsidRPr="00D05DDC" w:rsidRDefault="00D05DDC" w:rsidP="00D05DDC">
      <w:pPr>
        <w:spacing w:line="360" w:lineRule="auto"/>
        <w:rPr>
          <w:rFonts w:ascii="Arial" w:hAnsi="Arial" w:cs="Arial"/>
          <w:color w:val="000000" w:themeColor="text1"/>
        </w:rPr>
      </w:pPr>
      <w:r w:rsidRPr="00D05DDC">
        <w:rPr>
          <w:rFonts w:ascii="Arial" w:hAnsi="Arial" w:cs="Arial"/>
          <w:color w:val="000000" w:themeColor="text1"/>
        </w:rPr>
        <w:t>Fitbit’s market position has also weakened in recent years due to strong competition from Apple, Samsung, and Garmin. Apple</w:t>
      </w:r>
      <w:r w:rsidR="00B8548C" w:rsidRPr="00D05DDC">
        <w:rPr>
          <w:rFonts w:ascii="Arial" w:hAnsi="Arial" w:cs="Arial"/>
          <w:color w:val="000000" w:themeColor="text1"/>
        </w:rPr>
        <w:t xml:space="preserve"> dominates</w:t>
      </w:r>
      <w:r w:rsidRPr="00D05DDC">
        <w:rPr>
          <w:rFonts w:ascii="Arial" w:hAnsi="Arial" w:cs="Arial"/>
          <w:color w:val="000000" w:themeColor="text1"/>
        </w:rPr>
        <w:t xml:space="preserve"> the premium smartwatch segment, leaving Fitbit to compete more heavily on price. Fitbit’s hardware is sometimes viewed as less advanced, with fewer premium features compared to competitors. This presents a challenge for the launch of a new health-focused device that may require higher pricing.</w:t>
      </w:r>
    </w:p>
    <w:p w14:paraId="59ABBA1B" w14:textId="77777777" w:rsidR="00D05DDC" w:rsidRPr="00D05DDC" w:rsidRDefault="00D05DDC" w:rsidP="00D05DDC">
      <w:pPr>
        <w:spacing w:line="360" w:lineRule="auto"/>
        <w:rPr>
          <w:rFonts w:ascii="Arial" w:hAnsi="Arial" w:cs="Arial"/>
          <w:color w:val="000000" w:themeColor="text1"/>
        </w:rPr>
      </w:pPr>
      <w:r w:rsidRPr="00D05DDC">
        <w:rPr>
          <w:rFonts w:ascii="Arial" w:hAnsi="Arial" w:cs="Arial"/>
          <w:color w:val="000000" w:themeColor="text1"/>
        </w:rPr>
        <w:t>Another internal weakness is Fitbit’s reliance on a narrow product range. Although Fitbit has attempted to diversify with software subscriptions such as Fitbit Premium, the business still heavily depends on physical hardware sales, making it vulnerable to market fluctuations.</w:t>
      </w:r>
    </w:p>
    <w:p w14:paraId="004DE316" w14:textId="773644B6" w:rsidR="00E92369" w:rsidRDefault="00E92369" w:rsidP="008E6498">
      <w:pPr>
        <w:spacing w:line="360" w:lineRule="auto"/>
        <w:rPr>
          <w:rFonts w:ascii="Arial" w:hAnsi="Arial" w:cs="Arial"/>
          <w:b/>
          <w:bCs/>
          <w:color w:val="EE0000"/>
        </w:rPr>
      </w:pPr>
      <w:r w:rsidRPr="00E92369">
        <w:rPr>
          <w:rFonts w:ascii="Arial" w:hAnsi="Arial" w:cs="Arial"/>
          <w:b/>
          <w:bCs/>
          <w:color w:val="EE0000"/>
        </w:rPr>
        <w:t>Opportunities</w:t>
      </w:r>
    </w:p>
    <w:p w14:paraId="77D61EBE" w14:textId="77777777"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The expansion of digital health and remote monitoring presents major opportunities for Fitbit. The UK market, influenced by NHS digital transformation initiatives, increasingly encourages the use of digital tools in preventative and personalised care (NHS Digital, 2023). Fitbit could leverage this opportunity by forming partnerships with healthcare organisations, insurers, or corporate wellness programmes.</w:t>
      </w:r>
    </w:p>
    <w:p w14:paraId="6C664659" w14:textId="3DCA56B2"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The global increase in health awareness</w:t>
      </w:r>
      <w:r w:rsidR="00B8548C">
        <w:rPr>
          <w:rFonts w:ascii="Arial" w:hAnsi="Arial" w:cs="Arial"/>
          <w:color w:val="000000" w:themeColor="text1"/>
        </w:rPr>
        <w:t xml:space="preserve"> </w:t>
      </w:r>
      <w:r w:rsidRPr="007677BB">
        <w:rPr>
          <w:rFonts w:ascii="Arial" w:hAnsi="Arial" w:cs="Arial"/>
          <w:color w:val="000000" w:themeColor="text1"/>
        </w:rPr>
        <w:t>accelerated by the COVID-19 pandemic—has boosted demand for health monitoring tools. Consumers increasingly want wearable devices that track stress, sleep, blood oxygen, and heart health. Fitbit’s new device, with enhanced monitoring capabilities, is well positioned to meet this demand.</w:t>
      </w:r>
    </w:p>
    <w:p w14:paraId="2AA5B0C1" w14:textId="7FEA630A"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 xml:space="preserve">Fitbit also </w:t>
      </w:r>
      <w:r w:rsidRPr="007677BB">
        <w:rPr>
          <w:rFonts w:ascii="Arial" w:hAnsi="Arial" w:cs="Arial"/>
          <w:color w:val="000000" w:themeColor="text1"/>
        </w:rPr>
        <w:t>can</w:t>
      </w:r>
      <w:r w:rsidRPr="007677BB">
        <w:rPr>
          <w:rFonts w:ascii="Arial" w:hAnsi="Arial" w:cs="Arial"/>
          <w:color w:val="000000" w:themeColor="text1"/>
        </w:rPr>
        <w:t xml:space="preserve"> work with regulators such as the MHRA to formally classify certain device features as medically approved. This would differentiate Fitbit as a credible health tool rather than just a fitness tracker.</w:t>
      </w:r>
    </w:p>
    <w:p w14:paraId="7A71F374" w14:textId="1D82E61B" w:rsidR="00E92369" w:rsidRDefault="00E92369" w:rsidP="008E6498">
      <w:pPr>
        <w:spacing w:line="360" w:lineRule="auto"/>
        <w:rPr>
          <w:rFonts w:ascii="Arial" w:hAnsi="Arial" w:cs="Arial"/>
          <w:b/>
          <w:bCs/>
          <w:color w:val="EE0000"/>
        </w:rPr>
      </w:pPr>
      <w:r w:rsidRPr="00E92369">
        <w:rPr>
          <w:rFonts w:ascii="Arial" w:hAnsi="Arial" w:cs="Arial"/>
          <w:b/>
          <w:bCs/>
          <w:color w:val="EE0000"/>
        </w:rPr>
        <w:t>Threats</w:t>
      </w:r>
    </w:p>
    <w:p w14:paraId="189F0582" w14:textId="77777777"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One of the most significant threats Fitbit faces is competition from large technology firms with deeper resources and broader ecosystems. Apple and Samsung continue to release highly advanced health features, and their devices benefit from seamless integration with their own ecosystems. This could make it challenging for Fitbit to gain market share for its new device.</w:t>
      </w:r>
    </w:p>
    <w:p w14:paraId="27A31B34" w14:textId="77777777" w:rsidR="007677BB" w:rsidRP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lastRenderedPageBreak/>
        <w:t>Regulatory pressures represent another threat. Wearable devices that monitor physiological indicators such as blood oxygen or heart rate variability may fall under medical device regulations, requiring clinical validation and regulatory approval. Delays in securing compliance could push back the product launch.</w:t>
      </w:r>
    </w:p>
    <w:p w14:paraId="37575E9A" w14:textId="77777777" w:rsidR="007677BB" w:rsidRDefault="007677BB" w:rsidP="007677BB">
      <w:pPr>
        <w:spacing w:line="360" w:lineRule="auto"/>
        <w:rPr>
          <w:rFonts w:ascii="Arial" w:hAnsi="Arial" w:cs="Arial"/>
          <w:color w:val="000000" w:themeColor="text1"/>
        </w:rPr>
      </w:pPr>
      <w:r w:rsidRPr="007677BB">
        <w:rPr>
          <w:rFonts w:ascii="Arial" w:hAnsi="Arial" w:cs="Arial"/>
          <w:color w:val="000000" w:themeColor="text1"/>
        </w:rPr>
        <w:t>Cybersecurity and data breaches are also serious threats. Fitbit collects vast amounts of personal data, making it a potential target for cyberattacks. A breach would severely damage consumer trust and introduce legal penalties.</w:t>
      </w:r>
    </w:p>
    <w:p w14:paraId="3D26C1DD" w14:textId="6E0E5C37" w:rsidR="004F5CD7" w:rsidRPr="007677BB" w:rsidRDefault="004F5CD7" w:rsidP="007677BB">
      <w:pPr>
        <w:spacing w:line="360" w:lineRule="auto"/>
        <w:rPr>
          <w:rFonts w:ascii="Arial" w:hAnsi="Arial" w:cs="Arial"/>
          <w:color w:val="000000" w:themeColor="text1"/>
        </w:rPr>
      </w:pPr>
      <w:r w:rsidRPr="004F5CD7">
        <w:rPr>
          <w:rFonts w:ascii="Arial" w:hAnsi="Arial" w:cs="Arial"/>
          <w:color w:val="000000" w:themeColor="text1"/>
        </w:rPr>
        <w:t>The SWOT analysis highlights that Fitbit is in a strong strategic position to launch the new device but must manage weaknesses related to privacy concerns and market competition. By leveraging its partnership with Google and taking advantage of opportunities in digital health, Fitbit can maximise the potential success of the new wearable device. However, targeted stakeholder engagement will be essential to mitigate the threats identified.</w:t>
      </w:r>
    </w:p>
    <w:p w14:paraId="732CF1CF" w14:textId="77777777" w:rsidR="007139FA" w:rsidRPr="00166665" w:rsidRDefault="007139FA" w:rsidP="008E6498">
      <w:pPr>
        <w:spacing w:line="360" w:lineRule="auto"/>
        <w:rPr>
          <w:rFonts w:ascii="Arial" w:hAnsi="Arial" w:cs="Arial"/>
          <w:color w:val="000000" w:themeColor="text1"/>
          <w:sz w:val="28"/>
          <w:szCs w:val="28"/>
        </w:rPr>
      </w:pPr>
      <w:r w:rsidRPr="00166665">
        <w:rPr>
          <w:rFonts w:ascii="Arial" w:hAnsi="Arial" w:cs="Arial"/>
          <w:b/>
          <w:bCs/>
          <w:sz w:val="28"/>
          <w:szCs w:val="28"/>
        </w:rPr>
        <w:t>Key Stakeholders</w:t>
      </w:r>
      <w:r w:rsidRPr="00166665">
        <w:rPr>
          <w:rFonts w:ascii="Arial" w:hAnsi="Arial" w:cs="Arial"/>
          <w:color w:val="000000" w:themeColor="text1"/>
          <w:sz w:val="28"/>
          <w:szCs w:val="28"/>
        </w:rPr>
        <w:t xml:space="preserve"> </w:t>
      </w:r>
    </w:p>
    <w:p w14:paraId="025BE6B3" w14:textId="01ABF1FD" w:rsidR="007139FA" w:rsidRDefault="007139FA" w:rsidP="008E6498">
      <w:pPr>
        <w:spacing w:line="360" w:lineRule="auto"/>
        <w:rPr>
          <w:rFonts w:ascii="Arial" w:hAnsi="Arial" w:cs="Arial"/>
          <w:color w:val="000000" w:themeColor="text1"/>
        </w:rPr>
      </w:pPr>
      <w:r w:rsidRPr="007139FA">
        <w:rPr>
          <w:rFonts w:ascii="Arial" w:hAnsi="Arial" w:cs="Arial"/>
          <w:i/>
          <w:iCs/>
          <w:color w:val="EE0000"/>
        </w:rPr>
        <w:t>Stakeholders are</w:t>
      </w:r>
      <w:r w:rsidRPr="007139FA">
        <w:rPr>
          <w:rFonts w:ascii="Arial" w:hAnsi="Arial" w:cs="Arial"/>
          <w:color w:val="EE0000"/>
        </w:rPr>
        <w:t xml:space="preserve"> </w:t>
      </w:r>
      <w:r w:rsidRPr="007139FA">
        <w:rPr>
          <w:rFonts w:ascii="Arial" w:hAnsi="Arial" w:cs="Arial"/>
          <w:color w:val="000000" w:themeColor="text1"/>
        </w:rPr>
        <w:t>individuals, businesses, or organizations that have a direct interest in your company's activities and outcomes. They are characterized by two key dimensions: their influence capability the ability to affect your company's decisions, operations, or success and their impact exposure t</w:t>
      </w:r>
      <w:r>
        <w:rPr>
          <w:rFonts w:ascii="Arial" w:hAnsi="Arial" w:cs="Arial"/>
          <w:color w:val="000000" w:themeColor="text1"/>
        </w:rPr>
        <w:t>h</w:t>
      </w:r>
      <w:r w:rsidRPr="007139FA">
        <w:rPr>
          <w:rFonts w:ascii="Arial" w:hAnsi="Arial" w:cs="Arial"/>
          <w:color w:val="000000" w:themeColor="text1"/>
        </w:rPr>
        <w:t>e degree to which they are affected by your company's actions, performance, or changes.</w:t>
      </w:r>
    </w:p>
    <w:p w14:paraId="5ADD22F6" w14:textId="5134D71A" w:rsidR="007139FA" w:rsidRDefault="007139FA" w:rsidP="008E6498">
      <w:pPr>
        <w:spacing w:line="360" w:lineRule="auto"/>
        <w:rPr>
          <w:rFonts w:ascii="Arial" w:hAnsi="Arial" w:cs="Arial"/>
          <w:color w:val="000000" w:themeColor="text1"/>
        </w:rPr>
      </w:pPr>
      <w:r w:rsidRPr="007139FA">
        <w:rPr>
          <w:rFonts w:ascii="Arial" w:hAnsi="Arial" w:cs="Arial"/>
          <w:color w:val="000000" w:themeColor="text1"/>
        </w:rPr>
        <w:t>The success of the new wearable device depends on engaging both internal and external stakeholders who influence and are affected by the project.</w:t>
      </w:r>
    </w:p>
    <w:p w14:paraId="0EBFD4E5" w14:textId="793AE59D" w:rsidR="007139FA" w:rsidRDefault="007139FA" w:rsidP="008E6498">
      <w:pPr>
        <w:spacing w:line="360" w:lineRule="auto"/>
        <w:rPr>
          <w:rFonts w:ascii="Arial" w:hAnsi="Arial" w:cs="Arial"/>
          <w:color w:val="000000" w:themeColor="text1"/>
        </w:rPr>
      </w:pPr>
      <w:r w:rsidRPr="007139FA">
        <w:rPr>
          <w:rFonts w:ascii="Arial" w:hAnsi="Arial" w:cs="Arial"/>
          <w:i/>
          <w:iCs/>
          <w:color w:val="EE0000"/>
        </w:rPr>
        <w:t>Internal stakeholders</w:t>
      </w:r>
      <w:r w:rsidRPr="007139FA">
        <w:rPr>
          <w:rFonts w:ascii="Arial" w:hAnsi="Arial" w:cs="Arial"/>
          <w:color w:val="000000" w:themeColor="text1"/>
        </w:rPr>
        <w:t>, also known as primary stakeholders, are individuals or entities that have a direct interest in or influence over a company. Their involvement is crucial because the processes and outcomes of the company directly impact them. Examples of internal stakeholders include employees, owners, and investors.</w:t>
      </w:r>
    </w:p>
    <w:p w14:paraId="50AC7452"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Project Manager:</w:t>
      </w:r>
      <w:r w:rsidRPr="007E49A3">
        <w:rPr>
          <w:rFonts w:ascii="Arial" w:hAnsi="Arial" w:cs="Arial"/>
          <w:color w:val="000000" w:themeColor="text1"/>
        </w:rPr>
        <w:br/>
        <w:t>Responsible for overseeing the entire six-month project, coordinating teams, managing timelines, budgets, risks, and ensuring alignment with strategic goals.</w:t>
      </w:r>
    </w:p>
    <w:p w14:paraId="02F758DE"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Product Development Team (Engineering, Software, UX):</w:t>
      </w:r>
      <w:r w:rsidRPr="007E49A3">
        <w:rPr>
          <w:rFonts w:ascii="Arial" w:hAnsi="Arial" w:cs="Arial"/>
          <w:color w:val="000000" w:themeColor="text1"/>
        </w:rPr>
        <w:br/>
        <w:t>Responsible for the technical development of the device, including design, hardware integration, testing, and software functionality. Their performance directly influences product quality.</w:t>
      </w:r>
    </w:p>
    <w:p w14:paraId="6618DF6A"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Marketing Department:</w:t>
      </w:r>
      <w:r w:rsidRPr="007E49A3">
        <w:rPr>
          <w:rFonts w:ascii="Arial" w:hAnsi="Arial" w:cs="Arial"/>
          <w:color w:val="000000" w:themeColor="text1"/>
        </w:rPr>
        <w:br/>
        <w:t xml:space="preserve">Develops brand messaging, advertising campaigns, launch events, and consumer </w:t>
      </w:r>
      <w:r w:rsidRPr="007E49A3">
        <w:rPr>
          <w:rFonts w:ascii="Arial" w:hAnsi="Arial" w:cs="Arial"/>
          <w:color w:val="000000" w:themeColor="text1"/>
        </w:rPr>
        <w:lastRenderedPageBreak/>
        <w:t>engagement strategies. Their work determines how effectively the product is positioned in the UK market.</w:t>
      </w:r>
    </w:p>
    <w:p w14:paraId="633FCA23"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Sales Department:</w:t>
      </w:r>
      <w:r w:rsidRPr="007E49A3">
        <w:rPr>
          <w:rFonts w:ascii="Arial" w:hAnsi="Arial" w:cs="Arial"/>
          <w:color w:val="000000" w:themeColor="text1"/>
        </w:rPr>
        <w:br/>
        <w:t>Responsible for securing retail partnerships, managing distribution channels, forecasting sales, and preparing pre-launch orders.</w:t>
      </w:r>
    </w:p>
    <w:p w14:paraId="213A8F63"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Finance Department:</w:t>
      </w:r>
      <w:r w:rsidRPr="007E49A3">
        <w:rPr>
          <w:rFonts w:ascii="Arial" w:hAnsi="Arial" w:cs="Arial"/>
          <w:color w:val="000000" w:themeColor="text1"/>
        </w:rPr>
        <w:br/>
        <w:t>Allocates the budget, analyses financial risks, monitors spending, and ensures cost-effectiveness throughout the project lifecycle.</w:t>
      </w:r>
    </w:p>
    <w:p w14:paraId="5E9B874E" w14:textId="77777777" w:rsidR="007E49A3" w:rsidRPr="007E49A3" w:rsidRDefault="007E49A3" w:rsidP="007E49A3">
      <w:pPr>
        <w:spacing w:line="360" w:lineRule="auto"/>
        <w:rPr>
          <w:rFonts w:ascii="Arial" w:hAnsi="Arial" w:cs="Arial"/>
          <w:color w:val="000000" w:themeColor="text1"/>
        </w:rPr>
      </w:pPr>
      <w:r w:rsidRPr="007E49A3">
        <w:rPr>
          <w:rFonts w:ascii="Arial" w:hAnsi="Arial" w:cs="Arial"/>
          <w:b/>
          <w:bCs/>
          <w:color w:val="000000" w:themeColor="text1"/>
        </w:rPr>
        <w:t>Legal and Compliance Team:</w:t>
      </w:r>
      <w:r w:rsidRPr="007E49A3">
        <w:rPr>
          <w:rFonts w:ascii="Arial" w:hAnsi="Arial" w:cs="Arial"/>
          <w:color w:val="000000" w:themeColor="text1"/>
        </w:rPr>
        <w:br/>
        <w:t>Ensures compliance with GDPR, MHRA regulations, health and safety requirements, and intellectual property laws.</w:t>
      </w:r>
    </w:p>
    <w:p w14:paraId="05339A87" w14:textId="3DE054DD" w:rsidR="007E49A3" w:rsidRDefault="007E49A3" w:rsidP="008E6498">
      <w:pPr>
        <w:spacing w:line="360" w:lineRule="auto"/>
        <w:rPr>
          <w:rFonts w:ascii="Arial" w:hAnsi="Arial" w:cs="Arial"/>
          <w:color w:val="000000" w:themeColor="text1"/>
        </w:rPr>
      </w:pPr>
      <w:r w:rsidRPr="007E49A3">
        <w:rPr>
          <w:rFonts w:ascii="Arial" w:hAnsi="Arial" w:cs="Arial"/>
          <w:b/>
          <w:bCs/>
          <w:color w:val="000000" w:themeColor="text1"/>
        </w:rPr>
        <w:t>Senior Management (Executives):</w:t>
      </w:r>
      <w:r w:rsidRPr="007E49A3">
        <w:rPr>
          <w:rFonts w:ascii="Arial" w:hAnsi="Arial" w:cs="Arial"/>
          <w:color w:val="000000" w:themeColor="text1"/>
        </w:rPr>
        <w:br/>
        <w:t>Provide strategic oversight, approve budgets, and set overall direction for the project.</w:t>
      </w:r>
    </w:p>
    <w:p w14:paraId="77E177F1" w14:textId="404ACCC8" w:rsidR="007139FA" w:rsidRPr="00E92369" w:rsidRDefault="007139FA" w:rsidP="008E6498">
      <w:pPr>
        <w:spacing w:line="360" w:lineRule="auto"/>
        <w:rPr>
          <w:rFonts w:ascii="Arial" w:hAnsi="Arial" w:cs="Arial"/>
          <w:color w:val="000000" w:themeColor="text1"/>
        </w:rPr>
      </w:pPr>
      <w:r w:rsidRPr="007139FA">
        <w:rPr>
          <w:rFonts w:ascii="Arial" w:hAnsi="Arial" w:cs="Arial"/>
          <w:noProof/>
          <w:color w:val="000000" w:themeColor="text1"/>
        </w:rPr>
        <w:drawing>
          <wp:inline distT="0" distB="0" distL="0" distR="0" wp14:anchorId="109EDA1E" wp14:editId="186B33BE">
            <wp:extent cx="5731510" cy="2633345"/>
            <wp:effectExtent l="0" t="0" r="2540" b="0"/>
            <wp:docPr id="1443854726" name="Picture 1" descr="A diagram of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54726" name="Picture 1" descr="A diagram of company's company&#10;&#10;AI-generated content may be incorrect."/>
                    <pic:cNvPicPr/>
                  </pic:nvPicPr>
                  <pic:blipFill>
                    <a:blip r:embed="rId9"/>
                    <a:stretch>
                      <a:fillRect/>
                    </a:stretch>
                  </pic:blipFill>
                  <pic:spPr>
                    <a:xfrm>
                      <a:off x="0" y="0"/>
                      <a:ext cx="5731510" cy="2633345"/>
                    </a:xfrm>
                    <a:prstGeom prst="rect">
                      <a:avLst/>
                    </a:prstGeom>
                  </pic:spPr>
                </pic:pic>
              </a:graphicData>
            </a:graphic>
          </wp:inline>
        </w:drawing>
      </w:r>
    </w:p>
    <w:p w14:paraId="4E4CF966" w14:textId="2E109877" w:rsidR="00656878" w:rsidRDefault="007139FA" w:rsidP="007139FA">
      <w:pPr>
        <w:jc w:val="right"/>
        <w:rPr>
          <w:rFonts w:ascii="Arial" w:hAnsi="Arial" w:cs="Arial"/>
          <w:b/>
          <w:bCs/>
          <w:i/>
          <w:iCs/>
        </w:rPr>
      </w:pPr>
      <w:r w:rsidRPr="007139FA">
        <w:rPr>
          <w:rFonts w:ascii="Arial" w:hAnsi="Arial" w:cs="Arial"/>
          <w:b/>
          <w:bCs/>
          <w:i/>
          <w:iCs/>
        </w:rPr>
        <w:t xml:space="preserve">Figure </w:t>
      </w:r>
      <w:r>
        <w:rPr>
          <w:rFonts w:ascii="Arial" w:hAnsi="Arial" w:cs="Arial"/>
          <w:b/>
          <w:bCs/>
          <w:i/>
          <w:iCs/>
        </w:rPr>
        <w:t>1</w:t>
      </w:r>
    </w:p>
    <w:p w14:paraId="709B1A7E" w14:textId="1B96929E" w:rsidR="007139FA" w:rsidRDefault="007139FA" w:rsidP="007139FA">
      <w:pPr>
        <w:rPr>
          <w:rFonts w:ascii="Arial" w:hAnsi="Arial" w:cs="Arial"/>
        </w:rPr>
      </w:pPr>
      <w:r w:rsidRPr="007139FA">
        <w:rPr>
          <w:rFonts w:ascii="Arial" w:hAnsi="Arial" w:cs="Arial"/>
          <w:i/>
          <w:iCs/>
          <w:color w:val="EE0000"/>
        </w:rPr>
        <w:t>External stakeholders</w:t>
      </w:r>
      <w:r w:rsidRPr="007139FA">
        <w:rPr>
          <w:rFonts w:ascii="Arial" w:hAnsi="Arial" w:cs="Arial"/>
        </w:rPr>
        <w:t>, or secondary stakeholders, have an interest in the company but do not directly influence its decisions or outcomes. Examples of external stakeholders include customers, local communities, suppliers, and various government or financial institutions.</w:t>
      </w:r>
    </w:p>
    <w:p w14:paraId="6AAFB359" w14:textId="77777777" w:rsidR="0039773F" w:rsidRPr="0039773F" w:rsidRDefault="0039773F" w:rsidP="0039773F">
      <w:pPr>
        <w:rPr>
          <w:rFonts w:ascii="Arial" w:hAnsi="Arial" w:cs="Arial"/>
        </w:rPr>
      </w:pPr>
      <w:r w:rsidRPr="0039773F">
        <w:rPr>
          <w:rFonts w:ascii="Arial" w:hAnsi="Arial" w:cs="Arial"/>
          <w:b/>
          <w:bCs/>
        </w:rPr>
        <w:t>Suppliers and Manufacturers:</w:t>
      </w:r>
      <w:r w:rsidRPr="0039773F">
        <w:rPr>
          <w:rFonts w:ascii="Arial" w:hAnsi="Arial" w:cs="Arial"/>
        </w:rPr>
        <w:br/>
        <w:t>Provide components such as sensors, chips, and battery units. Their reliability affects production timelines and product quality.</w:t>
      </w:r>
    </w:p>
    <w:p w14:paraId="71803BAA" w14:textId="77777777" w:rsidR="0039773F" w:rsidRPr="0039773F" w:rsidRDefault="0039773F" w:rsidP="0039773F">
      <w:pPr>
        <w:rPr>
          <w:rFonts w:ascii="Arial" w:hAnsi="Arial" w:cs="Arial"/>
        </w:rPr>
      </w:pPr>
      <w:r w:rsidRPr="0039773F">
        <w:rPr>
          <w:rFonts w:ascii="Arial" w:hAnsi="Arial" w:cs="Arial"/>
          <w:b/>
          <w:bCs/>
        </w:rPr>
        <w:t>Distributors and Retailers:</w:t>
      </w:r>
      <w:r w:rsidRPr="0039773F">
        <w:rPr>
          <w:rFonts w:ascii="Arial" w:hAnsi="Arial" w:cs="Arial"/>
        </w:rPr>
        <w:br/>
        <w:t xml:space="preserve">Retailers such as Amazon, </w:t>
      </w:r>
      <w:proofErr w:type="spellStart"/>
      <w:r w:rsidRPr="0039773F">
        <w:rPr>
          <w:rFonts w:ascii="Arial" w:hAnsi="Arial" w:cs="Arial"/>
        </w:rPr>
        <w:t>Currys</w:t>
      </w:r>
      <w:proofErr w:type="spellEnd"/>
      <w:r w:rsidRPr="0039773F">
        <w:rPr>
          <w:rFonts w:ascii="Arial" w:hAnsi="Arial" w:cs="Arial"/>
        </w:rPr>
        <w:t>, and Argos influence product availability and market penetration. Their promotional support is crucial for launch success.</w:t>
      </w:r>
    </w:p>
    <w:p w14:paraId="5F7DDCE5" w14:textId="77777777" w:rsidR="0039773F" w:rsidRPr="0039773F" w:rsidRDefault="0039773F" w:rsidP="0039773F">
      <w:pPr>
        <w:rPr>
          <w:rFonts w:ascii="Arial" w:hAnsi="Arial" w:cs="Arial"/>
        </w:rPr>
      </w:pPr>
      <w:r w:rsidRPr="0039773F">
        <w:rPr>
          <w:rFonts w:ascii="Arial" w:hAnsi="Arial" w:cs="Arial"/>
          <w:b/>
          <w:bCs/>
        </w:rPr>
        <w:lastRenderedPageBreak/>
        <w:t>Healthcare Professionals (GPs, cardiologists, sleep specialists):</w:t>
      </w:r>
      <w:r w:rsidRPr="0039773F">
        <w:rPr>
          <w:rFonts w:ascii="Arial" w:hAnsi="Arial" w:cs="Arial"/>
        </w:rPr>
        <w:br/>
        <w:t>Validate product accuracy and credibility. Healthcare endorsements can differentiate Fitbit’s device from competitors.</w:t>
      </w:r>
    </w:p>
    <w:p w14:paraId="7A902C02" w14:textId="77777777" w:rsidR="0039773F" w:rsidRPr="0039773F" w:rsidRDefault="0039773F" w:rsidP="0039773F">
      <w:pPr>
        <w:rPr>
          <w:rFonts w:ascii="Arial" w:hAnsi="Arial" w:cs="Arial"/>
        </w:rPr>
      </w:pPr>
      <w:r w:rsidRPr="0039773F">
        <w:rPr>
          <w:rFonts w:ascii="Arial" w:hAnsi="Arial" w:cs="Arial"/>
          <w:b/>
          <w:bCs/>
        </w:rPr>
        <w:t>Regulators (MHRA, ICO, GDPR Bodies):</w:t>
      </w:r>
      <w:r w:rsidRPr="0039773F">
        <w:rPr>
          <w:rFonts w:ascii="Arial" w:hAnsi="Arial" w:cs="Arial"/>
        </w:rPr>
        <w:br/>
        <w:t>Approve product safety, ensure ethical data handling, and protect consumers.</w:t>
      </w:r>
    </w:p>
    <w:p w14:paraId="07F53B5F" w14:textId="77777777" w:rsidR="0039773F" w:rsidRPr="0039773F" w:rsidRDefault="0039773F" w:rsidP="0039773F">
      <w:pPr>
        <w:rPr>
          <w:rFonts w:ascii="Arial" w:hAnsi="Arial" w:cs="Arial"/>
        </w:rPr>
      </w:pPr>
      <w:r w:rsidRPr="0039773F">
        <w:rPr>
          <w:rFonts w:ascii="Arial" w:hAnsi="Arial" w:cs="Arial"/>
          <w:b/>
          <w:bCs/>
        </w:rPr>
        <w:t>Consumers (Existing and New Users):</w:t>
      </w:r>
      <w:r w:rsidRPr="0039773F">
        <w:rPr>
          <w:rFonts w:ascii="Arial" w:hAnsi="Arial" w:cs="Arial"/>
        </w:rPr>
        <w:br/>
        <w:t>The end-users determine the success of the product through adoption, feedback, and long-term engagement.</w:t>
      </w:r>
    </w:p>
    <w:p w14:paraId="65F35BB0" w14:textId="77777777" w:rsidR="0039773F" w:rsidRPr="0039773F" w:rsidRDefault="0039773F" w:rsidP="0039773F">
      <w:pPr>
        <w:rPr>
          <w:rFonts w:ascii="Arial" w:hAnsi="Arial" w:cs="Arial"/>
        </w:rPr>
      </w:pPr>
      <w:r w:rsidRPr="0039773F">
        <w:rPr>
          <w:rFonts w:ascii="Arial" w:hAnsi="Arial" w:cs="Arial"/>
          <w:b/>
          <w:bCs/>
        </w:rPr>
        <w:t>Investors and Shareholders:</w:t>
      </w:r>
      <w:r w:rsidRPr="0039773F">
        <w:rPr>
          <w:rFonts w:ascii="Arial" w:hAnsi="Arial" w:cs="Arial"/>
        </w:rPr>
        <w:br/>
        <w:t>Expect a return on investment, monitor financial performance, and influence strategic decisions.</w:t>
      </w:r>
    </w:p>
    <w:p w14:paraId="29313209" w14:textId="1811C94C" w:rsidR="00FC2EA2" w:rsidRDefault="0039773F" w:rsidP="007139FA">
      <w:pPr>
        <w:rPr>
          <w:rFonts w:ascii="Arial" w:hAnsi="Arial" w:cs="Arial"/>
        </w:rPr>
      </w:pPr>
      <w:r w:rsidRPr="0039773F">
        <w:rPr>
          <w:rFonts w:ascii="Arial" w:hAnsi="Arial" w:cs="Arial"/>
          <w:b/>
          <w:bCs/>
        </w:rPr>
        <w:t>Media and Influencers:</w:t>
      </w:r>
      <w:r w:rsidRPr="0039773F">
        <w:rPr>
          <w:rFonts w:ascii="Arial" w:hAnsi="Arial" w:cs="Arial"/>
        </w:rPr>
        <w:br/>
        <w:t>Play a major role in shaping public perception and creating brand awareness during launch.</w:t>
      </w:r>
    </w:p>
    <w:p w14:paraId="5F5234A4" w14:textId="77ED8F84" w:rsidR="007139FA" w:rsidRDefault="007139FA" w:rsidP="007139FA">
      <w:pPr>
        <w:rPr>
          <w:rFonts w:ascii="Arial" w:hAnsi="Arial" w:cs="Arial"/>
        </w:rPr>
      </w:pPr>
      <w:r w:rsidRPr="007139FA">
        <w:rPr>
          <w:rFonts w:ascii="Arial" w:hAnsi="Arial" w:cs="Arial"/>
          <w:noProof/>
        </w:rPr>
        <w:drawing>
          <wp:inline distT="0" distB="0" distL="0" distR="0" wp14:anchorId="0BC70066" wp14:editId="0E04E4DB">
            <wp:extent cx="5731510" cy="2633345"/>
            <wp:effectExtent l="0" t="0" r="2540" b="0"/>
            <wp:docPr id="1260654365" name="Picture 1" descr="A diagram of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54365" name="Picture 1" descr="A diagram of company's company&#10;&#10;AI-generated content may be incorrect."/>
                    <pic:cNvPicPr/>
                  </pic:nvPicPr>
                  <pic:blipFill>
                    <a:blip r:embed="rId10"/>
                    <a:stretch>
                      <a:fillRect/>
                    </a:stretch>
                  </pic:blipFill>
                  <pic:spPr>
                    <a:xfrm>
                      <a:off x="0" y="0"/>
                      <a:ext cx="5731510" cy="2633345"/>
                    </a:xfrm>
                    <a:prstGeom prst="rect">
                      <a:avLst/>
                    </a:prstGeom>
                  </pic:spPr>
                </pic:pic>
              </a:graphicData>
            </a:graphic>
          </wp:inline>
        </w:drawing>
      </w:r>
    </w:p>
    <w:p w14:paraId="0D03AA7A" w14:textId="4DB5E5A5" w:rsidR="007139FA" w:rsidRDefault="007139FA" w:rsidP="007139FA">
      <w:pPr>
        <w:jc w:val="right"/>
        <w:rPr>
          <w:rFonts w:ascii="Arial" w:hAnsi="Arial" w:cs="Arial"/>
          <w:b/>
          <w:bCs/>
          <w:i/>
          <w:iCs/>
        </w:rPr>
      </w:pPr>
      <w:r w:rsidRPr="007139FA">
        <w:rPr>
          <w:rFonts w:ascii="Arial" w:hAnsi="Arial" w:cs="Arial"/>
          <w:b/>
          <w:bCs/>
          <w:i/>
          <w:iCs/>
        </w:rPr>
        <w:t>Figure 2</w:t>
      </w:r>
    </w:p>
    <w:tbl>
      <w:tblPr>
        <w:tblStyle w:val="TableGrid"/>
        <w:tblW w:w="10632" w:type="dxa"/>
        <w:tblInd w:w="-714" w:type="dxa"/>
        <w:tblLook w:val="04A0" w:firstRow="1" w:lastRow="0" w:firstColumn="1" w:lastColumn="0" w:noHBand="0" w:noVBand="1"/>
      </w:tblPr>
      <w:tblGrid>
        <w:gridCol w:w="1418"/>
        <w:gridCol w:w="4111"/>
        <w:gridCol w:w="5103"/>
      </w:tblGrid>
      <w:tr w:rsidR="007139FA" w14:paraId="41A4ABBB" w14:textId="77777777" w:rsidTr="00246615">
        <w:tc>
          <w:tcPr>
            <w:tcW w:w="1418" w:type="dxa"/>
            <w:shd w:val="clear" w:color="auto" w:fill="D86DCB" w:themeFill="accent5" w:themeFillTint="99"/>
          </w:tcPr>
          <w:p w14:paraId="087926AD" w14:textId="4C9B4938" w:rsidR="007139FA" w:rsidRDefault="007139FA" w:rsidP="007139FA">
            <w:pPr>
              <w:rPr>
                <w:rFonts w:ascii="Arial" w:hAnsi="Arial" w:cs="Arial"/>
                <w:b/>
                <w:bCs/>
                <w:i/>
                <w:iCs/>
              </w:rPr>
            </w:pPr>
            <w:r w:rsidRPr="007139FA">
              <w:rPr>
                <w:rFonts w:ascii="Arial" w:hAnsi="Arial" w:cs="Arial"/>
                <w:b/>
                <w:bCs/>
                <w:i/>
                <w:iCs/>
              </w:rPr>
              <w:t>Category</w:t>
            </w:r>
          </w:p>
        </w:tc>
        <w:tc>
          <w:tcPr>
            <w:tcW w:w="4111" w:type="dxa"/>
            <w:shd w:val="clear" w:color="auto" w:fill="D86DCB" w:themeFill="accent5" w:themeFillTint="99"/>
          </w:tcPr>
          <w:p w14:paraId="2ACD645C" w14:textId="6C1113F8" w:rsidR="007139FA" w:rsidRDefault="007139FA" w:rsidP="007139FA">
            <w:pPr>
              <w:rPr>
                <w:rFonts w:ascii="Arial" w:hAnsi="Arial" w:cs="Arial"/>
                <w:b/>
                <w:bCs/>
                <w:i/>
                <w:iCs/>
              </w:rPr>
            </w:pPr>
            <w:r w:rsidRPr="007139FA">
              <w:rPr>
                <w:rFonts w:ascii="Arial" w:hAnsi="Arial" w:cs="Arial"/>
                <w:b/>
                <w:bCs/>
                <w:i/>
                <w:iCs/>
              </w:rPr>
              <w:t>Stakeholders</w:t>
            </w:r>
          </w:p>
        </w:tc>
        <w:tc>
          <w:tcPr>
            <w:tcW w:w="5103" w:type="dxa"/>
            <w:shd w:val="clear" w:color="auto" w:fill="D86DCB" w:themeFill="accent5" w:themeFillTint="99"/>
          </w:tcPr>
          <w:p w14:paraId="248FF487" w14:textId="43364469" w:rsidR="007139FA" w:rsidRDefault="007139FA" w:rsidP="007139FA">
            <w:pPr>
              <w:rPr>
                <w:rFonts w:ascii="Arial" w:hAnsi="Arial" w:cs="Arial"/>
                <w:b/>
                <w:bCs/>
                <w:i/>
                <w:iCs/>
              </w:rPr>
            </w:pPr>
            <w:r w:rsidRPr="007139FA">
              <w:rPr>
                <w:rFonts w:ascii="Arial" w:hAnsi="Arial" w:cs="Arial"/>
                <w:b/>
                <w:bCs/>
                <w:i/>
                <w:iCs/>
              </w:rPr>
              <w:t>Interest / Influence</w:t>
            </w:r>
          </w:p>
        </w:tc>
      </w:tr>
      <w:tr w:rsidR="007139FA" w14:paraId="6751BCE4" w14:textId="77777777" w:rsidTr="00246615">
        <w:tc>
          <w:tcPr>
            <w:tcW w:w="1418" w:type="dxa"/>
            <w:shd w:val="clear" w:color="auto" w:fill="D86DCB" w:themeFill="accent5" w:themeFillTint="99"/>
          </w:tcPr>
          <w:p w14:paraId="655D0E78" w14:textId="6E10C0BE" w:rsidR="007139FA" w:rsidRDefault="007139FA" w:rsidP="007139FA">
            <w:pPr>
              <w:rPr>
                <w:rFonts w:ascii="Arial" w:hAnsi="Arial" w:cs="Arial"/>
                <w:b/>
                <w:bCs/>
                <w:i/>
                <w:iCs/>
              </w:rPr>
            </w:pPr>
            <w:r w:rsidRPr="007139FA">
              <w:rPr>
                <w:rFonts w:ascii="Arial" w:hAnsi="Arial" w:cs="Arial"/>
                <w:b/>
                <w:bCs/>
                <w:i/>
                <w:iCs/>
              </w:rPr>
              <w:t>Internal</w:t>
            </w:r>
          </w:p>
        </w:tc>
        <w:tc>
          <w:tcPr>
            <w:tcW w:w="4111" w:type="dxa"/>
          </w:tcPr>
          <w:p w14:paraId="3E00F88C" w14:textId="33F6AE2B" w:rsidR="007139FA" w:rsidRPr="00246615" w:rsidRDefault="007139FA" w:rsidP="007139FA">
            <w:pPr>
              <w:rPr>
                <w:rFonts w:ascii="Arial" w:hAnsi="Arial" w:cs="Arial"/>
              </w:rPr>
            </w:pPr>
            <w:r w:rsidRPr="00246615">
              <w:rPr>
                <w:rFonts w:ascii="Arial" w:hAnsi="Arial" w:cs="Arial"/>
              </w:rPr>
              <w:t>Project Manager</w:t>
            </w:r>
          </w:p>
        </w:tc>
        <w:tc>
          <w:tcPr>
            <w:tcW w:w="5103" w:type="dxa"/>
          </w:tcPr>
          <w:p w14:paraId="464BDC5D" w14:textId="30C698EC" w:rsidR="007139FA" w:rsidRPr="00246615" w:rsidRDefault="007139FA" w:rsidP="007139FA">
            <w:pPr>
              <w:rPr>
                <w:rFonts w:ascii="Arial" w:hAnsi="Arial" w:cs="Arial"/>
              </w:rPr>
            </w:pPr>
            <w:r w:rsidRPr="00246615">
              <w:rPr>
                <w:rFonts w:ascii="Arial" w:hAnsi="Arial" w:cs="Arial"/>
              </w:rPr>
              <w:t>Oversees delivery and coordination</w:t>
            </w:r>
          </w:p>
        </w:tc>
      </w:tr>
      <w:tr w:rsidR="007139FA" w14:paraId="610E911D" w14:textId="77777777" w:rsidTr="00246615">
        <w:tc>
          <w:tcPr>
            <w:tcW w:w="1418" w:type="dxa"/>
            <w:shd w:val="clear" w:color="auto" w:fill="D86DCB" w:themeFill="accent5" w:themeFillTint="99"/>
          </w:tcPr>
          <w:p w14:paraId="45C86041" w14:textId="77777777" w:rsidR="007139FA" w:rsidRDefault="007139FA" w:rsidP="007139FA">
            <w:pPr>
              <w:rPr>
                <w:rFonts w:ascii="Arial" w:hAnsi="Arial" w:cs="Arial"/>
                <w:b/>
                <w:bCs/>
                <w:i/>
                <w:iCs/>
              </w:rPr>
            </w:pPr>
          </w:p>
        </w:tc>
        <w:tc>
          <w:tcPr>
            <w:tcW w:w="4111" w:type="dxa"/>
          </w:tcPr>
          <w:p w14:paraId="332166E5" w14:textId="3B7E7945" w:rsidR="007139FA" w:rsidRPr="00246615" w:rsidRDefault="007139FA" w:rsidP="007139FA">
            <w:pPr>
              <w:rPr>
                <w:rFonts w:ascii="Arial" w:hAnsi="Arial" w:cs="Arial"/>
              </w:rPr>
            </w:pPr>
            <w:r w:rsidRPr="00246615">
              <w:rPr>
                <w:rFonts w:ascii="Arial" w:hAnsi="Arial" w:cs="Arial"/>
              </w:rPr>
              <w:t>Product Development Team</w:t>
            </w:r>
          </w:p>
        </w:tc>
        <w:tc>
          <w:tcPr>
            <w:tcW w:w="5103" w:type="dxa"/>
          </w:tcPr>
          <w:p w14:paraId="23752B65" w14:textId="1A27E715" w:rsidR="007139FA" w:rsidRPr="00246615" w:rsidRDefault="007139FA" w:rsidP="007139FA">
            <w:pPr>
              <w:rPr>
                <w:rFonts w:ascii="Arial" w:hAnsi="Arial" w:cs="Arial"/>
              </w:rPr>
            </w:pPr>
            <w:r w:rsidRPr="00246615">
              <w:rPr>
                <w:rFonts w:ascii="Arial" w:hAnsi="Arial" w:cs="Arial"/>
              </w:rPr>
              <w:t>Designs and tests the device</w:t>
            </w:r>
          </w:p>
        </w:tc>
      </w:tr>
      <w:tr w:rsidR="007139FA" w14:paraId="19801071" w14:textId="77777777" w:rsidTr="00246615">
        <w:tc>
          <w:tcPr>
            <w:tcW w:w="1418" w:type="dxa"/>
            <w:shd w:val="clear" w:color="auto" w:fill="D86DCB" w:themeFill="accent5" w:themeFillTint="99"/>
          </w:tcPr>
          <w:p w14:paraId="06E1F40F" w14:textId="77777777" w:rsidR="007139FA" w:rsidRDefault="007139FA" w:rsidP="007139FA">
            <w:pPr>
              <w:rPr>
                <w:rFonts w:ascii="Arial" w:hAnsi="Arial" w:cs="Arial"/>
                <w:b/>
                <w:bCs/>
                <w:i/>
                <w:iCs/>
              </w:rPr>
            </w:pPr>
          </w:p>
        </w:tc>
        <w:tc>
          <w:tcPr>
            <w:tcW w:w="4111" w:type="dxa"/>
          </w:tcPr>
          <w:p w14:paraId="255C93DB" w14:textId="4B5D3018" w:rsidR="007139FA" w:rsidRPr="00246615" w:rsidRDefault="00246615" w:rsidP="007139FA">
            <w:pPr>
              <w:rPr>
                <w:rFonts w:ascii="Arial" w:hAnsi="Arial" w:cs="Arial"/>
              </w:rPr>
            </w:pPr>
            <w:r w:rsidRPr="00246615">
              <w:rPr>
                <w:rFonts w:ascii="Arial" w:hAnsi="Arial" w:cs="Arial"/>
              </w:rPr>
              <w:t>Marketing Department</w:t>
            </w:r>
          </w:p>
        </w:tc>
        <w:tc>
          <w:tcPr>
            <w:tcW w:w="5103" w:type="dxa"/>
          </w:tcPr>
          <w:p w14:paraId="6BA0F912" w14:textId="2F117E9A" w:rsidR="007139FA" w:rsidRPr="00246615" w:rsidRDefault="00246615" w:rsidP="007139FA">
            <w:pPr>
              <w:rPr>
                <w:rFonts w:ascii="Arial" w:hAnsi="Arial" w:cs="Arial"/>
              </w:rPr>
            </w:pPr>
            <w:r w:rsidRPr="00246615">
              <w:rPr>
                <w:rFonts w:ascii="Arial" w:hAnsi="Arial" w:cs="Arial"/>
              </w:rPr>
              <w:t>Develops branding and promotional campaigns</w:t>
            </w:r>
          </w:p>
        </w:tc>
      </w:tr>
      <w:tr w:rsidR="007139FA" w14:paraId="1B4C8F0F" w14:textId="77777777" w:rsidTr="00246615">
        <w:tc>
          <w:tcPr>
            <w:tcW w:w="1418" w:type="dxa"/>
            <w:shd w:val="clear" w:color="auto" w:fill="D86DCB" w:themeFill="accent5" w:themeFillTint="99"/>
          </w:tcPr>
          <w:p w14:paraId="61037DEA" w14:textId="77777777" w:rsidR="007139FA" w:rsidRDefault="007139FA" w:rsidP="007139FA">
            <w:pPr>
              <w:rPr>
                <w:rFonts w:ascii="Arial" w:hAnsi="Arial" w:cs="Arial"/>
                <w:b/>
                <w:bCs/>
                <w:i/>
                <w:iCs/>
              </w:rPr>
            </w:pPr>
          </w:p>
        </w:tc>
        <w:tc>
          <w:tcPr>
            <w:tcW w:w="4111" w:type="dxa"/>
          </w:tcPr>
          <w:p w14:paraId="5E02630E" w14:textId="7F3C2E17" w:rsidR="007139FA" w:rsidRPr="00246615" w:rsidRDefault="00246615" w:rsidP="007139FA">
            <w:pPr>
              <w:rPr>
                <w:rFonts w:ascii="Arial" w:hAnsi="Arial" w:cs="Arial"/>
              </w:rPr>
            </w:pPr>
            <w:r w:rsidRPr="00246615">
              <w:rPr>
                <w:rFonts w:ascii="Arial" w:hAnsi="Arial" w:cs="Arial"/>
              </w:rPr>
              <w:t>Sales Department</w:t>
            </w:r>
          </w:p>
        </w:tc>
        <w:tc>
          <w:tcPr>
            <w:tcW w:w="5103" w:type="dxa"/>
          </w:tcPr>
          <w:p w14:paraId="1C9F0341" w14:textId="2F0BC142" w:rsidR="007139FA" w:rsidRPr="00246615" w:rsidRDefault="00246615" w:rsidP="007139FA">
            <w:pPr>
              <w:rPr>
                <w:rFonts w:ascii="Arial" w:hAnsi="Arial" w:cs="Arial"/>
              </w:rPr>
            </w:pPr>
            <w:r w:rsidRPr="00246615">
              <w:rPr>
                <w:rFonts w:ascii="Arial" w:hAnsi="Arial" w:cs="Arial"/>
              </w:rPr>
              <w:t>Manages distribution and retail partnerships</w:t>
            </w:r>
          </w:p>
        </w:tc>
      </w:tr>
      <w:tr w:rsidR="007139FA" w14:paraId="535EE7CA" w14:textId="77777777" w:rsidTr="00246615">
        <w:tc>
          <w:tcPr>
            <w:tcW w:w="1418" w:type="dxa"/>
            <w:shd w:val="clear" w:color="auto" w:fill="D86DCB" w:themeFill="accent5" w:themeFillTint="99"/>
          </w:tcPr>
          <w:p w14:paraId="63190000" w14:textId="77777777" w:rsidR="007139FA" w:rsidRDefault="007139FA" w:rsidP="007139FA">
            <w:pPr>
              <w:rPr>
                <w:rFonts w:ascii="Arial" w:hAnsi="Arial" w:cs="Arial"/>
                <w:b/>
                <w:bCs/>
                <w:i/>
                <w:iCs/>
              </w:rPr>
            </w:pPr>
          </w:p>
        </w:tc>
        <w:tc>
          <w:tcPr>
            <w:tcW w:w="4111" w:type="dxa"/>
          </w:tcPr>
          <w:p w14:paraId="5121D9C3" w14:textId="11D59E44" w:rsidR="007139FA" w:rsidRPr="00246615" w:rsidRDefault="00246615" w:rsidP="007139FA">
            <w:pPr>
              <w:rPr>
                <w:rFonts w:ascii="Arial" w:hAnsi="Arial" w:cs="Arial"/>
              </w:rPr>
            </w:pPr>
            <w:r w:rsidRPr="00246615">
              <w:rPr>
                <w:rFonts w:ascii="Arial" w:hAnsi="Arial" w:cs="Arial"/>
              </w:rPr>
              <w:t>Finance Department</w:t>
            </w:r>
          </w:p>
        </w:tc>
        <w:tc>
          <w:tcPr>
            <w:tcW w:w="5103" w:type="dxa"/>
          </w:tcPr>
          <w:p w14:paraId="1AABFEE9" w14:textId="510418E5" w:rsidR="007139FA" w:rsidRPr="00246615" w:rsidRDefault="00246615" w:rsidP="007139FA">
            <w:pPr>
              <w:rPr>
                <w:rFonts w:ascii="Arial" w:hAnsi="Arial" w:cs="Arial"/>
              </w:rPr>
            </w:pPr>
            <w:r w:rsidRPr="00246615">
              <w:rPr>
                <w:rFonts w:ascii="Arial" w:hAnsi="Arial" w:cs="Arial"/>
              </w:rPr>
              <w:t>Controls budgeting and cost management</w:t>
            </w:r>
          </w:p>
        </w:tc>
      </w:tr>
      <w:tr w:rsidR="007139FA" w14:paraId="1EC3FDD5" w14:textId="77777777" w:rsidTr="00246615">
        <w:tc>
          <w:tcPr>
            <w:tcW w:w="1418" w:type="dxa"/>
            <w:shd w:val="clear" w:color="auto" w:fill="D86DCB" w:themeFill="accent5" w:themeFillTint="99"/>
          </w:tcPr>
          <w:p w14:paraId="7AEF2498" w14:textId="77777777" w:rsidR="007139FA" w:rsidRDefault="007139FA" w:rsidP="007139FA">
            <w:pPr>
              <w:rPr>
                <w:rFonts w:ascii="Arial" w:hAnsi="Arial" w:cs="Arial"/>
                <w:b/>
                <w:bCs/>
                <w:i/>
                <w:iCs/>
              </w:rPr>
            </w:pPr>
          </w:p>
        </w:tc>
        <w:tc>
          <w:tcPr>
            <w:tcW w:w="4111" w:type="dxa"/>
          </w:tcPr>
          <w:p w14:paraId="435BD0DB" w14:textId="5DB0AF48" w:rsidR="007139FA" w:rsidRPr="00246615" w:rsidRDefault="00246615" w:rsidP="007139FA">
            <w:pPr>
              <w:rPr>
                <w:rFonts w:ascii="Arial" w:hAnsi="Arial" w:cs="Arial"/>
              </w:rPr>
            </w:pPr>
            <w:r w:rsidRPr="00246615">
              <w:rPr>
                <w:rFonts w:ascii="Arial" w:hAnsi="Arial" w:cs="Arial"/>
              </w:rPr>
              <w:t>Legal &amp; Compliance</w:t>
            </w:r>
          </w:p>
        </w:tc>
        <w:tc>
          <w:tcPr>
            <w:tcW w:w="5103" w:type="dxa"/>
          </w:tcPr>
          <w:p w14:paraId="3468424B" w14:textId="0681DAD7" w:rsidR="007139FA" w:rsidRPr="00246615" w:rsidRDefault="00246615" w:rsidP="007139FA">
            <w:pPr>
              <w:rPr>
                <w:rFonts w:ascii="Arial" w:hAnsi="Arial" w:cs="Arial"/>
              </w:rPr>
            </w:pPr>
            <w:r w:rsidRPr="00246615">
              <w:rPr>
                <w:rFonts w:ascii="Arial" w:hAnsi="Arial" w:cs="Arial"/>
              </w:rPr>
              <w:t>Ensures adherence to regulations</w:t>
            </w:r>
          </w:p>
        </w:tc>
      </w:tr>
      <w:tr w:rsidR="007139FA" w14:paraId="378DE5D4" w14:textId="77777777" w:rsidTr="00246615">
        <w:tc>
          <w:tcPr>
            <w:tcW w:w="1418" w:type="dxa"/>
            <w:shd w:val="clear" w:color="auto" w:fill="D86DCB" w:themeFill="accent5" w:themeFillTint="99"/>
          </w:tcPr>
          <w:p w14:paraId="5FED8BE6" w14:textId="77777777" w:rsidR="007139FA" w:rsidRDefault="007139FA" w:rsidP="007139FA">
            <w:pPr>
              <w:rPr>
                <w:rFonts w:ascii="Arial" w:hAnsi="Arial" w:cs="Arial"/>
                <w:b/>
                <w:bCs/>
                <w:i/>
                <w:iCs/>
              </w:rPr>
            </w:pPr>
          </w:p>
        </w:tc>
        <w:tc>
          <w:tcPr>
            <w:tcW w:w="4111" w:type="dxa"/>
          </w:tcPr>
          <w:p w14:paraId="371CE73F" w14:textId="1A172F2D" w:rsidR="007139FA" w:rsidRPr="00246615" w:rsidRDefault="00246615" w:rsidP="007139FA">
            <w:pPr>
              <w:rPr>
                <w:rFonts w:ascii="Arial" w:hAnsi="Arial" w:cs="Arial"/>
              </w:rPr>
            </w:pPr>
            <w:r w:rsidRPr="00246615">
              <w:rPr>
                <w:rFonts w:ascii="Arial" w:hAnsi="Arial" w:cs="Arial"/>
              </w:rPr>
              <w:t>Senior Management</w:t>
            </w:r>
          </w:p>
        </w:tc>
        <w:tc>
          <w:tcPr>
            <w:tcW w:w="5103" w:type="dxa"/>
          </w:tcPr>
          <w:p w14:paraId="6AE03CEB" w14:textId="0A72A406" w:rsidR="007139FA" w:rsidRPr="00246615" w:rsidRDefault="00246615" w:rsidP="007139FA">
            <w:pPr>
              <w:rPr>
                <w:rFonts w:ascii="Arial" w:hAnsi="Arial" w:cs="Arial"/>
              </w:rPr>
            </w:pPr>
            <w:r w:rsidRPr="00246615">
              <w:rPr>
                <w:rFonts w:ascii="Arial" w:hAnsi="Arial" w:cs="Arial"/>
              </w:rPr>
              <w:t>Strategic decision-making and resource allocation</w:t>
            </w:r>
          </w:p>
        </w:tc>
      </w:tr>
      <w:tr w:rsidR="007139FA" w14:paraId="61C0019F" w14:textId="77777777" w:rsidTr="00246615">
        <w:tc>
          <w:tcPr>
            <w:tcW w:w="1418" w:type="dxa"/>
            <w:shd w:val="clear" w:color="auto" w:fill="D86DCB" w:themeFill="accent5" w:themeFillTint="99"/>
          </w:tcPr>
          <w:p w14:paraId="59B6C391" w14:textId="77777777" w:rsidR="007139FA" w:rsidRDefault="007139FA" w:rsidP="007139FA">
            <w:pPr>
              <w:rPr>
                <w:rFonts w:ascii="Arial" w:hAnsi="Arial" w:cs="Arial"/>
                <w:b/>
                <w:bCs/>
                <w:i/>
                <w:iCs/>
              </w:rPr>
            </w:pPr>
          </w:p>
        </w:tc>
        <w:tc>
          <w:tcPr>
            <w:tcW w:w="4111" w:type="dxa"/>
            <w:shd w:val="clear" w:color="auto" w:fill="D86DCB" w:themeFill="accent5" w:themeFillTint="99"/>
          </w:tcPr>
          <w:p w14:paraId="53796B70" w14:textId="77777777" w:rsidR="007139FA" w:rsidRPr="00246615" w:rsidRDefault="007139FA" w:rsidP="007139FA">
            <w:pPr>
              <w:rPr>
                <w:rFonts w:ascii="Arial" w:hAnsi="Arial" w:cs="Arial"/>
              </w:rPr>
            </w:pPr>
          </w:p>
        </w:tc>
        <w:tc>
          <w:tcPr>
            <w:tcW w:w="5103" w:type="dxa"/>
            <w:shd w:val="clear" w:color="auto" w:fill="D86DCB" w:themeFill="accent5" w:themeFillTint="99"/>
          </w:tcPr>
          <w:p w14:paraId="741B98C0" w14:textId="77777777" w:rsidR="007139FA" w:rsidRPr="00246615" w:rsidRDefault="007139FA" w:rsidP="007139FA">
            <w:pPr>
              <w:rPr>
                <w:rFonts w:ascii="Arial" w:hAnsi="Arial" w:cs="Arial"/>
              </w:rPr>
            </w:pPr>
          </w:p>
        </w:tc>
      </w:tr>
      <w:tr w:rsidR="007139FA" w14:paraId="0A8907FC" w14:textId="77777777" w:rsidTr="00246615">
        <w:tc>
          <w:tcPr>
            <w:tcW w:w="1418" w:type="dxa"/>
            <w:shd w:val="clear" w:color="auto" w:fill="D86DCB" w:themeFill="accent5" w:themeFillTint="99"/>
          </w:tcPr>
          <w:p w14:paraId="1E0B24FA" w14:textId="0B3DF929" w:rsidR="007139FA" w:rsidRDefault="007139FA" w:rsidP="007139FA">
            <w:pPr>
              <w:rPr>
                <w:rFonts w:ascii="Arial" w:hAnsi="Arial" w:cs="Arial"/>
                <w:b/>
                <w:bCs/>
                <w:i/>
                <w:iCs/>
              </w:rPr>
            </w:pPr>
            <w:r>
              <w:rPr>
                <w:rFonts w:ascii="Arial" w:hAnsi="Arial" w:cs="Arial"/>
                <w:b/>
                <w:bCs/>
                <w:i/>
                <w:iCs/>
              </w:rPr>
              <w:t>External</w:t>
            </w:r>
          </w:p>
        </w:tc>
        <w:tc>
          <w:tcPr>
            <w:tcW w:w="4111" w:type="dxa"/>
          </w:tcPr>
          <w:p w14:paraId="2C965A19" w14:textId="0BE76405" w:rsidR="007139FA" w:rsidRPr="00246615" w:rsidRDefault="00246615" w:rsidP="007139FA">
            <w:pPr>
              <w:rPr>
                <w:rFonts w:ascii="Arial" w:hAnsi="Arial" w:cs="Arial"/>
              </w:rPr>
            </w:pPr>
            <w:r w:rsidRPr="00246615">
              <w:rPr>
                <w:rFonts w:ascii="Arial" w:hAnsi="Arial" w:cs="Arial"/>
              </w:rPr>
              <w:t>Suppliers and Manufacturers</w:t>
            </w:r>
          </w:p>
        </w:tc>
        <w:tc>
          <w:tcPr>
            <w:tcW w:w="5103" w:type="dxa"/>
          </w:tcPr>
          <w:p w14:paraId="1F0B2B4E" w14:textId="7400A9FE" w:rsidR="007139FA" w:rsidRPr="00246615" w:rsidRDefault="00246615" w:rsidP="007139FA">
            <w:pPr>
              <w:rPr>
                <w:rFonts w:ascii="Arial" w:hAnsi="Arial" w:cs="Arial"/>
              </w:rPr>
            </w:pPr>
            <w:r w:rsidRPr="00246615">
              <w:rPr>
                <w:rFonts w:ascii="Arial" w:hAnsi="Arial" w:cs="Arial"/>
              </w:rPr>
              <w:t>Provide components and production capacity</w:t>
            </w:r>
          </w:p>
        </w:tc>
      </w:tr>
      <w:tr w:rsidR="007139FA" w14:paraId="65AB56F8" w14:textId="77777777" w:rsidTr="00246615">
        <w:tc>
          <w:tcPr>
            <w:tcW w:w="1418" w:type="dxa"/>
            <w:shd w:val="clear" w:color="auto" w:fill="D86DCB" w:themeFill="accent5" w:themeFillTint="99"/>
          </w:tcPr>
          <w:p w14:paraId="46040E50" w14:textId="77777777" w:rsidR="007139FA" w:rsidRDefault="007139FA" w:rsidP="007139FA">
            <w:pPr>
              <w:rPr>
                <w:rFonts w:ascii="Arial" w:hAnsi="Arial" w:cs="Arial"/>
                <w:b/>
                <w:bCs/>
                <w:i/>
                <w:iCs/>
              </w:rPr>
            </w:pPr>
          </w:p>
        </w:tc>
        <w:tc>
          <w:tcPr>
            <w:tcW w:w="4111" w:type="dxa"/>
          </w:tcPr>
          <w:p w14:paraId="24A5DCA5" w14:textId="6A70B5A4" w:rsidR="007139FA" w:rsidRPr="00246615" w:rsidRDefault="00246615" w:rsidP="007139FA">
            <w:pPr>
              <w:rPr>
                <w:rFonts w:ascii="Arial" w:hAnsi="Arial" w:cs="Arial"/>
              </w:rPr>
            </w:pPr>
            <w:r w:rsidRPr="00246615">
              <w:rPr>
                <w:rFonts w:ascii="Arial" w:hAnsi="Arial" w:cs="Arial"/>
              </w:rPr>
              <w:t>Distributors and Retailers</w:t>
            </w:r>
          </w:p>
        </w:tc>
        <w:tc>
          <w:tcPr>
            <w:tcW w:w="5103" w:type="dxa"/>
          </w:tcPr>
          <w:p w14:paraId="0A0E67A8" w14:textId="214051D8" w:rsidR="007139FA" w:rsidRPr="00246615" w:rsidRDefault="00246615" w:rsidP="007139FA">
            <w:pPr>
              <w:rPr>
                <w:rFonts w:ascii="Arial" w:hAnsi="Arial" w:cs="Arial"/>
              </w:rPr>
            </w:pPr>
            <w:r w:rsidRPr="00246615">
              <w:rPr>
                <w:rFonts w:ascii="Arial" w:hAnsi="Arial" w:cs="Arial"/>
              </w:rPr>
              <w:t>Ensure market reach and sales channels</w:t>
            </w:r>
          </w:p>
        </w:tc>
      </w:tr>
      <w:tr w:rsidR="007139FA" w14:paraId="63F4B907" w14:textId="77777777" w:rsidTr="00246615">
        <w:tc>
          <w:tcPr>
            <w:tcW w:w="1418" w:type="dxa"/>
            <w:shd w:val="clear" w:color="auto" w:fill="D86DCB" w:themeFill="accent5" w:themeFillTint="99"/>
          </w:tcPr>
          <w:p w14:paraId="7934581C" w14:textId="77777777" w:rsidR="007139FA" w:rsidRDefault="007139FA" w:rsidP="007139FA">
            <w:pPr>
              <w:rPr>
                <w:rFonts w:ascii="Arial" w:hAnsi="Arial" w:cs="Arial"/>
                <w:b/>
                <w:bCs/>
                <w:i/>
                <w:iCs/>
              </w:rPr>
            </w:pPr>
          </w:p>
        </w:tc>
        <w:tc>
          <w:tcPr>
            <w:tcW w:w="4111" w:type="dxa"/>
          </w:tcPr>
          <w:p w14:paraId="68251937" w14:textId="08498746" w:rsidR="007139FA" w:rsidRPr="00246615" w:rsidRDefault="00246615" w:rsidP="007139FA">
            <w:pPr>
              <w:rPr>
                <w:rFonts w:ascii="Arial" w:hAnsi="Arial" w:cs="Arial"/>
              </w:rPr>
            </w:pPr>
            <w:r w:rsidRPr="00246615">
              <w:rPr>
                <w:rFonts w:ascii="Arial" w:hAnsi="Arial" w:cs="Arial"/>
              </w:rPr>
              <w:t>Healthcare Professionals</w:t>
            </w:r>
          </w:p>
        </w:tc>
        <w:tc>
          <w:tcPr>
            <w:tcW w:w="5103" w:type="dxa"/>
          </w:tcPr>
          <w:p w14:paraId="7245344F" w14:textId="23D4A419" w:rsidR="007139FA" w:rsidRPr="00246615" w:rsidRDefault="00246615" w:rsidP="00246615">
            <w:pPr>
              <w:jc w:val="both"/>
              <w:rPr>
                <w:rFonts w:ascii="Arial" w:hAnsi="Arial" w:cs="Arial"/>
              </w:rPr>
            </w:pPr>
            <w:r w:rsidRPr="00246615">
              <w:rPr>
                <w:rFonts w:ascii="Arial" w:hAnsi="Arial" w:cs="Arial"/>
              </w:rPr>
              <w:t>Validate medical efficacy and credibility</w:t>
            </w:r>
          </w:p>
        </w:tc>
      </w:tr>
      <w:tr w:rsidR="007139FA" w14:paraId="0B976E79" w14:textId="77777777" w:rsidTr="00246615">
        <w:tc>
          <w:tcPr>
            <w:tcW w:w="1418" w:type="dxa"/>
            <w:shd w:val="clear" w:color="auto" w:fill="D86DCB" w:themeFill="accent5" w:themeFillTint="99"/>
          </w:tcPr>
          <w:p w14:paraId="3E6B24F9" w14:textId="77777777" w:rsidR="007139FA" w:rsidRDefault="007139FA" w:rsidP="007139FA">
            <w:pPr>
              <w:rPr>
                <w:rFonts w:ascii="Arial" w:hAnsi="Arial" w:cs="Arial"/>
                <w:b/>
                <w:bCs/>
                <w:i/>
                <w:iCs/>
              </w:rPr>
            </w:pPr>
          </w:p>
        </w:tc>
        <w:tc>
          <w:tcPr>
            <w:tcW w:w="4111" w:type="dxa"/>
          </w:tcPr>
          <w:p w14:paraId="2F763FB9" w14:textId="2868BB48" w:rsidR="007139FA" w:rsidRPr="00246615" w:rsidRDefault="00246615" w:rsidP="007139FA">
            <w:pPr>
              <w:rPr>
                <w:rFonts w:ascii="Arial" w:hAnsi="Arial" w:cs="Arial"/>
              </w:rPr>
            </w:pPr>
            <w:r w:rsidRPr="00246615">
              <w:rPr>
                <w:rFonts w:ascii="Arial" w:hAnsi="Arial" w:cs="Arial"/>
              </w:rPr>
              <w:t>Regulatory Bodies (MHRA, GDPR authorities)</w:t>
            </w:r>
          </w:p>
        </w:tc>
        <w:tc>
          <w:tcPr>
            <w:tcW w:w="5103" w:type="dxa"/>
          </w:tcPr>
          <w:p w14:paraId="667758D2" w14:textId="65C1FDD3" w:rsidR="007139FA" w:rsidRPr="00246615" w:rsidRDefault="00246615" w:rsidP="007139FA">
            <w:pPr>
              <w:rPr>
                <w:rFonts w:ascii="Arial" w:hAnsi="Arial" w:cs="Arial"/>
              </w:rPr>
            </w:pPr>
            <w:r w:rsidRPr="00246615">
              <w:rPr>
                <w:rFonts w:ascii="Arial" w:hAnsi="Arial" w:cs="Arial"/>
              </w:rPr>
              <w:t>Approve and monitor compliance</w:t>
            </w:r>
          </w:p>
        </w:tc>
      </w:tr>
      <w:tr w:rsidR="00246615" w14:paraId="15E3C167" w14:textId="77777777" w:rsidTr="00246615">
        <w:tc>
          <w:tcPr>
            <w:tcW w:w="1418" w:type="dxa"/>
            <w:shd w:val="clear" w:color="auto" w:fill="D86DCB" w:themeFill="accent5" w:themeFillTint="99"/>
          </w:tcPr>
          <w:p w14:paraId="26E3540A" w14:textId="77777777" w:rsidR="00246615" w:rsidRDefault="00246615" w:rsidP="007139FA">
            <w:pPr>
              <w:rPr>
                <w:rFonts w:ascii="Arial" w:hAnsi="Arial" w:cs="Arial"/>
                <w:b/>
                <w:bCs/>
                <w:i/>
                <w:iCs/>
              </w:rPr>
            </w:pPr>
          </w:p>
        </w:tc>
        <w:tc>
          <w:tcPr>
            <w:tcW w:w="4111" w:type="dxa"/>
          </w:tcPr>
          <w:p w14:paraId="7A1BD5AD" w14:textId="2D843F8D" w:rsidR="00246615" w:rsidRPr="00246615" w:rsidRDefault="00246615" w:rsidP="007139FA">
            <w:pPr>
              <w:rPr>
                <w:rFonts w:ascii="Arial" w:hAnsi="Arial" w:cs="Arial"/>
              </w:rPr>
            </w:pPr>
            <w:r w:rsidRPr="00246615">
              <w:rPr>
                <w:rFonts w:ascii="Arial" w:hAnsi="Arial" w:cs="Arial"/>
              </w:rPr>
              <w:t>Consumers</w:t>
            </w:r>
          </w:p>
        </w:tc>
        <w:tc>
          <w:tcPr>
            <w:tcW w:w="5103" w:type="dxa"/>
          </w:tcPr>
          <w:p w14:paraId="18E14A15" w14:textId="70DE16B5" w:rsidR="00246615" w:rsidRPr="00246615" w:rsidRDefault="00246615" w:rsidP="007139FA">
            <w:pPr>
              <w:rPr>
                <w:rFonts w:ascii="Arial" w:hAnsi="Arial" w:cs="Arial"/>
              </w:rPr>
            </w:pPr>
            <w:r w:rsidRPr="00246615">
              <w:rPr>
                <w:rFonts w:ascii="Arial" w:hAnsi="Arial" w:cs="Arial"/>
              </w:rPr>
              <w:t>End-users whose satisfaction drives success</w:t>
            </w:r>
          </w:p>
        </w:tc>
      </w:tr>
      <w:tr w:rsidR="00246615" w14:paraId="5820E2AB" w14:textId="77777777" w:rsidTr="00246615">
        <w:tc>
          <w:tcPr>
            <w:tcW w:w="1418" w:type="dxa"/>
            <w:shd w:val="clear" w:color="auto" w:fill="D86DCB" w:themeFill="accent5" w:themeFillTint="99"/>
          </w:tcPr>
          <w:p w14:paraId="378CD046" w14:textId="77777777" w:rsidR="00246615" w:rsidRDefault="00246615" w:rsidP="007139FA">
            <w:pPr>
              <w:rPr>
                <w:rFonts w:ascii="Arial" w:hAnsi="Arial" w:cs="Arial"/>
                <w:b/>
                <w:bCs/>
                <w:i/>
                <w:iCs/>
              </w:rPr>
            </w:pPr>
          </w:p>
        </w:tc>
        <w:tc>
          <w:tcPr>
            <w:tcW w:w="4111" w:type="dxa"/>
          </w:tcPr>
          <w:p w14:paraId="301ED8A9" w14:textId="516E2DE0" w:rsidR="00246615" w:rsidRPr="00246615" w:rsidRDefault="00246615" w:rsidP="007139FA">
            <w:pPr>
              <w:rPr>
                <w:rFonts w:ascii="Arial" w:hAnsi="Arial" w:cs="Arial"/>
              </w:rPr>
            </w:pPr>
            <w:r w:rsidRPr="00246615">
              <w:rPr>
                <w:rFonts w:ascii="Arial" w:hAnsi="Arial" w:cs="Arial"/>
              </w:rPr>
              <w:t>Investors</w:t>
            </w:r>
          </w:p>
        </w:tc>
        <w:tc>
          <w:tcPr>
            <w:tcW w:w="5103" w:type="dxa"/>
          </w:tcPr>
          <w:p w14:paraId="2A6AA3F6" w14:textId="24A94F72" w:rsidR="00246615" w:rsidRPr="00246615" w:rsidRDefault="00246615" w:rsidP="007139FA">
            <w:pPr>
              <w:rPr>
                <w:rFonts w:ascii="Arial" w:hAnsi="Arial" w:cs="Arial"/>
              </w:rPr>
            </w:pPr>
            <w:r w:rsidRPr="00246615">
              <w:rPr>
                <w:rFonts w:ascii="Arial" w:hAnsi="Arial" w:cs="Arial"/>
              </w:rPr>
              <w:t>Provide financial backing and expect returns</w:t>
            </w:r>
          </w:p>
        </w:tc>
      </w:tr>
      <w:tr w:rsidR="007139FA" w14:paraId="7103209A" w14:textId="77777777" w:rsidTr="00246615">
        <w:tc>
          <w:tcPr>
            <w:tcW w:w="1418" w:type="dxa"/>
            <w:shd w:val="clear" w:color="auto" w:fill="D86DCB" w:themeFill="accent5" w:themeFillTint="99"/>
          </w:tcPr>
          <w:p w14:paraId="4B75C6F0" w14:textId="77777777" w:rsidR="007139FA" w:rsidRDefault="007139FA" w:rsidP="007139FA">
            <w:pPr>
              <w:rPr>
                <w:rFonts w:ascii="Arial" w:hAnsi="Arial" w:cs="Arial"/>
                <w:b/>
                <w:bCs/>
                <w:i/>
                <w:iCs/>
              </w:rPr>
            </w:pPr>
          </w:p>
        </w:tc>
        <w:tc>
          <w:tcPr>
            <w:tcW w:w="4111" w:type="dxa"/>
          </w:tcPr>
          <w:p w14:paraId="005DBAC3" w14:textId="6DC01BFB" w:rsidR="007139FA" w:rsidRPr="00246615" w:rsidRDefault="00246615" w:rsidP="007139FA">
            <w:pPr>
              <w:rPr>
                <w:rFonts w:ascii="Arial" w:hAnsi="Arial" w:cs="Arial"/>
              </w:rPr>
            </w:pPr>
            <w:r w:rsidRPr="00246615">
              <w:rPr>
                <w:rFonts w:ascii="Arial" w:hAnsi="Arial" w:cs="Arial"/>
              </w:rPr>
              <w:t>Media and Influencers</w:t>
            </w:r>
          </w:p>
        </w:tc>
        <w:tc>
          <w:tcPr>
            <w:tcW w:w="5103" w:type="dxa"/>
          </w:tcPr>
          <w:p w14:paraId="26D26897" w14:textId="12FF9DC7" w:rsidR="007139FA" w:rsidRPr="00246615" w:rsidRDefault="00246615" w:rsidP="007139FA">
            <w:pPr>
              <w:rPr>
                <w:rFonts w:ascii="Arial" w:hAnsi="Arial" w:cs="Arial"/>
              </w:rPr>
            </w:pPr>
            <w:r w:rsidRPr="00246615">
              <w:rPr>
                <w:rFonts w:ascii="Arial" w:hAnsi="Arial" w:cs="Arial"/>
              </w:rPr>
              <w:t>Create public awareness and trust</w:t>
            </w:r>
          </w:p>
        </w:tc>
      </w:tr>
    </w:tbl>
    <w:p w14:paraId="36736816" w14:textId="70DA7249" w:rsidR="007139FA" w:rsidRDefault="00246615" w:rsidP="00246615">
      <w:pPr>
        <w:jc w:val="right"/>
        <w:rPr>
          <w:rFonts w:ascii="Arial" w:hAnsi="Arial" w:cs="Arial"/>
          <w:b/>
          <w:bCs/>
          <w:i/>
          <w:iCs/>
        </w:rPr>
      </w:pPr>
      <w:r>
        <w:rPr>
          <w:rFonts w:ascii="Arial" w:hAnsi="Arial" w:cs="Arial"/>
          <w:b/>
          <w:bCs/>
          <w:i/>
          <w:iCs/>
        </w:rPr>
        <w:t>Table 2</w:t>
      </w:r>
    </w:p>
    <w:p w14:paraId="6D59B436" w14:textId="4FBB370D" w:rsidR="00246615" w:rsidRDefault="00246615" w:rsidP="00246615">
      <w:pPr>
        <w:spacing w:line="360" w:lineRule="auto"/>
        <w:rPr>
          <w:rFonts w:ascii="Arial" w:hAnsi="Arial" w:cs="Arial"/>
        </w:rPr>
      </w:pPr>
      <w:r w:rsidRPr="00246615">
        <w:rPr>
          <w:rFonts w:ascii="Arial" w:hAnsi="Arial" w:cs="Arial"/>
        </w:rPr>
        <w:lastRenderedPageBreak/>
        <w:t>While external stakeholders guarantee credibility, compliance, and market success, internal stakeholders carry out operational execution. Effectively involving both parties reduces risks and synchronises objectives over the course of the project</w:t>
      </w:r>
      <w:r>
        <w:rPr>
          <w:rFonts w:ascii="Arial" w:hAnsi="Arial" w:cs="Arial"/>
        </w:rPr>
        <w:t xml:space="preserve"> </w:t>
      </w:r>
      <w:r w:rsidRPr="00246615">
        <w:rPr>
          <w:rFonts w:ascii="Arial" w:hAnsi="Arial" w:cs="Arial"/>
        </w:rPr>
        <w:t>(PMI, 2021).</w:t>
      </w:r>
    </w:p>
    <w:p w14:paraId="7BEC6B8E" w14:textId="37E7297D" w:rsidR="00C30462" w:rsidRPr="00166665" w:rsidRDefault="00C30462" w:rsidP="00246615">
      <w:pPr>
        <w:spacing w:line="360" w:lineRule="auto"/>
        <w:rPr>
          <w:rFonts w:ascii="Arial" w:hAnsi="Arial" w:cs="Arial"/>
          <w:b/>
          <w:bCs/>
          <w:sz w:val="28"/>
          <w:szCs w:val="28"/>
        </w:rPr>
      </w:pPr>
      <w:r w:rsidRPr="00166665">
        <w:rPr>
          <w:rFonts w:ascii="Arial" w:hAnsi="Arial" w:cs="Arial"/>
          <w:b/>
          <w:bCs/>
          <w:sz w:val="28"/>
          <w:szCs w:val="28"/>
        </w:rPr>
        <w:t>Roles, Responsibilities, Benefits, and Challenges</w:t>
      </w:r>
    </w:p>
    <w:tbl>
      <w:tblPr>
        <w:tblStyle w:val="TableGrid"/>
        <w:tblW w:w="10065" w:type="dxa"/>
        <w:tblInd w:w="-289" w:type="dxa"/>
        <w:tblLook w:val="04A0" w:firstRow="1" w:lastRow="0" w:firstColumn="1" w:lastColumn="0" w:noHBand="0" w:noVBand="1"/>
      </w:tblPr>
      <w:tblGrid>
        <w:gridCol w:w="1985"/>
        <w:gridCol w:w="2812"/>
        <w:gridCol w:w="2254"/>
        <w:gridCol w:w="3014"/>
      </w:tblGrid>
      <w:tr w:rsidR="00D7035E" w14:paraId="55DED31E" w14:textId="77777777" w:rsidTr="00F84638">
        <w:tc>
          <w:tcPr>
            <w:tcW w:w="1985" w:type="dxa"/>
            <w:shd w:val="clear" w:color="auto" w:fill="B3E5A1" w:themeFill="accent6" w:themeFillTint="66"/>
          </w:tcPr>
          <w:p w14:paraId="06EB2B67" w14:textId="1AFC0EDE" w:rsidR="00D7035E" w:rsidRPr="009B3E9F" w:rsidRDefault="00596501" w:rsidP="00246615">
            <w:pPr>
              <w:spacing w:line="360" w:lineRule="auto"/>
              <w:rPr>
                <w:rFonts w:ascii="Arial" w:hAnsi="Arial" w:cs="Arial"/>
                <w:b/>
                <w:bCs/>
              </w:rPr>
            </w:pPr>
            <w:r w:rsidRPr="009B3E9F">
              <w:rPr>
                <w:rFonts w:ascii="Arial" w:hAnsi="Arial" w:cs="Arial"/>
                <w:b/>
                <w:bCs/>
              </w:rPr>
              <w:t>Stakeholder</w:t>
            </w:r>
          </w:p>
        </w:tc>
        <w:tc>
          <w:tcPr>
            <w:tcW w:w="2812" w:type="dxa"/>
            <w:shd w:val="clear" w:color="auto" w:fill="B3E5A1" w:themeFill="accent6" w:themeFillTint="66"/>
          </w:tcPr>
          <w:p w14:paraId="06ECB84F" w14:textId="68CE6960" w:rsidR="00D7035E" w:rsidRPr="009B3E9F" w:rsidRDefault="009B3E9F" w:rsidP="00246615">
            <w:pPr>
              <w:spacing w:line="360" w:lineRule="auto"/>
              <w:rPr>
                <w:rFonts w:ascii="Arial" w:hAnsi="Arial" w:cs="Arial"/>
                <w:b/>
                <w:bCs/>
              </w:rPr>
            </w:pPr>
            <w:r w:rsidRPr="009B3E9F">
              <w:rPr>
                <w:rFonts w:ascii="Arial" w:hAnsi="Arial" w:cs="Arial"/>
                <w:b/>
                <w:bCs/>
              </w:rPr>
              <w:t>Role &amp; Responsibility</w:t>
            </w:r>
          </w:p>
        </w:tc>
        <w:tc>
          <w:tcPr>
            <w:tcW w:w="2254" w:type="dxa"/>
            <w:shd w:val="clear" w:color="auto" w:fill="B3E5A1" w:themeFill="accent6" w:themeFillTint="66"/>
          </w:tcPr>
          <w:p w14:paraId="4267506B" w14:textId="58450B8D" w:rsidR="00D7035E" w:rsidRPr="009B3E9F" w:rsidRDefault="009B3E9F" w:rsidP="00246615">
            <w:pPr>
              <w:spacing w:line="360" w:lineRule="auto"/>
              <w:rPr>
                <w:rFonts w:ascii="Arial" w:hAnsi="Arial" w:cs="Arial"/>
                <w:b/>
                <w:bCs/>
              </w:rPr>
            </w:pPr>
            <w:r w:rsidRPr="009B3E9F">
              <w:rPr>
                <w:rFonts w:ascii="Arial" w:hAnsi="Arial" w:cs="Arial"/>
                <w:b/>
                <w:bCs/>
              </w:rPr>
              <w:t>Benefits Brought</w:t>
            </w:r>
          </w:p>
        </w:tc>
        <w:tc>
          <w:tcPr>
            <w:tcW w:w="3014" w:type="dxa"/>
            <w:shd w:val="clear" w:color="auto" w:fill="B3E5A1" w:themeFill="accent6" w:themeFillTint="66"/>
          </w:tcPr>
          <w:p w14:paraId="1084E8AC" w14:textId="6373773F" w:rsidR="00D7035E" w:rsidRPr="009B3E9F" w:rsidRDefault="009B3E9F" w:rsidP="00246615">
            <w:pPr>
              <w:spacing w:line="360" w:lineRule="auto"/>
              <w:rPr>
                <w:rFonts w:ascii="Arial" w:hAnsi="Arial" w:cs="Arial"/>
                <w:b/>
                <w:bCs/>
              </w:rPr>
            </w:pPr>
            <w:r w:rsidRPr="009B3E9F">
              <w:rPr>
                <w:rFonts w:ascii="Arial" w:hAnsi="Arial" w:cs="Arial"/>
                <w:b/>
                <w:bCs/>
              </w:rPr>
              <w:t>Potential Challenges</w:t>
            </w:r>
          </w:p>
        </w:tc>
      </w:tr>
      <w:tr w:rsidR="00D7035E" w14:paraId="01B40753" w14:textId="77777777" w:rsidTr="00F84638">
        <w:tc>
          <w:tcPr>
            <w:tcW w:w="1985" w:type="dxa"/>
            <w:shd w:val="clear" w:color="auto" w:fill="B3E5A1" w:themeFill="accent6" w:themeFillTint="66"/>
          </w:tcPr>
          <w:p w14:paraId="60560E6C" w14:textId="7CE8BD54" w:rsidR="00D7035E" w:rsidRPr="007D2059" w:rsidRDefault="00362A9C" w:rsidP="00246615">
            <w:pPr>
              <w:spacing w:line="360" w:lineRule="auto"/>
              <w:rPr>
                <w:rFonts w:ascii="Arial" w:hAnsi="Arial" w:cs="Arial"/>
                <w:b/>
                <w:bCs/>
              </w:rPr>
            </w:pPr>
            <w:r w:rsidRPr="007D2059">
              <w:rPr>
                <w:rFonts w:ascii="Arial" w:hAnsi="Arial" w:cs="Arial"/>
                <w:b/>
                <w:bCs/>
              </w:rPr>
              <w:t>Project Manager</w:t>
            </w:r>
          </w:p>
        </w:tc>
        <w:tc>
          <w:tcPr>
            <w:tcW w:w="2812" w:type="dxa"/>
          </w:tcPr>
          <w:p w14:paraId="60742DFC" w14:textId="032A9EAF" w:rsidR="00D7035E" w:rsidRDefault="00DF3BF1" w:rsidP="00246615">
            <w:pPr>
              <w:spacing w:line="360" w:lineRule="auto"/>
              <w:rPr>
                <w:rFonts w:ascii="Arial" w:hAnsi="Arial" w:cs="Arial"/>
              </w:rPr>
            </w:pPr>
            <w:r w:rsidRPr="00DF3BF1">
              <w:rPr>
                <w:rFonts w:ascii="Arial" w:hAnsi="Arial" w:cs="Arial"/>
              </w:rPr>
              <w:t>Leads the project, coordinates teams, manages timelines, budgets, risks, and stakeholder expectations.</w:t>
            </w:r>
          </w:p>
        </w:tc>
        <w:tc>
          <w:tcPr>
            <w:tcW w:w="2254" w:type="dxa"/>
          </w:tcPr>
          <w:p w14:paraId="6414F3D6" w14:textId="502950A6" w:rsidR="00D7035E" w:rsidRDefault="00E2033F" w:rsidP="00246615">
            <w:pPr>
              <w:spacing w:line="360" w:lineRule="auto"/>
              <w:rPr>
                <w:rFonts w:ascii="Arial" w:hAnsi="Arial" w:cs="Arial"/>
              </w:rPr>
            </w:pPr>
            <w:r w:rsidRPr="00E2033F">
              <w:rPr>
                <w:rFonts w:ascii="Arial" w:hAnsi="Arial" w:cs="Arial"/>
              </w:rPr>
              <w:t>Ensures alignment, resolves conflicts, and drives the project toward strategic objectives.</w:t>
            </w:r>
          </w:p>
        </w:tc>
        <w:tc>
          <w:tcPr>
            <w:tcW w:w="3014" w:type="dxa"/>
          </w:tcPr>
          <w:p w14:paraId="12DB4A09" w14:textId="67F18C72" w:rsidR="00D7035E" w:rsidRDefault="00E2033F" w:rsidP="00246615">
            <w:pPr>
              <w:spacing w:line="360" w:lineRule="auto"/>
              <w:rPr>
                <w:rFonts w:ascii="Arial" w:hAnsi="Arial" w:cs="Arial"/>
              </w:rPr>
            </w:pPr>
            <w:r w:rsidRPr="00E2033F">
              <w:rPr>
                <w:rFonts w:ascii="Arial" w:hAnsi="Arial" w:cs="Arial"/>
              </w:rPr>
              <w:t>Balancing competing interests, managing time pressures, and ensuring cross-department cooperation.</w:t>
            </w:r>
          </w:p>
        </w:tc>
      </w:tr>
      <w:tr w:rsidR="00D7035E" w14:paraId="5A8CF593" w14:textId="77777777" w:rsidTr="00F84638">
        <w:tc>
          <w:tcPr>
            <w:tcW w:w="1985" w:type="dxa"/>
            <w:shd w:val="clear" w:color="auto" w:fill="B3E5A1" w:themeFill="accent6" w:themeFillTint="66"/>
          </w:tcPr>
          <w:p w14:paraId="7289BCA3" w14:textId="2C685E67" w:rsidR="00D7035E" w:rsidRPr="007D2059" w:rsidRDefault="00AE1195" w:rsidP="00246615">
            <w:pPr>
              <w:spacing w:line="360" w:lineRule="auto"/>
              <w:rPr>
                <w:rFonts w:ascii="Arial" w:hAnsi="Arial" w:cs="Arial"/>
                <w:b/>
                <w:bCs/>
              </w:rPr>
            </w:pPr>
            <w:r w:rsidRPr="007D2059">
              <w:rPr>
                <w:rFonts w:ascii="Arial" w:hAnsi="Arial" w:cs="Arial"/>
                <w:b/>
                <w:bCs/>
              </w:rPr>
              <w:t>Product Development Team</w:t>
            </w:r>
          </w:p>
        </w:tc>
        <w:tc>
          <w:tcPr>
            <w:tcW w:w="2812" w:type="dxa"/>
          </w:tcPr>
          <w:p w14:paraId="2916AFFB" w14:textId="633E47F9" w:rsidR="00D7035E" w:rsidRDefault="00602260" w:rsidP="00246615">
            <w:pPr>
              <w:spacing w:line="360" w:lineRule="auto"/>
              <w:rPr>
                <w:rFonts w:ascii="Arial" w:hAnsi="Arial" w:cs="Arial"/>
              </w:rPr>
            </w:pPr>
            <w:r w:rsidRPr="00602260">
              <w:rPr>
                <w:rFonts w:ascii="Arial" w:hAnsi="Arial" w:cs="Arial"/>
              </w:rPr>
              <w:t>Develop hardware, firmware, software, and testing frameworks.</w:t>
            </w:r>
          </w:p>
        </w:tc>
        <w:tc>
          <w:tcPr>
            <w:tcW w:w="2254" w:type="dxa"/>
          </w:tcPr>
          <w:p w14:paraId="6669F6D7" w14:textId="031703CE" w:rsidR="00D7035E" w:rsidRDefault="007D2059" w:rsidP="00246615">
            <w:pPr>
              <w:spacing w:line="360" w:lineRule="auto"/>
              <w:rPr>
                <w:rFonts w:ascii="Arial" w:hAnsi="Arial" w:cs="Arial"/>
              </w:rPr>
            </w:pPr>
            <w:r>
              <w:rPr>
                <w:rFonts w:ascii="Arial" w:hAnsi="Arial" w:cs="Arial"/>
              </w:rPr>
              <w:t>T</w:t>
            </w:r>
            <w:r w:rsidRPr="007D2059">
              <w:rPr>
                <w:rFonts w:ascii="Arial" w:hAnsi="Arial" w:cs="Arial"/>
              </w:rPr>
              <w:t>echnical expertise ensures that the device meets performance and safety standards.</w:t>
            </w:r>
          </w:p>
        </w:tc>
        <w:tc>
          <w:tcPr>
            <w:tcW w:w="3014" w:type="dxa"/>
          </w:tcPr>
          <w:p w14:paraId="0A2F7AF6" w14:textId="42056932" w:rsidR="00D7035E" w:rsidRDefault="007D2059" w:rsidP="00246615">
            <w:pPr>
              <w:spacing w:line="360" w:lineRule="auto"/>
              <w:rPr>
                <w:rFonts w:ascii="Arial" w:hAnsi="Arial" w:cs="Arial"/>
              </w:rPr>
            </w:pPr>
            <w:r w:rsidRPr="007D2059">
              <w:rPr>
                <w:rFonts w:ascii="Arial" w:hAnsi="Arial" w:cs="Arial"/>
              </w:rPr>
              <w:t>Technical delays, resource shortages, and conflicting requirements from marketing or legal teams.</w:t>
            </w:r>
          </w:p>
        </w:tc>
      </w:tr>
      <w:tr w:rsidR="00D7035E" w14:paraId="515457A0" w14:textId="77777777" w:rsidTr="00F84638">
        <w:tc>
          <w:tcPr>
            <w:tcW w:w="1985" w:type="dxa"/>
            <w:shd w:val="clear" w:color="auto" w:fill="B3E5A1" w:themeFill="accent6" w:themeFillTint="66"/>
          </w:tcPr>
          <w:p w14:paraId="6CB5E9CF" w14:textId="231D2F62" w:rsidR="00D7035E" w:rsidRPr="007D2059" w:rsidRDefault="00AE1195" w:rsidP="00246615">
            <w:pPr>
              <w:spacing w:line="360" w:lineRule="auto"/>
              <w:rPr>
                <w:rFonts w:ascii="Arial" w:hAnsi="Arial" w:cs="Arial"/>
                <w:b/>
                <w:bCs/>
              </w:rPr>
            </w:pPr>
            <w:r w:rsidRPr="007D2059">
              <w:rPr>
                <w:rFonts w:ascii="Arial" w:hAnsi="Arial" w:cs="Arial"/>
                <w:b/>
                <w:bCs/>
              </w:rPr>
              <w:t>Marketing Department</w:t>
            </w:r>
          </w:p>
        </w:tc>
        <w:tc>
          <w:tcPr>
            <w:tcW w:w="2812" w:type="dxa"/>
          </w:tcPr>
          <w:p w14:paraId="19D78923" w14:textId="35448E03" w:rsidR="00D7035E" w:rsidRDefault="00A93B3D" w:rsidP="00246615">
            <w:pPr>
              <w:spacing w:line="360" w:lineRule="auto"/>
              <w:rPr>
                <w:rFonts w:ascii="Arial" w:hAnsi="Arial" w:cs="Arial"/>
              </w:rPr>
            </w:pPr>
            <w:r w:rsidRPr="00A93B3D">
              <w:rPr>
                <w:rFonts w:ascii="Arial" w:hAnsi="Arial" w:cs="Arial"/>
              </w:rPr>
              <w:t>Conduct market research, develop messaging, coordinate campaigns, design packaging, and manage social media engagement.</w:t>
            </w:r>
          </w:p>
        </w:tc>
        <w:tc>
          <w:tcPr>
            <w:tcW w:w="2254" w:type="dxa"/>
          </w:tcPr>
          <w:p w14:paraId="7CB4BC95" w14:textId="47C5D44E" w:rsidR="00D7035E" w:rsidRDefault="00A93B3D" w:rsidP="00246615">
            <w:pPr>
              <w:spacing w:line="360" w:lineRule="auto"/>
              <w:rPr>
                <w:rFonts w:ascii="Arial" w:hAnsi="Arial" w:cs="Arial"/>
              </w:rPr>
            </w:pPr>
            <w:r w:rsidRPr="00A93B3D">
              <w:rPr>
                <w:rFonts w:ascii="Arial" w:hAnsi="Arial" w:cs="Arial"/>
              </w:rPr>
              <w:t>Improves consumer awareness and demand for the new device.</w:t>
            </w:r>
          </w:p>
        </w:tc>
        <w:tc>
          <w:tcPr>
            <w:tcW w:w="3014" w:type="dxa"/>
          </w:tcPr>
          <w:p w14:paraId="3CB39B29" w14:textId="0300669D" w:rsidR="00F800AE" w:rsidRPr="00F800AE" w:rsidRDefault="00BD44FD" w:rsidP="00F800AE">
            <w:pPr>
              <w:rPr>
                <w:rFonts w:ascii="Arial" w:hAnsi="Arial" w:cs="Arial"/>
              </w:rPr>
            </w:pPr>
            <w:r w:rsidRPr="00BD44FD">
              <w:rPr>
                <w:rFonts w:ascii="Arial" w:hAnsi="Arial" w:cs="Arial"/>
              </w:rPr>
              <w:t>Requires timely access to technical specs to avoid misleading claims.</w:t>
            </w:r>
          </w:p>
        </w:tc>
      </w:tr>
      <w:tr w:rsidR="00D7035E" w14:paraId="78007BB3" w14:textId="77777777" w:rsidTr="00F84638">
        <w:tc>
          <w:tcPr>
            <w:tcW w:w="1985" w:type="dxa"/>
            <w:shd w:val="clear" w:color="auto" w:fill="B3E5A1" w:themeFill="accent6" w:themeFillTint="66"/>
          </w:tcPr>
          <w:p w14:paraId="2BB265E6" w14:textId="185976F6" w:rsidR="00D7035E" w:rsidRPr="001A7222" w:rsidRDefault="007834EE" w:rsidP="00246615">
            <w:pPr>
              <w:spacing w:line="360" w:lineRule="auto"/>
              <w:rPr>
                <w:rFonts w:ascii="Arial" w:hAnsi="Arial" w:cs="Arial"/>
                <w:b/>
                <w:bCs/>
              </w:rPr>
            </w:pPr>
            <w:r w:rsidRPr="001A7222">
              <w:rPr>
                <w:rFonts w:ascii="Arial" w:hAnsi="Arial" w:cs="Arial"/>
                <w:b/>
                <w:bCs/>
              </w:rPr>
              <w:t>Sales Department</w:t>
            </w:r>
          </w:p>
        </w:tc>
        <w:tc>
          <w:tcPr>
            <w:tcW w:w="2812" w:type="dxa"/>
          </w:tcPr>
          <w:p w14:paraId="75FBFB0C" w14:textId="04EE30AB" w:rsidR="00D7035E" w:rsidRDefault="00A6360B" w:rsidP="00246615">
            <w:pPr>
              <w:spacing w:line="360" w:lineRule="auto"/>
              <w:rPr>
                <w:rFonts w:ascii="Arial" w:hAnsi="Arial" w:cs="Arial"/>
              </w:rPr>
            </w:pPr>
            <w:r w:rsidRPr="00A6360B">
              <w:rPr>
                <w:rFonts w:ascii="Arial" w:hAnsi="Arial" w:cs="Arial"/>
              </w:rPr>
              <w:t>Build distribution networks, negotiate with retailers, and forecast sales volumes.</w:t>
            </w:r>
          </w:p>
        </w:tc>
        <w:tc>
          <w:tcPr>
            <w:tcW w:w="2254" w:type="dxa"/>
          </w:tcPr>
          <w:p w14:paraId="5EDAFB09" w14:textId="76542534" w:rsidR="00D7035E" w:rsidRDefault="009F3BEF" w:rsidP="00246615">
            <w:pPr>
              <w:spacing w:line="360" w:lineRule="auto"/>
              <w:rPr>
                <w:rFonts w:ascii="Arial" w:hAnsi="Arial" w:cs="Arial"/>
              </w:rPr>
            </w:pPr>
            <w:r w:rsidRPr="009F3BEF">
              <w:rPr>
                <w:rFonts w:ascii="Arial" w:hAnsi="Arial" w:cs="Arial"/>
              </w:rPr>
              <w:t>Ensures strong market penetration and early sales momentum</w:t>
            </w:r>
            <w:r>
              <w:rPr>
                <w:rFonts w:ascii="Arial" w:hAnsi="Arial" w:cs="Arial"/>
              </w:rPr>
              <w:t>.</w:t>
            </w:r>
          </w:p>
        </w:tc>
        <w:tc>
          <w:tcPr>
            <w:tcW w:w="3014" w:type="dxa"/>
          </w:tcPr>
          <w:p w14:paraId="50888A42" w14:textId="77777777" w:rsidR="001A7222" w:rsidRPr="001A7222" w:rsidRDefault="001A7222" w:rsidP="001A7222">
            <w:pPr>
              <w:spacing w:line="360" w:lineRule="auto"/>
              <w:rPr>
                <w:rFonts w:ascii="Arial" w:hAnsi="Arial" w:cs="Arial"/>
              </w:rPr>
            </w:pPr>
            <w:r w:rsidRPr="001A7222">
              <w:rPr>
                <w:rFonts w:ascii="Arial" w:hAnsi="Arial" w:cs="Arial"/>
              </w:rPr>
              <w:t>Forecasting demand accurately, particularly for new technology.</w:t>
            </w:r>
          </w:p>
          <w:p w14:paraId="11DD75E5" w14:textId="02BABA45" w:rsidR="00D7035E" w:rsidRDefault="00D7035E" w:rsidP="001A7222">
            <w:pPr>
              <w:spacing w:line="360" w:lineRule="auto"/>
              <w:rPr>
                <w:rFonts w:ascii="Arial" w:hAnsi="Arial" w:cs="Arial"/>
              </w:rPr>
            </w:pPr>
          </w:p>
        </w:tc>
      </w:tr>
      <w:tr w:rsidR="00D7035E" w14:paraId="0366D5F7" w14:textId="77777777" w:rsidTr="00F84638">
        <w:tc>
          <w:tcPr>
            <w:tcW w:w="1985" w:type="dxa"/>
            <w:shd w:val="clear" w:color="auto" w:fill="B3E5A1" w:themeFill="accent6" w:themeFillTint="66"/>
          </w:tcPr>
          <w:p w14:paraId="459673FE" w14:textId="4D75E430" w:rsidR="00D7035E" w:rsidRPr="001A7222" w:rsidRDefault="007834EE" w:rsidP="00246615">
            <w:pPr>
              <w:spacing w:line="360" w:lineRule="auto"/>
              <w:rPr>
                <w:rFonts w:ascii="Arial" w:hAnsi="Arial" w:cs="Arial"/>
                <w:b/>
                <w:bCs/>
              </w:rPr>
            </w:pPr>
            <w:r w:rsidRPr="001A7222">
              <w:rPr>
                <w:rFonts w:ascii="Arial" w:hAnsi="Arial" w:cs="Arial"/>
                <w:b/>
                <w:bCs/>
              </w:rPr>
              <w:t>Finance Department</w:t>
            </w:r>
          </w:p>
        </w:tc>
        <w:tc>
          <w:tcPr>
            <w:tcW w:w="2812" w:type="dxa"/>
          </w:tcPr>
          <w:p w14:paraId="37ECBBC1" w14:textId="76C2EBCE" w:rsidR="00D7035E" w:rsidRDefault="009C7AFB" w:rsidP="00246615">
            <w:pPr>
              <w:spacing w:line="360" w:lineRule="auto"/>
              <w:rPr>
                <w:rFonts w:ascii="Arial" w:hAnsi="Arial" w:cs="Arial"/>
              </w:rPr>
            </w:pPr>
            <w:r w:rsidRPr="009C7AFB">
              <w:rPr>
                <w:rFonts w:ascii="Arial" w:hAnsi="Arial" w:cs="Arial"/>
              </w:rPr>
              <w:t>Provides budget oversight and financial risk monitoring.</w:t>
            </w:r>
          </w:p>
        </w:tc>
        <w:tc>
          <w:tcPr>
            <w:tcW w:w="2254" w:type="dxa"/>
          </w:tcPr>
          <w:p w14:paraId="0FEBA4D9" w14:textId="04C3FADB" w:rsidR="00D7035E" w:rsidRDefault="009C7AFB" w:rsidP="00246615">
            <w:pPr>
              <w:spacing w:line="360" w:lineRule="auto"/>
              <w:rPr>
                <w:rFonts w:ascii="Arial" w:hAnsi="Arial" w:cs="Arial"/>
              </w:rPr>
            </w:pPr>
            <w:r w:rsidRPr="009C7AFB">
              <w:rPr>
                <w:rFonts w:ascii="Arial" w:hAnsi="Arial" w:cs="Arial"/>
              </w:rPr>
              <w:t>Helps avoid overspending and ensures financial sustainability.</w:t>
            </w:r>
          </w:p>
        </w:tc>
        <w:tc>
          <w:tcPr>
            <w:tcW w:w="3014" w:type="dxa"/>
          </w:tcPr>
          <w:p w14:paraId="5E1FC21E" w14:textId="16924081" w:rsidR="00D7035E" w:rsidRDefault="00404673" w:rsidP="00246615">
            <w:pPr>
              <w:spacing w:line="360" w:lineRule="auto"/>
              <w:rPr>
                <w:rFonts w:ascii="Arial" w:hAnsi="Arial" w:cs="Arial"/>
              </w:rPr>
            </w:pPr>
            <w:r w:rsidRPr="00404673">
              <w:rPr>
                <w:rFonts w:ascii="Arial" w:hAnsi="Arial" w:cs="Arial"/>
              </w:rPr>
              <w:t>Budget constraints may limit development or marketing efforts.</w:t>
            </w:r>
          </w:p>
        </w:tc>
      </w:tr>
      <w:tr w:rsidR="00D7035E" w14:paraId="68F316F4" w14:textId="77777777" w:rsidTr="00F84638">
        <w:tc>
          <w:tcPr>
            <w:tcW w:w="1985" w:type="dxa"/>
            <w:shd w:val="clear" w:color="auto" w:fill="B3E5A1" w:themeFill="accent6" w:themeFillTint="66"/>
          </w:tcPr>
          <w:p w14:paraId="1B2B08C6" w14:textId="7F39E721" w:rsidR="00D7035E" w:rsidRPr="001A7222" w:rsidRDefault="00491D0D" w:rsidP="00246615">
            <w:pPr>
              <w:spacing w:line="360" w:lineRule="auto"/>
              <w:rPr>
                <w:rFonts w:ascii="Arial" w:hAnsi="Arial" w:cs="Arial"/>
                <w:b/>
                <w:bCs/>
              </w:rPr>
            </w:pPr>
            <w:r w:rsidRPr="001A7222">
              <w:rPr>
                <w:rFonts w:ascii="Arial" w:hAnsi="Arial" w:cs="Arial"/>
                <w:b/>
                <w:bCs/>
              </w:rPr>
              <w:t>Legal &amp; Compliance</w:t>
            </w:r>
          </w:p>
        </w:tc>
        <w:tc>
          <w:tcPr>
            <w:tcW w:w="2812" w:type="dxa"/>
          </w:tcPr>
          <w:p w14:paraId="5CFC5591" w14:textId="4CC89CB5" w:rsidR="00D7035E" w:rsidRDefault="00404673" w:rsidP="00246615">
            <w:pPr>
              <w:spacing w:line="360" w:lineRule="auto"/>
              <w:rPr>
                <w:rFonts w:ascii="Arial" w:hAnsi="Arial" w:cs="Arial"/>
              </w:rPr>
            </w:pPr>
            <w:r w:rsidRPr="00404673">
              <w:rPr>
                <w:rFonts w:ascii="Arial" w:hAnsi="Arial" w:cs="Arial"/>
              </w:rPr>
              <w:t>Ensure device and data compliance with GDPR, MHRA, and consumer laws</w:t>
            </w:r>
            <w:r>
              <w:rPr>
                <w:rFonts w:ascii="Arial" w:hAnsi="Arial" w:cs="Arial"/>
              </w:rPr>
              <w:t>.</w:t>
            </w:r>
          </w:p>
        </w:tc>
        <w:tc>
          <w:tcPr>
            <w:tcW w:w="2254" w:type="dxa"/>
          </w:tcPr>
          <w:p w14:paraId="576B7A02" w14:textId="1B16F64D" w:rsidR="00D7035E" w:rsidRDefault="00657906" w:rsidP="00246615">
            <w:pPr>
              <w:spacing w:line="360" w:lineRule="auto"/>
              <w:rPr>
                <w:rFonts w:ascii="Arial" w:hAnsi="Arial" w:cs="Arial"/>
              </w:rPr>
            </w:pPr>
            <w:r w:rsidRPr="00657906">
              <w:rPr>
                <w:rFonts w:ascii="Arial" w:hAnsi="Arial" w:cs="Arial"/>
              </w:rPr>
              <w:t>Reduces regulatory risks and prevents costly legal issues.</w:t>
            </w:r>
          </w:p>
        </w:tc>
        <w:tc>
          <w:tcPr>
            <w:tcW w:w="3014" w:type="dxa"/>
          </w:tcPr>
          <w:p w14:paraId="513492DD" w14:textId="7A580F40" w:rsidR="00D7035E" w:rsidRDefault="00657906" w:rsidP="00246615">
            <w:pPr>
              <w:spacing w:line="360" w:lineRule="auto"/>
              <w:rPr>
                <w:rFonts w:ascii="Arial" w:hAnsi="Arial" w:cs="Arial"/>
              </w:rPr>
            </w:pPr>
            <w:r w:rsidRPr="00657906">
              <w:rPr>
                <w:rFonts w:ascii="Arial" w:hAnsi="Arial" w:cs="Arial"/>
              </w:rPr>
              <w:t>Complex, changing health technology regulations may delay approval.</w:t>
            </w:r>
          </w:p>
        </w:tc>
      </w:tr>
      <w:tr w:rsidR="00D7035E" w14:paraId="2CB1149F" w14:textId="77777777" w:rsidTr="00F84638">
        <w:tc>
          <w:tcPr>
            <w:tcW w:w="1985" w:type="dxa"/>
            <w:shd w:val="clear" w:color="auto" w:fill="B3E5A1" w:themeFill="accent6" w:themeFillTint="66"/>
          </w:tcPr>
          <w:p w14:paraId="50C47358" w14:textId="4655CB7E" w:rsidR="00D7035E" w:rsidRPr="001A7222" w:rsidRDefault="0093381D" w:rsidP="00246615">
            <w:pPr>
              <w:spacing w:line="360" w:lineRule="auto"/>
              <w:rPr>
                <w:rFonts w:ascii="Arial" w:hAnsi="Arial" w:cs="Arial"/>
                <w:b/>
                <w:bCs/>
              </w:rPr>
            </w:pPr>
            <w:r w:rsidRPr="001A7222">
              <w:rPr>
                <w:rFonts w:ascii="Arial" w:hAnsi="Arial" w:cs="Arial"/>
                <w:b/>
                <w:bCs/>
              </w:rPr>
              <w:lastRenderedPageBreak/>
              <w:t>Senior Management</w:t>
            </w:r>
          </w:p>
        </w:tc>
        <w:tc>
          <w:tcPr>
            <w:tcW w:w="2812" w:type="dxa"/>
          </w:tcPr>
          <w:p w14:paraId="1B89D59B" w14:textId="4436EC8D" w:rsidR="00D7035E" w:rsidRDefault="00D11F95" w:rsidP="00246615">
            <w:pPr>
              <w:spacing w:line="360" w:lineRule="auto"/>
              <w:rPr>
                <w:rFonts w:ascii="Arial" w:hAnsi="Arial" w:cs="Arial"/>
              </w:rPr>
            </w:pPr>
            <w:r w:rsidRPr="00D11F95">
              <w:rPr>
                <w:rFonts w:ascii="Arial" w:hAnsi="Arial" w:cs="Arial"/>
              </w:rPr>
              <w:t>Provide strategic oversight, approve budgets, and make high-level decisions.</w:t>
            </w:r>
          </w:p>
        </w:tc>
        <w:tc>
          <w:tcPr>
            <w:tcW w:w="2254" w:type="dxa"/>
          </w:tcPr>
          <w:p w14:paraId="11D45E99" w14:textId="52C314DB" w:rsidR="00D7035E" w:rsidRDefault="00D11F95" w:rsidP="00246615">
            <w:pPr>
              <w:spacing w:line="360" w:lineRule="auto"/>
              <w:rPr>
                <w:rFonts w:ascii="Arial" w:hAnsi="Arial" w:cs="Arial"/>
              </w:rPr>
            </w:pPr>
            <w:r w:rsidRPr="00D11F95">
              <w:rPr>
                <w:rFonts w:ascii="Arial" w:hAnsi="Arial" w:cs="Arial"/>
              </w:rPr>
              <w:t>Provide authority, support, and direction.</w:t>
            </w:r>
          </w:p>
        </w:tc>
        <w:tc>
          <w:tcPr>
            <w:tcW w:w="3014" w:type="dxa"/>
          </w:tcPr>
          <w:p w14:paraId="1B3DCB68" w14:textId="4FEE6C6B" w:rsidR="00D7035E" w:rsidRDefault="009934BB" w:rsidP="00246615">
            <w:pPr>
              <w:spacing w:line="360" w:lineRule="auto"/>
              <w:rPr>
                <w:rFonts w:ascii="Arial" w:hAnsi="Arial" w:cs="Arial"/>
              </w:rPr>
            </w:pPr>
            <w:r w:rsidRPr="009934BB">
              <w:rPr>
                <w:rFonts w:ascii="Arial" w:hAnsi="Arial" w:cs="Arial"/>
              </w:rPr>
              <w:t>Conflicting strategic priorities can create delays.</w:t>
            </w:r>
          </w:p>
        </w:tc>
      </w:tr>
      <w:tr w:rsidR="00D7035E" w14:paraId="481631AB" w14:textId="77777777" w:rsidTr="00F84638">
        <w:tc>
          <w:tcPr>
            <w:tcW w:w="1985" w:type="dxa"/>
            <w:shd w:val="clear" w:color="auto" w:fill="B3E5A1" w:themeFill="accent6" w:themeFillTint="66"/>
          </w:tcPr>
          <w:p w14:paraId="2070E850" w14:textId="47974E71" w:rsidR="00D7035E" w:rsidRPr="001A7222" w:rsidRDefault="0093381D" w:rsidP="00246615">
            <w:pPr>
              <w:spacing w:line="360" w:lineRule="auto"/>
              <w:rPr>
                <w:rFonts w:ascii="Arial" w:hAnsi="Arial" w:cs="Arial"/>
                <w:b/>
                <w:bCs/>
              </w:rPr>
            </w:pPr>
            <w:r w:rsidRPr="001A7222">
              <w:rPr>
                <w:rFonts w:ascii="Arial" w:hAnsi="Arial" w:cs="Arial"/>
                <w:b/>
                <w:bCs/>
              </w:rPr>
              <w:t>Suppliers</w:t>
            </w:r>
          </w:p>
        </w:tc>
        <w:tc>
          <w:tcPr>
            <w:tcW w:w="2812" w:type="dxa"/>
          </w:tcPr>
          <w:p w14:paraId="268D02A8" w14:textId="542D3FA4" w:rsidR="00D7035E" w:rsidRDefault="009934BB" w:rsidP="00246615">
            <w:pPr>
              <w:spacing w:line="360" w:lineRule="auto"/>
              <w:rPr>
                <w:rFonts w:ascii="Arial" w:hAnsi="Arial" w:cs="Arial"/>
              </w:rPr>
            </w:pPr>
            <w:r w:rsidRPr="009934BB">
              <w:rPr>
                <w:rFonts w:ascii="Arial" w:hAnsi="Arial" w:cs="Arial"/>
              </w:rPr>
              <w:t>Provide components, materials, and production services</w:t>
            </w:r>
            <w:r>
              <w:rPr>
                <w:rFonts w:ascii="Arial" w:hAnsi="Arial" w:cs="Arial"/>
              </w:rPr>
              <w:t>.</w:t>
            </w:r>
          </w:p>
        </w:tc>
        <w:tc>
          <w:tcPr>
            <w:tcW w:w="2254" w:type="dxa"/>
          </w:tcPr>
          <w:p w14:paraId="0AABA659" w14:textId="61BAF223" w:rsidR="00D7035E" w:rsidRDefault="009562CD" w:rsidP="00246615">
            <w:pPr>
              <w:spacing w:line="360" w:lineRule="auto"/>
              <w:rPr>
                <w:rFonts w:ascii="Arial" w:hAnsi="Arial" w:cs="Arial"/>
              </w:rPr>
            </w:pPr>
            <w:r w:rsidRPr="009562CD">
              <w:rPr>
                <w:rFonts w:ascii="Arial" w:hAnsi="Arial" w:cs="Arial"/>
              </w:rPr>
              <w:t>Efficient suppliers reduce costs and speed up production.</w:t>
            </w:r>
          </w:p>
        </w:tc>
        <w:tc>
          <w:tcPr>
            <w:tcW w:w="3014" w:type="dxa"/>
          </w:tcPr>
          <w:p w14:paraId="76196A76" w14:textId="0A89E776" w:rsidR="00D7035E" w:rsidRDefault="009562CD" w:rsidP="00246615">
            <w:pPr>
              <w:spacing w:line="360" w:lineRule="auto"/>
              <w:rPr>
                <w:rFonts w:ascii="Arial" w:hAnsi="Arial" w:cs="Arial"/>
              </w:rPr>
            </w:pPr>
            <w:r w:rsidRPr="009562CD">
              <w:rPr>
                <w:rFonts w:ascii="Arial" w:hAnsi="Arial" w:cs="Arial"/>
              </w:rPr>
              <w:t>Supply chain disruptions or quality issues can jeopardise deadlines.</w:t>
            </w:r>
          </w:p>
        </w:tc>
      </w:tr>
      <w:tr w:rsidR="00D7035E" w14:paraId="1BFF894B" w14:textId="77777777" w:rsidTr="00F84638">
        <w:tc>
          <w:tcPr>
            <w:tcW w:w="1985" w:type="dxa"/>
            <w:shd w:val="clear" w:color="auto" w:fill="B3E5A1" w:themeFill="accent6" w:themeFillTint="66"/>
          </w:tcPr>
          <w:p w14:paraId="167C5041" w14:textId="266001FD" w:rsidR="00D7035E" w:rsidRPr="001A7222" w:rsidRDefault="0093381D" w:rsidP="0093381D">
            <w:pPr>
              <w:spacing w:line="360" w:lineRule="auto"/>
              <w:rPr>
                <w:rFonts w:ascii="Arial" w:hAnsi="Arial" w:cs="Arial"/>
                <w:b/>
                <w:bCs/>
              </w:rPr>
            </w:pPr>
            <w:r w:rsidRPr="001A7222">
              <w:rPr>
                <w:rFonts w:ascii="Arial" w:hAnsi="Arial" w:cs="Arial"/>
                <w:b/>
                <w:bCs/>
              </w:rPr>
              <w:t>Healthcare Professionals</w:t>
            </w:r>
          </w:p>
        </w:tc>
        <w:tc>
          <w:tcPr>
            <w:tcW w:w="2812" w:type="dxa"/>
          </w:tcPr>
          <w:p w14:paraId="3A1F8D01" w14:textId="71E68C6D" w:rsidR="00D7035E" w:rsidRDefault="00A15A77" w:rsidP="00246615">
            <w:pPr>
              <w:spacing w:line="360" w:lineRule="auto"/>
              <w:rPr>
                <w:rFonts w:ascii="Arial" w:hAnsi="Arial" w:cs="Arial"/>
              </w:rPr>
            </w:pPr>
            <w:r w:rsidRPr="00A15A77">
              <w:rPr>
                <w:rFonts w:ascii="Arial" w:hAnsi="Arial" w:cs="Arial"/>
              </w:rPr>
              <w:t>Test and evaluate device accuracy and effectiveness.</w:t>
            </w:r>
          </w:p>
        </w:tc>
        <w:tc>
          <w:tcPr>
            <w:tcW w:w="2254" w:type="dxa"/>
          </w:tcPr>
          <w:p w14:paraId="67712C76" w14:textId="754C06D1" w:rsidR="00D7035E" w:rsidRDefault="00A15A77" w:rsidP="00246615">
            <w:pPr>
              <w:spacing w:line="360" w:lineRule="auto"/>
              <w:rPr>
                <w:rFonts w:ascii="Arial" w:hAnsi="Arial" w:cs="Arial"/>
              </w:rPr>
            </w:pPr>
            <w:r w:rsidRPr="00A15A77">
              <w:rPr>
                <w:rFonts w:ascii="Arial" w:hAnsi="Arial" w:cs="Arial"/>
              </w:rPr>
              <w:t>Enhances credibility, supports clinical validation.</w:t>
            </w:r>
          </w:p>
        </w:tc>
        <w:tc>
          <w:tcPr>
            <w:tcW w:w="3014" w:type="dxa"/>
          </w:tcPr>
          <w:p w14:paraId="7BC3A78B" w14:textId="5F9A3BA4" w:rsidR="00D7035E" w:rsidRDefault="00842A58" w:rsidP="00246615">
            <w:pPr>
              <w:spacing w:line="360" w:lineRule="auto"/>
              <w:rPr>
                <w:rFonts w:ascii="Arial" w:hAnsi="Arial" w:cs="Arial"/>
              </w:rPr>
            </w:pPr>
            <w:r w:rsidRPr="00842A58">
              <w:rPr>
                <w:rFonts w:ascii="Arial" w:hAnsi="Arial" w:cs="Arial"/>
              </w:rPr>
              <w:t>Limited availability for testing and reviews.</w:t>
            </w:r>
          </w:p>
        </w:tc>
      </w:tr>
      <w:tr w:rsidR="00D7035E" w14:paraId="6318ED1C" w14:textId="77777777" w:rsidTr="00F84638">
        <w:tc>
          <w:tcPr>
            <w:tcW w:w="1985" w:type="dxa"/>
            <w:shd w:val="clear" w:color="auto" w:fill="B3E5A1" w:themeFill="accent6" w:themeFillTint="66"/>
          </w:tcPr>
          <w:p w14:paraId="3542B739" w14:textId="7D1BE65F" w:rsidR="00D7035E" w:rsidRPr="001A7222" w:rsidRDefault="000D3005" w:rsidP="00246615">
            <w:pPr>
              <w:spacing w:line="360" w:lineRule="auto"/>
              <w:rPr>
                <w:rFonts w:ascii="Arial" w:hAnsi="Arial" w:cs="Arial"/>
                <w:b/>
                <w:bCs/>
              </w:rPr>
            </w:pPr>
            <w:r w:rsidRPr="001A7222">
              <w:rPr>
                <w:rFonts w:ascii="Arial" w:hAnsi="Arial" w:cs="Arial"/>
                <w:b/>
                <w:bCs/>
              </w:rPr>
              <w:t>Consumers</w:t>
            </w:r>
          </w:p>
        </w:tc>
        <w:tc>
          <w:tcPr>
            <w:tcW w:w="2812" w:type="dxa"/>
          </w:tcPr>
          <w:p w14:paraId="5B7BC94A" w14:textId="0785AF69" w:rsidR="00D7035E" w:rsidRDefault="00842A58" w:rsidP="00246615">
            <w:pPr>
              <w:spacing w:line="360" w:lineRule="auto"/>
              <w:rPr>
                <w:rFonts w:ascii="Arial" w:hAnsi="Arial" w:cs="Arial"/>
              </w:rPr>
            </w:pPr>
            <w:r w:rsidRPr="00842A58">
              <w:rPr>
                <w:rFonts w:ascii="Arial" w:hAnsi="Arial" w:cs="Arial"/>
              </w:rPr>
              <w:t>Provide feedback and ultimately determine product success.</w:t>
            </w:r>
          </w:p>
        </w:tc>
        <w:tc>
          <w:tcPr>
            <w:tcW w:w="2254" w:type="dxa"/>
          </w:tcPr>
          <w:p w14:paraId="36E615F1" w14:textId="026FA1C0" w:rsidR="00D7035E" w:rsidRDefault="00981377" w:rsidP="00246615">
            <w:pPr>
              <w:spacing w:line="360" w:lineRule="auto"/>
              <w:rPr>
                <w:rFonts w:ascii="Arial" w:hAnsi="Arial" w:cs="Arial"/>
              </w:rPr>
            </w:pPr>
            <w:r w:rsidRPr="00981377">
              <w:rPr>
                <w:rFonts w:ascii="Arial" w:hAnsi="Arial" w:cs="Arial"/>
              </w:rPr>
              <w:t>Real-world feedback informs improvements.</w:t>
            </w:r>
          </w:p>
        </w:tc>
        <w:tc>
          <w:tcPr>
            <w:tcW w:w="3014" w:type="dxa"/>
          </w:tcPr>
          <w:p w14:paraId="33E49445" w14:textId="1E8600A1" w:rsidR="00D7035E" w:rsidRDefault="00981377" w:rsidP="00246615">
            <w:pPr>
              <w:spacing w:line="360" w:lineRule="auto"/>
              <w:rPr>
                <w:rFonts w:ascii="Arial" w:hAnsi="Arial" w:cs="Arial"/>
              </w:rPr>
            </w:pPr>
            <w:r w:rsidRPr="00981377">
              <w:rPr>
                <w:rFonts w:ascii="Arial" w:hAnsi="Arial" w:cs="Arial"/>
              </w:rPr>
              <w:t>Privacy concerns could impact adoption.</w:t>
            </w:r>
          </w:p>
        </w:tc>
      </w:tr>
      <w:tr w:rsidR="000D3005" w14:paraId="4FDAD5F5" w14:textId="77777777" w:rsidTr="00F84638">
        <w:tc>
          <w:tcPr>
            <w:tcW w:w="1985" w:type="dxa"/>
            <w:shd w:val="clear" w:color="auto" w:fill="B3E5A1" w:themeFill="accent6" w:themeFillTint="66"/>
          </w:tcPr>
          <w:p w14:paraId="32040D74" w14:textId="28990FB7" w:rsidR="000D3005" w:rsidRPr="001A7222" w:rsidRDefault="000D3005" w:rsidP="00246615">
            <w:pPr>
              <w:spacing w:line="360" w:lineRule="auto"/>
              <w:rPr>
                <w:rFonts w:ascii="Arial" w:hAnsi="Arial" w:cs="Arial"/>
                <w:b/>
                <w:bCs/>
              </w:rPr>
            </w:pPr>
            <w:r w:rsidRPr="001A7222">
              <w:rPr>
                <w:rFonts w:ascii="Arial" w:hAnsi="Arial" w:cs="Arial"/>
                <w:b/>
                <w:bCs/>
              </w:rPr>
              <w:t>Regulators</w:t>
            </w:r>
          </w:p>
        </w:tc>
        <w:tc>
          <w:tcPr>
            <w:tcW w:w="2812" w:type="dxa"/>
          </w:tcPr>
          <w:p w14:paraId="6084E0D3" w14:textId="44CAAB8E" w:rsidR="000D3005" w:rsidRDefault="00230BB5" w:rsidP="00246615">
            <w:pPr>
              <w:spacing w:line="360" w:lineRule="auto"/>
              <w:rPr>
                <w:rFonts w:ascii="Arial" w:hAnsi="Arial" w:cs="Arial"/>
              </w:rPr>
            </w:pPr>
            <w:r w:rsidRPr="00230BB5">
              <w:rPr>
                <w:rFonts w:ascii="Arial" w:hAnsi="Arial" w:cs="Arial"/>
              </w:rPr>
              <w:t>Approve device safety, certify compliance, and protect consumers.</w:t>
            </w:r>
          </w:p>
        </w:tc>
        <w:tc>
          <w:tcPr>
            <w:tcW w:w="2254" w:type="dxa"/>
          </w:tcPr>
          <w:p w14:paraId="64B1D5A4" w14:textId="1C246D7A" w:rsidR="000D3005" w:rsidRDefault="00230BB5" w:rsidP="00246615">
            <w:pPr>
              <w:spacing w:line="360" w:lineRule="auto"/>
              <w:rPr>
                <w:rFonts w:ascii="Arial" w:hAnsi="Arial" w:cs="Arial"/>
              </w:rPr>
            </w:pPr>
            <w:r w:rsidRPr="00230BB5">
              <w:rPr>
                <w:rFonts w:ascii="Arial" w:hAnsi="Arial" w:cs="Arial"/>
              </w:rPr>
              <w:t>Regulatory certification increases trust.</w:t>
            </w:r>
          </w:p>
        </w:tc>
        <w:tc>
          <w:tcPr>
            <w:tcW w:w="301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88F" w:rsidRPr="0082388F" w14:paraId="26B05271" w14:textId="77777777">
              <w:trPr>
                <w:tblCellSpacing w:w="15" w:type="dxa"/>
              </w:trPr>
              <w:tc>
                <w:tcPr>
                  <w:tcW w:w="0" w:type="auto"/>
                  <w:vAlign w:val="center"/>
                  <w:hideMark/>
                </w:tcPr>
                <w:p w14:paraId="290B044A" w14:textId="77777777" w:rsidR="0082388F" w:rsidRPr="0082388F" w:rsidRDefault="0082388F" w:rsidP="0082388F">
                  <w:pPr>
                    <w:spacing w:after="0" w:line="360" w:lineRule="auto"/>
                    <w:rPr>
                      <w:rFonts w:ascii="Arial" w:hAnsi="Arial" w:cs="Arial"/>
                    </w:rPr>
                  </w:pPr>
                </w:p>
              </w:tc>
            </w:tr>
          </w:tbl>
          <w:p w14:paraId="55577E6F" w14:textId="77777777" w:rsidR="0082388F" w:rsidRPr="0082388F" w:rsidRDefault="0082388F" w:rsidP="0082388F">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8"/>
            </w:tblGrid>
            <w:tr w:rsidR="0082388F" w:rsidRPr="0082388F" w14:paraId="720E49BC" w14:textId="77777777">
              <w:trPr>
                <w:tblCellSpacing w:w="15" w:type="dxa"/>
              </w:trPr>
              <w:tc>
                <w:tcPr>
                  <w:tcW w:w="0" w:type="auto"/>
                  <w:vAlign w:val="center"/>
                  <w:hideMark/>
                </w:tcPr>
                <w:p w14:paraId="189A49CF" w14:textId="6BCD6162" w:rsidR="0082388F" w:rsidRPr="0082388F" w:rsidRDefault="00230BB5" w:rsidP="0082388F">
                  <w:pPr>
                    <w:spacing w:after="0" w:line="360" w:lineRule="auto"/>
                    <w:rPr>
                      <w:rFonts w:ascii="Arial" w:hAnsi="Arial" w:cs="Arial"/>
                    </w:rPr>
                  </w:pPr>
                  <w:r w:rsidRPr="00230BB5">
                    <w:rPr>
                      <w:rFonts w:ascii="Arial" w:hAnsi="Arial" w:cs="Arial"/>
                    </w:rPr>
                    <w:t>Approval processes can be lengthy and complex.</w:t>
                  </w:r>
                </w:p>
              </w:tc>
            </w:tr>
          </w:tbl>
          <w:p w14:paraId="155DF05D" w14:textId="77777777" w:rsidR="000D3005" w:rsidRDefault="000D3005" w:rsidP="00246615">
            <w:pPr>
              <w:spacing w:line="360" w:lineRule="auto"/>
              <w:rPr>
                <w:rFonts w:ascii="Arial" w:hAnsi="Arial" w:cs="Arial"/>
              </w:rPr>
            </w:pPr>
          </w:p>
        </w:tc>
      </w:tr>
    </w:tbl>
    <w:p w14:paraId="575E3A2E" w14:textId="272EA705" w:rsidR="00D7035E" w:rsidRPr="00DB176A" w:rsidRDefault="00DB176A" w:rsidP="007E136B">
      <w:pPr>
        <w:spacing w:line="360" w:lineRule="auto"/>
        <w:jc w:val="right"/>
        <w:rPr>
          <w:rFonts w:ascii="Arial" w:hAnsi="Arial" w:cs="Arial"/>
          <w:b/>
          <w:bCs/>
          <w:i/>
          <w:iCs/>
        </w:rPr>
      </w:pPr>
      <w:r w:rsidRPr="00DB176A">
        <w:rPr>
          <w:rFonts w:ascii="Arial" w:hAnsi="Arial" w:cs="Arial"/>
          <w:b/>
          <w:bCs/>
          <w:i/>
          <w:iCs/>
        </w:rPr>
        <w:t>Table 3</w:t>
      </w:r>
    </w:p>
    <w:p w14:paraId="01C62217" w14:textId="19CD1010" w:rsidR="008B4D7F" w:rsidRDefault="007E136B" w:rsidP="007E136B">
      <w:pPr>
        <w:spacing w:line="360" w:lineRule="auto"/>
        <w:rPr>
          <w:rFonts w:ascii="Arial" w:hAnsi="Arial" w:cs="Arial"/>
        </w:rPr>
      </w:pPr>
      <w:r w:rsidRPr="007E136B">
        <w:rPr>
          <w:rFonts w:ascii="Arial" w:hAnsi="Arial" w:cs="Arial"/>
        </w:rPr>
        <w:t>Through their knowledge, power, or influence, each stakeholder offers value. However, rigorous participation and open collaboration are necessary to address potential obstacles like regulatory delays, conflicting interests, and communication impediments</w:t>
      </w:r>
      <w:r w:rsidR="003F2BE8">
        <w:rPr>
          <w:rFonts w:ascii="Arial" w:hAnsi="Arial" w:cs="Arial"/>
        </w:rPr>
        <w:t xml:space="preserve"> </w:t>
      </w:r>
      <w:r w:rsidR="003F2BE8" w:rsidRPr="003F2BE8">
        <w:rPr>
          <w:rFonts w:ascii="Arial" w:hAnsi="Arial" w:cs="Arial"/>
        </w:rPr>
        <w:t>(Freeman, 1984; Bourne, 2015).</w:t>
      </w:r>
    </w:p>
    <w:p w14:paraId="145DAD87" w14:textId="68D6E257" w:rsidR="00521010" w:rsidRPr="00166665" w:rsidRDefault="00521010" w:rsidP="007E136B">
      <w:pPr>
        <w:spacing w:line="360" w:lineRule="auto"/>
        <w:rPr>
          <w:rFonts w:ascii="Arial" w:hAnsi="Arial" w:cs="Arial"/>
          <w:b/>
          <w:bCs/>
          <w:sz w:val="28"/>
          <w:szCs w:val="28"/>
        </w:rPr>
      </w:pPr>
      <w:r w:rsidRPr="00166665">
        <w:rPr>
          <w:rFonts w:ascii="Arial" w:hAnsi="Arial" w:cs="Arial"/>
          <w:b/>
          <w:bCs/>
          <w:sz w:val="28"/>
          <w:szCs w:val="28"/>
        </w:rPr>
        <w:t>Frameworks and Models for Engagement</w:t>
      </w:r>
    </w:p>
    <w:p w14:paraId="21A266B0" w14:textId="59225FD8" w:rsidR="0023270E" w:rsidRDefault="0023270E" w:rsidP="0023270E">
      <w:pPr>
        <w:spacing w:line="360" w:lineRule="auto"/>
        <w:rPr>
          <w:rFonts w:ascii="Arial" w:hAnsi="Arial" w:cs="Arial"/>
        </w:rPr>
      </w:pPr>
      <w:r w:rsidRPr="0023270E">
        <w:rPr>
          <w:rFonts w:ascii="Arial" w:hAnsi="Arial" w:cs="Arial"/>
        </w:rPr>
        <w:t>Fitbit uses Mendelow's Power-involvement Matrix to rank stakeholders according to their impact and level of involvement in the project</w:t>
      </w:r>
      <w:r w:rsidR="00B2751D">
        <w:rPr>
          <w:rFonts w:ascii="Arial" w:hAnsi="Arial" w:cs="Arial"/>
        </w:rPr>
        <w:t xml:space="preserve"> </w:t>
      </w:r>
      <w:r w:rsidR="00B2751D" w:rsidRPr="00B2751D">
        <w:rPr>
          <w:rFonts w:ascii="Arial" w:hAnsi="Arial" w:cs="Arial"/>
        </w:rPr>
        <w:t>(Johnson et al., 2017)</w:t>
      </w:r>
      <w:r w:rsidR="00B2751D">
        <w:rPr>
          <w:rFonts w:ascii="Arial" w:hAnsi="Arial" w:cs="Arial"/>
        </w:rPr>
        <w:t>.</w:t>
      </w:r>
    </w:p>
    <w:p w14:paraId="041FA57E" w14:textId="33138FCD" w:rsidR="00C03CFD" w:rsidRPr="00C03CFD" w:rsidRDefault="00C03CFD" w:rsidP="00C03CFD">
      <w:pPr>
        <w:spacing w:line="360" w:lineRule="auto"/>
        <w:rPr>
          <w:rFonts w:ascii="Arial" w:hAnsi="Arial" w:cs="Arial"/>
        </w:rPr>
      </w:pPr>
      <w:r w:rsidRPr="00C03CFD">
        <w:rPr>
          <w:rFonts w:ascii="Arial" w:hAnsi="Arial" w:cs="Arial"/>
        </w:rPr>
        <w:t>High influence, high importance</w:t>
      </w:r>
    </w:p>
    <w:p w14:paraId="4154EFDC" w14:textId="77777777" w:rsidR="0045362C" w:rsidRDefault="00C03CFD" w:rsidP="0045362C">
      <w:pPr>
        <w:spacing w:line="360" w:lineRule="auto"/>
      </w:pPr>
      <w:r w:rsidRPr="00C03CFD">
        <w:rPr>
          <w:rFonts w:ascii="Arial" w:hAnsi="Arial" w:cs="Arial"/>
        </w:rPr>
        <w:t>Stakeholders in this quadrant are critical to the success of the project. They have both significant power and a strong interest. These stakeholders should be fully engaged throughout the project. The level of involvement should be high, with regular communication and opportunities for input to maintain their ownership and commitment.</w:t>
      </w:r>
      <w:r w:rsidR="0045362C" w:rsidRPr="0045362C">
        <w:t xml:space="preserve"> </w:t>
      </w:r>
    </w:p>
    <w:p w14:paraId="4F2864ED" w14:textId="6651BF43" w:rsidR="0045362C" w:rsidRPr="0045362C" w:rsidRDefault="0045362C" w:rsidP="0045362C">
      <w:pPr>
        <w:spacing w:line="360" w:lineRule="auto"/>
        <w:rPr>
          <w:rFonts w:ascii="Arial" w:hAnsi="Arial" w:cs="Arial"/>
        </w:rPr>
      </w:pPr>
      <w:r w:rsidRPr="0045362C">
        <w:rPr>
          <w:rFonts w:ascii="Arial" w:hAnsi="Arial" w:cs="Arial"/>
        </w:rPr>
        <w:t>High importance, low influence</w:t>
      </w:r>
    </w:p>
    <w:p w14:paraId="064C2C24" w14:textId="5BB4C4F8" w:rsidR="00C03CFD" w:rsidRDefault="0045362C" w:rsidP="0045362C">
      <w:pPr>
        <w:spacing w:line="360" w:lineRule="auto"/>
        <w:rPr>
          <w:rFonts w:ascii="Arial" w:hAnsi="Arial" w:cs="Arial"/>
        </w:rPr>
      </w:pPr>
      <w:r w:rsidRPr="0045362C">
        <w:rPr>
          <w:rFonts w:ascii="Arial" w:hAnsi="Arial" w:cs="Arial"/>
        </w:rPr>
        <w:t xml:space="preserve">These stakeholders are highly invested in the success of the project, but they have limited power to affect outcomes directly. They should be kept informed and educated regularly, </w:t>
      </w:r>
      <w:r w:rsidRPr="0045362C">
        <w:rPr>
          <w:rFonts w:ascii="Arial" w:hAnsi="Arial" w:cs="Arial"/>
        </w:rPr>
        <w:lastRenderedPageBreak/>
        <w:t>ensuring their concerns are addressed through tailored communication and updates. This keeps them on board without overwhelming them with the decision-making process.</w:t>
      </w:r>
    </w:p>
    <w:p w14:paraId="6D5D8E33" w14:textId="44ECD395" w:rsidR="00525084" w:rsidRPr="00525084" w:rsidRDefault="00525084" w:rsidP="00525084">
      <w:pPr>
        <w:spacing w:line="360" w:lineRule="auto"/>
        <w:rPr>
          <w:rFonts w:ascii="Arial" w:hAnsi="Arial" w:cs="Arial"/>
        </w:rPr>
      </w:pPr>
      <w:r w:rsidRPr="00525084">
        <w:rPr>
          <w:rFonts w:ascii="Arial" w:hAnsi="Arial" w:cs="Arial"/>
        </w:rPr>
        <w:t>Low Influence, Low Importance</w:t>
      </w:r>
    </w:p>
    <w:p w14:paraId="6CA27C2F" w14:textId="094EFCC0" w:rsidR="00525084" w:rsidRDefault="00525084" w:rsidP="00525084">
      <w:pPr>
        <w:spacing w:line="360" w:lineRule="auto"/>
        <w:rPr>
          <w:rFonts w:ascii="Arial" w:hAnsi="Arial" w:cs="Arial"/>
        </w:rPr>
      </w:pPr>
      <w:r w:rsidRPr="00525084">
        <w:rPr>
          <w:rFonts w:ascii="Arial" w:hAnsi="Arial" w:cs="Arial"/>
        </w:rPr>
        <w:t xml:space="preserve">Stakeholders in this category are less involved and have minimal impact on the project. However, care should be taken to monitor them and ensure they don't become a source of </w:t>
      </w:r>
      <w:r w:rsidRPr="00525084">
        <w:rPr>
          <w:rFonts w:ascii="Arial" w:hAnsi="Arial" w:cs="Arial"/>
        </w:rPr>
        <w:t>unfavourable</w:t>
      </w:r>
      <w:r w:rsidRPr="00525084">
        <w:rPr>
          <w:rFonts w:ascii="Arial" w:hAnsi="Arial" w:cs="Arial"/>
        </w:rPr>
        <w:t xml:space="preserve"> lobbying. While they don't require as much attention, it's essential to maintain open communication and ensure they feel involved enough to avoid any negative perceptions</w:t>
      </w:r>
      <w:r w:rsidR="00107643">
        <w:rPr>
          <w:rFonts w:ascii="Arial" w:hAnsi="Arial" w:cs="Arial"/>
        </w:rPr>
        <w:t xml:space="preserve"> </w:t>
      </w:r>
      <w:r w:rsidR="00107643" w:rsidRPr="00107643">
        <w:rPr>
          <w:rFonts w:ascii="Arial" w:hAnsi="Arial" w:cs="Arial"/>
        </w:rPr>
        <w:t>(Zaichenko, 2024)</w:t>
      </w:r>
      <w:r w:rsidR="00107643">
        <w:rPr>
          <w:rFonts w:ascii="Arial" w:hAnsi="Arial" w:cs="Arial"/>
        </w:rPr>
        <w:t>.</w:t>
      </w:r>
    </w:p>
    <w:p w14:paraId="6ABD0F0E" w14:textId="5B471695" w:rsidR="00525084" w:rsidRPr="00525084" w:rsidRDefault="00525084" w:rsidP="00525084">
      <w:pPr>
        <w:spacing w:line="360" w:lineRule="auto"/>
        <w:rPr>
          <w:rFonts w:ascii="Arial" w:hAnsi="Arial" w:cs="Arial"/>
        </w:rPr>
      </w:pPr>
      <w:r w:rsidRPr="00525084">
        <w:rPr>
          <w:rFonts w:ascii="Arial" w:hAnsi="Arial" w:cs="Arial"/>
        </w:rPr>
        <w:t>High Influence, Low Importance</w:t>
      </w:r>
    </w:p>
    <w:p w14:paraId="04BBB79B" w14:textId="71F76ADE" w:rsidR="00525084" w:rsidRDefault="00525084" w:rsidP="00525084">
      <w:pPr>
        <w:spacing w:line="360" w:lineRule="auto"/>
        <w:rPr>
          <w:rFonts w:ascii="Arial" w:hAnsi="Arial" w:cs="Arial"/>
        </w:rPr>
      </w:pPr>
      <w:r w:rsidRPr="00525084">
        <w:rPr>
          <w:rFonts w:ascii="Arial" w:hAnsi="Arial" w:cs="Arial"/>
        </w:rPr>
        <w:t>These stakeholders can have significant power to affect the project's direction, but their level of interest in the project is low. They should be kept satisfied and occasionally consulted to avoid potential disruptions. Engaging them as supporters or patrons can also be beneficial, ensuring that they feel valued but are not overly involved in the details of the project.</w:t>
      </w:r>
    </w:p>
    <w:p w14:paraId="46AE02A1" w14:textId="501CA3D1" w:rsidR="00107643" w:rsidRPr="00107643" w:rsidRDefault="00727A5E" w:rsidP="00107643">
      <w:pPr>
        <w:spacing w:line="360" w:lineRule="auto"/>
        <w:rPr>
          <w:rFonts w:ascii="Arial" w:hAnsi="Arial" w:cs="Arial"/>
        </w:rPr>
      </w:pPr>
      <w:r w:rsidRPr="00727A5E">
        <w:rPr>
          <w:rFonts w:ascii="Arial" w:hAnsi="Arial" w:cs="Arial"/>
        </w:rPr>
        <w:t>By categorizing stakeholders in this way, you can focus your efforts where they'll be most effective. High Influence, High Importance stakeholders should be fully engaged, while High Importance, Low Influence stakeholders need regular updates to ensure alignment. Low Influence, Low Importance stakeholders can be monitored, and High Influence, Low Importance stakeholders should be kept satisfied with minimal involvement</w:t>
      </w:r>
      <w:r w:rsidR="00107643">
        <w:rPr>
          <w:rFonts w:ascii="Arial" w:hAnsi="Arial" w:cs="Arial"/>
        </w:rPr>
        <w:t xml:space="preserve"> </w:t>
      </w:r>
      <w:r w:rsidR="00107643" w:rsidRPr="00107643">
        <w:rPr>
          <w:rFonts w:ascii="Arial" w:hAnsi="Arial" w:cs="Arial"/>
        </w:rPr>
        <w:t>(Zaichenko, 2024)</w:t>
      </w:r>
      <w:r w:rsidR="00107643">
        <w:rPr>
          <w:rFonts w:ascii="Arial" w:hAnsi="Arial" w:cs="Arial"/>
        </w:rPr>
        <w:t>.</w:t>
      </w:r>
    </w:p>
    <w:p w14:paraId="32CB39B4" w14:textId="77777777" w:rsidR="0045362C" w:rsidRDefault="0045362C" w:rsidP="00C03CFD">
      <w:pPr>
        <w:spacing w:line="360" w:lineRule="auto"/>
        <w:rPr>
          <w:rFonts w:ascii="Arial" w:hAnsi="Arial" w:cs="Arial"/>
        </w:rPr>
      </w:pPr>
    </w:p>
    <w:p w14:paraId="70683B2D" w14:textId="0676D770" w:rsidR="00B2751D" w:rsidRPr="0023270E" w:rsidRDefault="00B2751D" w:rsidP="00087F92">
      <w:pPr>
        <w:spacing w:line="360" w:lineRule="auto"/>
        <w:jc w:val="right"/>
        <w:rPr>
          <w:rFonts w:ascii="Arial" w:hAnsi="Arial" w:cs="Arial"/>
        </w:rPr>
      </w:pPr>
      <w:r>
        <w:rPr>
          <w:rFonts w:ascii="Arial" w:hAnsi="Arial" w:cs="Arial"/>
          <w:noProof/>
        </w:rPr>
        <w:lastRenderedPageBreak/>
        <w:drawing>
          <wp:inline distT="0" distB="0" distL="0" distR="0" wp14:anchorId="14D74982" wp14:editId="1A18EED3">
            <wp:extent cx="5486400" cy="3200400"/>
            <wp:effectExtent l="19050" t="0" r="38100" b="0"/>
            <wp:docPr id="131222034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087F92" w:rsidRPr="00087F92">
        <w:rPr>
          <w:rFonts w:ascii="Arial" w:hAnsi="Arial" w:cs="Arial"/>
          <w:b/>
          <w:bCs/>
          <w:i/>
          <w:iCs/>
        </w:rPr>
        <w:t>Shape 1</w:t>
      </w:r>
    </w:p>
    <w:p w14:paraId="651C708E" w14:textId="1C110E88" w:rsidR="00603601" w:rsidRDefault="00470D27" w:rsidP="007E136B">
      <w:pPr>
        <w:spacing w:line="360" w:lineRule="auto"/>
        <w:rPr>
          <w:rFonts w:ascii="Arial" w:hAnsi="Arial" w:cs="Arial"/>
        </w:rPr>
      </w:pPr>
      <w:r w:rsidRPr="00470D27">
        <w:rPr>
          <w:rFonts w:ascii="Arial" w:hAnsi="Arial" w:cs="Arial"/>
        </w:rPr>
        <w:t xml:space="preserve">Fitbit should </w:t>
      </w:r>
      <w:r w:rsidRPr="00470D27">
        <w:rPr>
          <w:rFonts w:ascii="Arial" w:hAnsi="Arial" w:cs="Arial"/>
          <w:b/>
          <w:bCs/>
        </w:rPr>
        <w:t>manage closely</w:t>
      </w:r>
      <w:r w:rsidRPr="00470D27">
        <w:rPr>
          <w:rFonts w:ascii="Arial" w:hAnsi="Arial" w:cs="Arial"/>
        </w:rPr>
        <w:t xml:space="preserve"> high-power, high-interest stakeholders such as senior management and regulators, while </w:t>
      </w:r>
      <w:r w:rsidRPr="00470D27">
        <w:rPr>
          <w:rFonts w:ascii="Arial" w:hAnsi="Arial" w:cs="Arial"/>
          <w:b/>
          <w:bCs/>
        </w:rPr>
        <w:t>keep informed</w:t>
      </w:r>
      <w:r w:rsidRPr="00470D27">
        <w:rPr>
          <w:rFonts w:ascii="Arial" w:hAnsi="Arial" w:cs="Arial"/>
        </w:rPr>
        <w:t xml:space="preserve"> consumers who have high interest but low influence.</w:t>
      </w:r>
    </w:p>
    <w:p w14:paraId="43C28D15" w14:textId="49F14C07" w:rsidR="00D80408" w:rsidRPr="00DA3906" w:rsidRDefault="00797B15" w:rsidP="00074F45">
      <w:pPr>
        <w:spacing w:line="360" w:lineRule="auto"/>
        <w:rPr>
          <w:rStyle w:val="Strong"/>
          <w:rFonts w:ascii="Arial" w:eastAsiaTheme="majorEastAsia" w:hAnsi="Arial" w:cs="Arial"/>
          <w:b w:val="0"/>
          <w:bCs w:val="0"/>
        </w:rPr>
      </w:pPr>
      <w:r w:rsidRPr="00554108">
        <w:rPr>
          <w:rStyle w:val="Strong"/>
          <w:rFonts w:ascii="Arial" w:eastAsiaTheme="majorEastAsia" w:hAnsi="Arial" w:cs="Arial"/>
          <w:i/>
          <w:iCs/>
        </w:rPr>
        <w:t>Stakeholder Engagement Plan</w:t>
      </w:r>
      <w:r w:rsidR="00905693">
        <w:rPr>
          <w:rStyle w:val="Strong"/>
          <w:rFonts w:ascii="Arial" w:eastAsiaTheme="majorEastAsia" w:hAnsi="Arial" w:cs="Arial"/>
          <w:i/>
          <w:iCs/>
        </w:rPr>
        <w:t xml:space="preserve">- </w:t>
      </w:r>
      <w:r w:rsidR="00D80408" w:rsidRPr="00D80408">
        <w:rPr>
          <w:rFonts w:ascii="Arial" w:eastAsiaTheme="majorEastAsia" w:hAnsi="Arial" w:cs="Arial"/>
        </w:rPr>
        <w:t>A stakeholder engagement plan for Fitbit involves identifying key groups such as customers, employees, investors, healthcare providers, and regulatory authorities. Frequent communication via meetings, updates, and surveys aids in gathering input, resolving issues, and fostering trust. Stronger relationships are fostered by transparency regarding business social responsibility, data privacy, and product development. Working together with government organisations and medical professionals improves compliance and credibility. Keeping an eye on stakeholder interests guarantees alignment with Fitbit's strategic objectives. Positive brand reputation is further enhanced by participating in sustainability and community projects. Maintaining long-term stakeholder support and furthering Fitbit's goal of enhancing health and fitness globally need constant, transparent communication and responsiveness.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05"/>
        <w:gridCol w:w="3150"/>
        <w:gridCol w:w="1242"/>
        <w:gridCol w:w="1942"/>
      </w:tblGrid>
      <w:tr w:rsidR="00F654F1" w:rsidRPr="00F654F1" w14:paraId="742D8C6A" w14:textId="77777777" w:rsidTr="003E18F9">
        <w:trPr>
          <w:tblHeader/>
          <w:tblCellSpacing w:w="15" w:type="dxa"/>
        </w:trPr>
        <w:tc>
          <w:tcPr>
            <w:tcW w:w="0" w:type="auto"/>
            <w:vAlign w:val="center"/>
            <w:hideMark/>
          </w:tcPr>
          <w:p w14:paraId="2A33D325" w14:textId="77777777" w:rsidR="00F654F1" w:rsidRPr="00F654F1" w:rsidRDefault="00F654F1" w:rsidP="00F654F1">
            <w:pPr>
              <w:spacing w:line="360" w:lineRule="auto"/>
              <w:rPr>
                <w:rFonts w:ascii="Arial" w:hAnsi="Arial" w:cs="Arial"/>
                <w:b/>
                <w:bCs/>
              </w:rPr>
            </w:pPr>
            <w:r w:rsidRPr="00F654F1">
              <w:rPr>
                <w:rFonts w:ascii="Arial" w:hAnsi="Arial" w:cs="Arial"/>
                <w:b/>
                <w:bCs/>
              </w:rPr>
              <w:t>Activity</w:t>
            </w:r>
          </w:p>
        </w:tc>
        <w:tc>
          <w:tcPr>
            <w:tcW w:w="0" w:type="auto"/>
            <w:vAlign w:val="center"/>
            <w:hideMark/>
          </w:tcPr>
          <w:p w14:paraId="213801B8" w14:textId="77777777" w:rsidR="00F654F1" w:rsidRPr="00F654F1" w:rsidRDefault="00F654F1" w:rsidP="00F654F1">
            <w:pPr>
              <w:spacing w:line="360" w:lineRule="auto"/>
              <w:rPr>
                <w:rFonts w:ascii="Arial" w:hAnsi="Arial" w:cs="Arial"/>
                <w:b/>
                <w:bCs/>
              </w:rPr>
            </w:pPr>
            <w:r w:rsidRPr="00F654F1">
              <w:rPr>
                <w:rFonts w:ascii="Arial" w:hAnsi="Arial" w:cs="Arial"/>
                <w:b/>
                <w:bCs/>
              </w:rPr>
              <w:t>Objective</w:t>
            </w:r>
          </w:p>
        </w:tc>
        <w:tc>
          <w:tcPr>
            <w:tcW w:w="0" w:type="auto"/>
            <w:vAlign w:val="center"/>
            <w:hideMark/>
          </w:tcPr>
          <w:p w14:paraId="7CA6AA0F" w14:textId="77777777" w:rsidR="00F654F1" w:rsidRPr="00F654F1" w:rsidRDefault="00F654F1" w:rsidP="00F654F1">
            <w:pPr>
              <w:spacing w:line="360" w:lineRule="auto"/>
              <w:rPr>
                <w:rFonts w:ascii="Arial" w:hAnsi="Arial" w:cs="Arial"/>
                <w:b/>
                <w:bCs/>
              </w:rPr>
            </w:pPr>
            <w:r w:rsidRPr="00F654F1">
              <w:rPr>
                <w:rFonts w:ascii="Arial" w:hAnsi="Arial" w:cs="Arial"/>
                <w:b/>
                <w:bCs/>
              </w:rPr>
              <w:t>Frequency</w:t>
            </w:r>
          </w:p>
        </w:tc>
        <w:tc>
          <w:tcPr>
            <w:tcW w:w="0" w:type="auto"/>
            <w:vAlign w:val="center"/>
            <w:hideMark/>
          </w:tcPr>
          <w:p w14:paraId="20D706D3" w14:textId="77777777" w:rsidR="00F654F1" w:rsidRPr="00F654F1" w:rsidRDefault="00F654F1" w:rsidP="00F654F1">
            <w:pPr>
              <w:spacing w:line="360" w:lineRule="auto"/>
              <w:rPr>
                <w:rFonts w:ascii="Arial" w:hAnsi="Arial" w:cs="Arial"/>
                <w:b/>
                <w:bCs/>
              </w:rPr>
            </w:pPr>
            <w:r w:rsidRPr="00F654F1">
              <w:rPr>
                <w:rFonts w:ascii="Arial" w:hAnsi="Arial" w:cs="Arial"/>
                <w:b/>
                <w:bCs/>
              </w:rPr>
              <w:t>Responsible</w:t>
            </w:r>
          </w:p>
        </w:tc>
      </w:tr>
      <w:tr w:rsidR="00F654F1" w:rsidRPr="00F654F1" w14:paraId="351D4CB1" w14:textId="77777777" w:rsidTr="003E18F9">
        <w:trPr>
          <w:tblCellSpacing w:w="15" w:type="dxa"/>
        </w:trPr>
        <w:tc>
          <w:tcPr>
            <w:tcW w:w="0" w:type="auto"/>
            <w:vAlign w:val="center"/>
            <w:hideMark/>
          </w:tcPr>
          <w:p w14:paraId="1270AE74" w14:textId="77777777" w:rsidR="00F654F1" w:rsidRPr="00F654F1" w:rsidRDefault="00F654F1" w:rsidP="00F654F1">
            <w:pPr>
              <w:spacing w:line="360" w:lineRule="auto"/>
              <w:rPr>
                <w:rFonts w:ascii="Arial" w:hAnsi="Arial" w:cs="Arial"/>
              </w:rPr>
            </w:pPr>
            <w:r w:rsidRPr="00F654F1">
              <w:rPr>
                <w:rFonts w:ascii="Arial" w:hAnsi="Arial" w:cs="Arial"/>
              </w:rPr>
              <w:t>Kick-off meetings</w:t>
            </w:r>
          </w:p>
        </w:tc>
        <w:tc>
          <w:tcPr>
            <w:tcW w:w="0" w:type="auto"/>
            <w:vAlign w:val="center"/>
            <w:hideMark/>
          </w:tcPr>
          <w:p w14:paraId="07E15A02" w14:textId="77777777" w:rsidR="00F654F1" w:rsidRPr="00F654F1" w:rsidRDefault="00F654F1" w:rsidP="00F654F1">
            <w:pPr>
              <w:spacing w:line="360" w:lineRule="auto"/>
              <w:rPr>
                <w:rFonts w:ascii="Arial" w:hAnsi="Arial" w:cs="Arial"/>
              </w:rPr>
            </w:pPr>
            <w:r w:rsidRPr="00F654F1">
              <w:rPr>
                <w:rFonts w:ascii="Arial" w:hAnsi="Arial" w:cs="Arial"/>
              </w:rPr>
              <w:t>Align objectives</w:t>
            </w:r>
          </w:p>
        </w:tc>
        <w:tc>
          <w:tcPr>
            <w:tcW w:w="0" w:type="auto"/>
            <w:vAlign w:val="center"/>
            <w:hideMark/>
          </w:tcPr>
          <w:p w14:paraId="6B46A53D" w14:textId="77777777" w:rsidR="00F654F1" w:rsidRPr="00F654F1" w:rsidRDefault="00F654F1" w:rsidP="00F654F1">
            <w:pPr>
              <w:spacing w:line="360" w:lineRule="auto"/>
              <w:rPr>
                <w:rFonts w:ascii="Arial" w:hAnsi="Arial" w:cs="Arial"/>
              </w:rPr>
            </w:pPr>
            <w:r w:rsidRPr="00F654F1">
              <w:rPr>
                <w:rFonts w:ascii="Arial" w:hAnsi="Arial" w:cs="Arial"/>
              </w:rPr>
              <w:t>Once</w:t>
            </w:r>
          </w:p>
        </w:tc>
        <w:tc>
          <w:tcPr>
            <w:tcW w:w="0" w:type="auto"/>
            <w:vAlign w:val="center"/>
            <w:hideMark/>
          </w:tcPr>
          <w:p w14:paraId="103DFCF0" w14:textId="77777777" w:rsidR="00F654F1" w:rsidRPr="00F654F1" w:rsidRDefault="00F654F1" w:rsidP="00F654F1">
            <w:pPr>
              <w:spacing w:line="360" w:lineRule="auto"/>
              <w:rPr>
                <w:rFonts w:ascii="Arial" w:hAnsi="Arial" w:cs="Arial"/>
              </w:rPr>
            </w:pPr>
            <w:r w:rsidRPr="00F654F1">
              <w:rPr>
                <w:rFonts w:ascii="Arial" w:hAnsi="Arial" w:cs="Arial"/>
              </w:rPr>
              <w:t>Project Manager</w:t>
            </w:r>
          </w:p>
        </w:tc>
      </w:tr>
      <w:tr w:rsidR="00F654F1" w:rsidRPr="00F654F1" w14:paraId="74893EE1" w14:textId="77777777" w:rsidTr="003E18F9">
        <w:trPr>
          <w:tblCellSpacing w:w="15" w:type="dxa"/>
        </w:trPr>
        <w:tc>
          <w:tcPr>
            <w:tcW w:w="0" w:type="auto"/>
            <w:vAlign w:val="center"/>
            <w:hideMark/>
          </w:tcPr>
          <w:p w14:paraId="40140368" w14:textId="77777777" w:rsidR="00F654F1" w:rsidRPr="00F654F1" w:rsidRDefault="00F654F1" w:rsidP="00F654F1">
            <w:pPr>
              <w:spacing w:line="360" w:lineRule="auto"/>
              <w:rPr>
                <w:rFonts w:ascii="Arial" w:hAnsi="Arial" w:cs="Arial"/>
              </w:rPr>
            </w:pPr>
            <w:r w:rsidRPr="00F654F1">
              <w:rPr>
                <w:rFonts w:ascii="Arial" w:hAnsi="Arial" w:cs="Arial"/>
              </w:rPr>
              <w:t>Weekly updates</w:t>
            </w:r>
          </w:p>
        </w:tc>
        <w:tc>
          <w:tcPr>
            <w:tcW w:w="0" w:type="auto"/>
            <w:vAlign w:val="center"/>
            <w:hideMark/>
          </w:tcPr>
          <w:p w14:paraId="5AD39634" w14:textId="77777777" w:rsidR="00F654F1" w:rsidRPr="00F654F1" w:rsidRDefault="00F654F1" w:rsidP="00F654F1">
            <w:pPr>
              <w:spacing w:line="360" w:lineRule="auto"/>
              <w:rPr>
                <w:rFonts w:ascii="Arial" w:hAnsi="Arial" w:cs="Arial"/>
              </w:rPr>
            </w:pPr>
            <w:r w:rsidRPr="00F654F1">
              <w:rPr>
                <w:rFonts w:ascii="Arial" w:hAnsi="Arial" w:cs="Arial"/>
              </w:rPr>
              <w:t>Progress reporting</w:t>
            </w:r>
          </w:p>
        </w:tc>
        <w:tc>
          <w:tcPr>
            <w:tcW w:w="0" w:type="auto"/>
            <w:vAlign w:val="center"/>
            <w:hideMark/>
          </w:tcPr>
          <w:p w14:paraId="0236388A" w14:textId="77777777" w:rsidR="00F654F1" w:rsidRPr="00F654F1" w:rsidRDefault="00F654F1" w:rsidP="00F654F1">
            <w:pPr>
              <w:spacing w:line="360" w:lineRule="auto"/>
              <w:rPr>
                <w:rFonts w:ascii="Arial" w:hAnsi="Arial" w:cs="Arial"/>
              </w:rPr>
            </w:pPr>
            <w:r w:rsidRPr="00F654F1">
              <w:rPr>
                <w:rFonts w:ascii="Arial" w:hAnsi="Arial" w:cs="Arial"/>
              </w:rPr>
              <w:t>Weekly</w:t>
            </w:r>
          </w:p>
        </w:tc>
        <w:tc>
          <w:tcPr>
            <w:tcW w:w="0" w:type="auto"/>
            <w:vAlign w:val="center"/>
            <w:hideMark/>
          </w:tcPr>
          <w:p w14:paraId="7523ABF8" w14:textId="77777777" w:rsidR="00F654F1" w:rsidRPr="00F654F1" w:rsidRDefault="00F654F1" w:rsidP="00F654F1">
            <w:pPr>
              <w:spacing w:line="360" w:lineRule="auto"/>
              <w:rPr>
                <w:rFonts w:ascii="Arial" w:hAnsi="Arial" w:cs="Arial"/>
              </w:rPr>
            </w:pPr>
            <w:r w:rsidRPr="00F654F1">
              <w:rPr>
                <w:rFonts w:ascii="Arial" w:hAnsi="Arial" w:cs="Arial"/>
              </w:rPr>
              <w:t>Department Heads</w:t>
            </w:r>
          </w:p>
        </w:tc>
      </w:tr>
      <w:tr w:rsidR="00F654F1" w:rsidRPr="00F654F1" w14:paraId="5D3F79F6" w14:textId="77777777" w:rsidTr="003E18F9">
        <w:trPr>
          <w:tblCellSpacing w:w="15" w:type="dxa"/>
        </w:trPr>
        <w:tc>
          <w:tcPr>
            <w:tcW w:w="0" w:type="auto"/>
            <w:vAlign w:val="center"/>
            <w:hideMark/>
          </w:tcPr>
          <w:p w14:paraId="503E4356" w14:textId="77777777" w:rsidR="00F654F1" w:rsidRPr="00F654F1" w:rsidRDefault="00F654F1" w:rsidP="00F654F1">
            <w:pPr>
              <w:spacing w:line="360" w:lineRule="auto"/>
              <w:rPr>
                <w:rFonts w:ascii="Arial" w:hAnsi="Arial" w:cs="Arial"/>
              </w:rPr>
            </w:pPr>
            <w:r w:rsidRPr="00F654F1">
              <w:rPr>
                <w:rFonts w:ascii="Arial" w:hAnsi="Arial" w:cs="Arial"/>
              </w:rPr>
              <w:t>Regulatory consultations</w:t>
            </w:r>
          </w:p>
        </w:tc>
        <w:tc>
          <w:tcPr>
            <w:tcW w:w="0" w:type="auto"/>
            <w:vAlign w:val="center"/>
            <w:hideMark/>
          </w:tcPr>
          <w:p w14:paraId="7FAA0EFC" w14:textId="77777777" w:rsidR="00F654F1" w:rsidRPr="00F654F1" w:rsidRDefault="00F654F1" w:rsidP="00F654F1">
            <w:pPr>
              <w:spacing w:line="360" w:lineRule="auto"/>
              <w:rPr>
                <w:rFonts w:ascii="Arial" w:hAnsi="Arial" w:cs="Arial"/>
              </w:rPr>
            </w:pPr>
            <w:r w:rsidRPr="00F654F1">
              <w:rPr>
                <w:rFonts w:ascii="Arial" w:hAnsi="Arial" w:cs="Arial"/>
              </w:rPr>
              <w:t>Ensure compliance</w:t>
            </w:r>
          </w:p>
        </w:tc>
        <w:tc>
          <w:tcPr>
            <w:tcW w:w="0" w:type="auto"/>
            <w:vAlign w:val="center"/>
            <w:hideMark/>
          </w:tcPr>
          <w:p w14:paraId="3A0DC418" w14:textId="77777777" w:rsidR="00F654F1" w:rsidRPr="00F654F1" w:rsidRDefault="00F654F1" w:rsidP="00F654F1">
            <w:pPr>
              <w:spacing w:line="360" w:lineRule="auto"/>
              <w:rPr>
                <w:rFonts w:ascii="Arial" w:hAnsi="Arial" w:cs="Arial"/>
              </w:rPr>
            </w:pPr>
            <w:r w:rsidRPr="00F654F1">
              <w:rPr>
                <w:rFonts w:ascii="Arial" w:hAnsi="Arial" w:cs="Arial"/>
              </w:rPr>
              <w:t>Monthly</w:t>
            </w:r>
          </w:p>
        </w:tc>
        <w:tc>
          <w:tcPr>
            <w:tcW w:w="0" w:type="auto"/>
            <w:vAlign w:val="center"/>
            <w:hideMark/>
          </w:tcPr>
          <w:p w14:paraId="3D28B1F3" w14:textId="77777777" w:rsidR="00F654F1" w:rsidRPr="00F654F1" w:rsidRDefault="00F654F1" w:rsidP="00F654F1">
            <w:pPr>
              <w:spacing w:line="360" w:lineRule="auto"/>
              <w:rPr>
                <w:rFonts w:ascii="Arial" w:hAnsi="Arial" w:cs="Arial"/>
              </w:rPr>
            </w:pPr>
            <w:r w:rsidRPr="00F654F1">
              <w:rPr>
                <w:rFonts w:ascii="Arial" w:hAnsi="Arial" w:cs="Arial"/>
              </w:rPr>
              <w:t>Legal Team</w:t>
            </w:r>
          </w:p>
        </w:tc>
      </w:tr>
      <w:tr w:rsidR="00F654F1" w:rsidRPr="00F654F1" w14:paraId="3CBC93B0" w14:textId="77777777" w:rsidTr="003E18F9">
        <w:trPr>
          <w:tblCellSpacing w:w="15" w:type="dxa"/>
        </w:trPr>
        <w:tc>
          <w:tcPr>
            <w:tcW w:w="0" w:type="auto"/>
            <w:vAlign w:val="center"/>
            <w:hideMark/>
          </w:tcPr>
          <w:p w14:paraId="6736C588" w14:textId="77777777" w:rsidR="00F654F1" w:rsidRPr="00F654F1" w:rsidRDefault="00F654F1" w:rsidP="00F654F1">
            <w:pPr>
              <w:spacing w:line="360" w:lineRule="auto"/>
              <w:rPr>
                <w:rFonts w:ascii="Arial" w:hAnsi="Arial" w:cs="Arial"/>
              </w:rPr>
            </w:pPr>
            <w:r w:rsidRPr="00F654F1">
              <w:rPr>
                <w:rFonts w:ascii="Arial" w:hAnsi="Arial" w:cs="Arial"/>
              </w:rPr>
              <w:lastRenderedPageBreak/>
              <w:t>Focus groups</w:t>
            </w:r>
          </w:p>
        </w:tc>
        <w:tc>
          <w:tcPr>
            <w:tcW w:w="0" w:type="auto"/>
            <w:vAlign w:val="center"/>
            <w:hideMark/>
          </w:tcPr>
          <w:p w14:paraId="3B44D337" w14:textId="77777777" w:rsidR="00F654F1" w:rsidRPr="00F654F1" w:rsidRDefault="00F654F1" w:rsidP="00F654F1">
            <w:pPr>
              <w:spacing w:line="360" w:lineRule="auto"/>
              <w:rPr>
                <w:rFonts w:ascii="Arial" w:hAnsi="Arial" w:cs="Arial"/>
              </w:rPr>
            </w:pPr>
            <w:r w:rsidRPr="00F654F1">
              <w:rPr>
                <w:rFonts w:ascii="Arial" w:hAnsi="Arial" w:cs="Arial"/>
              </w:rPr>
              <w:t>Gather consumer insights</w:t>
            </w:r>
          </w:p>
        </w:tc>
        <w:tc>
          <w:tcPr>
            <w:tcW w:w="0" w:type="auto"/>
            <w:vAlign w:val="center"/>
            <w:hideMark/>
          </w:tcPr>
          <w:p w14:paraId="5A67B288" w14:textId="77777777" w:rsidR="00F654F1" w:rsidRPr="00F654F1" w:rsidRDefault="00F654F1" w:rsidP="00F654F1">
            <w:pPr>
              <w:spacing w:line="360" w:lineRule="auto"/>
              <w:rPr>
                <w:rFonts w:ascii="Arial" w:hAnsi="Arial" w:cs="Arial"/>
              </w:rPr>
            </w:pPr>
            <w:r w:rsidRPr="00F654F1">
              <w:rPr>
                <w:rFonts w:ascii="Arial" w:hAnsi="Arial" w:cs="Arial"/>
              </w:rPr>
              <w:t>Bi-monthly</w:t>
            </w:r>
          </w:p>
        </w:tc>
        <w:tc>
          <w:tcPr>
            <w:tcW w:w="0" w:type="auto"/>
            <w:vAlign w:val="center"/>
            <w:hideMark/>
          </w:tcPr>
          <w:p w14:paraId="5738E52B" w14:textId="77777777" w:rsidR="00F654F1" w:rsidRPr="00F654F1" w:rsidRDefault="00F654F1" w:rsidP="00F654F1">
            <w:pPr>
              <w:spacing w:line="360" w:lineRule="auto"/>
              <w:rPr>
                <w:rFonts w:ascii="Arial" w:hAnsi="Arial" w:cs="Arial"/>
              </w:rPr>
            </w:pPr>
            <w:r w:rsidRPr="00F654F1">
              <w:rPr>
                <w:rFonts w:ascii="Arial" w:hAnsi="Arial" w:cs="Arial"/>
              </w:rPr>
              <w:t>Marketing</w:t>
            </w:r>
          </w:p>
        </w:tc>
      </w:tr>
      <w:tr w:rsidR="00F654F1" w:rsidRPr="00F654F1" w14:paraId="3D4ADB3E" w14:textId="77777777" w:rsidTr="003E18F9">
        <w:trPr>
          <w:tblCellSpacing w:w="15" w:type="dxa"/>
        </w:trPr>
        <w:tc>
          <w:tcPr>
            <w:tcW w:w="0" w:type="auto"/>
            <w:vAlign w:val="center"/>
            <w:hideMark/>
          </w:tcPr>
          <w:p w14:paraId="297AA473" w14:textId="77777777" w:rsidR="00F654F1" w:rsidRPr="00F654F1" w:rsidRDefault="00F654F1" w:rsidP="00F654F1">
            <w:pPr>
              <w:spacing w:line="360" w:lineRule="auto"/>
              <w:rPr>
                <w:rFonts w:ascii="Arial" w:hAnsi="Arial" w:cs="Arial"/>
              </w:rPr>
            </w:pPr>
            <w:r w:rsidRPr="00F654F1">
              <w:rPr>
                <w:rFonts w:ascii="Arial" w:hAnsi="Arial" w:cs="Arial"/>
              </w:rPr>
              <w:t>Post-launch review</w:t>
            </w:r>
          </w:p>
        </w:tc>
        <w:tc>
          <w:tcPr>
            <w:tcW w:w="0" w:type="auto"/>
            <w:vAlign w:val="center"/>
            <w:hideMark/>
          </w:tcPr>
          <w:p w14:paraId="61039DA0" w14:textId="77777777" w:rsidR="00F654F1" w:rsidRPr="00F654F1" w:rsidRDefault="00F654F1" w:rsidP="00F654F1">
            <w:pPr>
              <w:spacing w:line="360" w:lineRule="auto"/>
              <w:rPr>
                <w:rFonts w:ascii="Arial" w:hAnsi="Arial" w:cs="Arial"/>
              </w:rPr>
            </w:pPr>
            <w:r w:rsidRPr="00F654F1">
              <w:rPr>
                <w:rFonts w:ascii="Arial" w:hAnsi="Arial" w:cs="Arial"/>
              </w:rPr>
              <w:t>Assess stakeholder satisfaction</w:t>
            </w:r>
          </w:p>
        </w:tc>
        <w:tc>
          <w:tcPr>
            <w:tcW w:w="0" w:type="auto"/>
            <w:vAlign w:val="center"/>
            <w:hideMark/>
          </w:tcPr>
          <w:p w14:paraId="62C2F8C3" w14:textId="77777777" w:rsidR="00F654F1" w:rsidRPr="00F654F1" w:rsidRDefault="00F654F1" w:rsidP="00F654F1">
            <w:pPr>
              <w:spacing w:line="360" w:lineRule="auto"/>
              <w:rPr>
                <w:rFonts w:ascii="Arial" w:hAnsi="Arial" w:cs="Arial"/>
              </w:rPr>
            </w:pPr>
            <w:r w:rsidRPr="00F654F1">
              <w:rPr>
                <w:rFonts w:ascii="Arial" w:hAnsi="Arial" w:cs="Arial"/>
              </w:rPr>
              <w:t>Post-launch</w:t>
            </w:r>
          </w:p>
        </w:tc>
        <w:tc>
          <w:tcPr>
            <w:tcW w:w="0" w:type="auto"/>
            <w:vAlign w:val="center"/>
            <w:hideMark/>
          </w:tcPr>
          <w:p w14:paraId="6CCE316C" w14:textId="2ABA8EED" w:rsidR="003E18F9" w:rsidRPr="00F654F1" w:rsidRDefault="00F654F1" w:rsidP="00F654F1">
            <w:pPr>
              <w:spacing w:line="360" w:lineRule="auto"/>
              <w:rPr>
                <w:rFonts w:ascii="Arial" w:hAnsi="Arial" w:cs="Arial"/>
              </w:rPr>
            </w:pPr>
            <w:r w:rsidRPr="00F654F1">
              <w:rPr>
                <w:rFonts w:ascii="Arial" w:hAnsi="Arial" w:cs="Arial"/>
              </w:rPr>
              <w:t>PMO</w:t>
            </w:r>
          </w:p>
        </w:tc>
      </w:tr>
    </w:tbl>
    <w:p w14:paraId="5812C992" w14:textId="5659C7A0" w:rsidR="00F654F1" w:rsidRDefault="003E18F9" w:rsidP="003E18F9">
      <w:pPr>
        <w:spacing w:line="360" w:lineRule="auto"/>
        <w:jc w:val="right"/>
        <w:rPr>
          <w:rFonts w:ascii="Arial" w:hAnsi="Arial" w:cs="Arial"/>
          <w:b/>
          <w:bCs/>
          <w:i/>
          <w:iCs/>
        </w:rPr>
      </w:pPr>
      <w:r w:rsidRPr="003E18F9">
        <w:rPr>
          <w:rFonts w:ascii="Arial" w:hAnsi="Arial" w:cs="Arial"/>
          <w:b/>
          <w:bCs/>
          <w:i/>
          <w:iCs/>
        </w:rPr>
        <w:t>Table 4</w:t>
      </w:r>
    </w:p>
    <w:p w14:paraId="4A181CDB" w14:textId="6B2A5CFB" w:rsidR="002D3780" w:rsidRDefault="00554108" w:rsidP="002D3780">
      <w:pPr>
        <w:pStyle w:val="ListParagraph"/>
        <w:numPr>
          <w:ilvl w:val="0"/>
          <w:numId w:val="5"/>
        </w:numPr>
        <w:spacing w:line="360" w:lineRule="auto"/>
        <w:rPr>
          <w:rFonts w:ascii="Arial" w:hAnsi="Arial" w:cs="Arial"/>
        </w:rPr>
      </w:pPr>
      <w:r w:rsidRPr="00554108">
        <w:rPr>
          <w:rFonts w:ascii="Arial" w:hAnsi="Arial" w:cs="Arial"/>
          <w:b/>
          <w:bCs/>
          <w:i/>
          <w:iCs/>
        </w:rPr>
        <w:t>Communication Plan</w:t>
      </w:r>
      <w:r>
        <w:rPr>
          <w:rFonts w:ascii="Arial" w:hAnsi="Arial" w:cs="Arial"/>
          <w:b/>
          <w:bCs/>
          <w:i/>
          <w:iCs/>
        </w:rPr>
        <w:t>-</w:t>
      </w:r>
      <w:r w:rsidR="00FC221A">
        <w:rPr>
          <w:rFonts w:ascii="Arial" w:hAnsi="Arial" w:cs="Arial"/>
          <w:b/>
          <w:bCs/>
          <w:i/>
          <w:iCs/>
        </w:rPr>
        <w:t xml:space="preserve"> </w:t>
      </w:r>
      <w:r w:rsidR="00FC221A" w:rsidRPr="00FC221A">
        <w:rPr>
          <w:rFonts w:ascii="Arial" w:hAnsi="Arial" w:cs="Arial"/>
        </w:rPr>
        <w:t>A communication plan for Fitbit outlines key messages, target audiences, and channels to ensure effective information sharing. Internal communication involves regular updates via emails, intranet, and team meetings to keep employees informed on product launches, company goals, and policy changes. External communication with customers, partners, and media utilizes social media, press releases, and advertising to promote product features, health insights, and brand initiatives. Transparency about data privacy and sustainability efforts builds trust. Feedback mechanisms like surveys and customer support ensure two-way communication. Consistent messaging, timely updates, and engaging content are essential to strengthen Fitbit’s reputation and foster community loyalty.</w:t>
      </w:r>
      <w:r>
        <w:rPr>
          <w:rFonts w:ascii="Arial" w:hAnsi="Arial" w:cs="Arial"/>
          <w:b/>
          <w:bCs/>
          <w:i/>
          <w:iCs/>
        </w:rPr>
        <w:t xml:space="preserve"> </w:t>
      </w:r>
      <w:proofErr w:type="gramStart"/>
      <w:r w:rsidR="00905693" w:rsidRPr="002D3780">
        <w:rPr>
          <w:rFonts w:ascii="Arial" w:hAnsi="Arial" w:cs="Arial"/>
        </w:rPr>
        <w:t>Effective</w:t>
      </w:r>
      <w:proofErr w:type="gramEnd"/>
      <w:r w:rsidR="00905693" w:rsidRPr="002D3780">
        <w:rPr>
          <w:rFonts w:ascii="Arial" w:hAnsi="Arial" w:cs="Arial"/>
        </w:rPr>
        <w:t xml:space="preserve"> communication minimises confusion and ensures alignment. Fitbit should adopt:</w:t>
      </w:r>
    </w:p>
    <w:p w14:paraId="0400C46F"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Weekly cross-functional team meetings</w:t>
      </w:r>
    </w:p>
    <w:p w14:paraId="4E0C77FA"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Monthly executive updates</w:t>
      </w:r>
    </w:p>
    <w:p w14:paraId="57F3C9A1"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Compliance submissions</w:t>
      </w:r>
    </w:p>
    <w:p w14:paraId="544E0893" w14:textId="77777777" w:rsidR="002D3780" w:rsidRDefault="00905693" w:rsidP="002D3780">
      <w:pPr>
        <w:pStyle w:val="ListParagraph"/>
        <w:numPr>
          <w:ilvl w:val="0"/>
          <w:numId w:val="20"/>
        </w:numPr>
        <w:spacing w:line="360" w:lineRule="auto"/>
        <w:rPr>
          <w:rFonts w:ascii="Arial" w:hAnsi="Arial" w:cs="Arial"/>
        </w:rPr>
      </w:pPr>
      <w:r w:rsidRPr="002D3780">
        <w:rPr>
          <w:rFonts w:ascii="Arial" w:hAnsi="Arial" w:cs="Arial"/>
        </w:rPr>
        <w:t>Social media teasers for consumers</w:t>
      </w:r>
    </w:p>
    <w:p w14:paraId="7DBA0C9C" w14:textId="21730330" w:rsidR="00905693" w:rsidRPr="002D3780" w:rsidRDefault="00905693" w:rsidP="002D3780">
      <w:pPr>
        <w:pStyle w:val="ListParagraph"/>
        <w:numPr>
          <w:ilvl w:val="0"/>
          <w:numId w:val="20"/>
        </w:numPr>
        <w:spacing w:line="360" w:lineRule="auto"/>
        <w:rPr>
          <w:rFonts w:ascii="Arial" w:hAnsi="Arial" w:cs="Arial"/>
        </w:rPr>
      </w:pPr>
      <w:r w:rsidRPr="002D3780">
        <w:rPr>
          <w:rFonts w:ascii="Arial" w:hAnsi="Arial" w:cs="Arial"/>
        </w:rPr>
        <w:t>Using multiple channels ensures information reaches all relevant groups.</w:t>
      </w:r>
    </w:p>
    <w:p w14:paraId="7D2451B3" w14:textId="6582C69D" w:rsidR="003E18F9" w:rsidRPr="002D3780" w:rsidRDefault="00554108" w:rsidP="002D3780">
      <w:pPr>
        <w:spacing w:line="360" w:lineRule="auto"/>
        <w:rPr>
          <w:rFonts w:ascii="Arial" w:hAnsi="Arial" w:cs="Arial"/>
          <w:b/>
          <w:bCs/>
          <w:i/>
          <w:iCs/>
        </w:rPr>
      </w:pPr>
      <w:r w:rsidRPr="002D3780">
        <w:rPr>
          <w:rFonts w:ascii="Arial" w:hAnsi="Arial" w:cs="Arial"/>
        </w:rPr>
        <w:t>A multi-channel approach ensures consistent engagement across all levels (PMI, 2021).</w:t>
      </w:r>
    </w:p>
    <w:tbl>
      <w:tblPr>
        <w:tblW w:w="899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35"/>
        <w:gridCol w:w="4047"/>
        <w:gridCol w:w="1813"/>
      </w:tblGrid>
      <w:tr w:rsidR="00D22324" w:rsidRPr="00D22324" w14:paraId="75940AD3" w14:textId="77777777" w:rsidTr="00D22324">
        <w:trPr>
          <w:trHeight w:val="539"/>
          <w:tblHeader/>
          <w:tblCellSpacing w:w="15" w:type="dxa"/>
        </w:trPr>
        <w:tc>
          <w:tcPr>
            <w:tcW w:w="0" w:type="auto"/>
            <w:shd w:val="clear" w:color="auto" w:fill="F1A983" w:themeFill="accent2" w:themeFillTint="99"/>
            <w:vAlign w:val="center"/>
            <w:hideMark/>
          </w:tcPr>
          <w:p w14:paraId="46473A42" w14:textId="77777777" w:rsidR="00D22324" w:rsidRPr="00D22324" w:rsidRDefault="00D22324" w:rsidP="00D22324">
            <w:pPr>
              <w:spacing w:line="360" w:lineRule="auto"/>
              <w:rPr>
                <w:rFonts w:ascii="Arial" w:hAnsi="Arial" w:cs="Arial"/>
                <w:b/>
                <w:bCs/>
                <w:i/>
                <w:iCs/>
              </w:rPr>
            </w:pPr>
            <w:r w:rsidRPr="00D22324">
              <w:rPr>
                <w:rFonts w:ascii="Arial" w:hAnsi="Arial" w:cs="Arial"/>
                <w:b/>
                <w:bCs/>
                <w:i/>
                <w:iCs/>
              </w:rPr>
              <w:t>Stakeholder</w:t>
            </w:r>
          </w:p>
        </w:tc>
        <w:tc>
          <w:tcPr>
            <w:tcW w:w="0" w:type="auto"/>
            <w:shd w:val="clear" w:color="auto" w:fill="F1A983" w:themeFill="accent2" w:themeFillTint="99"/>
            <w:vAlign w:val="center"/>
            <w:hideMark/>
          </w:tcPr>
          <w:p w14:paraId="3592C4F4" w14:textId="77777777" w:rsidR="00D22324" w:rsidRPr="00D22324" w:rsidRDefault="00D22324" w:rsidP="00D22324">
            <w:pPr>
              <w:spacing w:line="360" w:lineRule="auto"/>
              <w:rPr>
                <w:rFonts w:ascii="Arial" w:hAnsi="Arial" w:cs="Arial"/>
                <w:b/>
                <w:bCs/>
                <w:i/>
                <w:iCs/>
              </w:rPr>
            </w:pPr>
            <w:r w:rsidRPr="00D22324">
              <w:rPr>
                <w:rFonts w:ascii="Arial" w:hAnsi="Arial" w:cs="Arial"/>
                <w:b/>
                <w:bCs/>
                <w:i/>
                <w:iCs/>
              </w:rPr>
              <w:t>Communication Channel</w:t>
            </w:r>
          </w:p>
        </w:tc>
        <w:tc>
          <w:tcPr>
            <w:tcW w:w="0" w:type="auto"/>
            <w:shd w:val="clear" w:color="auto" w:fill="F1A983" w:themeFill="accent2" w:themeFillTint="99"/>
            <w:vAlign w:val="center"/>
            <w:hideMark/>
          </w:tcPr>
          <w:p w14:paraId="5A9A8959" w14:textId="77777777" w:rsidR="00D22324" w:rsidRPr="00D22324" w:rsidRDefault="00D22324" w:rsidP="00D22324">
            <w:pPr>
              <w:spacing w:line="360" w:lineRule="auto"/>
              <w:rPr>
                <w:rFonts w:ascii="Arial" w:hAnsi="Arial" w:cs="Arial"/>
                <w:b/>
                <w:bCs/>
                <w:i/>
                <w:iCs/>
              </w:rPr>
            </w:pPr>
            <w:r w:rsidRPr="00D22324">
              <w:rPr>
                <w:rFonts w:ascii="Arial" w:hAnsi="Arial" w:cs="Arial"/>
                <w:b/>
                <w:bCs/>
                <w:i/>
                <w:iCs/>
              </w:rPr>
              <w:t>Frequency</w:t>
            </w:r>
          </w:p>
        </w:tc>
      </w:tr>
      <w:tr w:rsidR="00D22324" w:rsidRPr="00D22324" w14:paraId="6B1DB726" w14:textId="77777777" w:rsidTr="00D61AF6">
        <w:trPr>
          <w:trHeight w:val="527"/>
          <w:tblCellSpacing w:w="15" w:type="dxa"/>
        </w:trPr>
        <w:tc>
          <w:tcPr>
            <w:tcW w:w="0" w:type="auto"/>
            <w:shd w:val="clear" w:color="auto" w:fill="FFFFFF" w:themeFill="background1"/>
            <w:vAlign w:val="center"/>
            <w:hideMark/>
          </w:tcPr>
          <w:p w14:paraId="4B702548" w14:textId="77777777" w:rsidR="00D22324" w:rsidRPr="00D22324" w:rsidRDefault="00D22324" w:rsidP="00D22324">
            <w:pPr>
              <w:spacing w:line="360" w:lineRule="auto"/>
              <w:rPr>
                <w:rFonts w:ascii="Arial" w:hAnsi="Arial" w:cs="Arial"/>
              </w:rPr>
            </w:pPr>
            <w:r w:rsidRPr="00D22324">
              <w:rPr>
                <w:rFonts w:ascii="Arial" w:hAnsi="Arial" w:cs="Arial"/>
              </w:rPr>
              <w:t>Senior Management</w:t>
            </w:r>
          </w:p>
        </w:tc>
        <w:tc>
          <w:tcPr>
            <w:tcW w:w="0" w:type="auto"/>
            <w:vAlign w:val="center"/>
            <w:hideMark/>
          </w:tcPr>
          <w:p w14:paraId="285312E6" w14:textId="77777777" w:rsidR="00D22324" w:rsidRPr="00D22324" w:rsidRDefault="00D22324" w:rsidP="00D22324">
            <w:pPr>
              <w:spacing w:line="360" w:lineRule="auto"/>
              <w:rPr>
                <w:rFonts w:ascii="Arial" w:hAnsi="Arial" w:cs="Arial"/>
              </w:rPr>
            </w:pPr>
            <w:r w:rsidRPr="00D22324">
              <w:rPr>
                <w:rFonts w:ascii="Arial" w:hAnsi="Arial" w:cs="Arial"/>
              </w:rPr>
              <w:t>Progress reports</w:t>
            </w:r>
          </w:p>
        </w:tc>
        <w:tc>
          <w:tcPr>
            <w:tcW w:w="0" w:type="auto"/>
            <w:vAlign w:val="center"/>
            <w:hideMark/>
          </w:tcPr>
          <w:p w14:paraId="1608CFEF" w14:textId="77777777" w:rsidR="00D22324" w:rsidRPr="00D22324" w:rsidRDefault="00D22324" w:rsidP="00D22324">
            <w:pPr>
              <w:spacing w:line="360" w:lineRule="auto"/>
              <w:rPr>
                <w:rFonts w:ascii="Arial" w:hAnsi="Arial" w:cs="Arial"/>
              </w:rPr>
            </w:pPr>
            <w:r w:rsidRPr="00D22324">
              <w:rPr>
                <w:rFonts w:ascii="Arial" w:hAnsi="Arial" w:cs="Arial"/>
              </w:rPr>
              <w:t>Monthly</w:t>
            </w:r>
          </w:p>
        </w:tc>
      </w:tr>
      <w:tr w:rsidR="00D22324" w:rsidRPr="00D22324" w14:paraId="433820B2" w14:textId="77777777" w:rsidTr="00D61AF6">
        <w:trPr>
          <w:trHeight w:val="539"/>
          <w:tblCellSpacing w:w="15" w:type="dxa"/>
        </w:trPr>
        <w:tc>
          <w:tcPr>
            <w:tcW w:w="0" w:type="auto"/>
            <w:shd w:val="clear" w:color="auto" w:fill="FFFFFF" w:themeFill="background1"/>
            <w:vAlign w:val="center"/>
            <w:hideMark/>
          </w:tcPr>
          <w:p w14:paraId="6E0816E7" w14:textId="77777777" w:rsidR="00D22324" w:rsidRPr="00D22324" w:rsidRDefault="00D22324" w:rsidP="00D22324">
            <w:pPr>
              <w:spacing w:line="360" w:lineRule="auto"/>
              <w:rPr>
                <w:rFonts w:ascii="Arial" w:hAnsi="Arial" w:cs="Arial"/>
              </w:rPr>
            </w:pPr>
            <w:r w:rsidRPr="00D22324">
              <w:rPr>
                <w:rFonts w:ascii="Arial" w:hAnsi="Arial" w:cs="Arial"/>
              </w:rPr>
              <w:t>Product Team</w:t>
            </w:r>
          </w:p>
        </w:tc>
        <w:tc>
          <w:tcPr>
            <w:tcW w:w="0" w:type="auto"/>
            <w:vAlign w:val="center"/>
            <w:hideMark/>
          </w:tcPr>
          <w:p w14:paraId="47637D8D" w14:textId="77777777" w:rsidR="00D22324" w:rsidRPr="00D22324" w:rsidRDefault="00D22324" w:rsidP="00D22324">
            <w:pPr>
              <w:spacing w:line="360" w:lineRule="auto"/>
              <w:rPr>
                <w:rFonts w:ascii="Arial" w:hAnsi="Arial" w:cs="Arial"/>
              </w:rPr>
            </w:pPr>
            <w:r w:rsidRPr="00D22324">
              <w:rPr>
                <w:rFonts w:ascii="Arial" w:hAnsi="Arial" w:cs="Arial"/>
              </w:rPr>
              <w:t>Agile meetings</w:t>
            </w:r>
          </w:p>
        </w:tc>
        <w:tc>
          <w:tcPr>
            <w:tcW w:w="0" w:type="auto"/>
            <w:vAlign w:val="center"/>
            <w:hideMark/>
          </w:tcPr>
          <w:p w14:paraId="4ED457C6" w14:textId="77777777" w:rsidR="00D22324" w:rsidRPr="00D22324" w:rsidRDefault="00D22324" w:rsidP="00D22324">
            <w:pPr>
              <w:spacing w:line="360" w:lineRule="auto"/>
              <w:rPr>
                <w:rFonts w:ascii="Arial" w:hAnsi="Arial" w:cs="Arial"/>
              </w:rPr>
            </w:pPr>
            <w:r w:rsidRPr="00D22324">
              <w:rPr>
                <w:rFonts w:ascii="Arial" w:hAnsi="Arial" w:cs="Arial"/>
              </w:rPr>
              <w:t>Weekly</w:t>
            </w:r>
          </w:p>
        </w:tc>
      </w:tr>
      <w:tr w:rsidR="00D22324" w:rsidRPr="00D22324" w14:paraId="02D57B3D" w14:textId="77777777" w:rsidTr="00D61AF6">
        <w:trPr>
          <w:trHeight w:val="539"/>
          <w:tblCellSpacing w:w="15" w:type="dxa"/>
        </w:trPr>
        <w:tc>
          <w:tcPr>
            <w:tcW w:w="0" w:type="auto"/>
            <w:shd w:val="clear" w:color="auto" w:fill="FFFFFF" w:themeFill="background1"/>
            <w:vAlign w:val="center"/>
            <w:hideMark/>
          </w:tcPr>
          <w:p w14:paraId="5B4B175E" w14:textId="77777777" w:rsidR="00D22324" w:rsidRPr="00D22324" w:rsidRDefault="00D22324" w:rsidP="00D22324">
            <w:pPr>
              <w:spacing w:line="360" w:lineRule="auto"/>
              <w:rPr>
                <w:rFonts w:ascii="Arial" w:hAnsi="Arial" w:cs="Arial"/>
              </w:rPr>
            </w:pPr>
            <w:r w:rsidRPr="00D22324">
              <w:rPr>
                <w:rFonts w:ascii="Arial" w:hAnsi="Arial" w:cs="Arial"/>
              </w:rPr>
              <w:t>Regulators</w:t>
            </w:r>
          </w:p>
        </w:tc>
        <w:tc>
          <w:tcPr>
            <w:tcW w:w="0" w:type="auto"/>
            <w:vAlign w:val="center"/>
            <w:hideMark/>
          </w:tcPr>
          <w:p w14:paraId="6ACC4EA8" w14:textId="77777777" w:rsidR="00D22324" w:rsidRPr="00D22324" w:rsidRDefault="00D22324" w:rsidP="00D22324">
            <w:pPr>
              <w:spacing w:line="360" w:lineRule="auto"/>
              <w:rPr>
                <w:rFonts w:ascii="Arial" w:hAnsi="Arial" w:cs="Arial"/>
              </w:rPr>
            </w:pPr>
            <w:r w:rsidRPr="00D22324">
              <w:rPr>
                <w:rFonts w:ascii="Arial" w:hAnsi="Arial" w:cs="Arial"/>
              </w:rPr>
              <w:t>Compliance reports</w:t>
            </w:r>
          </w:p>
        </w:tc>
        <w:tc>
          <w:tcPr>
            <w:tcW w:w="0" w:type="auto"/>
            <w:vAlign w:val="center"/>
            <w:hideMark/>
          </w:tcPr>
          <w:p w14:paraId="3AF2773F" w14:textId="77777777" w:rsidR="00D22324" w:rsidRPr="00D22324" w:rsidRDefault="00D22324" w:rsidP="00D22324">
            <w:pPr>
              <w:spacing w:line="360" w:lineRule="auto"/>
              <w:rPr>
                <w:rFonts w:ascii="Arial" w:hAnsi="Arial" w:cs="Arial"/>
              </w:rPr>
            </w:pPr>
            <w:r w:rsidRPr="00D22324">
              <w:rPr>
                <w:rFonts w:ascii="Arial" w:hAnsi="Arial" w:cs="Arial"/>
              </w:rPr>
              <w:t>Monthly</w:t>
            </w:r>
          </w:p>
        </w:tc>
      </w:tr>
      <w:tr w:rsidR="00D22324" w:rsidRPr="00D22324" w14:paraId="41310230" w14:textId="77777777" w:rsidTr="00D61AF6">
        <w:trPr>
          <w:trHeight w:val="527"/>
          <w:tblCellSpacing w:w="15" w:type="dxa"/>
        </w:trPr>
        <w:tc>
          <w:tcPr>
            <w:tcW w:w="0" w:type="auto"/>
            <w:shd w:val="clear" w:color="auto" w:fill="FFFFFF" w:themeFill="background1"/>
            <w:vAlign w:val="center"/>
            <w:hideMark/>
          </w:tcPr>
          <w:p w14:paraId="52E59459" w14:textId="77777777" w:rsidR="00D22324" w:rsidRPr="00D22324" w:rsidRDefault="00D22324" w:rsidP="00D22324">
            <w:pPr>
              <w:spacing w:line="360" w:lineRule="auto"/>
              <w:rPr>
                <w:rFonts w:ascii="Arial" w:hAnsi="Arial" w:cs="Arial"/>
              </w:rPr>
            </w:pPr>
            <w:r w:rsidRPr="00D22324">
              <w:rPr>
                <w:rFonts w:ascii="Arial" w:hAnsi="Arial" w:cs="Arial"/>
              </w:rPr>
              <w:t>Consumers</w:t>
            </w:r>
          </w:p>
        </w:tc>
        <w:tc>
          <w:tcPr>
            <w:tcW w:w="0" w:type="auto"/>
            <w:vAlign w:val="center"/>
            <w:hideMark/>
          </w:tcPr>
          <w:p w14:paraId="4C78F539" w14:textId="77777777" w:rsidR="00D22324" w:rsidRPr="00D22324" w:rsidRDefault="00D22324" w:rsidP="00D22324">
            <w:pPr>
              <w:spacing w:line="360" w:lineRule="auto"/>
              <w:rPr>
                <w:rFonts w:ascii="Arial" w:hAnsi="Arial" w:cs="Arial"/>
              </w:rPr>
            </w:pPr>
            <w:r w:rsidRPr="00D22324">
              <w:rPr>
                <w:rFonts w:ascii="Arial" w:hAnsi="Arial" w:cs="Arial"/>
              </w:rPr>
              <w:t>Social media updates</w:t>
            </w:r>
          </w:p>
        </w:tc>
        <w:tc>
          <w:tcPr>
            <w:tcW w:w="0" w:type="auto"/>
            <w:vAlign w:val="center"/>
            <w:hideMark/>
          </w:tcPr>
          <w:p w14:paraId="576462D9" w14:textId="77777777" w:rsidR="00D22324" w:rsidRPr="00D22324" w:rsidRDefault="00D22324" w:rsidP="00D22324">
            <w:pPr>
              <w:spacing w:line="360" w:lineRule="auto"/>
              <w:rPr>
                <w:rFonts w:ascii="Arial" w:hAnsi="Arial" w:cs="Arial"/>
              </w:rPr>
            </w:pPr>
            <w:r w:rsidRPr="00D22324">
              <w:rPr>
                <w:rFonts w:ascii="Arial" w:hAnsi="Arial" w:cs="Arial"/>
              </w:rPr>
              <w:t>Continuous</w:t>
            </w:r>
          </w:p>
        </w:tc>
      </w:tr>
    </w:tbl>
    <w:p w14:paraId="708F6DC1" w14:textId="029D6EDF" w:rsidR="00311E01" w:rsidRDefault="00D22324" w:rsidP="0039773F">
      <w:pPr>
        <w:spacing w:line="360" w:lineRule="auto"/>
        <w:jc w:val="right"/>
        <w:rPr>
          <w:rFonts w:ascii="Arial" w:hAnsi="Arial" w:cs="Arial"/>
          <w:b/>
          <w:bCs/>
          <w:i/>
          <w:iCs/>
        </w:rPr>
      </w:pPr>
      <w:r>
        <w:rPr>
          <w:rFonts w:ascii="Arial" w:hAnsi="Arial" w:cs="Arial"/>
          <w:b/>
          <w:bCs/>
          <w:i/>
          <w:iCs/>
        </w:rPr>
        <w:t>Table 5</w:t>
      </w:r>
    </w:p>
    <w:p w14:paraId="2776CA13" w14:textId="77777777" w:rsidR="0048045E" w:rsidRPr="0048045E" w:rsidRDefault="00FF1EB5" w:rsidP="0048045E">
      <w:pPr>
        <w:pStyle w:val="ListParagraph"/>
        <w:numPr>
          <w:ilvl w:val="0"/>
          <w:numId w:val="5"/>
        </w:numPr>
        <w:spacing w:line="360" w:lineRule="auto"/>
        <w:rPr>
          <w:rFonts w:ascii="Arial" w:hAnsi="Arial" w:cs="Arial"/>
        </w:rPr>
      </w:pPr>
      <w:r w:rsidRPr="00FF1EB5">
        <w:rPr>
          <w:rFonts w:ascii="Arial" w:hAnsi="Arial" w:cs="Arial"/>
          <w:b/>
          <w:bCs/>
          <w:i/>
          <w:iCs/>
        </w:rPr>
        <w:t>RACI Matrix</w:t>
      </w:r>
      <w:r w:rsidR="0048045E">
        <w:rPr>
          <w:rFonts w:ascii="Arial" w:hAnsi="Arial" w:cs="Arial"/>
          <w:b/>
          <w:bCs/>
          <w:i/>
          <w:iCs/>
        </w:rPr>
        <w:t xml:space="preserve">- </w:t>
      </w:r>
      <w:r w:rsidR="0048045E" w:rsidRPr="0048045E">
        <w:rPr>
          <w:rFonts w:ascii="Arial" w:hAnsi="Arial" w:cs="Arial"/>
        </w:rPr>
        <w:t>The RACI matrix clarifies responsibilities and prevents overlap. For example:</w:t>
      </w:r>
    </w:p>
    <w:p w14:paraId="26D98F27" w14:textId="77777777" w:rsidR="0048045E" w:rsidRDefault="0048045E" w:rsidP="0048045E">
      <w:pPr>
        <w:pStyle w:val="ListParagraph"/>
        <w:numPr>
          <w:ilvl w:val="0"/>
          <w:numId w:val="22"/>
        </w:numPr>
        <w:spacing w:line="360" w:lineRule="auto"/>
        <w:rPr>
          <w:rFonts w:ascii="Arial" w:hAnsi="Arial" w:cs="Arial"/>
        </w:rPr>
      </w:pPr>
      <w:r w:rsidRPr="0048045E">
        <w:rPr>
          <w:rFonts w:ascii="Arial" w:hAnsi="Arial" w:cs="Arial"/>
        </w:rPr>
        <w:t>Device Design: R&amp;D (R), PM (A), Marketing (C), Senior Management (I)</w:t>
      </w:r>
    </w:p>
    <w:p w14:paraId="26D4B08E" w14:textId="77777777" w:rsidR="0048045E" w:rsidRDefault="0048045E" w:rsidP="0048045E">
      <w:pPr>
        <w:pStyle w:val="ListParagraph"/>
        <w:numPr>
          <w:ilvl w:val="0"/>
          <w:numId w:val="22"/>
        </w:numPr>
        <w:spacing w:line="360" w:lineRule="auto"/>
        <w:rPr>
          <w:rFonts w:ascii="Arial" w:hAnsi="Arial" w:cs="Arial"/>
        </w:rPr>
      </w:pPr>
      <w:r w:rsidRPr="0048045E">
        <w:rPr>
          <w:rFonts w:ascii="Arial" w:hAnsi="Arial" w:cs="Arial"/>
        </w:rPr>
        <w:lastRenderedPageBreak/>
        <w:t>Regulatory Approval: Legal (R), Management (A), R&amp;D (C), Investors (I)</w:t>
      </w:r>
    </w:p>
    <w:p w14:paraId="27FF61EC" w14:textId="0C3D4D8C" w:rsidR="0048045E" w:rsidRPr="0048045E" w:rsidRDefault="0048045E" w:rsidP="0048045E">
      <w:pPr>
        <w:pStyle w:val="ListParagraph"/>
        <w:numPr>
          <w:ilvl w:val="0"/>
          <w:numId w:val="22"/>
        </w:numPr>
        <w:spacing w:line="360" w:lineRule="auto"/>
        <w:rPr>
          <w:rFonts w:ascii="Arial" w:hAnsi="Arial" w:cs="Arial"/>
        </w:rPr>
      </w:pPr>
      <w:r w:rsidRPr="0048045E">
        <w:rPr>
          <w:rFonts w:ascii="Arial" w:hAnsi="Arial" w:cs="Arial"/>
        </w:rPr>
        <w:t>The matrix fosters accountability and reduces conflict.</w:t>
      </w:r>
    </w:p>
    <w:p w14:paraId="40918C5F" w14:textId="0B5C6AC3" w:rsidR="00FF1EB5" w:rsidRDefault="00FF1EB5" w:rsidP="0048045E">
      <w:pPr>
        <w:pStyle w:val="ListParagraph"/>
        <w:spacing w:line="360" w:lineRule="auto"/>
        <w:rPr>
          <w:rFonts w:ascii="Arial" w:hAnsi="Arial" w:cs="Arial"/>
          <w:b/>
          <w:bCs/>
          <w:i/>
          <w:i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6"/>
        <w:gridCol w:w="1755"/>
        <w:gridCol w:w="1767"/>
        <w:gridCol w:w="1707"/>
        <w:gridCol w:w="1380"/>
      </w:tblGrid>
      <w:tr w:rsidR="00311E01" w:rsidRPr="00311E01" w14:paraId="7779C610" w14:textId="77777777" w:rsidTr="00311E01">
        <w:trPr>
          <w:tblHeader/>
          <w:tblCellSpacing w:w="15" w:type="dxa"/>
        </w:trPr>
        <w:tc>
          <w:tcPr>
            <w:tcW w:w="0" w:type="auto"/>
            <w:vAlign w:val="center"/>
            <w:hideMark/>
          </w:tcPr>
          <w:p w14:paraId="663F0751"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Task</w:t>
            </w:r>
          </w:p>
        </w:tc>
        <w:tc>
          <w:tcPr>
            <w:tcW w:w="0" w:type="auto"/>
            <w:vAlign w:val="center"/>
            <w:hideMark/>
          </w:tcPr>
          <w:p w14:paraId="1B08905C"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Responsible (R)</w:t>
            </w:r>
          </w:p>
        </w:tc>
        <w:tc>
          <w:tcPr>
            <w:tcW w:w="0" w:type="auto"/>
            <w:vAlign w:val="center"/>
            <w:hideMark/>
          </w:tcPr>
          <w:p w14:paraId="3296DC69"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Accountable (A)</w:t>
            </w:r>
          </w:p>
        </w:tc>
        <w:tc>
          <w:tcPr>
            <w:tcW w:w="0" w:type="auto"/>
            <w:vAlign w:val="center"/>
            <w:hideMark/>
          </w:tcPr>
          <w:p w14:paraId="60926A74"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Consulted (C)</w:t>
            </w:r>
          </w:p>
        </w:tc>
        <w:tc>
          <w:tcPr>
            <w:tcW w:w="0" w:type="auto"/>
            <w:vAlign w:val="center"/>
            <w:hideMark/>
          </w:tcPr>
          <w:p w14:paraId="6C0ADAD3" w14:textId="77777777" w:rsidR="00311E01" w:rsidRPr="00311E01" w:rsidRDefault="00311E01" w:rsidP="00311E01">
            <w:pPr>
              <w:spacing w:line="360" w:lineRule="auto"/>
              <w:rPr>
                <w:rFonts w:ascii="Arial" w:hAnsi="Arial" w:cs="Arial"/>
                <w:b/>
                <w:bCs/>
                <w:i/>
                <w:iCs/>
              </w:rPr>
            </w:pPr>
            <w:r w:rsidRPr="00311E01">
              <w:rPr>
                <w:rFonts w:ascii="Arial" w:hAnsi="Arial" w:cs="Arial"/>
                <w:b/>
                <w:bCs/>
                <w:i/>
                <w:iCs/>
              </w:rPr>
              <w:t>Informed (I)</w:t>
            </w:r>
          </w:p>
        </w:tc>
      </w:tr>
      <w:tr w:rsidR="00311E01" w:rsidRPr="00311E01" w14:paraId="698C61AA" w14:textId="77777777" w:rsidTr="00311E01">
        <w:trPr>
          <w:tblCellSpacing w:w="15" w:type="dxa"/>
        </w:trPr>
        <w:tc>
          <w:tcPr>
            <w:tcW w:w="0" w:type="auto"/>
            <w:vAlign w:val="center"/>
            <w:hideMark/>
          </w:tcPr>
          <w:p w14:paraId="15B045EE" w14:textId="77777777" w:rsidR="00311E01" w:rsidRPr="00D61AF6" w:rsidRDefault="00311E01" w:rsidP="00311E01">
            <w:pPr>
              <w:spacing w:line="360" w:lineRule="auto"/>
              <w:rPr>
                <w:rFonts w:ascii="Arial" w:hAnsi="Arial" w:cs="Arial"/>
              </w:rPr>
            </w:pPr>
            <w:r w:rsidRPr="00D61AF6">
              <w:rPr>
                <w:rFonts w:ascii="Arial" w:hAnsi="Arial" w:cs="Arial"/>
              </w:rPr>
              <w:t>Device design</w:t>
            </w:r>
          </w:p>
        </w:tc>
        <w:tc>
          <w:tcPr>
            <w:tcW w:w="0" w:type="auto"/>
            <w:vAlign w:val="center"/>
            <w:hideMark/>
          </w:tcPr>
          <w:p w14:paraId="26778784" w14:textId="77777777" w:rsidR="00311E01" w:rsidRPr="00D61AF6" w:rsidRDefault="00311E01" w:rsidP="00311E01">
            <w:pPr>
              <w:spacing w:line="360" w:lineRule="auto"/>
              <w:rPr>
                <w:rFonts w:ascii="Arial" w:hAnsi="Arial" w:cs="Arial"/>
              </w:rPr>
            </w:pPr>
            <w:r w:rsidRPr="00D61AF6">
              <w:rPr>
                <w:rFonts w:ascii="Arial" w:hAnsi="Arial" w:cs="Arial"/>
              </w:rPr>
              <w:t>R&amp;D</w:t>
            </w:r>
          </w:p>
        </w:tc>
        <w:tc>
          <w:tcPr>
            <w:tcW w:w="0" w:type="auto"/>
            <w:vAlign w:val="center"/>
            <w:hideMark/>
          </w:tcPr>
          <w:p w14:paraId="52969471" w14:textId="77777777" w:rsidR="00311E01" w:rsidRPr="00D61AF6" w:rsidRDefault="00311E01" w:rsidP="00311E01">
            <w:pPr>
              <w:spacing w:line="360" w:lineRule="auto"/>
              <w:rPr>
                <w:rFonts w:ascii="Arial" w:hAnsi="Arial" w:cs="Arial"/>
              </w:rPr>
            </w:pPr>
            <w:r w:rsidRPr="00D61AF6">
              <w:rPr>
                <w:rFonts w:ascii="Arial" w:hAnsi="Arial" w:cs="Arial"/>
              </w:rPr>
              <w:t>PM</w:t>
            </w:r>
          </w:p>
        </w:tc>
        <w:tc>
          <w:tcPr>
            <w:tcW w:w="0" w:type="auto"/>
            <w:vAlign w:val="center"/>
            <w:hideMark/>
          </w:tcPr>
          <w:p w14:paraId="75C98372" w14:textId="77777777" w:rsidR="00311E01" w:rsidRPr="00D61AF6" w:rsidRDefault="00311E01" w:rsidP="00311E01">
            <w:pPr>
              <w:spacing w:line="360" w:lineRule="auto"/>
              <w:rPr>
                <w:rFonts w:ascii="Arial" w:hAnsi="Arial" w:cs="Arial"/>
              </w:rPr>
            </w:pPr>
            <w:r w:rsidRPr="00D61AF6">
              <w:rPr>
                <w:rFonts w:ascii="Arial" w:hAnsi="Arial" w:cs="Arial"/>
              </w:rPr>
              <w:t>Marketing, Legal</w:t>
            </w:r>
          </w:p>
        </w:tc>
        <w:tc>
          <w:tcPr>
            <w:tcW w:w="0" w:type="auto"/>
            <w:vAlign w:val="center"/>
            <w:hideMark/>
          </w:tcPr>
          <w:p w14:paraId="4EC4A8CB" w14:textId="77777777" w:rsidR="00311E01" w:rsidRPr="00D61AF6" w:rsidRDefault="00311E01" w:rsidP="00311E01">
            <w:pPr>
              <w:spacing w:line="360" w:lineRule="auto"/>
              <w:rPr>
                <w:rFonts w:ascii="Arial" w:hAnsi="Arial" w:cs="Arial"/>
              </w:rPr>
            </w:pPr>
            <w:r w:rsidRPr="00D61AF6">
              <w:rPr>
                <w:rFonts w:ascii="Arial" w:hAnsi="Arial" w:cs="Arial"/>
              </w:rPr>
              <w:t>Management</w:t>
            </w:r>
          </w:p>
        </w:tc>
      </w:tr>
      <w:tr w:rsidR="00311E01" w:rsidRPr="00311E01" w14:paraId="2A3A8529" w14:textId="77777777" w:rsidTr="00311E01">
        <w:trPr>
          <w:tblCellSpacing w:w="15" w:type="dxa"/>
        </w:trPr>
        <w:tc>
          <w:tcPr>
            <w:tcW w:w="0" w:type="auto"/>
            <w:vAlign w:val="center"/>
            <w:hideMark/>
          </w:tcPr>
          <w:p w14:paraId="498BA281" w14:textId="77777777" w:rsidR="00311E01" w:rsidRPr="00D61AF6" w:rsidRDefault="00311E01" w:rsidP="00311E01">
            <w:pPr>
              <w:spacing w:line="360" w:lineRule="auto"/>
              <w:rPr>
                <w:rFonts w:ascii="Arial" w:hAnsi="Arial" w:cs="Arial"/>
              </w:rPr>
            </w:pPr>
            <w:r w:rsidRPr="00D61AF6">
              <w:rPr>
                <w:rFonts w:ascii="Arial" w:hAnsi="Arial" w:cs="Arial"/>
              </w:rPr>
              <w:t>Regulatory approval</w:t>
            </w:r>
          </w:p>
        </w:tc>
        <w:tc>
          <w:tcPr>
            <w:tcW w:w="0" w:type="auto"/>
            <w:vAlign w:val="center"/>
            <w:hideMark/>
          </w:tcPr>
          <w:p w14:paraId="0CE61059" w14:textId="77777777" w:rsidR="00311E01" w:rsidRPr="00D61AF6" w:rsidRDefault="00311E01" w:rsidP="00311E01">
            <w:pPr>
              <w:spacing w:line="360" w:lineRule="auto"/>
              <w:rPr>
                <w:rFonts w:ascii="Arial" w:hAnsi="Arial" w:cs="Arial"/>
              </w:rPr>
            </w:pPr>
            <w:r w:rsidRPr="00D61AF6">
              <w:rPr>
                <w:rFonts w:ascii="Arial" w:hAnsi="Arial" w:cs="Arial"/>
              </w:rPr>
              <w:t>Legal</w:t>
            </w:r>
          </w:p>
        </w:tc>
        <w:tc>
          <w:tcPr>
            <w:tcW w:w="0" w:type="auto"/>
            <w:vAlign w:val="center"/>
            <w:hideMark/>
          </w:tcPr>
          <w:p w14:paraId="710DE5DE" w14:textId="77777777" w:rsidR="00311E01" w:rsidRPr="00D61AF6" w:rsidRDefault="00311E01" w:rsidP="00311E01">
            <w:pPr>
              <w:spacing w:line="360" w:lineRule="auto"/>
              <w:rPr>
                <w:rFonts w:ascii="Arial" w:hAnsi="Arial" w:cs="Arial"/>
              </w:rPr>
            </w:pPr>
            <w:r w:rsidRPr="00D61AF6">
              <w:rPr>
                <w:rFonts w:ascii="Arial" w:hAnsi="Arial" w:cs="Arial"/>
              </w:rPr>
              <w:t>Management</w:t>
            </w:r>
          </w:p>
        </w:tc>
        <w:tc>
          <w:tcPr>
            <w:tcW w:w="0" w:type="auto"/>
            <w:vAlign w:val="center"/>
            <w:hideMark/>
          </w:tcPr>
          <w:p w14:paraId="3D38770D" w14:textId="77777777" w:rsidR="00311E01" w:rsidRPr="00D61AF6" w:rsidRDefault="00311E01" w:rsidP="00311E01">
            <w:pPr>
              <w:spacing w:line="360" w:lineRule="auto"/>
              <w:rPr>
                <w:rFonts w:ascii="Arial" w:hAnsi="Arial" w:cs="Arial"/>
              </w:rPr>
            </w:pPr>
            <w:r w:rsidRPr="00D61AF6">
              <w:rPr>
                <w:rFonts w:ascii="Arial" w:hAnsi="Arial" w:cs="Arial"/>
              </w:rPr>
              <w:t>R&amp;D</w:t>
            </w:r>
          </w:p>
        </w:tc>
        <w:tc>
          <w:tcPr>
            <w:tcW w:w="0" w:type="auto"/>
            <w:vAlign w:val="center"/>
            <w:hideMark/>
          </w:tcPr>
          <w:p w14:paraId="3A3BFBE0" w14:textId="77777777" w:rsidR="00311E01" w:rsidRPr="00D61AF6" w:rsidRDefault="00311E01" w:rsidP="00311E01">
            <w:pPr>
              <w:spacing w:line="360" w:lineRule="auto"/>
              <w:rPr>
                <w:rFonts w:ascii="Arial" w:hAnsi="Arial" w:cs="Arial"/>
              </w:rPr>
            </w:pPr>
            <w:r w:rsidRPr="00D61AF6">
              <w:rPr>
                <w:rFonts w:ascii="Arial" w:hAnsi="Arial" w:cs="Arial"/>
              </w:rPr>
              <w:t>Investors</w:t>
            </w:r>
          </w:p>
        </w:tc>
      </w:tr>
      <w:tr w:rsidR="00311E01" w:rsidRPr="00311E01" w14:paraId="41A4F338" w14:textId="77777777" w:rsidTr="00311E01">
        <w:trPr>
          <w:tblCellSpacing w:w="15" w:type="dxa"/>
        </w:trPr>
        <w:tc>
          <w:tcPr>
            <w:tcW w:w="0" w:type="auto"/>
            <w:vAlign w:val="center"/>
            <w:hideMark/>
          </w:tcPr>
          <w:p w14:paraId="221345FF" w14:textId="77777777" w:rsidR="00311E01" w:rsidRPr="00D61AF6" w:rsidRDefault="00311E01" w:rsidP="00311E01">
            <w:pPr>
              <w:spacing w:line="360" w:lineRule="auto"/>
              <w:rPr>
                <w:rFonts w:ascii="Arial" w:hAnsi="Arial" w:cs="Arial"/>
              </w:rPr>
            </w:pPr>
            <w:r w:rsidRPr="00D61AF6">
              <w:rPr>
                <w:rFonts w:ascii="Arial" w:hAnsi="Arial" w:cs="Arial"/>
              </w:rPr>
              <w:t>Marketing campaign</w:t>
            </w:r>
          </w:p>
        </w:tc>
        <w:tc>
          <w:tcPr>
            <w:tcW w:w="0" w:type="auto"/>
            <w:vAlign w:val="center"/>
            <w:hideMark/>
          </w:tcPr>
          <w:p w14:paraId="587101C8" w14:textId="77777777" w:rsidR="00311E01" w:rsidRPr="00D61AF6" w:rsidRDefault="00311E01" w:rsidP="00311E01">
            <w:pPr>
              <w:spacing w:line="360" w:lineRule="auto"/>
              <w:rPr>
                <w:rFonts w:ascii="Arial" w:hAnsi="Arial" w:cs="Arial"/>
              </w:rPr>
            </w:pPr>
            <w:r w:rsidRPr="00D61AF6">
              <w:rPr>
                <w:rFonts w:ascii="Arial" w:hAnsi="Arial" w:cs="Arial"/>
              </w:rPr>
              <w:t>Marketing</w:t>
            </w:r>
          </w:p>
        </w:tc>
        <w:tc>
          <w:tcPr>
            <w:tcW w:w="0" w:type="auto"/>
            <w:vAlign w:val="center"/>
            <w:hideMark/>
          </w:tcPr>
          <w:p w14:paraId="025E2DB3" w14:textId="77777777" w:rsidR="00311E01" w:rsidRPr="00D61AF6" w:rsidRDefault="00311E01" w:rsidP="00311E01">
            <w:pPr>
              <w:spacing w:line="360" w:lineRule="auto"/>
              <w:rPr>
                <w:rFonts w:ascii="Arial" w:hAnsi="Arial" w:cs="Arial"/>
              </w:rPr>
            </w:pPr>
            <w:r w:rsidRPr="00D61AF6">
              <w:rPr>
                <w:rFonts w:ascii="Arial" w:hAnsi="Arial" w:cs="Arial"/>
              </w:rPr>
              <w:t>PM</w:t>
            </w:r>
          </w:p>
        </w:tc>
        <w:tc>
          <w:tcPr>
            <w:tcW w:w="0" w:type="auto"/>
            <w:vAlign w:val="center"/>
            <w:hideMark/>
          </w:tcPr>
          <w:p w14:paraId="720BEFE9" w14:textId="77777777" w:rsidR="00311E01" w:rsidRPr="00D61AF6" w:rsidRDefault="00311E01" w:rsidP="00311E01">
            <w:pPr>
              <w:spacing w:line="360" w:lineRule="auto"/>
              <w:rPr>
                <w:rFonts w:ascii="Arial" w:hAnsi="Arial" w:cs="Arial"/>
              </w:rPr>
            </w:pPr>
            <w:r w:rsidRPr="00D61AF6">
              <w:rPr>
                <w:rFonts w:ascii="Arial" w:hAnsi="Arial" w:cs="Arial"/>
              </w:rPr>
              <w:t>Sales</w:t>
            </w:r>
          </w:p>
        </w:tc>
        <w:tc>
          <w:tcPr>
            <w:tcW w:w="0" w:type="auto"/>
            <w:vAlign w:val="center"/>
            <w:hideMark/>
          </w:tcPr>
          <w:p w14:paraId="4EFFAD37" w14:textId="77777777" w:rsidR="00311E01" w:rsidRPr="00D61AF6" w:rsidRDefault="00311E01" w:rsidP="00311E01">
            <w:pPr>
              <w:spacing w:line="360" w:lineRule="auto"/>
              <w:rPr>
                <w:rFonts w:ascii="Arial" w:hAnsi="Arial" w:cs="Arial"/>
              </w:rPr>
            </w:pPr>
            <w:r w:rsidRPr="00D61AF6">
              <w:rPr>
                <w:rFonts w:ascii="Arial" w:hAnsi="Arial" w:cs="Arial"/>
              </w:rPr>
              <w:t>Media</w:t>
            </w:r>
          </w:p>
        </w:tc>
      </w:tr>
      <w:tr w:rsidR="00311E01" w:rsidRPr="00311E01" w14:paraId="739781E5" w14:textId="77777777" w:rsidTr="00311E01">
        <w:trPr>
          <w:tblCellSpacing w:w="15" w:type="dxa"/>
        </w:trPr>
        <w:tc>
          <w:tcPr>
            <w:tcW w:w="0" w:type="auto"/>
            <w:vAlign w:val="center"/>
            <w:hideMark/>
          </w:tcPr>
          <w:p w14:paraId="701375D2" w14:textId="77777777" w:rsidR="00311E01" w:rsidRPr="00D61AF6" w:rsidRDefault="00311E01" w:rsidP="00311E01">
            <w:pPr>
              <w:spacing w:line="360" w:lineRule="auto"/>
              <w:rPr>
                <w:rFonts w:ascii="Arial" w:hAnsi="Arial" w:cs="Arial"/>
              </w:rPr>
            </w:pPr>
            <w:r w:rsidRPr="00D61AF6">
              <w:rPr>
                <w:rFonts w:ascii="Arial" w:hAnsi="Arial" w:cs="Arial"/>
              </w:rPr>
              <w:t>Launch event</w:t>
            </w:r>
          </w:p>
        </w:tc>
        <w:tc>
          <w:tcPr>
            <w:tcW w:w="0" w:type="auto"/>
            <w:vAlign w:val="center"/>
            <w:hideMark/>
          </w:tcPr>
          <w:p w14:paraId="359BE842" w14:textId="77777777" w:rsidR="00311E01" w:rsidRPr="00D61AF6" w:rsidRDefault="00311E01" w:rsidP="00311E01">
            <w:pPr>
              <w:spacing w:line="360" w:lineRule="auto"/>
              <w:rPr>
                <w:rFonts w:ascii="Arial" w:hAnsi="Arial" w:cs="Arial"/>
              </w:rPr>
            </w:pPr>
            <w:r w:rsidRPr="00D61AF6">
              <w:rPr>
                <w:rFonts w:ascii="Arial" w:hAnsi="Arial" w:cs="Arial"/>
              </w:rPr>
              <w:t>Sales</w:t>
            </w:r>
          </w:p>
        </w:tc>
        <w:tc>
          <w:tcPr>
            <w:tcW w:w="0" w:type="auto"/>
            <w:vAlign w:val="center"/>
            <w:hideMark/>
          </w:tcPr>
          <w:p w14:paraId="392A0644" w14:textId="77777777" w:rsidR="00311E01" w:rsidRPr="00D61AF6" w:rsidRDefault="00311E01" w:rsidP="00311E01">
            <w:pPr>
              <w:spacing w:line="360" w:lineRule="auto"/>
              <w:rPr>
                <w:rFonts w:ascii="Arial" w:hAnsi="Arial" w:cs="Arial"/>
              </w:rPr>
            </w:pPr>
            <w:r w:rsidRPr="00D61AF6">
              <w:rPr>
                <w:rFonts w:ascii="Arial" w:hAnsi="Arial" w:cs="Arial"/>
              </w:rPr>
              <w:t>PM</w:t>
            </w:r>
          </w:p>
        </w:tc>
        <w:tc>
          <w:tcPr>
            <w:tcW w:w="0" w:type="auto"/>
            <w:vAlign w:val="center"/>
            <w:hideMark/>
          </w:tcPr>
          <w:p w14:paraId="1C3F33D3" w14:textId="77777777" w:rsidR="00311E01" w:rsidRPr="00D61AF6" w:rsidRDefault="00311E01" w:rsidP="00311E01">
            <w:pPr>
              <w:spacing w:line="360" w:lineRule="auto"/>
              <w:rPr>
                <w:rFonts w:ascii="Arial" w:hAnsi="Arial" w:cs="Arial"/>
              </w:rPr>
            </w:pPr>
            <w:r w:rsidRPr="00D61AF6">
              <w:rPr>
                <w:rFonts w:ascii="Arial" w:hAnsi="Arial" w:cs="Arial"/>
              </w:rPr>
              <w:t>Marketing</w:t>
            </w:r>
          </w:p>
        </w:tc>
        <w:tc>
          <w:tcPr>
            <w:tcW w:w="0" w:type="auto"/>
            <w:vAlign w:val="center"/>
            <w:hideMark/>
          </w:tcPr>
          <w:p w14:paraId="3FB3E651" w14:textId="77777777" w:rsidR="00311E01" w:rsidRPr="00D61AF6" w:rsidRDefault="00311E01" w:rsidP="00311E01">
            <w:pPr>
              <w:spacing w:line="360" w:lineRule="auto"/>
              <w:rPr>
                <w:rFonts w:ascii="Arial" w:hAnsi="Arial" w:cs="Arial"/>
              </w:rPr>
            </w:pPr>
            <w:r w:rsidRPr="00D61AF6">
              <w:rPr>
                <w:rFonts w:ascii="Arial" w:hAnsi="Arial" w:cs="Arial"/>
              </w:rPr>
              <w:t>Consumers</w:t>
            </w:r>
          </w:p>
        </w:tc>
      </w:tr>
    </w:tbl>
    <w:p w14:paraId="2BB698F4" w14:textId="7159292E" w:rsidR="00311E01" w:rsidRPr="003A3720" w:rsidRDefault="00311E01" w:rsidP="00311E01">
      <w:pPr>
        <w:pStyle w:val="ListParagraph"/>
        <w:spacing w:line="360" w:lineRule="auto"/>
        <w:jc w:val="right"/>
        <w:rPr>
          <w:rFonts w:ascii="Arial" w:hAnsi="Arial" w:cs="Arial"/>
          <w:b/>
          <w:bCs/>
          <w:i/>
          <w:iCs/>
        </w:rPr>
      </w:pPr>
      <w:r w:rsidRPr="003A3720">
        <w:rPr>
          <w:rFonts w:ascii="Arial" w:hAnsi="Arial" w:cs="Arial"/>
          <w:b/>
          <w:bCs/>
          <w:i/>
          <w:iCs/>
        </w:rPr>
        <w:t>Table 6</w:t>
      </w:r>
    </w:p>
    <w:p w14:paraId="2699412D" w14:textId="2DC8EAED" w:rsidR="00A37502" w:rsidRDefault="00A37502" w:rsidP="00A37502">
      <w:pPr>
        <w:spacing w:line="360" w:lineRule="auto"/>
        <w:rPr>
          <w:rFonts w:ascii="Arial" w:hAnsi="Arial" w:cs="Arial"/>
        </w:rPr>
      </w:pPr>
      <w:r w:rsidRPr="00A37502">
        <w:rPr>
          <w:rFonts w:ascii="Arial" w:hAnsi="Arial" w:cs="Arial"/>
        </w:rPr>
        <w:t>These frameworks ensure alignment, accountability, and stakeholder transparency.</w:t>
      </w:r>
    </w:p>
    <w:p w14:paraId="0558A645" w14:textId="34EF59AB" w:rsidR="00426E77" w:rsidRPr="00166665" w:rsidRDefault="00426E77" w:rsidP="006D47DB">
      <w:pPr>
        <w:spacing w:line="360" w:lineRule="auto"/>
        <w:rPr>
          <w:rFonts w:ascii="Arial" w:hAnsi="Arial" w:cs="Arial"/>
          <w:b/>
          <w:bCs/>
          <w:sz w:val="28"/>
          <w:szCs w:val="28"/>
        </w:rPr>
      </w:pPr>
      <w:r w:rsidRPr="00166665">
        <w:rPr>
          <w:rFonts w:ascii="Arial" w:hAnsi="Arial" w:cs="Arial"/>
          <w:b/>
          <w:bCs/>
          <w:sz w:val="28"/>
          <w:szCs w:val="28"/>
        </w:rPr>
        <w:t>Stakeholder Engagement Process and Conflict Management</w:t>
      </w:r>
    </w:p>
    <w:p w14:paraId="49A6437F" w14:textId="404E0401" w:rsidR="0069596C" w:rsidRPr="006D47DB" w:rsidRDefault="0069596C" w:rsidP="006D47DB">
      <w:pPr>
        <w:spacing w:line="360" w:lineRule="auto"/>
        <w:rPr>
          <w:rFonts w:ascii="Arial" w:hAnsi="Arial" w:cs="Arial"/>
        </w:rPr>
      </w:pPr>
      <w:r w:rsidRPr="006D47DB">
        <w:rPr>
          <w:rFonts w:ascii="Arial" w:hAnsi="Arial" w:cs="Arial"/>
        </w:rPr>
        <w:t xml:space="preserve">As project manager, the stakeholder engagement process for Fitbit’s launch involves systematic steps and application of the </w:t>
      </w:r>
      <w:r w:rsidRPr="006D47DB">
        <w:rPr>
          <w:rFonts w:ascii="Arial" w:hAnsi="Arial" w:cs="Arial"/>
          <w:b/>
          <w:bCs/>
        </w:rPr>
        <w:t>4Cs model</w:t>
      </w:r>
      <w:r w:rsidR="003A3720">
        <w:rPr>
          <w:rFonts w:ascii="Arial" w:hAnsi="Arial" w:cs="Arial"/>
        </w:rPr>
        <w:t>- C</w:t>
      </w:r>
      <w:r w:rsidRPr="006D47DB">
        <w:rPr>
          <w:rFonts w:ascii="Arial" w:hAnsi="Arial" w:cs="Arial"/>
        </w:rPr>
        <w:t>ommunication, Coordination, Cooperation, and Collaboration</w:t>
      </w:r>
      <w:r w:rsidR="00777BA8" w:rsidRPr="006D47DB">
        <w:rPr>
          <w:rFonts w:ascii="Arial" w:hAnsi="Arial" w:cs="Arial"/>
        </w:rPr>
        <w:t xml:space="preserve"> (Friedman &amp; Miles, 2006).</w:t>
      </w:r>
    </w:p>
    <w:p w14:paraId="54FA6D99" w14:textId="77777777" w:rsidR="00C77A27" w:rsidRPr="00166665" w:rsidRDefault="00C77A27" w:rsidP="006D47DB">
      <w:pPr>
        <w:spacing w:line="360" w:lineRule="auto"/>
        <w:rPr>
          <w:rFonts w:ascii="Arial" w:hAnsi="Arial" w:cs="Arial"/>
          <w:b/>
          <w:bCs/>
          <w:i/>
          <w:iCs/>
        </w:rPr>
      </w:pPr>
      <w:r w:rsidRPr="00166665">
        <w:rPr>
          <w:rFonts w:ascii="Arial" w:hAnsi="Arial" w:cs="Arial"/>
          <w:b/>
          <w:bCs/>
          <w:i/>
          <w:iCs/>
        </w:rPr>
        <w:t xml:space="preserve">Stakeholder Engagement Process </w:t>
      </w:r>
    </w:p>
    <w:p w14:paraId="27FCD1DC"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Identification: Create a power and interest-based map of all stakeholders.</w:t>
      </w:r>
    </w:p>
    <w:p w14:paraId="599460CD"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Analysis: Assess their impact and expectations.</w:t>
      </w:r>
    </w:p>
    <w:p w14:paraId="21C62525"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Planning: Create communication and engagement strategies.</w:t>
      </w:r>
    </w:p>
    <w:p w14:paraId="35B83F31"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Engagement: Hold frequent conversations and feedback sessions.</w:t>
      </w:r>
    </w:p>
    <w:p w14:paraId="367B94DE" w14:textId="77777777" w:rsidR="00C77A27" w:rsidRPr="006D47DB" w:rsidRDefault="00C77A27" w:rsidP="006D47DB">
      <w:pPr>
        <w:pStyle w:val="ListParagraph"/>
        <w:numPr>
          <w:ilvl w:val="0"/>
          <w:numId w:val="7"/>
        </w:numPr>
        <w:spacing w:line="360" w:lineRule="auto"/>
        <w:rPr>
          <w:rFonts w:ascii="Arial" w:hAnsi="Arial" w:cs="Arial"/>
        </w:rPr>
      </w:pPr>
      <w:r w:rsidRPr="006D47DB">
        <w:rPr>
          <w:rFonts w:ascii="Arial" w:hAnsi="Arial" w:cs="Arial"/>
        </w:rPr>
        <w:t>Monitoring and Evaluation: Use KPIs and feedback loops to assess the efficacy of involvement.</w:t>
      </w:r>
    </w:p>
    <w:p w14:paraId="706AB895" w14:textId="1ECA279F" w:rsidR="00C77A27" w:rsidRPr="006D47DB" w:rsidRDefault="00C77A27" w:rsidP="006D47DB">
      <w:pPr>
        <w:spacing w:line="360" w:lineRule="auto"/>
        <w:rPr>
          <w:rFonts w:ascii="Arial" w:hAnsi="Arial" w:cs="Arial"/>
        </w:rPr>
      </w:pPr>
      <w:r w:rsidRPr="006D47DB">
        <w:rPr>
          <w:rFonts w:ascii="Arial" w:hAnsi="Arial" w:cs="Arial"/>
        </w:rPr>
        <w:t>Frequent interaction guarantees openness, confidence, and cooperation between departments and outside partners</w:t>
      </w:r>
      <w:r w:rsidR="00547B0D" w:rsidRPr="006D47DB">
        <w:rPr>
          <w:rFonts w:ascii="Arial" w:hAnsi="Arial" w:cs="Arial"/>
        </w:rPr>
        <w:t xml:space="preserve"> (PMBOK, 2021).</w:t>
      </w:r>
    </w:p>
    <w:p w14:paraId="60B868E6" w14:textId="77777777" w:rsidR="00C74130" w:rsidRPr="00C74130" w:rsidRDefault="00C74130" w:rsidP="006D47DB">
      <w:pPr>
        <w:spacing w:line="360" w:lineRule="auto"/>
        <w:rPr>
          <w:rFonts w:ascii="Arial" w:hAnsi="Arial" w:cs="Arial"/>
          <w:b/>
          <w:bCs/>
          <w:i/>
          <w:iCs/>
        </w:rPr>
      </w:pPr>
      <w:r w:rsidRPr="00C74130">
        <w:rPr>
          <w:rFonts w:ascii="Arial" w:hAnsi="Arial" w:cs="Arial"/>
          <w:b/>
          <w:bCs/>
          <w:i/>
          <w:iCs/>
        </w:rPr>
        <w:t>Applying the 4Cs Model</w:t>
      </w:r>
    </w:p>
    <w:p w14:paraId="1D9D2097" w14:textId="6A3B8A21" w:rsidR="00C74130" w:rsidRPr="006D47DB" w:rsidRDefault="00C74130" w:rsidP="006D47DB">
      <w:pPr>
        <w:pStyle w:val="ListParagraph"/>
        <w:numPr>
          <w:ilvl w:val="0"/>
          <w:numId w:val="10"/>
        </w:numPr>
        <w:spacing w:line="360" w:lineRule="auto"/>
        <w:rPr>
          <w:rFonts w:ascii="Arial" w:hAnsi="Arial" w:cs="Arial"/>
        </w:rPr>
      </w:pPr>
      <w:r w:rsidRPr="006D47DB">
        <w:rPr>
          <w:rFonts w:ascii="Arial" w:hAnsi="Arial" w:cs="Arial"/>
          <w:b/>
          <w:bCs/>
        </w:rPr>
        <w:t>Communication:</w:t>
      </w:r>
      <w:r w:rsidR="00D65201" w:rsidRPr="006D47DB">
        <w:rPr>
          <w:rFonts w:ascii="Arial" w:hAnsi="Arial" w:cs="Arial"/>
          <w:b/>
          <w:bCs/>
        </w:rPr>
        <w:t xml:space="preserve"> </w:t>
      </w:r>
      <w:r w:rsidRPr="006D47DB">
        <w:rPr>
          <w:rFonts w:ascii="Arial" w:hAnsi="Arial" w:cs="Arial"/>
        </w:rPr>
        <w:t>Effective two-way communication is the cornerstone of stakeholder engagement. Fitbit should use structured channels such as dashboards, meetings, and newsletters to ensure consistent updates (Turner, 2020). Miscommunication can lead to delayed launches or regulatory non-compliance.</w:t>
      </w:r>
    </w:p>
    <w:p w14:paraId="6DC791BD" w14:textId="2257C1E8" w:rsidR="00D65201" w:rsidRPr="006D47DB" w:rsidRDefault="00D65201" w:rsidP="006D47DB">
      <w:pPr>
        <w:pStyle w:val="ListParagraph"/>
        <w:numPr>
          <w:ilvl w:val="0"/>
          <w:numId w:val="10"/>
        </w:numPr>
        <w:spacing w:line="360" w:lineRule="auto"/>
        <w:rPr>
          <w:rFonts w:ascii="Arial" w:hAnsi="Arial" w:cs="Arial"/>
        </w:rPr>
      </w:pPr>
      <w:r w:rsidRPr="006D47DB">
        <w:rPr>
          <w:rFonts w:ascii="Arial" w:hAnsi="Arial" w:cs="Arial"/>
          <w:b/>
          <w:bCs/>
        </w:rPr>
        <w:lastRenderedPageBreak/>
        <w:t>Coordination:</w:t>
      </w:r>
      <w:r w:rsidR="00A44C09" w:rsidRPr="006D47DB">
        <w:rPr>
          <w:rFonts w:ascii="Arial" w:hAnsi="Arial" w:cs="Arial"/>
        </w:rPr>
        <w:t xml:space="preserve"> </w:t>
      </w:r>
      <w:r w:rsidRPr="006D47DB">
        <w:rPr>
          <w:rFonts w:ascii="Arial" w:hAnsi="Arial" w:cs="Arial"/>
        </w:rPr>
        <w:t>Coordination aligns activities between teams. For instance, marketing must coordinate with R&amp;D to ensure campaign claims match product capabilities. Project management software such as Jira or Asana can enhance visibility and coordination across teams.</w:t>
      </w:r>
    </w:p>
    <w:p w14:paraId="371B25FB" w14:textId="299F7275" w:rsidR="00A44C09" w:rsidRPr="00B05320" w:rsidRDefault="00A44C09" w:rsidP="00B05320">
      <w:pPr>
        <w:pStyle w:val="NormalWeb"/>
        <w:numPr>
          <w:ilvl w:val="0"/>
          <w:numId w:val="10"/>
        </w:numPr>
        <w:spacing w:line="360" w:lineRule="auto"/>
        <w:rPr>
          <w:rFonts w:ascii="Arial" w:hAnsi="Arial" w:cs="Arial"/>
        </w:rPr>
      </w:pPr>
      <w:r w:rsidRPr="006D47DB">
        <w:rPr>
          <w:rStyle w:val="Strong"/>
          <w:rFonts w:ascii="Arial" w:eastAsiaTheme="majorEastAsia" w:hAnsi="Arial" w:cs="Arial"/>
          <w:sz w:val="22"/>
          <w:szCs w:val="22"/>
        </w:rPr>
        <w:t>Cooperation:</w:t>
      </w:r>
      <w:r w:rsidRPr="006D47DB">
        <w:rPr>
          <w:rFonts w:ascii="Arial" w:hAnsi="Arial" w:cs="Arial"/>
          <w:sz w:val="22"/>
          <w:szCs w:val="22"/>
        </w:rPr>
        <w:t xml:space="preserve"> Stakeholders must recognize shared objectives launching a successful device. Encouraging cross-functional workshops promotes mutual understanding and trust. Cooperative behaviour minimizes conflicts and enhances morale </w:t>
      </w:r>
      <w:r w:rsidR="00B05320" w:rsidRPr="00B05320">
        <w:rPr>
          <w:rFonts w:ascii="Arial" w:hAnsi="Arial" w:cs="Arial"/>
          <w:sz w:val="22"/>
          <w:szCs w:val="22"/>
        </w:rPr>
        <w:t>(Botter, 1982)</w:t>
      </w:r>
      <w:r w:rsidR="00B05320" w:rsidRPr="00B05320">
        <w:rPr>
          <w:rFonts w:ascii="Arial" w:hAnsi="Arial" w:cs="Arial"/>
          <w:sz w:val="22"/>
          <w:szCs w:val="22"/>
        </w:rPr>
        <w:t>.</w:t>
      </w:r>
    </w:p>
    <w:p w14:paraId="278CD30B" w14:textId="289CF170" w:rsidR="00A44C09" w:rsidRDefault="00A44C09" w:rsidP="006D47DB">
      <w:pPr>
        <w:pStyle w:val="NormalWeb"/>
        <w:numPr>
          <w:ilvl w:val="0"/>
          <w:numId w:val="10"/>
        </w:numPr>
        <w:spacing w:line="360" w:lineRule="auto"/>
        <w:rPr>
          <w:rFonts w:ascii="Arial" w:hAnsi="Arial" w:cs="Arial"/>
          <w:sz w:val="22"/>
          <w:szCs w:val="22"/>
        </w:rPr>
      </w:pPr>
      <w:r w:rsidRPr="006D47DB">
        <w:rPr>
          <w:rStyle w:val="Strong"/>
          <w:rFonts w:ascii="Arial" w:eastAsiaTheme="majorEastAsia" w:hAnsi="Arial" w:cs="Arial"/>
          <w:sz w:val="22"/>
          <w:szCs w:val="22"/>
        </w:rPr>
        <w:t>Collaboration:</w:t>
      </w:r>
      <w:r w:rsidRPr="006D47DB">
        <w:rPr>
          <w:rFonts w:ascii="Arial" w:hAnsi="Arial" w:cs="Arial"/>
          <w:sz w:val="22"/>
          <w:szCs w:val="22"/>
        </w:rPr>
        <w:t xml:space="preserve"> Collaboration involves joint problem-solving and decision-making. Fitbit can establish a steering committee comprising representatives from R&amp;D, marketing, and compliance. Collaboration also extends to external healthcare experts and regulators for product validation.</w:t>
      </w:r>
    </w:p>
    <w:p w14:paraId="706CF044" w14:textId="77777777" w:rsidR="003A3720" w:rsidRDefault="003A3720" w:rsidP="003A3720">
      <w:pPr>
        <w:pStyle w:val="NormalWeb"/>
        <w:spacing w:line="360" w:lineRule="auto"/>
        <w:rPr>
          <w:rFonts w:ascii="Arial" w:hAnsi="Arial" w:cs="Arial"/>
          <w:sz w:val="22"/>
          <w:szCs w:val="22"/>
        </w:rPr>
      </w:pPr>
    </w:p>
    <w:p w14:paraId="234F9A3E" w14:textId="77777777" w:rsidR="003A3720" w:rsidRPr="006D47DB" w:rsidRDefault="003A3720" w:rsidP="003A3720">
      <w:pPr>
        <w:pStyle w:val="NormalWeb"/>
        <w:spacing w:line="360" w:lineRule="auto"/>
        <w:rPr>
          <w:rFonts w:ascii="Arial" w:hAnsi="Arial" w:cs="Arial"/>
          <w:sz w:val="22"/>
          <w:szCs w:val="22"/>
        </w:rPr>
      </w:pPr>
    </w:p>
    <w:p w14:paraId="46936856" w14:textId="77777777" w:rsidR="006D47DB" w:rsidRPr="006D47DB" w:rsidRDefault="006D47DB" w:rsidP="006D47DB">
      <w:pPr>
        <w:pStyle w:val="NormalWeb"/>
        <w:spacing w:line="360" w:lineRule="auto"/>
        <w:ind w:left="360"/>
        <w:rPr>
          <w:rFonts w:ascii="Arial" w:hAnsi="Arial" w:cs="Arial"/>
          <w:b/>
          <w:bCs/>
          <w:i/>
          <w:iCs/>
          <w:sz w:val="22"/>
          <w:szCs w:val="22"/>
        </w:rPr>
      </w:pPr>
      <w:r w:rsidRPr="006D47DB">
        <w:rPr>
          <w:rFonts w:ascii="Arial" w:hAnsi="Arial" w:cs="Arial"/>
          <w:b/>
          <w:bCs/>
          <w:i/>
          <w:iCs/>
          <w:sz w:val="22"/>
          <w:szCs w:val="22"/>
        </w:rPr>
        <w:t>Conflict Management</w:t>
      </w:r>
    </w:p>
    <w:p w14:paraId="4ABE4D4B" w14:textId="77777777" w:rsidR="006D47DB" w:rsidRPr="006D47DB" w:rsidRDefault="006D47DB" w:rsidP="006D47DB">
      <w:pPr>
        <w:pStyle w:val="NormalWeb"/>
        <w:spacing w:line="360" w:lineRule="auto"/>
        <w:ind w:left="360"/>
        <w:rPr>
          <w:rFonts w:ascii="Arial" w:hAnsi="Arial" w:cs="Arial"/>
          <w:sz w:val="22"/>
          <w:szCs w:val="22"/>
        </w:rPr>
      </w:pPr>
      <w:r w:rsidRPr="006D47DB">
        <w:rPr>
          <w:rFonts w:ascii="Arial" w:hAnsi="Arial" w:cs="Arial"/>
          <w:sz w:val="22"/>
          <w:szCs w:val="22"/>
        </w:rPr>
        <w:t>Conflicts may arise due to differing priorities (e.g., marketing pushing deadlines vs. R&amp;D needing more time). To manage these:</w:t>
      </w:r>
    </w:p>
    <w:p w14:paraId="1CE4F251" w14:textId="2DE1CE91"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Use </w:t>
      </w:r>
      <w:r w:rsidRPr="006D47DB">
        <w:rPr>
          <w:rFonts w:ascii="Arial" w:hAnsi="Arial" w:cs="Arial"/>
          <w:b/>
          <w:bCs/>
          <w:sz w:val="22"/>
          <w:szCs w:val="22"/>
        </w:rPr>
        <w:t>interest-based negotiation</w:t>
      </w:r>
      <w:r w:rsidRPr="006D47DB">
        <w:rPr>
          <w:rFonts w:ascii="Arial" w:hAnsi="Arial" w:cs="Arial"/>
          <w:sz w:val="22"/>
          <w:szCs w:val="22"/>
        </w:rPr>
        <w:t xml:space="preserve"> to find win-win solutions (Fisher &amp; Ury, 2011).</w:t>
      </w:r>
    </w:p>
    <w:p w14:paraId="1630DCC7" w14:textId="77777777"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Establish </w:t>
      </w:r>
      <w:r w:rsidRPr="006D47DB">
        <w:rPr>
          <w:rFonts w:ascii="Arial" w:hAnsi="Arial" w:cs="Arial"/>
          <w:b/>
          <w:bCs/>
          <w:sz w:val="22"/>
          <w:szCs w:val="22"/>
        </w:rPr>
        <w:t>clear escalation paths</w:t>
      </w:r>
      <w:r w:rsidRPr="006D47DB">
        <w:rPr>
          <w:rFonts w:ascii="Arial" w:hAnsi="Arial" w:cs="Arial"/>
          <w:sz w:val="22"/>
          <w:szCs w:val="22"/>
        </w:rPr>
        <w:t xml:space="preserve"> through governance structures.</w:t>
      </w:r>
    </w:p>
    <w:p w14:paraId="6B927F7A" w14:textId="77777777"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Implement </w:t>
      </w:r>
      <w:r w:rsidRPr="006D47DB">
        <w:rPr>
          <w:rFonts w:ascii="Arial" w:hAnsi="Arial" w:cs="Arial"/>
          <w:b/>
          <w:bCs/>
          <w:sz w:val="22"/>
          <w:szCs w:val="22"/>
        </w:rPr>
        <w:t>transparent reporting</w:t>
      </w:r>
      <w:r w:rsidRPr="006D47DB">
        <w:rPr>
          <w:rFonts w:ascii="Arial" w:hAnsi="Arial" w:cs="Arial"/>
          <w:sz w:val="22"/>
          <w:szCs w:val="22"/>
        </w:rPr>
        <w:t xml:space="preserve"> to reduce misunderstandings.</w:t>
      </w:r>
    </w:p>
    <w:p w14:paraId="32BFF053" w14:textId="77777777" w:rsidR="006D47DB" w:rsidRPr="006D47DB" w:rsidRDefault="006D47DB" w:rsidP="006D47DB">
      <w:pPr>
        <w:pStyle w:val="NormalWeb"/>
        <w:numPr>
          <w:ilvl w:val="0"/>
          <w:numId w:val="13"/>
        </w:numPr>
        <w:spacing w:line="360" w:lineRule="auto"/>
        <w:rPr>
          <w:rFonts w:ascii="Arial" w:hAnsi="Arial" w:cs="Arial"/>
          <w:sz w:val="22"/>
          <w:szCs w:val="22"/>
        </w:rPr>
      </w:pPr>
      <w:r w:rsidRPr="006D47DB">
        <w:rPr>
          <w:rFonts w:ascii="Arial" w:hAnsi="Arial" w:cs="Arial"/>
          <w:sz w:val="22"/>
          <w:szCs w:val="22"/>
        </w:rPr>
        <w:t xml:space="preserve">Foster a culture of </w:t>
      </w:r>
      <w:r w:rsidRPr="006D47DB">
        <w:rPr>
          <w:rFonts w:ascii="Arial" w:hAnsi="Arial" w:cs="Arial"/>
          <w:b/>
          <w:bCs/>
          <w:sz w:val="22"/>
          <w:szCs w:val="22"/>
        </w:rPr>
        <w:t>psychological safety</w:t>
      </w:r>
      <w:r w:rsidRPr="006D47DB">
        <w:rPr>
          <w:rFonts w:ascii="Arial" w:hAnsi="Arial" w:cs="Arial"/>
          <w:sz w:val="22"/>
          <w:szCs w:val="22"/>
        </w:rPr>
        <w:t>, allowing open discussion of challenges.</w:t>
      </w:r>
    </w:p>
    <w:p w14:paraId="791F039D" w14:textId="72AEB0C2" w:rsidR="006D47DB" w:rsidRDefault="006D47DB" w:rsidP="006D47DB">
      <w:pPr>
        <w:pStyle w:val="NormalWeb"/>
        <w:spacing w:line="360" w:lineRule="auto"/>
        <w:ind w:left="360"/>
        <w:rPr>
          <w:rFonts w:ascii="Arial" w:hAnsi="Arial" w:cs="Arial"/>
          <w:sz w:val="22"/>
          <w:szCs w:val="22"/>
        </w:rPr>
      </w:pPr>
      <w:r w:rsidRPr="006D47DB">
        <w:rPr>
          <w:rFonts w:ascii="Arial" w:hAnsi="Arial" w:cs="Arial"/>
          <w:sz w:val="22"/>
          <w:szCs w:val="22"/>
        </w:rPr>
        <w:t>Monitoring conflict indicators such as missed deadlines or stakeholder disengagement enables proactive intervention.</w:t>
      </w:r>
    </w:p>
    <w:p w14:paraId="5BC1FA02" w14:textId="77777777" w:rsidR="008A4DAC" w:rsidRPr="008A4DAC" w:rsidRDefault="008A4DAC" w:rsidP="008A4DAC">
      <w:pPr>
        <w:pStyle w:val="NormalWeb"/>
        <w:spacing w:line="360" w:lineRule="auto"/>
        <w:ind w:left="357"/>
        <w:rPr>
          <w:rFonts w:ascii="Arial" w:hAnsi="Arial" w:cs="Arial"/>
          <w:b/>
          <w:bCs/>
          <w:i/>
          <w:iCs/>
          <w:sz w:val="22"/>
          <w:szCs w:val="22"/>
        </w:rPr>
      </w:pPr>
      <w:r w:rsidRPr="008A4DAC">
        <w:rPr>
          <w:rFonts w:ascii="Arial" w:hAnsi="Arial" w:cs="Arial"/>
          <w:b/>
          <w:bCs/>
          <w:i/>
          <w:iCs/>
          <w:sz w:val="22"/>
          <w:szCs w:val="22"/>
        </w:rPr>
        <w:t>Evaluation Methods</w:t>
      </w:r>
    </w:p>
    <w:p w14:paraId="60FE93FC" w14:textId="77777777" w:rsidR="00827B5C" w:rsidRDefault="008A4DAC" w:rsidP="00827B5C">
      <w:pPr>
        <w:pStyle w:val="NormalWeb"/>
        <w:spacing w:line="360" w:lineRule="auto"/>
        <w:ind w:left="357"/>
        <w:rPr>
          <w:rFonts w:ascii="Arial" w:hAnsi="Arial" w:cs="Arial"/>
          <w:sz w:val="22"/>
          <w:szCs w:val="22"/>
        </w:rPr>
      </w:pPr>
      <w:r w:rsidRPr="008A4DAC">
        <w:rPr>
          <w:rFonts w:ascii="Arial" w:hAnsi="Arial" w:cs="Arial"/>
          <w:sz w:val="22"/>
          <w:szCs w:val="22"/>
        </w:rPr>
        <w:t>Fitbit can use surveys, feedback sessions, and stakeholder satisfaction indices to assess engagement effectiveness. Metrics such as project timelines, regulatory compliance rate, and stakeholder satisfaction should be tracked and reviewed post-launch.</w:t>
      </w:r>
    </w:p>
    <w:p w14:paraId="6E00F133" w14:textId="45336D8D" w:rsidR="00C2779C" w:rsidRDefault="00827B5C" w:rsidP="00827B5C">
      <w:pPr>
        <w:pStyle w:val="NormalWeb"/>
        <w:spacing w:line="360" w:lineRule="auto"/>
        <w:rPr>
          <w:rFonts w:ascii="Arial" w:hAnsi="Arial" w:cs="Arial"/>
          <w:b/>
          <w:bCs/>
          <w:sz w:val="28"/>
          <w:szCs w:val="28"/>
        </w:rPr>
      </w:pPr>
      <w:r w:rsidRPr="00827B5C">
        <w:rPr>
          <w:rFonts w:ascii="Arial" w:hAnsi="Arial" w:cs="Arial"/>
          <w:b/>
          <w:bCs/>
          <w:sz w:val="28"/>
          <w:szCs w:val="28"/>
        </w:rPr>
        <w:lastRenderedPageBreak/>
        <w:t>Evaluation of Stakeholder Engagement Impact and Recommendations</w:t>
      </w:r>
    </w:p>
    <w:p w14:paraId="3B63A10A" w14:textId="6F46715D" w:rsidR="00AC6C98" w:rsidRDefault="00AC6C98" w:rsidP="000C1CF7">
      <w:pPr>
        <w:pStyle w:val="NormalWeb"/>
        <w:spacing w:line="360" w:lineRule="auto"/>
        <w:rPr>
          <w:rFonts w:ascii="Arial" w:hAnsi="Arial" w:cs="Arial"/>
          <w:sz w:val="22"/>
          <w:szCs w:val="22"/>
        </w:rPr>
      </w:pPr>
      <w:r w:rsidRPr="00AC6C98">
        <w:rPr>
          <w:rFonts w:ascii="Arial" w:hAnsi="Arial" w:cs="Arial"/>
          <w:sz w:val="22"/>
          <w:szCs w:val="22"/>
        </w:rPr>
        <w:t xml:space="preserve">A key component of Fitbit's strategic operations is stakeholder </w:t>
      </w:r>
      <w:r w:rsidRPr="000C1CF7">
        <w:rPr>
          <w:rFonts w:ascii="Arial" w:hAnsi="Arial" w:cs="Arial"/>
          <w:sz w:val="22"/>
          <w:szCs w:val="22"/>
        </w:rPr>
        <w:t>engage</w:t>
      </w:r>
      <w:r w:rsidR="000C1CF7" w:rsidRPr="000C1CF7">
        <w:rPr>
          <w:rFonts w:ascii="Arial" w:hAnsi="Arial" w:cs="Arial"/>
          <w:sz w:val="22"/>
          <w:szCs w:val="22"/>
        </w:rPr>
        <w:t>ment</w:t>
      </w:r>
      <w:r w:rsidRPr="00AC6C98">
        <w:rPr>
          <w:rFonts w:ascii="Arial" w:hAnsi="Arial" w:cs="Arial"/>
          <w:sz w:val="22"/>
          <w:szCs w:val="22"/>
        </w:rPr>
        <w:t xml:space="preserve">, which has an impact on the company's innovation, reputation, and market positioning. The success of the business is greatly impacted by interactions with several stakeholders, including suppliers, consumers, workers, investors, and regulators. </w:t>
      </w:r>
      <w:r w:rsidRPr="00AC6C98">
        <w:rPr>
          <w:rFonts w:ascii="Arial" w:hAnsi="Arial" w:cs="Arial"/>
          <w:sz w:val="22"/>
          <w:szCs w:val="22"/>
        </w:rPr>
        <w:br/>
        <w:t xml:space="preserve">Fitbit's product development heavily relies on user feedback. Fitbit </w:t>
      </w:r>
      <w:r w:rsidR="00823861" w:rsidRPr="00AC6C98">
        <w:rPr>
          <w:rFonts w:ascii="Arial" w:hAnsi="Arial" w:cs="Arial"/>
          <w:sz w:val="22"/>
          <w:szCs w:val="22"/>
        </w:rPr>
        <w:t>can</w:t>
      </w:r>
      <w:r w:rsidRPr="00AC6C98">
        <w:rPr>
          <w:rFonts w:ascii="Arial" w:hAnsi="Arial" w:cs="Arial"/>
          <w:sz w:val="22"/>
          <w:szCs w:val="22"/>
        </w:rPr>
        <w:t xml:space="preserve"> improve consumer satisfaction and loyalty by customising its services through active interaction through surveys, reviews, and social media. Strong user communities are created by this dynamic interaction, which increases brand loyalty and promotes organic growth. Unresolved consumer complaints, however, can damage a brand's reputation, underscoring the necessity of ongoing communication channel improvement.</w:t>
      </w:r>
    </w:p>
    <w:p w14:paraId="176AE2BA" w14:textId="77777777" w:rsidR="00071C8A" w:rsidRDefault="00071C8A" w:rsidP="00071C8A">
      <w:pPr>
        <w:pStyle w:val="NormalWeb"/>
        <w:spacing w:line="360" w:lineRule="auto"/>
        <w:rPr>
          <w:rFonts w:ascii="Arial" w:hAnsi="Arial" w:cs="Arial"/>
          <w:sz w:val="22"/>
          <w:szCs w:val="22"/>
        </w:rPr>
      </w:pPr>
      <w:r w:rsidRPr="00071C8A">
        <w:rPr>
          <w:rFonts w:ascii="Arial" w:hAnsi="Arial" w:cs="Arial"/>
          <w:sz w:val="22"/>
          <w:szCs w:val="22"/>
        </w:rPr>
        <w:t xml:space="preserve">Employees are important stakeholders whose involvement affects operational effectiveness and creativity. Fitbit's inclusive culture and internal communication foster productivity and motivation, which support ongoing innovation. However, a lack of openness or inadequate acknowledgement might cause disengagement, which can have an impact on </w:t>
      </w:r>
      <w:r w:rsidRPr="00071C8A">
        <w:rPr>
          <w:rFonts w:ascii="Arial" w:hAnsi="Arial" w:cs="Arial"/>
          <w:sz w:val="22"/>
          <w:szCs w:val="22"/>
        </w:rPr>
        <w:t>performance</w:t>
      </w:r>
      <w:r w:rsidRPr="00071C8A">
        <w:rPr>
          <w:rFonts w:ascii="Arial" w:hAnsi="Arial" w:cs="Arial"/>
          <w:sz w:val="22"/>
          <w:szCs w:val="22"/>
        </w:rPr>
        <w:t>.</w:t>
      </w:r>
    </w:p>
    <w:p w14:paraId="1F0C7039" w14:textId="4F414E6F" w:rsidR="00071C8A" w:rsidRDefault="00071C8A" w:rsidP="00071C8A">
      <w:pPr>
        <w:pStyle w:val="NormalWeb"/>
        <w:spacing w:line="360" w:lineRule="auto"/>
        <w:rPr>
          <w:rFonts w:ascii="Arial" w:hAnsi="Arial" w:cs="Arial"/>
          <w:sz w:val="22"/>
          <w:szCs w:val="22"/>
        </w:rPr>
      </w:pPr>
      <w:r w:rsidRPr="00071C8A">
        <w:rPr>
          <w:rFonts w:ascii="Arial" w:hAnsi="Arial" w:cs="Arial"/>
          <w:sz w:val="22"/>
          <w:szCs w:val="22"/>
        </w:rPr>
        <w:t>Through their investment choices, shareholders and investors have an impact on Fitbit's strategic direction. To keep their trust, transparent reporting and regular performance updates are crucial. Additionally, fresh investors can be drawn in via active involvement, which will promote growth and expansion.</w:t>
      </w:r>
    </w:p>
    <w:p w14:paraId="5FBEBE53" w14:textId="2418D749" w:rsidR="00A41D85" w:rsidRPr="00AC6C98" w:rsidRDefault="004F2009" w:rsidP="00071C8A">
      <w:pPr>
        <w:pStyle w:val="NormalWeb"/>
        <w:spacing w:line="360" w:lineRule="auto"/>
        <w:rPr>
          <w:rFonts w:ascii="Arial" w:hAnsi="Arial" w:cs="Arial"/>
          <w:sz w:val="22"/>
          <w:szCs w:val="22"/>
        </w:rPr>
      </w:pPr>
      <w:r w:rsidRPr="004F2009">
        <w:rPr>
          <w:rFonts w:ascii="Arial" w:hAnsi="Arial" w:cs="Arial"/>
          <w:sz w:val="22"/>
          <w:szCs w:val="22"/>
        </w:rPr>
        <w:t xml:space="preserve">Regulatory agencies make ensuring that data privacy and health regulations are followed. By actively interacting with regulators, Fitbit reduces legal risks and builds partners' and customers' trust. However, non-compliance may result in fines and harm to one's reputation. </w:t>
      </w:r>
      <w:r w:rsidRPr="004F2009">
        <w:rPr>
          <w:rFonts w:ascii="Arial" w:hAnsi="Arial" w:cs="Arial"/>
          <w:sz w:val="22"/>
          <w:szCs w:val="22"/>
        </w:rPr>
        <w:br/>
        <w:t>Innovation and production processes depend heavily on suppliers. Supply chain resilience is made possible by solid connections and open communication, which is essential during disruptions.</w:t>
      </w:r>
    </w:p>
    <w:p w14:paraId="37E7D4E8" w14:textId="22A77B5E" w:rsidR="00CE6DC5" w:rsidRDefault="00CE6DC5" w:rsidP="005A6133">
      <w:pPr>
        <w:pStyle w:val="NormalWeb"/>
        <w:spacing w:line="360" w:lineRule="auto"/>
        <w:jc w:val="center"/>
        <w:rPr>
          <w:rFonts w:ascii="Arial" w:hAnsi="Arial" w:cs="Arial"/>
          <w:b/>
          <w:bCs/>
          <w:i/>
          <w:iCs/>
          <w:sz w:val="22"/>
          <w:szCs w:val="22"/>
        </w:rPr>
      </w:pPr>
      <w:r w:rsidRPr="00CE6DC5">
        <w:rPr>
          <w:rFonts w:ascii="Arial" w:hAnsi="Arial" w:cs="Arial"/>
          <w:b/>
          <w:bCs/>
          <w:i/>
          <w:iCs/>
          <w:sz w:val="22"/>
          <w:szCs w:val="22"/>
        </w:rPr>
        <w:t>Evaluation Metrics</w:t>
      </w:r>
    </w:p>
    <w:p w14:paraId="36721AFB" w14:textId="51031136" w:rsidR="00CE6DC5" w:rsidRPr="00985154" w:rsidRDefault="00526FCD" w:rsidP="00CE6DC5">
      <w:pPr>
        <w:pStyle w:val="NormalWeb"/>
        <w:spacing w:line="360" w:lineRule="auto"/>
        <w:rPr>
          <w:rFonts w:ascii="Arial" w:hAnsi="Arial" w:cs="Arial"/>
          <w:b/>
          <w:bCs/>
          <w:i/>
          <w:iCs/>
          <w:sz w:val="22"/>
          <w:szCs w:val="22"/>
        </w:rPr>
      </w:pPr>
      <w:r>
        <w:rPr>
          <w:rFonts w:ascii="Arial" w:hAnsi="Arial" w:cs="Arial"/>
          <w:b/>
          <w:bCs/>
          <w:i/>
          <w:iCs/>
          <w:noProof/>
          <w:sz w:val="22"/>
          <w:szCs w:val="22"/>
          <w14:ligatures w14:val="standardContextual"/>
        </w:rPr>
        <w:lastRenderedPageBreak/>
        <w:drawing>
          <wp:inline distT="0" distB="0" distL="0" distR="0" wp14:anchorId="7DB83887" wp14:editId="7749D1B4">
            <wp:extent cx="5882640" cy="3497580"/>
            <wp:effectExtent l="57150" t="57150" r="41910" b="45720"/>
            <wp:docPr id="12701832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6235E43" w14:textId="6DDBD76E" w:rsidR="00985154" w:rsidRDefault="005A6133" w:rsidP="005A6133">
      <w:pPr>
        <w:pStyle w:val="NormalWeb"/>
        <w:spacing w:line="360" w:lineRule="auto"/>
        <w:jc w:val="right"/>
        <w:rPr>
          <w:rFonts w:ascii="Arial" w:hAnsi="Arial" w:cs="Arial"/>
          <w:b/>
          <w:bCs/>
          <w:i/>
          <w:iCs/>
          <w:sz w:val="22"/>
          <w:szCs w:val="22"/>
        </w:rPr>
      </w:pPr>
      <w:r w:rsidRPr="005A6133">
        <w:rPr>
          <w:rFonts w:ascii="Arial" w:hAnsi="Arial" w:cs="Arial"/>
          <w:b/>
          <w:bCs/>
          <w:i/>
          <w:iCs/>
          <w:sz w:val="22"/>
          <w:szCs w:val="22"/>
        </w:rPr>
        <w:t>Shape 2</w:t>
      </w:r>
    </w:p>
    <w:p w14:paraId="38AFE954" w14:textId="77777777" w:rsidR="00F36BF8" w:rsidRDefault="00F36BF8" w:rsidP="007B4E6C">
      <w:pPr>
        <w:pStyle w:val="NormalWeb"/>
        <w:spacing w:line="360" w:lineRule="auto"/>
        <w:rPr>
          <w:rFonts w:ascii="Arial" w:hAnsi="Arial" w:cs="Arial"/>
          <w:b/>
          <w:bCs/>
          <w:i/>
          <w:iCs/>
          <w:sz w:val="22"/>
          <w:szCs w:val="22"/>
        </w:rPr>
      </w:pPr>
    </w:p>
    <w:p w14:paraId="6B8573A5" w14:textId="58FE8E8F" w:rsidR="007B4E6C" w:rsidRPr="007B4E6C" w:rsidRDefault="007B4E6C" w:rsidP="007B4E6C">
      <w:pPr>
        <w:pStyle w:val="NormalWeb"/>
        <w:spacing w:line="360" w:lineRule="auto"/>
        <w:rPr>
          <w:rFonts w:ascii="Arial" w:hAnsi="Arial" w:cs="Arial"/>
          <w:b/>
          <w:bCs/>
          <w:i/>
          <w:iCs/>
          <w:sz w:val="22"/>
          <w:szCs w:val="22"/>
        </w:rPr>
      </w:pPr>
      <w:r w:rsidRPr="007B4E6C">
        <w:rPr>
          <w:rFonts w:ascii="Arial" w:hAnsi="Arial" w:cs="Arial"/>
          <w:b/>
          <w:bCs/>
          <w:i/>
          <w:iCs/>
          <w:sz w:val="22"/>
          <w:szCs w:val="22"/>
        </w:rPr>
        <w:t>Recommendations</w:t>
      </w:r>
    </w:p>
    <w:p w14:paraId="54AB751D"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Adopt Continuous Engagement: Maintain stakeholder dialogue beyond launch to support updates and product iterations.</w:t>
      </w:r>
    </w:p>
    <w:p w14:paraId="78D7C793"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Invest in Digital Collaboration Tools: Platforms like Microsoft Teams and Slack enhance transparency.</w:t>
      </w:r>
    </w:p>
    <w:p w14:paraId="1A697E2D"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Strengthen Ethical Governance: Ensure GDPR compliance and ethical use of health data.</w:t>
      </w:r>
    </w:p>
    <w:p w14:paraId="42E369B1"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Enhance Training: Equip employees with communication and conflict resolution skills.</w:t>
      </w:r>
    </w:p>
    <w:p w14:paraId="11D6FBDE" w14:textId="77777777"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Co-create Value: Involve consumers and healthcare professionals in product improvement cycles.</w:t>
      </w:r>
    </w:p>
    <w:p w14:paraId="1490DAA2" w14:textId="1BCC90AD" w:rsidR="007B4E6C" w:rsidRDefault="007B4E6C" w:rsidP="007B4E6C">
      <w:pPr>
        <w:pStyle w:val="NormalWeb"/>
        <w:numPr>
          <w:ilvl w:val="0"/>
          <w:numId w:val="15"/>
        </w:numPr>
        <w:spacing w:line="360" w:lineRule="auto"/>
        <w:rPr>
          <w:rFonts w:ascii="Arial" w:hAnsi="Arial" w:cs="Arial"/>
          <w:sz w:val="22"/>
          <w:szCs w:val="22"/>
        </w:rPr>
      </w:pPr>
      <w:r w:rsidRPr="007B4E6C">
        <w:rPr>
          <w:rFonts w:ascii="Arial" w:hAnsi="Arial" w:cs="Arial"/>
          <w:sz w:val="22"/>
          <w:szCs w:val="22"/>
        </w:rPr>
        <w:t>Monitor Post-Launch Feedback: Use analytics and customer feedback loops to inform future designs.</w:t>
      </w:r>
    </w:p>
    <w:p w14:paraId="01A57106" w14:textId="712BA171" w:rsidR="00A248CB" w:rsidRPr="00A248CB" w:rsidRDefault="00A248CB" w:rsidP="00235EB3">
      <w:pPr>
        <w:pStyle w:val="NormalWeb"/>
        <w:numPr>
          <w:ilvl w:val="0"/>
          <w:numId w:val="15"/>
        </w:numPr>
        <w:spacing w:line="360" w:lineRule="auto"/>
        <w:ind w:left="714" w:hanging="357"/>
        <w:rPr>
          <w:rFonts w:ascii="Arial" w:hAnsi="Arial" w:cs="Arial"/>
          <w:sz w:val="22"/>
          <w:szCs w:val="22"/>
        </w:rPr>
      </w:pPr>
      <w:r w:rsidRPr="00A248CB">
        <w:rPr>
          <w:rStyle w:val="Strong"/>
          <w:rFonts w:ascii="Arial" w:eastAsiaTheme="majorEastAsia" w:hAnsi="Arial" w:cs="Arial"/>
          <w:b w:val="0"/>
          <w:bCs w:val="0"/>
          <w:sz w:val="22"/>
          <w:szCs w:val="22"/>
        </w:rPr>
        <w:t>Invest in conflict resolution training for project managers.</w:t>
      </w:r>
    </w:p>
    <w:p w14:paraId="42EDAAED" w14:textId="0C98E8A0" w:rsidR="00A248CB" w:rsidRPr="00A248CB" w:rsidRDefault="00A248CB" w:rsidP="00235EB3">
      <w:pPr>
        <w:pStyle w:val="NormalWeb"/>
        <w:numPr>
          <w:ilvl w:val="0"/>
          <w:numId w:val="15"/>
        </w:numPr>
        <w:spacing w:line="360" w:lineRule="auto"/>
        <w:ind w:left="714" w:hanging="357"/>
        <w:rPr>
          <w:rFonts w:ascii="Arial" w:hAnsi="Arial" w:cs="Arial"/>
          <w:sz w:val="22"/>
          <w:szCs w:val="22"/>
        </w:rPr>
      </w:pPr>
      <w:r w:rsidRPr="00A248CB">
        <w:rPr>
          <w:rFonts w:ascii="Arial" w:hAnsi="Arial" w:cs="Arial"/>
          <w:sz w:val="22"/>
          <w:szCs w:val="22"/>
        </w:rPr>
        <w:t xml:space="preserve"> </w:t>
      </w:r>
      <w:r w:rsidRPr="00A248CB">
        <w:rPr>
          <w:rStyle w:val="Strong"/>
          <w:rFonts w:ascii="Arial" w:eastAsiaTheme="majorEastAsia" w:hAnsi="Arial" w:cs="Arial"/>
          <w:b w:val="0"/>
          <w:bCs w:val="0"/>
          <w:sz w:val="22"/>
          <w:szCs w:val="22"/>
        </w:rPr>
        <w:t>Establish strategic partnerships with UK health institutions.</w:t>
      </w:r>
    </w:p>
    <w:p w14:paraId="0E56B37B" w14:textId="77777777" w:rsidR="00A248CB" w:rsidRPr="007B4E6C" w:rsidRDefault="00A248CB" w:rsidP="00A248CB">
      <w:pPr>
        <w:pStyle w:val="NormalWeb"/>
        <w:spacing w:line="360" w:lineRule="auto"/>
        <w:ind w:left="720"/>
        <w:rPr>
          <w:rFonts w:ascii="Arial" w:hAnsi="Arial" w:cs="Arial"/>
          <w:sz w:val="22"/>
          <w:szCs w:val="22"/>
        </w:rPr>
      </w:pPr>
    </w:p>
    <w:p w14:paraId="03C2680B" w14:textId="77777777" w:rsidR="00647A19" w:rsidRDefault="00647A19" w:rsidP="00647A19">
      <w:pPr>
        <w:pStyle w:val="NormalWeb"/>
        <w:spacing w:line="360" w:lineRule="auto"/>
        <w:rPr>
          <w:rFonts w:ascii="Arial" w:hAnsi="Arial" w:cs="Arial"/>
          <w:b/>
          <w:bCs/>
          <w:i/>
          <w:iCs/>
          <w:sz w:val="22"/>
          <w:szCs w:val="22"/>
        </w:rPr>
      </w:pPr>
      <w:r w:rsidRPr="00647A19">
        <w:rPr>
          <w:rFonts w:ascii="Arial" w:hAnsi="Arial" w:cs="Arial"/>
          <w:b/>
          <w:bCs/>
          <w:i/>
          <w:iCs/>
          <w:sz w:val="22"/>
          <w:szCs w:val="22"/>
        </w:rPr>
        <w:lastRenderedPageBreak/>
        <w:t xml:space="preserve">Outlook </w:t>
      </w:r>
    </w:p>
    <w:p w14:paraId="05F205B1" w14:textId="61A14AE0" w:rsidR="007B4E6C" w:rsidRDefault="007B4E6C" w:rsidP="00647A19">
      <w:pPr>
        <w:pStyle w:val="NormalWeb"/>
        <w:spacing w:line="360" w:lineRule="auto"/>
        <w:rPr>
          <w:rFonts w:ascii="Arial" w:hAnsi="Arial" w:cs="Arial"/>
          <w:sz w:val="22"/>
          <w:szCs w:val="22"/>
        </w:rPr>
      </w:pPr>
      <w:r w:rsidRPr="00C944E9">
        <w:rPr>
          <w:rFonts w:ascii="Arial" w:hAnsi="Arial" w:cs="Arial"/>
          <w:sz w:val="22"/>
          <w:szCs w:val="22"/>
        </w:rPr>
        <w:t>Stakeholder engagement should evolve into a continuous partnership model, where Fitbit becomes an ecosystem leader collaborating with healthcare institutions and data scientists to improve patient outcomes and health analytics.</w:t>
      </w:r>
    </w:p>
    <w:p w14:paraId="2CBD8913" w14:textId="77777777" w:rsidR="007C52EE" w:rsidRDefault="007C52EE" w:rsidP="007C52EE">
      <w:pPr>
        <w:pStyle w:val="NormalWeb"/>
        <w:spacing w:line="360" w:lineRule="auto"/>
        <w:rPr>
          <w:rFonts w:ascii="Arial" w:hAnsi="Arial" w:cs="Arial"/>
          <w:b/>
          <w:bCs/>
          <w:sz w:val="28"/>
          <w:szCs w:val="28"/>
        </w:rPr>
      </w:pPr>
    </w:p>
    <w:p w14:paraId="052B4028" w14:textId="77777777" w:rsidR="007C52EE" w:rsidRDefault="007C52EE" w:rsidP="007C52EE">
      <w:pPr>
        <w:pStyle w:val="NormalWeb"/>
        <w:spacing w:line="360" w:lineRule="auto"/>
        <w:rPr>
          <w:rFonts w:ascii="Arial" w:hAnsi="Arial" w:cs="Arial"/>
          <w:b/>
          <w:bCs/>
          <w:sz w:val="28"/>
          <w:szCs w:val="28"/>
        </w:rPr>
      </w:pPr>
    </w:p>
    <w:p w14:paraId="71DE2666" w14:textId="77777777" w:rsidR="007C52EE" w:rsidRDefault="007C52EE" w:rsidP="007C52EE">
      <w:pPr>
        <w:pStyle w:val="NormalWeb"/>
        <w:spacing w:line="360" w:lineRule="auto"/>
        <w:rPr>
          <w:rFonts w:ascii="Arial" w:hAnsi="Arial" w:cs="Arial"/>
          <w:b/>
          <w:bCs/>
          <w:sz w:val="28"/>
          <w:szCs w:val="28"/>
        </w:rPr>
      </w:pPr>
    </w:p>
    <w:p w14:paraId="6A28D6AC" w14:textId="77777777" w:rsidR="007C52EE" w:rsidRDefault="007C52EE" w:rsidP="007C52EE">
      <w:pPr>
        <w:pStyle w:val="NormalWeb"/>
        <w:spacing w:line="360" w:lineRule="auto"/>
        <w:rPr>
          <w:rFonts w:ascii="Arial" w:hAnsi="Arial" w:cs="Arial"/>
          <w:b/>
          <w:bCs/>
          <w:sz w:val="28"/>
          <w:szCs w:val="28"/>
        </w:rPr>
      </w:pPr>
    </w:p>
    <w:p w14:paraId="5E962052" w14:textId="77777777" w:rsidR="007C52EE" w:rsidRDefault="007C52EE" w:rsidP="007C52EE">
      <w:pPr>
        <w:pStyle w:val="NormalWeb"/>
        <w:spacing w:line="360" w:lineRule="auto"/>
        <w:rPr>
          <w:rFonts w:ascii="Arial" w:hAnsi="Arial" w:cs="Arial"/>
          <w:b/>
          <w:bCs/>
          <w:sz w:val="28"/>
          <w:szCs w:val="28"/>
        </w:rPr>
      </w:pPr>
    </w:p>
    <w:p w14:paraId="2C5316FC" w14:textId="77777777" w:rsidR="007C52EE" w:rsidRDefault="007C52EE" w:rsidP="007C52EE">
      <w:pPr>
        <w:pStyle w:val="NormalWeb"/>
        <w:spacing w:line="360" w:lineRule="auto"/>
        <w:rPr>
          <w:rFonts w:ascii="Arial" w:hAnsi="Arial" w:cs="Arial"/>
          <w:b/>
          <w:bCs/>
          <w:sz w:val="28"/>
          <w:szCs w:val="28"/>
        </w:rPr>
      </w:pPr>
    </w:p>
    <w:p w14:paraId="0A4D646C" w14:textId="77777777" w:rsidR="007C52EE" w:rsidRDefault="007C52EE" w:rsidP="007C52EE">
      <w:pPr>
        <w:pStyle w:val="NormalWeb"/>
        <w:spacing w:line="360" w:lineRule="auto"/>
        <w:rPr>
          <w:rFonts w:ascii="Arial" w:hAnsi="Arial" w:cs="Arial"/>
          <w:b/>
          <w:bCs/>
          <w:sz w:val="28"/>
          <w:szCs w:val="28"/>
        </w:rPr>
      </w:pPr>
    </w:p>
    <w:p w14:paraId="6B02E63C" w14:textId="77777777" w:rsidR="00A41D85" w:rsidRDefault="00A41D85" w:rsidP="007C52EE">
      <w:pPr>
        <w:pStyle w:val="NormalWeb"/>
        <w:spacing w:line="360" w:lineRule="auto"/>
        <w:rPr>
          <w:rFonts w:ascii="Arial" w:hAnsi="Arial" w:cs="Arial"/>
          <w:b/>
          <w:bCs/>
          <w:sz w:val="28"/>
          <w:szCs w:val="28"/>
        </w:rPr>
      </w:pPr>
    </w:p>
    <w:p w14:paraId="3AA3A73E" w14:textId="43223B79" w:rsidR="007C52EE" w:rsidRPr="007C52EE" w:rsidRDefault="007C52EE" w:rsidP="007C52EE">
      <w:pPr>
        <w:pStyle w:val="NormalWeb"/>
        <w:spacing w:line="360" w:lineRule="auto"/>
        <w:rPr>
          <w:rFonts w:ascii="Arial" w:hAnsi="Arial" w:cs="Arial"/>
          <w:b/>
          <w:bCs/>
          <w:sz w:val="28"/>
          <w:szCs w:val="28"/>
        </w:rPr>
      </w:pPr>
      <w:r w:rsidRPr="007C52EE">
        <w:rPr>
          <w:rFonts w:ascii="Arial" w:hAnsi="Arial" w:cs="Arial"/>
          <w:b/>
          <w:bCs/>
          <w:sz w:val="28"/>
          <w:szCs w:val="28"/>
        </w:rPr>
        <w:t>Conclusion</w:t>
      </w:r>
    </w:p>
    <w:p w14:paraId="0164FB01" w14:textId="77777777" w:rsidR="00464100" w:rsidRP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This report has demonstrated that effective stakeholder engagement is fundamental to the successful launch of Fitbit’s new wearable health device. Fitbit operates within a complex and rapidly evolving environment where competition, regulation, and consumer expectations continue to intensify. Therefore, strategic stakeholder management is essential for reducing uncertainty, ensuring compliance, and enhancing product quality.</w:t>
      </w:r>
    </w:p>
    <w:p w14:paraId="19FDF4E9" w14:textId="77777777" w:rsidR="00464100" w:rsidRP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The stakeholder analysis identified a broad range of internal and external stakeholders, each bringing unique benefits and challenges. By applying structured frameworks such as SWOT, Mendelow’s Matrix, RACI, and the 4C’s model, Fitbit can manage these stakeholders proactively and systematically. Strong communication, coordination, cooperation, and collaboration will help reduce conflict, align objectives, and enhance decision-making.</w:t>
      </w:r>
    </w:p>
    <w:p w14:paraId="3EA9542E" w14:textId="77777777" w:rsidR="00464100" w:rsidRP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 xml:space="preserve">The impact of stakeholder engagement on business performance is significant, influencing financial outcomes, market success, innovation capability, and long-term competitiveness. </w:t>
      </w:r>
      <w:r w:rsidRPr="00464100">
        <w:rPr>
          <w:rFonts w:ascii="Arial" w:hAnsi="Arial" w:cs="Arial"/>
          <w:sz w:val="22"/>
          <w:szCs w:val="22"/>
        </w:rPr>
        <w:lastRenderedPageBreak/>
        <w:t>Through continuous engagement, transparency, and ethical conduct, Fitbit can strengthen stakeholder relationships and ensure the launch meets both strategic objectives and consumer expectations.</w:t>
      </w:r>
    </w:p>
    <w:p w14:paraId="010F3D46" w14:textId="77777777" w:rsidR="00464100" w:rsidRDefault="00464100" w:rsidP="00434B73">
      <w:pPr>
        <w:pStyle w:val="NormalWeb"/>
        <w:spacing w:line="360" w:lineRule="auto"/>
        <w:rPr>
          <w:rFonts w:ascii="Arial" w:hAnsi="Arial" w:cs="Arial"/>
          <w:sz w:val="22"/>
          <w:szCs w:val="22"/>
        </w:rPr>
      </w:pPr>
      <w:r w:rsidRPr="00464100">
        <w:rPr>
          <w:rFonts w:ascii="Arial" w:hAnsi="Arial" w:cs="Arial"/>
          <w:sz w:val="22"/>
          <w:szCs w:val="22"/>
        </w:rPr>
        <w:t>Moving forward, Fitbit should adopt a long-term approach to engagement, embedding stakeholder management into its culture and operational processes. This will not only support the successful launch of the new device but also enhance future innovation and business growth.</w:t>
      </w:r>
    </w:p>
    <w:p w14:paraId="1B5D1140" w14:textId="77777777" w:rsidR="003A3720" w:rsidRDefault="003A3720" w:rsidP="00434B73">
      <w:pPr>
        <w:pStyle w:val="NormalWeb"/>
        <w:spacing w:line="360" w:lineRule="auto"/>
        <w:rPr>
          <w:rFonts w:ascii="Arial" w:hAnsi="Arial" w:cs="Arial"/>
          <w:sz w:val="22"/>
          <w:szCs w:val="22"/>
        </w:rPr>
      </w:pPr>
    </w:p>
    <w:p w14:paraId="23D9B55B" w14:textId="77777777" w:rsidR="003A3720" w:rsidRDefault="003A3720" w:rsidP="00434B73">
      <w:pPr>
        <w:pStyle w:val="NormalWeb"/>
        <w:spacing w:line="360" w:lineRule="auto"/>
        <w:rPr>
          <w:rFonts w:ascii="Arial" w:hAnsi="Arial" w:cs="Arial"/>
          <w:sz w:val="22"/>
          <w:szCs w:val="22"/>
        </w:rPr>
      </w:pPr>
    </w:p>
    <w:p w14:paraId="47E1561F" w14:textId="77777777" w:rsidR="003A3720" w:rsidRDefault="003A3720" w:rsidP="00434B73">
      <w:pPr>
        <w:pStyle w:val="NormalWeb"/>
        <w:spacing w:line="360" w:lineRule="auto"/>
        <w:rPr>
          <w:rFonts w:ascii="Arial" w:hAnsi="Arial" w:cs="Arial"/>
          <w:sz w:val="22"/>
          <w:szCs w:val="22"/>
        </w:rPr>
      </w:pPr>
    </w:p>
    <w:p w14:paraId="01E98684" w14:textId="77777777" w:rsidR="003A3720" w:rsidRDefault="003A3720" w:rsidP="00434B73">
      <w:pPr>
        <w:pStyle w:val="NormalWeb"/>
        <w:spacing w:line="360" w:lineRule="auto"/>
        <w:rPr>
          <w:rFonts w:ascii="Arial" w:hAnsi="Arial" w:cs="Arial"/>
          <w:sz w:val="22"/>
          <w:szCs w:val="22"/>
        </w:rPr>
      </w:pPr>
    </w:p>
    <w:p w14:paraId="28D64543" w14:textId="77777777" w:rsidR="003A3720" w:rsidRDefault="003A3720" w:rsidP="00434B73">
      <w:pPr>
        <w:pStyle w:val="NormalWeb"/>
        <w:spacing w:line="360" w:lineRule="auto"/>
        <w:rPr>
          <w:rFonts w:ascii="Arial" w:hAnsi="Arial" w:cs="Arial"/>
          <w:sz w:val="22"/>
          <w:szCs w:val="22"/>
        </w:rPr>
      </w:pPr>
    </w:p>
    <w:p w14:paraId="0F0035B9" w14:textId="77777777" w:rsidR="003A3720" w:rsidRDefault="003A3720" w:rsidP="00434B73">
      <w:pPr>
        <w:pStyle w:val="NormalWeb"/>
        <w:spacing w:line="360" w:lineRule="auto"/>
        <w:rPr>
          <w:rFonts w:ascii="Arial" w:hAnsi="Arial" w:cs="Arial"/>
          <w:sz w:val="22"/>
          <w:szCs w:val="22"/>
        </w:rPr>
      </w:pPr>
    </w:p>
    <w:p w14:paraId="28FA3102" w14:textId="77777777" w:rsidR="003A3720" w:rsidRDefault="003A3720" w:rsidP="00434B73">
      <w:pPr>
        <w:pStyle w:val="NormalWeb"/>
        <w:spacing w:line="360" w:lineRule="auto"/>
        <w:rPr>
          <w:rFonts w:ascii="Arial" w:hAnsi="Arial" w:cs="Arial"/>
          <w:sz w:val="22"/>
          <w:szCs w:val="22"/>
        </w:rPr>
      </w:pPr>
    </w:p>
    <w:p w14:paraId="57786F4B" w14:textId="6D26687E" w:rsidR="003A3720" w:rsidRDefault="003A3720" w:rsidP="00434B73">
      <w:pPr>
        <w:pStyle w:val="NormalWeb"/>
        <w:spacing w:line="360" w:lineRule="auto"/>
        <w:rPr>
          <w:rFonts w:ascii="Arial" w:hAnsi="Arial" w:cs="Arial"/>
          <w:b/>
          <w:bCs/>
        </w:rPr>
      </w:pPr>
      <w:r w:rsidRPr="003A3720">
        <w:rPr>
          <w:rFonts w:ascii="Arial" w:hAnsi="Arial" w:cs="Arial"/>
          <w:b/>
          <w:bCs/>
        </w:rPr>
        <w:t>References</w:t>
      </w:r>
    </w:p>
    <w:p w14:paraId="30223A31" w14:textId="77777777" w:rsidR="007E5E5F" w:rsidRDefault="007E5E5F" w:rsidP="007E5E5F">
      <w:pPr>
        <w:pStyle w:val="NormalWeb"/>
        <w:numPr>
          <w:ilvl w:val="0"/>
          <w:numId w:val="26"/>
        </w:numPr>
        <w:spacing w:before="0" w:beforeAutospacing="0" w:after="240" w:afterAutospacing="0" w:line="360" w:lineRule="auto"/>
      </w:pPr>
      <w:r>
        <w:t xml:space="preserve">BBC (2023). </w:t>
      </w:r>
      <w:r>
        <w:rPr>
          <w:i/>
          <w:iCs/>
        </w:rPr>
        <w:t>Fitbit Users Raise Data Privacy Concerns after Google acquisition.</w:t>
      </w:r>
      <w:r>
        <w:t xml:space="preserve"> BBC NEWS.</w:t>
      </w:r>
    </w:p>
    <w:p w14:paraId="03D97E5E" w14:textId="77777777" w:rsidR="007E5E5F" w:rsidRDefault="007E5E5F" w:rsidP="007E5E5F">
      <w:pPr>
        <w:pStyle w:val="NormalWeb"/>
        <w:numPr>
          <w:ilvl w:val="0"/>
          <w:numId w:val="26"/>
        </w:numPr>
        <w:spacing w:before="0" w:beforeAutospacing="0" w:after="240" w:afterAutospacing="0" w:line="360" w:lineRule="auto"/>
      </w:pPr>
      <w:r>
        <w:t xml:space="preserve">Botter, C.H. (1982). Project management: a Systems Approach to planning, Scheduling and Controlling. </w:t>
      </w:r>
      <w:r>
        <w:rPr>
          <w:i/>
          <w:iCs/>
        </w:rPr>
        <w:t>European Journal of Operational Research</w:t>
      </w:r>
      <w:r>
        <w:t>, 10(2), p.211.</w:t>
      </w:r>
    </w:p>
    <w:p w14:paraId="2CAA0DA8" w14:textId="77777777" w:rsidR="007E5E5F" w:rsidRDefault="007E5E5F" w:rsidP="007E5E5F">
      <w:pPr>
        <w:pStyle w:val="NormalWeb"/>
        <w:numPr>
          <w:ilvl w:val="0"/>
          <w:numId w:val="26"/>
        </w:numPr>
        <w:spacing w:before="0" w:beforeAutospacing="0" w:after="240" w:afterAutospacing="0" w:line="360" w:lineRule="auto"/>
      </w:pPr>
      <w:r>
        <w:t xml:space="preserve">Bourne, L. (2015). </w:t>
      </w:r>
      <w:r>
        <w:rPr>
          <w:i/>
          <w:iCs/>
        </w:rPr>
        <w:t xml:space="preserve">Stakeholder Relationship Management: </w:t>
      </w:r>
      <w:proofErr w:type="gramStart"/>
      <w:r>
        <w:rPr>
          <w:i/>
          <w:iCs/>
        </w:rPr>
        <w:t>a</w:t>
      </w:r>
      <w:proofErr w:type="gramEnd"/>
      <w:r>
        <w:rPr>
          <w:i/>
          <w:iCs/>
        </w:rPr>
        <w:t xml:space="preserve"> Maturity Model for Organisational Implementation.</w:t>
      </w:r>
      <w:r>
        <w:t xml:space="preserve"> Gower.</w:t>
      </w:r>
    </w:p>
    <w:p w14:paraId="7FD402BA" w14:textId="77777777" w:rsidR="003E418A" w:rsidRDefault="003E418A" w:rsidP="003E418A">
      <w:pPr>
        <w:pStyle w:val="NormalWeb"/>
        <w:numPr>
          <w:ilvl w:val="0"/>
          <w:numId w:val="26"/>
        </w:numPr>
        <w:spacing w:before="0" w:beforeAutospacing="0" w:after="240" w:afterAutospacing="0" w:line="360" w:lineRule="auto"/>
      </w:pPr>
      <w:r>
        <w:t xml:space="preserve">Fisher, R. and Ury, W. (2011). </w:t>
      </w:r>
      <w:r>
        <w:rPr>
          <w:i/>
          <w:iCs/>
        </w:rPr>
        <w:t>Getting to Yes: Negotiating Agreement without Giving In.</w:t>
      </w:r>
      <w:r>
        <w:t xml:space="preserve"> Penguin Books.</w:t>
      </w:r>
    </w:p>
    <w:p w14:paraId="3D9BBE21" w14:textId="16E9D2AD" w:rsidR="003E418A" w:rsidRDefault="003E418A" w:rsidP="003E418A">
      <w:pPr>
        <w:pStyle w:val="NormalWeb"/>
        <w:numPr>
          <w:ilvl w:val="0"/>
          <w:numId w:val="26"/>
        </w:numPr>
        <w:spacing w:before="0" w:beforeAutospacing="0" w:after="240" w:afterAutospacing="0" w:line="360" w:lineRule="auto"/>
      </w:pPr>
      <w:r>
        <w:t xml:space="preserve">Fitbit (2018). </w:t>
      </w:r>
      <w:r>
        <w:rPr>
          <w:i/>
          <w:iCs/>
        </w:rPr>
        <w:t>Fitbit Official Site for Activity Trackers &amp; More</w:t>
      </w:r>
      <w:r>
        <w:t xml:space="preserve">. [online] Fitbit.com. Available at: </w:t>
      </w:r>
      <w:hyperlink r:id="rId21" w:history="1">
        <w:r w:rsidRPr="008214FB">
          <w:rPr>
            <w:rStyle w:val="Hyperlink"/>
          </w:rPr>
          <w:t>https://www.fitbit.com/</w:t>
        </w:r>
      </w:hyperlink>
      <w:r>
        <w:t>.</w:t>
      </w:r>
    </w:p>
    <w:p w14:paraId="25770F56" w14:textId="77777777" w:rsidR="003E418A" w:rsidRDefault="003E418A" w:rsidP="003E418A">
      <w:pPr>
        <w:pStyle w:val="NormalWeb"/>
        <w:numPr>
          <w:ilvl w:val="0"/>
          <w:numId w:val="26"/>
        </w:numPr>
        <w:spacing w:before="0" w:beforeAutospacing="0" w:after="240" w:afterAutospacing="0" w:line="360" w:lineRule="auto"/>
      </w:pPr>
      <w:r>
        <w:lastRenderedPageBreak/>
        <w:t xml:space="preserve">Freeman, R.E. (1984). </w:t>
      </w:r>
      <w:r>
        <w:rPr>
          <w:i/>
          <w:iCs/>
        </w:rPr>
        <w:t>Strategic Management: a Stakeholder Approach.</w:t>
      </w:r>
      <w:r>
        <w:t xml:space="preserve"> Pitman.</w:t>
      </w:r>
    </w:p>
    <w:p w14:paraId="5346C44D" w14:textId="77777777" w:rsidR="0041563E" w:rsidRDefault="0041563E" w:rsidP="0041563E">
      <w:pPr>
        <w:pStyle w:val="NormalWeb"/>
        <w:numPr>
          <w:ilvl w:val="0"/>
          <w:numId w:val="26"/>
        </w:numPr>
        <w:spacing w:before="0" w:beforeAutospacing="0" w:after="240" w:afterAutospacing="0" w:line="360" w:lineRule="auto"/>
      </w:pPr>
      <w:r>
        <w:t xml:space="preserve">Friedman, A. and Miles, S. (2006). </w:t>
      </w:r>
      <w:r>
        <w:rPr>
          <w:i/>
          <w:iCs/>
        </w:rPr>
        <w:t>Stakeholders: Theory and Practice.</w:t>
      </w:r>
      <w:r>
        <w:t xml:space="preserve"> Oxford University Press.</w:t>
      </w:r>
    </w:p>
    <w:p w14:paraId="21528AE6" w14:textId="2036F89A" w:rsidR="0041563E" w:rsidRDefault="0041563E" w:rsidP="0041563E">
      <w:pPr>
        <w:pStyle w:val="NormalWeb"/>
        <w:numPr>
          <w:ilvl w:val="0"/>
          <w:numId w:val="26"/>
        </w:numPr>
        <w:spacing w:before="0" w:beforeAutospacing="0" w:after="240" w:afterAutospacing="0" w:line="360" w:lineRule="auto"/>
      </w:pPr>
      <w:r>
        <w:t xml:space="preserve">Harrison, J.S. and Wicks, A.C. (2013). Stakeholder Theory, Value, and Firm </w:t>
      </w:r>
      <w:r>
        <w:t>Performance.</w:t>
      </w:r>
      <w:r>
        <w:t xml:space="preserve"> </w:t>
      </w:r>
      <w:r>
        <w:rPr>
          <w:i/>
          <w:iCs/>
        </w:rPr>
        <w:t>Business Ethics Quarterly,</w:t>
      </w:r>
      <w:r>
        <w:t xml:space="preserve"> 23(1), pp.97–124.</w:t>
      </w:r>
    </w:p>
    <w:p w14:paraId="222700FC" w14:textId="77777777" w:rsidR="0041563E" w:rsidRDefault="0041563E" w:rsidP="0041563E">
      <w:pPr>
        <w:pStyle w:val="NormalWeb"/>
        <w:numPr>
          <w:ilvl w:val="0"/>
          <w:numId w:val="26"/>
        </w:numPr>
        <w:spacing w:before="0" w:beforeAutospacing="0" w:after="240" w:afterAutospacing="0" w:line="360" w:lineRule="auto"/>
      </w:pPr>
      <w:r>
        <w:t xml:space="preserve">Johnson, G., Whittington, R. and </w:t>
      </w:r>
      <w:proofErr w:type="spellStart"/>
      <w:r>
        <w:t>Schole</w:t>
      </w:r>
      <w:proofErr w:type="spellEnd"/>
      <w:r>
        <w:t xml:space="preserve">, K. (2017). </w:t>
      </w:r>
      <w:r>
        <w:rPr>
          <w:i/>
          <w:iCs/>
        </w:rPr>
        <w:t>Exploring Corporate Strategy.</w:t>
      </w:r>
      <w:r>
        <w:t xml:space="preserve"> 11th ed. Pearson Education.</w:t>
      </w:r>
    </w:p>
    <w:p w14:paraId="0A205F30" w14:textId="2F2D4874" w:rsidR="00125C88" w:rsidRDefault="00125C88" w:rsidP="00125C88">
      <w:pPr>
        <w:pStyle w:val="NormalWeb"/>
        <w:numPr>
          <w:ilvl w:val="0"/>
          <w:numId w:val="26"/>
        </w:numPr>
        <w:spacing w:before="0" w:beforeAutospacing="0" w:after="240" w:afterAutospacing="0" w:line="360" w:lineRule="auto"/>
      </w:pPr>
      <w:r>
        <w:t xml:space="preserve">Mendelow, A. (1991). </w:t>
      </w:r>
      <w:r>
        <w:rPr>
          <w:i/>
          <w:iCs/>
        </w:rPr>
        <w:t xml:space="preserve">Environmental Scanning: </w:t>
      </w:r>
      <w:r>
        <w:rPr>
          <w:i/>
          <w:iCs/>
        </w:rPr>
        <w:t>The</w:t>
      </w:r>
      <w:r>
        <w:rPr>
          <w:i/>
          <w:iCs/>
        </w:rPr>
        <w:t xml:space="preserve"> Impact of the Stakeholder Concept.</w:t>
      </w:r>
      <w:r>
        <w:t xml:space="preserve"> ICIS Proceedings.</w:t>
      </w:r>
    </w:p>
    <w:p w14:paraId="6BE5E7D7" w14:textId="77777777" w:rsidR="00125C88" w:rsidRDefault="00125C88" w:rsidP="00125C88">
      <w:pPr>
        <w:pStyle w:val="NormalWeb"/>
        <w:numPr>
          <w:ilvl w:val="0"/>
          <w:numId w:val="26"/>
        </w:numPr>
        <w:spacing w:before="0" w:beforeAutospacing="0" w:after="240" w:afterAutospacing="0" w:line="360" w:lineRule="auto"/>
      </w:pPr>
      <w:r>
        <w:t xml:space="preserve">NHS Digital (2023). </w:t>
      </w:r>
      <w:r>
        <w:rPr>
          <w:i/>
          <w:iCs/>
        </w:rPr>
        <w:t>Digital Health and Wearable Technology Initiatives.</w:t>
      </w:r>
      <w:r>
        <w:t xml:space="preserve"> NHS UK.</w:t>
      </w:r>
    </w:p>
    <w:p w14:paraId="0B1D79BD" w14:textId="77777777" w:rsidR="00125C88" w:rsidRDefault="00125C88" w:rsidP="00125C88">
      <w:pPr>
        <w:pStyle w:val="NormalWeb"/>
        <w:numPr>
          <w:ilvl w:val="0"/>
          <w:numId w:val="26"/>
        </w:numPr>
        <w:spacing w:before="0" w:beforeAutospacing="0" w:after="240" w:afterAutospacing="0" w:line="360" w:lineRule="auto"/>
      </w:pPr>
      <w:r>
        <w:t xml:space="preserve">PMBOK (2021). </w:t>
      </w:r>
      <w:r>
        <w:rPr>
          <w:i/>
          <w:iCs/>
        </w:rPr>
        <w:t>A Guide to the Project Management Body of Knowledge.</w:t>
      </w:r>
      <w:r>
        <w:t xml:space="preserve"> 7th ed. Project Management Institute.</w:t>
      </w:r>
    </w:p>
    <w:p w14:paraId="44948B27" w14:textId="33CA7014" w:rsidR="00125C88" w:rsidRDefault="00125C88" w:rsidP="00125C88">
      <w:pPr>
        <w:pStyle w:val="NormalWeb"/>
        <w:numPr>
          <w:ilvl w:val="0"/>
          <w:numId w:val="26"/>
        </w:numPr>
        <w:spacing w:before="0" w:beforeAutospacing="0" w:after="240" w:afterAutospacing="0" w:line="360" w:lineRule="auto"/>
      </w:pPr>
      <w:r>
        <w:t xml:space="preserve">PMI (2021). </w:t>
      </w:r>
      <w:r>
        <w:rPr>
          <w:i/>
          <w:iCs/>
        </w:rPr>
        <w:t>Stakeholder Engagement Guidelines.</w:t>
      </w:r>
      <w:r>
        <w:t xml:space="preserve"> </w:t>
      </w:r>
      <w:r>
        <w:t>Pr</w:t>
      </w:r>
      <w:r>
        <w:t>oject Management Institute.</w:t>
      </w:r>
    </w:p>
    <w:p w14:paraId="3076AADC" w14:textId="77777777" w:rsidR="00BC416C" w:rsidRDefault="00BC416C" w:rsidP="00BC416C">
      <w:pPr>
        <w:pStyle w:val="NormalWeb"/>
        <w:numPr>
          <w:ilvl w:val="0"/>
          <w:numId w:val="26"/>
        </w:numPr>
        <w:spacing w:before="0" w:beforeAutospacing="0" w:after="240" w:afterAutospacing="0" w:line="360" w:lineRule="auto"/>
      </w:pPr>
      <w:r>
        <w:t xml:space="preserve">Statista (2024). </w:t>
      </w:r>
      <w:r>
        <w:rPr>
          <w:i/>
          <w:iCs/>
        </w:rPr>
        <w:t>Wearable Technology Market Share in the UK.</w:t>
      </w:r>
      <w:r>
        <w:t xml:space="preserve"> Statista.com.</w:t>
      </w:r>
    </w:p>
    <w:p w14:paraId="04E53C52" w14:textId="77777777" w:rsidR="00BC416C" w:rsidRDefault="00BC416C" w:rsidP="00BC416C">
      <w:pPr>
        <w:pStyle w:val="NormalWeb"/>
        <w:numPr>
          <w:ilvl w:val="0"/>
          <w:numId w:val="26"/>
        </w:numPr>
        <w:spacing w:before="0" w:beforeAutospacing="0" w:after="240" w:afterAutospacing="0" w:line="360" w:lineRule="auto"/>
      </w:pPr>
      <w:r>
        <w:t xml:space="preserve">Turner, J.R. (2020). </w:t>
      </w:r>
      <w:r>
        <w:rPr>
          <w:i/>
          <w:iCs/>
        </w:rPr>
        <w:t>Handbook of Project Management.</w:t>
      </w:r>
      <w:r>
        <w:t xml:space="preserve"> Routledge.</w:t>
      </w:r>
    </w:p>
    <w:p w14:paraId="3F7CE707" w14:textId="5567E9D7" w:rsidR="00BC416C" w:rsidRDefault="00BC416C" w:rsidP="00BC416C">
      <w:pPr>
        <w:pStyle w:val="NormalWeb"/>
        <w:numPr>
          <w:ilvl w:val="0"/>
          <w:numId w:val="26"/>
        </w:numPr>
        <w:spacing w:before="0" w:beforeAutospacing="0" w:after="240" w:afterAutospacing="0" w:line="360" w:lineRule="auto"/>
      </w:pPr>
      <w:r>
        <w:t xml:space="preserve">Yang, Y., Yu, S., Hao, Y., Xu, X. and Liu, H. (2017). The SWOT Analysis of the Wearable Devices in Smart Health Applications. </w:t>
      </w:r>
      <w:r>
        <w:rPr>
          <w:i/>
          <w:iCs/>
        </w:rPr>
        <w:t>Smart Health</w:t>
      </w:r>
      <w:r>
        <w:t xml:space="preserve">, 6(4), pp.3–8. </w:t>
      </w:r>
      <w:proofErr w:type="spellStart"/>
      <w:r>
        <w:t>doi</w:t>
      </w:r>
      <w:proofErr w:type="spellEnd"/>
      <w:r>
        <w:t xml:space="preserve">: </w:t>
      </w:r>
      <w:hyperlink r:id="rId22" w:history="1">
        <w:r w:rsidRPr="008214FB">
          <w:rPr>
            <w:rStyle w:val="Hyperlink"/>
          </w:rPr>
          <w:t>https://doi.org/10.1007/978-3-319-59858-1_1</w:t>
        </w:r>
      </w:hyperlink>
      <w:r>
        <w:t>.</w:t>
      </w:r>
    </w:p>
    <w:p w14:paraId="79F0E915" w14:textId="49F5F9AD" w:rsidR="003A3720" w:rsidRPr="00464100" w:rsidRDefault="00007F48" w:rsidP="00007F48">
      <w:pPr>
        <w:pStyle w:val="NormalWeb"/>
        <w:numPr>
          <w:ilvl w:val="0"/>
          <w:numId w:val="26"/>
        </w:numPr>
        <w:spacing w:before="0" w:beforeAutospacing="0" w:after="240" w:afterAutospacing="0" w:line="360" w:lineRule="auto"/>
      </w:pPr>
      <w:r>
        <w:t xml:space="preserve">Zaichenko, M. (2024). </w:t>
      </w:r>
      <w:r>
        <w:rPr>
          <w:i/>
          <w:iCs/>
        </w:rPr>
        <w:t xml:space="preserve">Internal and External Stakeholders in IT | Mad </w:t>
      </w:r>
      <w:proofErr w:type="spellStart"/>
      <w:r>
        <w:rPr>
          <w:i/>
          <w:iCs/>
        </w:rPr>
        <w:t>Devs</w:t>
      </w:r>
      <w:r>
        <w:t>.Custom</w:t>
      </w:r>
      <w:proofErr w:type="spellEnd"/>
      <w:r>
        <w:t xml:space="preserve"> Software Development Company. </w:t>
      </w:r>
    </w:p>
    <w:p w14:paraId="695BFBB4" w14:textId="77777777" w:rsidR="007B14F3" w:rsidRPr="008A4DAC" w:rsidRDefault="007B14F3" w:rsidP="00827B5C">
      <w:pPr>
        <w:pStyle w:val="NormalWeb"/>
        <w:spacing w:line="360" w:lineRule="auto"/>
        <w:rPr>
          <w:rFonts w:ascii="Arial" w:hAnsi="Arial" w:cs="Arial"/>
          <w:b/>
          <w:bCs/>
          <w:i/>
          <w:iCs/>
          <w:sz w:val="22"/>
          <w:szCs w:val="22"/>
        </w:rPr>
      </w:pPr>
    </w:p>
    <w:p w14:paraId="1ED6084C" w14:textId="77777777" w:rsidR="008A4DAC" w:rsidRPr="006D47DB" w:rsidRDefault="008A4DAC" w:rsidP="006D47DB">
      <w:pPr>
        <w:pStyle w:val="NormalWeb"/>
        <w:spacing w:line="360" w:lineRule="auto"/>
        <w:ind w:left="360"/>
        <w:rPr>
          <w:rFonts w:ascii="Arial" w:hAnsi="Arial" w:cs="Arial"/>
          <w:sz w:val="22"/>
          <w:szCs w:val="22"/>
        </w:rPr>
      </w:pPr>
    </w:p>
    <w:p w14:paraId="6FD1C939" w14:textId="77777777" w:rsidR="006D47DB" w:rsidRDefault="006D47DB" w:rsidP="006D47DB">
      <w:pPr>
        <w:pStyle w:val="NormalWeb"/>
        <w:spacing w:line="360" w:lineRule="auto"/>
        <w:ind w:left="360"/>
      </w:pPr>
    </w:p>
    <w:p w14:paraId="7FD0DA16" w14:textId="77777777" w:rsidR="00D65201" w:rsidRPr="00D65201" w:rsidRDefault="00D65201" w:rsidP="00A44C09">
      <w:pPr>
        <w:pStyle w:val="ListParagraph"/>
        <w:spacing w:line="360" w:lineRule="auto"/>
        <w:rPr>
          <w:rFonts w:ascii="Arial" w:hAnsi="Arial" w:cs="Arial"/>
        </w:rPr>
      </w:pPr>
    </w:p>
    <w:p w14:paraId="19A83E4E" w14:textId="77777777" w:rsidR="00C74130" w:rsidRPr="00C77A27" w:rsidRDefault="00C74130" w:rsidP="00547B0D">
      <w:pPr>
        <w:spacing w:line="360" w:lineRule="auto"/>
        <w:rPr>
          <w:rFonts w:ascii="Arial" w:hAnsi="Arial" w:cs="Arial"/>
        </w:rPr>
      </w:pPr>
    </w:p>
    <w:p w14:paraId="0FBB440C" w14:textId="77777777" w:rsidR="00C77A27" w:rsidRPr="00426E77" w:rsidRDefault="00C77A27" w:rsidP="00A37502">
      <w:pPr>
        <w:spacing w:line="360" w:lineRule="auto"/>
        <w:rPr>
          <w:rFonts w:ascii="Arial" w:hAnsi="Arial" w:cs="Arial"/>
          <w:sz w:val="24"/>
          <w:szCs w:val="24"/>
        </w:rPr>
      </w:pPr>
    </w:p>
    <w:sectPr w:rsidR="00C77A27" w:rsidRPr="00426E7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240FE" w14:textId="77777777" w:rsidR="00D5093F" w:rsidRDefault="00D5093F" w:rsidP="00656878">
      <w:pPr>
        <w:spacing w:after="0" w:line="240" w:lineRule="auto"/>
      </w:pPr>
      <w:r>
        <w:separator/>
      </w:r>
    </w:p>
  </w:endnote>
  <w:endnote w:type="continuationSeparator" w:id="0">
    <w:p w14:paraId="53724D3E" w14:textId="77777777" w:rsidR="00D5093F" w:rsidRDefault="00D5093F" w:rsidP="00656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631330"/>
      <w:docPartObj>
        <w:docPartGallery w:val="Page Numbers (Bottom of Page)"/>
        <w:docPartUnique/>
      </w:docPartObj>
    </w:sdtPr>
    <w:sdtEndPr>
      <w:rPr>
        <w:noProof/>
      </w:rPr>
    </w:sdtEndPr>
    <w:sdtContent>
      <w:p w14:paraId="139C91F3" w14:textId="73E80D29" w:rsidR="00656878" w:rsidRDefault="006568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8F6ABB" w14:textId="77777777" w:rsidR="00656878" w:rsidRDefault="00656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D5C40" w14:textId="77777777" w:rsidR="00D5093F" w:rsidRDefault="00D5093F" w:rsidP="00656878">
      <w:pPr>
        <w:spacing w:after="0" w:line="240" w:lineRule="auto"/>
      </w:pPr>
      <w:r>
        <w:separator/>
      </w:r>
    </w:p>
  </w:footnote>
  <w:footnote w:type="continuationSeparator" w:id="0">
    <w:p w14:paraId="0FBD0F9E" w14:textId="77777777" w:rsidR="00D5093F" w:rsidRDefault="00D5093F" w:rsidP="00656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92176"/>
    <w:multiLevelType w:val="hybridMultilevel"/>
    <w:tmpl w:val="E138E21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591933"/>
    <w:multiLevelType w:val="hybridMultilevel"/>
    <w:tmpl w:val="D4F43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E1A89"/>
    <w:multiLevelType w:val="hybridMultilevel"/>
    <w:tmpl w:val="43B28B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E4CA2"/>
    <w:multiLevelType w:val="hybridMultilevel"/>
    <w:tmpl w:val="631C946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ED2109B"/>
    <w:multiLevelType w:val="multilevel"/>
    <w:tmpl w:val="596CF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543DA6"/>
    <w:multiLevelType w:val="hybridMultilevel"/>
    <w:tmpl w:val="4F2E2C6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C9F1099"/>
    <w:multiLevelType w:val="hybridMultilevel"/>
    <w:tmpl w:val="F710BFA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661846"/>
    <w:multiLevelType w:val="hybridMultilevel"/>
    <w:tmpl w:val="DF22A0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4338C"/>
    <w:multiLevelType w:val="multilevel"/>
    <w:tmpl w:val="6EF08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960AE9"/>
    <w:multiLevelType w:val="hybridMultilevel"/>
    <w:tmpl w:val="779063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3E4C0A"/>
    <w:multiLevelType w:val="hybridMultilevel"/>
    <w:tmpl w:val="3D08D4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AA0477"/>
    <w:multiLevelType w:val="hybridMultilevel"/>
    <w:tmpl w:val="F29CCF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67251"/>
    <w:multiLevelType w:val="multilevel"/>
    <w:tmpl w:val="DC4E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2425E5"/>
    <w:multiLevelType w:val="hybridMultilevel"/>
    <w:tmpl w:val="DFB47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F15A5C"/>
    <w:multiLevelType w:val="hybridMultilevel"/>
    <w:tmpl w:val="66EA9A0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3466E6A"/>
    <w:multiLevelType w:val="multilevel"/>
    <w:tmpl w:val="687E4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901E55"/>
    <w:multiLevelType w:val="hybridMultilevel"/>
    <w:tmpl w:val="B4AE20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CF7CB0"/>
    <w:multiLevelType w:val="multilevel"/>
    <w:tmpl w:val="6E261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385C6B"/>
    <w:multiLevelType w:val="hybridMultilevel"/>
    <w:tmpl w:val="9F40E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B650EA"/>
    <w:multiLevelType w:val="multilevel"/>
    <w:tmpl w:val="51E29E7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4C15EA"/>
    <w:multiLevelType w:val="hybridMultilevel"/>
    <w:tmpl w:val="EBA6C29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EDB20DB"/>
    <w:multiLevelType w:val="hybridMultilevel"/>
    <w:tmpl w:val="47C496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C64954"/>
    <w:multiLevelType w:val="hybridMultilevel"/>
    <w:tmpl w:val="281871E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3FE2F88"/>
    <w:multiLevelType w:val="hybridMultilevel"/>
    <w:tmpl w:val="1D9E8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186D53"/>
    <w:multiLevelType w:val="hybridMultilevel"/>
    <w:tmpl w:val="CC4273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B910FB"/>
    <w:multiLevelType w:val="hybridMultilevel"/>
    <w:tmpl w:val="20108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7980273">
    <w:abstractNumId w:val="7"/>
  </w:num>
  <w:num w:numId="2" w16cid:durableId="3014774">
    <w:abstractNumId w:val="21"/>
  </w:num>
  <w:num w:numId="3" w16cid:durableId="447048438">
    <w:abstractNumId w:val="3"/>
  </w:num>
  <w:num w:numId="4" w16cid:durableId="1601450393">
    <w:abstractNumId w:val="18"/>
  </w:num>
  <w:num w:numId="5" w16cid:durableId="1263223454">
    <w:abstractNumId w:val="23"/>
  </w:num>
  <w:num w:numId="6" w16cid:durableId="1282690610">
    <w:abstractNumId w:val="2"/>
  </w:num>
  <w:num w:numId="7" w16cid:durableId="1621885699">
    <w:abstractNumId w:val="10"/>
  </w:num>
  <w:num w:numId="8" w16cid:durableId="234826400">
    <w:abstractNumId w:val="12"/>
  </w:num>
  <w:num w:numId="9" w16cid:durableId="574634061">
    <w:abstractNumId w:val="6"/>
  </w:num>
  <w:num w:numId="10" w16cid:durableId="966547638">
    <w:abstractNumId w:val="24"/>
  </w:num>
  <w:num w:numId="11" w16cid:durableId="1673606088">
    <w:abstractNumId w:val="4"/>
  </w:num>
  <w:num w:numId="12" w16cid:durableId="1598366903">
    <w:abstractNumId w:val="19"/>
  </w:num>
  <w:num w:numId="13" w16cid:durableId="1931967338">
    <w:abstractNumId w:val="22"/>
  </w:num>
  <w:num w:numId="14" w16cid:durableId="1082918670">
    <w:abstractNumId w:val="16"/>
  </w:num>
  <w:num w:numId="15" w16cid:durableId="1216428816">
    <w:abstractNumId w:val="1"/>
  </w:num>
  <w:num w:numId="16" w16cid:durableId="436679725">
    <w:abstractNumId w:val="15"/>
  </w:num>
  <w:num w:numId="17" w16cid:durableId="1069963479">
    <w:abstractNumId w:val="20"/>
  </w:num>
  <w:num w:numId="18" w16cid:durableId="1121994077">
    <w:abstractNumId w:val="8"/>
  </w:num>
  <w:num w:numId="19" w16cid:durableId="1015350119">
    <w:abstractNumId w:val="5"/>
  </w:num>
  <w:num w:numId="20" w16cid:durableId="764307022">
    <w:abstractNumId w:val="0"/>
  </w:num>
  <w:num w:numId="21" w16cid:durableId="1563558797">
    <w:abstractNumId w:val="17"/>
  </w:num>
  <w:num w:numId="22" w16cid:durableId="1926838173">
    <w:abstractNumId w:val="14"/>
  </w:num>
  <w:num w:numId="23" w16cid:durableId="1434321193">
    <w:abstractNumId w:val="9"/>
  </w:num>
  <w:num w:numId="24" w16cid:durableId="1999648536">
    <w:abstractNumId w:val="13"/>
  </w:num>
  <w:num w:numId="25" w16cid:durableId="654534227">
    <w:abstractNumId w:val="11"/>
  </w:num>
  <w:num w:numId="26" w16cid:durableId="194353749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878"/>
    <w:rsid w:val="00007F48"/>
    <w:rsid w:val="00071C8A"/>
    <w:rsid w:val="00074F45"/>
    <w:rsid w:val="00076183"/>
    <w:rsid w:val="00087F92"/>
    <w:rsid w:val="000A7124"/>
    <w:rsid w:val="000C1CF7"/>
    <w:rsid w:val="000D3005"/>
    <w:rsid w:val="00107643"/>
    <w:rsid w:val="00125C88"/>
    <w:rsid w:val="00137E71"/>
    <w:rsid w:val="00166665"/>
    <w:rsid w:val="00172704"/>
    <w:rsid w:val="001A7222"/>
    <w:rsid w:val="001B6FA4"/>
    <w:rsid w:val="001C4A44"/>
    <w:rsid w:val="00222A72"/>
    <w:rsid w:val="00227F5A"/>
    <w:rsid w:val="00230BB5"/>
    <w:rsid w:val="0023270E"/>
    <w:rsid w:val="00235EB3"/>
    <w:rsid w:val="00246615"/>
    <w:rsid w:val="002B6357"/>
    <w:rsid w:val="002D3780"/>
    <w:rsid w:val="002F130C"/>
    <w:rsid w:val="00311E01"/>
    <w:rsid w:val="00362A9C"/>
    <w:rsid w:val="003734F8"/>
    <w:rsid w:val="00376CEF"/>
    <w:rsid w:val="0039773F"/>
    <w:rsid w:val="003A3720"/>
    <w:rsid w:val="003D405F"/>
    <w:rsid w:val="003E18F9"/>
    <w:rsid w:val="003E418A"/>
    <w:rsid w:val="003F2BE8"/>
    <w:rsid w:val="00404673"/>
    <w:rsid w:val="0041563E"/>
    <w:rsid w:val="00426E77"/>
    <w:rsid w:val="00434B73"/>
    <w:rsid w:val="004362BE"/>
    <w:rsid w:val="0045362C"/>
    <w:rsid w:val="00464100"/>
    <w:rsid w:val="00470D27"/>
    <w:rsid w:val="00471C67"/>
    <w:rsid w:val="0048045E"/>
    <w:rsid w:val="00491D0D"/>
    <w:rsid w:val="004E324C"/>
    <w:rsid w:val="004F01F4"/>
    <w:rsid w:val="004F2009"/>
    <w:rsid w:val="004F5CD7"/>
    <w:rsid w:val="00520146"/>
    <w:rsid w:val="00521010"/>
    <w:rsid w:val="00525084"/>
    <w:rsid w:val="00526FCD"/>
    <w:rsid w:val="00547B0D"/>
    <w:rsid w:val="00554108"/>
    <w:rsid w:val="00562D47"/>
    <w:rsid w:val="00567E48"/>
    <w:rsid w:val="00583D82"/>
    <w:rsid w:val="00596501"/>
    <w:rsid w:val="005A6133"/>
    <w:rsid w:val="005C45F2"/>
    <w:rsid w:val="005C61B1"/>
    <w:rsid w:val="00602260"/>
    <w:rsid w:val="00603601"/>
    <w:rsid w:val="0061523B"/>
    <w:rsid w:val="00647A19"/>
    <w:rsid w:val="00656878"/>
    <w:rsid w:val="00657906"/>
    <w:rsid w:val="006657B2"/>
    <w:rsid w:val="0069596C"/>
    <w:rsid w:val="006D47DB"/>
    <w:rsid w:val="007139FA"/>
    <w:rsid w:val="00727A5E"/>
    <w:rsid w:val="007451B8"/>
    <w:rsid w:val="007677BB"/>
    <w:rsid w:val="00777BA8"/>
    <w:rsid w:val="007834EE"/>
    <w:rsid w:val="00797B15"/>
    <w:rsid w:val="007B14F3"/>
    <w:rsid w:val="007B4E6C"/>
    <w:rsid w:val="007C52EE"/>
    <w:rsid w:val="007D2059"/>
    <w:rsid w:val="007E136B"/>
    <w:rsid w:val="007E49A3"/>
    <w:rsid w:val="007E5E5F"/>
    <w:rsid w:val="00804EDC"/>
    <w:rsid w:val="00823861"/>
    <w:rsid w:val="0082388F"/>
    <w:rsid w:val="008271D5"/>
    <w:rsid w:val="00827B5C"/>
    <w:rsid w:val="00842A58"/>
    <w:rsid w:val="00842E79"/>
    <w:rsid w:val="008A4DAC"/>
    <w:rsid w:val="008B4D7F"/>
    <w:rsid w:val="008B7007"/>
    <w:rsid w:val="008E6498"/>
    <w:rsid w:val="008F3B47"/>
    <w:rsid w:val="00905693"/>
    <w:rsid w:val="0093381D"/>
    <w:rsid w:val="009412FD"/>
    <w:rsid w:val="009562CD"/>
    <w:rsid w:val="00974497"/>
    <w:rsid w:val="00981377"/>
    <w:rsid w:val="00985154"/>
    <w:rsid w:val="009934BB"/>
    <w:rsid w:val="009A6D32"/>
    <w:rsid w:val="009B3E9F"/>
    <w:rsid w:val="009B479D"/>
    <w:rsid w:val="009C5381"/>
    <w:rsid w:val="009C7AFB"/>
    <w:rsid w:val="009F3BEF"/>
    <w:rsid w:val="00A15A77"/>
    <w:rsid w:val="00A248CB"/>
    <w:rsid w:val="00A33D29"/>
    <w:rsid w:val="00A37502"/>
    <w:rsid w:val="00A41D85"/>
    <w:rsid w:val="00A44C09"/>
    <w:rsid w:val="00A453B1"/>
    <w:rsid w:val="00A6360B"/>
    <w:rsid w:val="00A93B3D"/>
    <w:rsid w:val="00AA2AAD"/>
    <w:rsid w:val="00AA5737"/>
    <w:rsid w:val="00AC3682"/>
    <w:rsid w:val="00AC6C98"/>
    <w:rsid w:val="00AE1195"/>
    <w:rsid w:val="00AE7A58"/>
    <w:rsid w:val="00B05320"/>
    <w:rsid w:val="00B2751D"/>
    <w:rsid w:val="00B356D8"/>
    <w:rsid w:val="00B43E55"/>
    <w:rsid w:val="00B55842"/>
    <w:rsid w:val="00B70679"/>
    <w:rsid w:val="00B8548C"/>
    <w:rsid w:val="00B96028"/>
    <w:rsid w:val="00B9661B"/>
    <w:rsid w:val="00BC416C"/>
    <w:rsid w:val="00BD44FD"/>
    <w:rsid w:val="00C03CFD"/>
    <w:rsid w:val="00C20494"/>
    <w:rsid w:val="00C2779C"/>
    <w:rsid w:val="00C30462"/>
    <w:rsid w:val="00C74130"/>
    <w:rsid w:val="00C77A27"/>
    <w:rsid w:val="00C944E9"/>
    <w:rsid w:val="00CD4F6E"/>
    <w:rsid w:val="00CE6DC5"/>
    <w:rsid w:val="00D021EB"/>
    <w:rsid w:val="00D05DDC"/>
    <w:rsid w:val="00D11F95"/>
    <w:rsid w:val="00D22324"/>
    <w:rsid w:val="00D27806"/>
    <w:rsid w:val="00D5093F"/>
    <w:rsid w:val="00D61AF6"/>
    <w:rsid w:val="00D65201"/>
    <w:rsid w:val="00D7025E"/>
    <w:rsid w:val="00D7035E"/>
    <w:rsid w:val="00D80408"/>
    <w:rsid w:val="00DA3906"/>
    <w:rsid w:val="00DB176A"/>
    <w:rsid w:val="00DB4C18"/>
    <w:rsid w:val="00DF262C"/>
    <w:rsid w:val="00DF3BF1"/>
    <w:rsid w:val="00E2033F"/>
    <w:rsid w:val="00E92369"/>
    <w:rsid w:val="00EB1C6D"/>
    <w:rsid w:val="00EF50C4"/>
    <w:rsid w:val="00F338B7"/>
    <w:rsid w:val="00F36BF8"/>
    <w:rsid w:val="00F654F1"/>
    <w:rsid w:val="00F800AE"/>
    <w:rsid w:val="00F84638"/>
    <w:rsid w:val="00F971F1"/>
    <w:rsid w:val="00FC221A"/>
    <w:rsid w:val="00FC2EA2"/>
    <w:rsid w:val="00FF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D2449"/>
  <w15:chartTrackingRefBased/>
  <w15:docId w15:val="{DA80663C-6839-442A-B8C1-E2324D7CE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357"/>
  </w:style>
  <w:style w:type="paragraph" w:styleId="Heading1">
    <w:name w:val="heading 1"/>
    <w:basedOn w:val="Normal"/>
    <w:next w:val="Normal"/>
    <w:link w:val="Heading1Char"/>
    <w:uiPriority w:val="9"/>
    <w:qFormat/>
    <w:rsid w:val="006568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8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68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568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8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8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68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568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8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878"/>
    <w:rPr>
      <w:rFonts w:eastAsiaTheme="majorEastAsia" w:cstheme="majorBidi"/>
      <w:color w:val="272727" w:themeColor="text1" w:themeTint="D8"/>
    </w:rPr>
  </w:style>
  <w:style w:type="paragraph" w:styleId="Title">
    <w:name w:val="Title"/>
    <w:basedOn w:val="Normal"/>
    <w:next w:val="Normal"/>
    <w:link w:val="TitleChar"/>
    <w:uiPriority w:val="10"/>
    <w:qFormat/>
    <w:rsid w:val="00656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878"/>
    <w:pPr>
      <w:spacing w:before="160"/>
      <w:jc w:val="center"/>
    </w:pPr>
    <w:rPr>
      <w:i/>
      <w:iCs/>
      <w:color w:val="404040" w:themeColor="text1" w:themeTint="BF"/>
    </w:rPr>
  </w:style>
  <w:style w:type="character" w:customStyle="1" w:styleId="QuoteChar">
    <w:name w:val="Quote Char"/>
    <w:basedOn w:val="DefaultParagraphFont"/>
    <w:link w:val="Quote"/>
    <w:uiPriority w:val="29"/>
    <w:rsid w:val="00656878"/>
    <w:rPr>
      <w:i/>
      <w:iCs/>
      <w:color w:val="404040" w:themeColor="text1" w:themeTint="BF"/>
    </w:rPr>
  </w:style>
  <w:style w:type="paragraph" w:styleId="ListParagraph">
    <w:name w:val="List Paragraph"/>
    <w:basedOn w:val="Normal"/>
    <w:uiPriority w:val="34"/>
    <w:qFormat/>
    <w:rsid w:val="00656878"/>
    <w:pPr>
      <w:ind w:left="720"/>
      <w:contextualSpacing/>
    </w:pPr>
  </w:style>
  <w:style w:type="character" w:styleId="IntenseEmphasis">
    <w:name w:val="Intense Emphasis"/>
    <w:basedOn w:val="DefaultParagraphFont"/>
    <w:uiPriority w:val="21"/>
    <w:qFormat/>
    <w:rsid w:val="00656878"/>
    <w:rPr>
      <w:i/>
      <w:iCs/>
      <w:color w:val="0F4761" w:themeColor="accent1" w:themeShade="BF"/>
    </w:rPr>
  </w:style>
  <w:style w:type="paragraph" w:styleId="IntenseQuote">
    <w:name w:val="Intense Quote"/>
    <w:basedOn w:val="Normal"/>
    <w:next w:val="Normal"/>
    <w:link w:val="IntenseQuoteChar"/>
    <w:uiPriority w:val="30"/>
    <w:qFormat/>
    <w:rsid w:val="006568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878"/>
    <w:rPr>
      <w:i/>
      <w:iCs/>
      <w:color w:val="0F4761" w:themeColor="accent1" w:themeShade="BF"/>
    </w:rPr>
  </w:style>
  <w:style w:type="character" w:styleId="IntenseReference">
    <w:name w:val="Intense Reference"/>
    <w:basedOn w:val="DefaultParagraphFont"/>
    <w:uiPriority w:val="32"/>
    <w:qFormat/>
    <w:rsid w:val="00656878"/>
    <w:rPr>
      <w:b/>
      <w:bCs/>
      <w:smallCaps/>
      <w:color w:val="0F4761" w:themeColor="accent1" w:themeShade="BF"/>
      <w:spacing w:val="5"/>
    </w:rPr>
  </w:style>
  <w:style w:type="paragraph" w:styleId="Header">
    <w:name w:val="header"/>
    <w:basedOn w:val="Normal"/>
    <w:link w:val="HeaderChar"/>
    <w:uiPriority w:val="99"/>
    <w:unhideWhenUsed/>
    <w:rsid w:val="00656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878"/>
  </w:style>
  <w:style w:type="paragraph" w:styleId="Footer">
    <w:name w:val="footer"/>
    <w:basedOn w:val="Normal"/>
    <w:link w:val="FooterChar"/>
    <w:uiPriority w:val="99"/>
    <w:unhideWhenUsed/>
    <w:rsid w:val="00656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878"/>
  </w:style>
  <w:style w:type="paragraph" w:styleId="NormalWeb">
    <w:name w:val="Normal (Web)"/>
    <w:basedOn w:val="Normal"/>
    <w:uiPriority w:val="99"/>
    <w:semiHidden/>
    <w:unhideWhenUsed/>
    <w:rsid w:val="006568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56878"/>
    <w:rPr>
      <w:b/>
      <w:bCs/>
    </w:rPr>
  </w:style>
  <w:style w:type="table" w:styleId="TableGrid">
    <w:name w:val="Table Grid"/>
    <w:basedOn w:val="TableNormal"/>
    <w:uiPriority w:val="39"/>
    <w:rsid w:val="00827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418A"/>
    <w:rPr>
      <w:color w:val="467886" w:themeColor="hyperlink"/>
      <w:u w:val="single"/>
    </w:rPr>
  </w:style>
  <w:style w:type="character" w:styleId="UnresolvedMention">
    <w:name w:val="Unresolved Mention"/>
    <w:basedOn w:val="DefaultParagraphFont"/>
    <w:uiPriority w:val="99"/>
    <w:semiHidden/>
    <w:unhideWhenUsed/>
    <w:rsid w:val="003E4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hyperlink" Target="https://www.fitbit.com/"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hyperlink" Target="https://doi.org/10.1007/978-3-319-59858-1_1"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98D7CF-59EC-45B7-AF7E-230BBFC28E8D}" type="doc">
      <dgm:prSet loTypeId="urn:microsoft.com/office/officeart/2005/8/layout/lProcess3" loCatId="process" qsTypeId="urn:microsoft.com/office/officeart/2005/8/quickstyle/simple1" qsCatId="simple" csTypeId="urn:microsoft.com/office/officeart/2005/8/colors/accent0_1" csCatId="mainScheme" phldr="1"/>
      <dgm:spPr/>
      <dgm:t>
        <a:bodyPr/>
        <a:lstStyle/>
        <a:p>
          <a:endParaRPr lang="en-GB"/>
        </a:p>
      </dgm:t>
    </dgm:pt>
    <dgm:pt modelId="{95B18046-8698-4403-8275-C6B3E0354FC4}">
      <dgm:prSet phldrT="[Text]" custT="1"/>
      <dgm:spPr/>
      <dgm:t>
        <a:bodyPr/>
        <a:lstStyle/>
        <a:p>
          <a:r>
            <a:rPr lang="en-GB" sz="1200" b="1">
              <a:latin typeface="Arial" panose="020B0604020202020204" pitchFamily="34" charset="0"/>
              <a:cs typeface="Arial" panose="020B0604020202020204" pitchFamily="34" charset="0"/>
            </a:rPr>
            <a:t>Power / Interest</a:t>
          </a:r>
        </a:p>
      </dgm:t>
    </dgm:pt>
    <dgm:pt modelId="{78E35AF1-59B0-48F3-9D7E-06631246985A}" type="parTrans" cxnId="{03F9FB03-68A7-409C-A81A-3CE2BCB6170F}">
      <dgm:prSet/>
      <dgm:spPr/>
      <dgm:t>
        <a:bodyPr/>
        <a:lstStyle/>
        <a:p>
          <a:endParaRPr lang="en-GB"/>
        </a:p>
      </dgm:t>
    </dgm:pt>
    <dgm:pt modelId="{C2392AB6-F7F8-4789-9083-E6CDCA538971}" type="sibTrans" cxnId="{03F9FB03-68A7-409C-A81A-3CE2BCB6170F}">
      <dgm:prSet/>
      <dgm:spPr/>
      <dgm:t>
        <a:bodyPr/>
        <a:lstStyle/>
        <a:p>
          <a:endParaRPr lang="en-GB"/>
        </a:p>
      </dgm:t>
    </dgm:pt>
    <dgm:pt modelId="{C369D2E7-A551-45B9-922F-93740CCA24BD}">
      <dgm:prSet phldrT="[Text]" custT="1"/>
      <dgm:spPr/>
      <dgm:t>
        <a:bodyPr/>
        <a:lstStyle/>
        <a:p>
          <a:r>
            <a:rPr lang="en-GB" sz="1200" b="1">
              <a:latin typeface="Arial" panose="020B0604020202020204" pitchFamily="34" charset="0"/>
              <a:cs typeface="Arial" panose="020B0604020202020204" pitchFamily="34" charset="0"/>
            </a:rPr>
            <a:t>High Interest</a:t>
          </a:r>
        </a:p>
      </dgm:t>
    </dgm:pt>
    <dgm:pt modelId="{D96E3E52-F108-4FDA-AD56-1615D571F58D}" type="parTrans" cxnId="{31B70D69-A294-4081-BE8E-960B53B3B38D}">
      <dgm:prSet/>
      <dgm:spPr/>
      <dgm:t>
        <a:bodyPr/>
        <a:lstStyle/>
        <a:p>
          <a:endParaRPr lang="en-GB"/>
        </a:p>
      </dgm:t>
    </dgm:pt>
    <dgm:pt modelId="{6216621E-3923-492D-894E-7A3B96D22309}" type="sibTrans" cxnId="{31B70D69-A294-4081-BE8E-960B53B3B38D}">
      <dgm:prSet/>
      <dgm:spPr/>
      <dgm:t>
        <a:bodyPr/>
        <a:lstStyle/>
        <a:p>
          <a:endParaRPr lang="en-GB"/>
        </a:p>
      </dgm:t>
    </dgm:pt>
    <dgm:pt modelId="{B8DF6A3F-D679-483B-AC8D-14D1ADB11106}">
      <dgm:prSet phldrT="[Text]" custT="1"/>
      <dgm:spPr/>
      <dgm:t>
        <a:bodyPr/>
        <a:lstStyle/>
        <a:p>
          <a:r>
            <a:rPr lang="en-GB" sz="1200" b="1">
              <a:latin typeface="Arial" panose="020B0604020202020204" pitchFamily="34" charset="0"/>
              <a:cs typeface="Arial" panose="020B0604020202020204" pitchFamily="34" charset="0"/>
            </a:rPr>
            <a:t>Low Interest</a:t>
          </a:r>
        </a:p>
      </dgm:t>
    </dgm:pt>
    <dgm:pt modelId="{7C57BE73-5750-47B0-9302-35523C09B302}" type="parTrans" cxnId="{48AB534F-7BEE-4071-B749-B20091518B4D}">
      <dgm:prSet/>
      <dgm:spPr/>
      <dgm:t>
        <a:bodyPr/>
        <a:lstStyle/>
        <a:p>
          <a:endParaRPr lang="en-GB"/>
        </a:p>
      </dgm:t>
    </dgm:pt>
    <dgm:pt modelId="{1163B8DD-CB57-4ACE-B3B1-CC1A4F680FEF}" type="sibTrans" cxnId="{48AB534F-7BEE-4071-B749-B20091518B4D}">
      <dgm:prSet/>
      <dgm:spPr/>
      <dgm:t>
        <a:bodyPr/>
        <a:lstStyle/>
        <a:p>
          <a:endParaRPr lang="en-GB"/>
        </a:p>
      </dgm:t>
    </dgm:pt>
    <dgm:pt modelId="{AD206F03-52BA-4CF3-A4A4-58F8736D28EA}">
      <dgm:prSet phldrT="[Text]" custT="1"/>
      <dgm:spPr/>
      <dgm:t>
        <a:bodyPr/>
        <a:lstStyle/>
        <a:p>
          <a:r>
            <a:rPr lang="en-GB" sz="1200" b="1">
              <a:latin typeface="Arial" panose="020B0604020202020204" pitchFamily="34" charset="0"/>
              <a:cs typeface="Arial" panose="020B0604020202020204" pitchFamily="34" charset="0"/>
            </a:rPr>
            <a:t>High Power</a:t>
          </a:r>
        </a:p>
      </dgm:t>
    </dgm:pt>
    <dgm:pt modelId="{85E97850-BEE2-4753-BD3B-88EF5087557C}" type="parTrans" cxnId="{EF81BF9F-6B83-4F6E-B03B-EC9B740C92B2}">
      <dgm:prSet/>
      <dgm:spPr/>
      <dgm:t>
        <a:bodyPr/>
        <a:lstStyle/>
        <a:p>
          <a:endParaRPr lang="en-GB"/>
        </a:p>
      </dgm:t>
    </dgm:pt>
    <dgm:pt modelId="{0B042F8A-94E6-4E80-92AF-4A2CDF6DDA06}" type="sibTrans" cxnId="{EF81BF9F-6B83-4F6E-B03B-EC9B740C92B2}">
      <dgm:prSet/>
      <dgm:spPr/>
      <dgm:t>
        <a:bodyPr/>
        <a:lstStyle/>
        <a:p>
          <a:endParaRPr lang="en-GB"/>
        </a:p>
      </dgm:t>
    </dgm:pt>
    <dgm:pt modelId="{91B06C2B-3620-408E-8C7E-58B89D2C1C55}">
      <dgm:prSet phldrT="[Text]"/>
      <dgm:spPr/>
      <dgm:t>
        <a:bodyPr/>
        <a:lstStyle/>
        <a:p>
          <a:r>
            <a:rPr lang="en-GB"/>
            <a:t>Senior Management, Regulators, Investors</a:t>
          </a:r>
        </a:p>
      </dgm:t>
    </dgm:pt>
    <dgm:pt modelId="{0C522543-9ABD-4A97-8A2B-6FB3428928FA}" type="parTrans" cxnId="{E3A47CEF-1837-42CA-AFBE-22FFE38A9DD1}">
      <dgm:prSet/>
      <dgm:spPr/>
      <dgm:t>
        <a:bodyPr/>
        <a:lstStyle/>
        <a:p>
          <a:endParaRPr lang="en-GB"/>
        </a:p>
      </dgm:t>
    </dgm:pt>
    <dgm:pt modelId="{81E03798-817D-4ECD-902B-8A84F3402AD9}" type="sibTrans" cxnId="{E3A47CEF-1837-42CA-AFBE-22FFE38A9DD1}">
      <dgm:prSet/>
      <dgm:spPr/>
      <dgm:t>
        <a:bodyPr/>
        <a:lstStyle/>
        <a:p>
          <a:endParaRPr lang="en-GB"/>
        </a:p>
      </dgm:t>
    </dgm:pt>
    <dgm:pt modelId="{7A867793-548D-478E-AB92-B336ADA2940A}">
      <dgm:prSet phldrT="[Text]"/>
      <dgm:spPr/>
      <dgm:t>
        <a:bodyPr/>
        <a:lstStyle/>
        <a:p>
          <a:r>
            <a:rPr lang="en-GB"/>
            <a:t>Government Bodies</a:t>
          </a:r>
        </a:p>
      </dgm:t>
    </dgm:pt>
    <dgm:pt modelId="{3ABE9442-8EF6-46AD-AF84-67A53D177BC6}" type="parTrans" cxnId="{06067B8B-55C8-415F-A614-1A0270A51D54}">
      <dgm:prSet/>
      <dgm:spPr/>
      <dgm:t>
        <a:bodyPr/>
        <a:lstStyle/>
        <a:p>
          <a:endParaRPr lang="en-GB"/>
        </a:p>
      </dgm:t>
    </dgm:pt>
    <dgm:pt modelId="{2791ED24-5F57-4E04-8D44-641E1D791AC3}" type="sibTrans" cxnId="{06067B8B-55C8-415F-A614-1A0270A51D54}">
      <dgm:prSet/>
      <dgm:spPr/>
      <dgm:t>
        <a:bodyPr/>
        <a:lstStyle/>
        <a:p>
          <a:endParaRPr lang="en-GB"/>
        </a:p>
      </dgm:t>
    </dgm:pt>
    <dgm:pt modelId="{30C315CD-CEAA-41DE-B084-1FD413F0A025}">
      <dgm:prSet phldrT="[Text]" custT="1"/>
      <dgm:spPr/>
      <dgm:t>
        <a:bodyPr/>
        <a:lstStyle/>
        <a:p>
          <a:r>
            <a:rPr lang="en-GB" sz="1200" b="1">
              <a:latin typeface="Arial" panose="020B0604020202020204" pitchFamily="34" charset="0"/>
              <a:cs typeface="Arial" panose="020B0604020202020204" pitchFamily="34" charset="0"/>
            </a:rPr>
            <a:t>Low Power</a:t>
          </a:r>
        </a:p>
      </dgm:t>
    </dgm:pt>
    <dgm:pt modelId="{164D004B-3D02-41AF-BFD0-7E7072023CAC}" type="parTrans" cxnId="{30CC8A8B-DF85-458B-8F44-31F8AFE1C072}">
      <dgm:prSet/>
      <dgm:spPr/>
      <dgm:t>
        <a:bodyPr/>
        <a:lstStyle/>
        <a:p>
          <a:endParaRPr lang="en-GB"/>
        </a:p>
      </dgm:t>
    </dgm:pt>
    <dgm:pt modelId="{761EF40C-D0DC-49E0-9802-1FD186F71D0B}" type="sibTrans" cxnId="{30CC8A8B-DF85-458B-8F44-31F8AFE1C072}">
      <dgm:prSet/>
      <dgm:spPr/>
      <dgm:t>
        <a:bodyPr/>
        <a:lstStyle/>
        <a:p>
          <a:endParaRPr lang="en-GB"/>
        </a:p>
      </dgm:t>
    </dgm:pt>
    <dgm:pt modelId="{BDFCAFF5-B71F-4B5B-8094-C805B7152BB6}">
      <dgm:prSet phldrT="[Text]"/>
      <dgm:spPr/>
      <dgm:t>
        <a:bodyPr/>
        <a:lstStyle/>
        <a:p>
          <a:r>
            <a:rPr lang="en-GB"/>
            <a:t>Consumers, Media</a:t>
          </a:r>
        </a:p>
      </dgm:t>
    </dgm:pt>
    <dgm:pt modelId="{90C72ACE-41C9-4805-8ACD-E4FF2F78BD31}" type="parTrans" cxnId="{65ABD617-8627-4136-9597-F320E0835115}">
      <dgm:prSet/>
      <dgm:spPr/>
      <dgm:t>
        <a:bodyPr/>
        <a:lstStyle/>
        <a:p>
          <a:endParaRPr lang="en-GB"/>
        </a:p>
      </dgm:t>
    </dgm:pt>
    <dgm:pt modelId="{96119FB1-294A-4D75-A555-1CE4EC45A196}" type="sibTrans" cxnId="{65ABD617-8627-4136-9597-F320E0835115}">
      <dgm:prSet/>
      <dgm:spPr/>
      <dgm:t>
        <a:bodyPr/>
        <a:lstStyle/>
        <a:p>
          <a:endParaRPr lang="en-GB"/>
        </a:p>
      </dgm:t>
    </dgm:pt>
    <dgm:pt modelId="{AFA88E71-2861-4077-8A17-DC16E735FD63}">
      <dgm:prSet phldrT="[Text]"/>
      <dgm:spPr/>
      <dgm:t>
        <a:bodyPr/>
        <a:lstStyle/>
        <a:p>
          <a:r>
            <a:rPr lang="en-GB"/>
            <a:t>Peripheral Suppliers</a:t>
          </a:r>
        </a:p>
      </dgm:t>
    </dgm:pt>
    <dgm:pt modelId="{B129106C-D83E-4755-93D5-D128C96B6D46}" type="parTrans" cxnId="{A5DABA90-A160-4D9E-98BA-190436B57E9F}">
      <dgm:prSet/>
      <dgm:spPr/>
      <dgm:t>
        <a:bodyPr/>
        <a:lstStyle/>
        <a:p>
          <a:endParaRPr lang="en-GB"/>
        </a:p>
      </dgm:t>
    </dgm:pt>
    <dgm:pt modelId="{CE4D0E65-5B3D-4AFC-B34F-54439A8905C6}" type="sibTrans" cxnId="{A5DABA90-A160-4D9E-98BA-190436B57E9F}">
      <dgm:prSet/>
      <dgm:spPr/>
      <dgm:t>
        <a:bodyPr/>
        <a:lstStyle/>
        <a:p>
          <a:endParaRPr lang="en-GB"/>
        </a:p>
      </dgm:t>
    </dgm:pt>
    <dgm:pt modelId="{F6B42352-77CE-4C20-BDE2-4F8F09E0D9FF}" type="pres">
      <dgm:prSet presAssocID="{F998D7CF-59EC-45B7-AF7E-230BBFC28E8D}" presName="Name0" presStyleCnt="0">
        <dgm:presLayoutVars>
          <dgm:chPref val="3"/>
          <dgm:dir/>
          <dgm:animLvl val="lvl"/>
          <dgm:resizeHandles/>
        </dgm:presLayoutVars>
      </dgm:prSet>
      <dgm:spPr/>
    </dgm:pt>
    <dgm:pt modelId="{BE4AAE07-313F-4B4C-BFC5-7C772B319DC7}" type="pres">
      <dgm:prSet presAssocID="{95B18046-8698-4403-8275-C6B3E0354FC4}" presName="horFlow" presStyleCnt="0"/>
      <dgm:spPr/>
    </dgm:pt>
    <dgm:pt modelId="{9D90933E-77FD-46EB-AE96-A7FB158A050F}" type="pres">
      <dgm:prSet presAssocID="{95B18046-8698-4403-8275-C6B3E0354FC4}" presName="bigChev" presStyleLbl="node1" presStyleIdx="0" presStyleCnt="3"/>
      <dgm:spPr/>
    </dgm:pt>
    <dgm:pt modelId="{35F53F0C-72F9-4FEF-A268-69AE9FE24FCB}" type="pres">
      <dgm:prSet presAssocID="{D96E3E52-F108-4FDA-AD56-1615D571F58D}" presName="parTrans" presStyleCnt="0"/>
      <dgm:spPr/>
    </dgm:pt>
    <dgm:pt modelId="{561F4168-8110-4EF8-9876-EB5E14746E6F}" type="pres">
      <dgm:prSet presAssocID="{C369D2E7-A551-45B9-922F-93740CCA24BD}" presName="node" presStyleLbl="alignAccFollowNode1" presStyleIdx="0" presStyleCnt="6">
        <dgm:presLayoutVars>
          <dgm:bulletEnabled val="1"/>
        </dgm:presLayoutVars>
      </dgm:prSet>
      <dgm:spPr/>
    </dgm:pt>
    <dgm:pt modelId="{86B2F8B2-6A59-4DF8-918F-1E35E2C981E2}" type="pres">
      <dgm:prSet presAssocID="{6216621E-3923-492D-894E-7A3B96D22309}" presName="sibTrans" presStyleCnt="0"/>
      <dgm:spPr/>
    </dgm:pt>
    <dgm:pt modelId="{3D82F9B9-52DA-4CFC-8E16-03311D79D0F1}" type="pres">
      <dgm:prSet presAssocID="{B8DF6A3F-D679-483B-AC8D-14D1ADB11106}" presName="node" presStyleLbl="alignAccFollowNode1" presStyleIdx="1" presStyleCnt="6" custLinFactNeighborX="8660">
        <dgm:presLayoutVars>
          <dgm:bulletEnabled val="1"/>
        </dgm:presLayoutVars>
      </dgm:prSet>
      <dgm:spPr/>
    </dgm:pt>
    <dgm:pt modelId="{F3F6F6C6-8F59-45E6-A1E6-602367AEC8E5}" type="pres">
      <dgm:prSet presAssocID="{95B18046-8698-4403-8275-C6B3E0354FC4}" presName="vSp" presStyleCnt="0"/>
      <dgm:spPr/>
    </dgm:pt>
    <dgm:pt modelId="{96A02BA0-412E-42D6-92EE-2634454C952F}" type="pres">
      <dgm:prSet presAssocID="{AD206F03-52BA-4CF3-A4A4-58F8736D28EA}" presName="horFlow" presStyleCnt="0"/>
      <dgm:spPr/>
    </dgm:pt>
    <dgm:pt modelId="{C3722BE9-0C8A-4811-AEB3-46C9B6FDA241}" type="pres">
      <dgm:prSet presAssocID="{AD206F03-52BA-4CF3-A4A4-58F8736D28EA}" presName="bigChev" presStyleLbl="node1" presStyleIdx="1" presStyleCnt="3"/>
      <dgm:spPr/>
    </dgm:pt>
    <dgm:pt modelId="{679AF3BA-B130-487B-A1C0-735496C675E5}" type="pres">
      <dgm:prSet presAssocID="{0C522543-9ABD-4A97-8A2B-6FB3428928FA}" presName="parTrans" presStyleCnt="0"/>
      <dgm:spPr/>
    </dgm:pt>
    <dgm:pt modelId="{CD358C90-083D-4ADB-A5AB-F42D31CC43D0}" type="pres">
      <dgm:prSet presAssocID="{91B06C2B-3620-408E-8C7E-58B89D2C1C55}" presName="node" presStyleLbl="alignAccFollowNode1" presStyleIdx="2" presStyleCnt="6">
        <dgm:presLayoutVars>
          <dgm:bulletEnabled val="1"/>
        </dgm:presLayoutVars>
      </dgm:prSet>
      <dgm:spPr/>
    </dgm:pt>
    <dgm:pt modelId="{3CA0979E-2E4B-458B-ABC5-50702B55D5CF}" type="pres">
      <dgm:prSet presAssocID="{81E03798-817D-4ECD-902B-8A84F3402AD9}" presName="sibTrans" presStyleCnt="0"/>
      <dgm:spPr/>
    </dgm:pt>
    <dgm:pt modelId="{90C17B82-6371-4B83-8647-36B701A3DF74}" type="pres">
      <dgm:prSet presAssocID="{7A867793-548D-478E-AB92-B336ADA2940A}" presName="node" presStyleLbl="alignAccFollowNode1" presStyleIdx="3" presStyleCnt="6">
        <dgm:presLayoutVars>
          <dgm:bulletEnabled val="1"/>
        </dgm:presLayoutVars>
      </dgm:prSet>
      <dgm:spPr/>
    </dgm:pt>
    <dgm:pt modelId="{470132F5-0A6F-4DEF-B8CB-C2BE15E297C2}" type="pres">
      <dgm:prSet presAssocID="{AD206F03-52BA-4CF3-A4A4-58F8736D28EA}" presName="vSp" presStyleCnt="0"/>
      <dgm:spPr/>
    </dgm:pt>
    <dgm:pt modelId="{4B37BDBA-4897-4A44-A639-95A3B5FF56E2}" type="pres">
      <dgm:prSet presAssocID="{30C315CD-CEAA-41DE-B084-1FD413F0A025}" presName="horFlow" presStyleCnt="0"/>
      <dgm:spPr/>
    </dgm:pt>
    <dgm:pt modelId="{6F7C23D8-6833-43D9-9B34-50F2F7F7B5B3}" type="pres">
      <dgm:prSet presAssocID="{30C315CD-CEAA-41DE-B084-1FD413F0A025}" presName="bigChev" presStyleLbl="node1" presStyleIdx="2" presStyleCnt="3"/>
      <dgm:spPr/>
    </dgm:pt>
    <dgm:pt modelId="{EC45E4C0-01D9-4D81-81B1-69D8C2EF7D76}" type="pres">
      <dgm:prSet presAssocID="{90C72ACE-41C9-4805-8ACD-E4FF2F78BD31}" presName="parTrans" presStyleCnt="0"/>
      <dgm:spPr/>
    </dgm:pt>
    <dgm:pt modelId="{55623491-8CFF-4938-B161-853BC9710ED8}" type="pres">
      <dgm:prSet presAssocID="{BDFCAFF5-B71F-4B5B-8094-C805B7152BB6}" presName="node" presStyleLbl="alignAccFollowNode1" presStyleIdx="4" presStyleCnt="6">
        <dgm:presLayoutVars>
          <dgm:bulletEnabled val="1"/>
        </dgm:presLayoutVars>
      </dgm:prSet>
      <dgm:spPr/>
    </dgm:pt>
    <dgm:pt modelId="{0441D5BE-A722-4F32-BC78-ED9A3FC756EB}" type="pres">
      <dgm:prSet presAssocID="{96119FB1-294A-4D75-A555-1CE4EC45A196}" presName="sibTrans" presStyleCnt="0"/>
      <dgm:spPr/>
    </dgm:pt>
    <dgm:pt modelId="{36D76F0F-578C-4893-8707-3C390D8B0B79}" type="pres">
      <dgm:prSet presAssocID="{AFA88E71-2861-4077-8A17-DC16E735FD63}" presName="node" presStyleLbl="alignAccFollowNode1" presStyleIdx="5" presStyleCnt="6">
        <dgm:presLayoutVars>
          <dgm:bulletEnabled val="1"/>
        </dgm:presLayoutVars>
      </dgm:prSet>
      <dgm:spPr/>
    </dgm:pt>
  </dgm:ptLst>
  <dgm:cxnLst>
    <dgm:cxn modelId="{03F9FB03-68A7-409C-A81A-3CE2BCB6170F}" srcId="{F998D7CF-59EC-45B7-AF7E-230BBFC28E8D}" destId="{95B18046-8698-4403-8275-C6B3E0354FC4}" srcOrd="0" destOrd="0" parTransId="{78E35AF1-59B0-48F3-9D7E-06631246985A}" sibTransId="{C2392AB6-F7F8-4789-9083-E6CDCA538971}"/>
    <dgm:cxn modelId="{3F298704-3755-458A-8AE3-AB92BB1AFD8A}" type="presOf" srcId="{30C315CD-CEAA-41DE-B084-1FD413F0A025}" destId="{6F7C23D8-6833-43D9-9B34-50F2F7F7B5B3}" srcOrd="0" destOrd="0" presId="urn:microsoft.com/office/officeart/2005/8/layout/lProcess3"/>
    <dgm:cxn modelId="{65ABD617-8627-4136-9597-F320E0835115}" srcId="{30C315CD-CEAA-41DE-B084-1FD413F0A025}" destId="{BDFCAFF5-B71F-4B5B-8094-C805B7152BB6}" srcOrd="0" destOrd="0" parTransId="{90C72ACE-41C9-4805-8ACD-E4FF2F78BD31}" sibTransId="{96119FB1-294A-4D75-A555-1CE4EC45A196}"/>
    <dgm:cxn modelId="{D9BE6B1F-748E-4053-B5C4-7A87F539E553}" type="presOf" srcId="{7A867793-548D-478E-AB92-B336ADA2940A}" destId="{90C17B82-6371-4B83-8647-36B701A3DF74}" srcOrd="0" destOrd="0" presId="urn:microsoft.com/office/officeart/2005/8/layout/lProcess3"/>
    <dgm:cxn modelId="{0C121535-F94C-44AF-AE74-64F4E94830AB}" type="presOf" srcId="{AD206F03-52BA-4CF3-A4A4-58F8736D28EA}" destId="{C3722BE9-0C8A-4811-AEB3-46C9B6FDA241}" srcOrd="0" destOrd="0" presId="urn:microsoft.com/office/officeart/2005/8/layout/lProcess3"/>
    <dgm:cxn modelId="{A3F9443F-67BE-44CA-8A31-6873105A4044}" type="presOf" srcId="{F998D7CF-59EC-45B7-AF7E-230BBFC28E8D}" destId="{F6B42352-77CE-4C20-BDE2-4F8F09E0D9FF}" srcOrd="0" destOrd="0" presId="urn:microsoft.com/office/officeart/2005/8/layout/lProcess3"/>
    <dgm:cxn modelId="{31B70D69-A294-4081-BE8E-960B53B3B38D}" srcId="{95B18046-8698-4403-8275-C6B3E0354FC4}" destId="{C369D2E7-A551-45B9-922F-93740CCA24BD}" srcOrd="0" destOrd="0" parTransId="{D96E3E52-F108-4FDA-AD56-1615D571F58D}" sibTransId="{6216621E-3923-492D-894E-7A3B96D22309}"/>
    <dgm:cxn modelId="{0B88766C-AB83-4DA3-8216-0FCAC02A12BA}" type="presOf" srcId="{91B06C2B-3620-408E-8C7E-58B89D2C1C55}" destId="{CD358C90-083D-4ADB-A5AB-F42D31CC43D0}" srcOrd="0" destOrd="0" presId="urn:microsoft.com/office/officeart/2005/8/layout/lProcess3"/>
    <dgm:cxn modelId="{48AB534F-7BEE-4071-B749-B20091518B4D}" srcId="{95B18046-8698-4403-8275-C6B3E0354FC4}" destId="{B8DF6A3F-D679-483B-AC8D-14D1ADB11106}" srcOrd="1" destOrd="0" parTransId="{7C57BE73-5750-47B0-9302-35523C09B302}" sibTransId="{1163B8DD-CB57-4ACE-B3B1-CC1A4F680FEF}"/>
    <dgm:cxn modelId="{8A3CC77A-6BB9-4D30-A889-C89E5C17515D}" type="presOf" srcId="{AFA88E71-2861-4077-8A17-DC16E735FD63}" destId="{36D76F0F-578C-4893-8707-3C390D8B0B79}" srcOrd="0" destOrd="0" presId="urn:microsoft.com/office/officeart/2005/8/layout/lProcess3"/>
    <dgm:cxn modelId="{06067B8B-55C8-415F-A614-1A0270A51D54}" srcId="{AD206F03-52BA-4CF3-A4A4-58F8736D28EA}" destId="{7A867793-548D-478E-AB92-B336ADA2940A}" srcOrd="1" destOrd="0" parTransId="{3ABE9442-8EF6-46AD-AF84-67A53D177BC6}" sibTransId="{2791ED24-5F57-4E04-8D44-641E1D791AC3}"/>
    <dgm:cxn modelId="{30CC8A8B-DF85-458B-8F44-31F8AFE1C072}" srcId="{F998D7CF-59EC-45B7-AF7E-230BBFC28E8D}" destId="{30C315CD-CEAA-41DE-B084-1FD413F0A025}" srcOrd="2" destOrd="0" parTransId="{164D004B-3D02-41AF-BFD0-7E7072023CAC}" sibTransId="{761EF40C-D0DC-49E0-9802-1FD186F71D0B}"/>
    <dgm:cxn modelId="{A5DABA90-A160-4D9E-98BA-190436B57E9F}" srcId="{30C315CD-CEAA-41DE-B084-1FD413F0A025}" destId="{AFA88E71-2861-4077-8A17-DC16E735FD63}" srcOrd="1" destOrd="0" parTransId="{B129106C-D83E-4755-93D5-D128C96B6D46}" sibTransId="{CE4D0E65-5B3D-4AFC-B34F-54439A8905C6}"/>
    <dgm:cxn modelId="{EF81BF9F-6B83-4F6E-B03B-EC9B740C92B2}" srcId="{F998D7CF-59EC-45B7-AF7E-230BBFC28E8D}" destId="{AD206F03-52BA-4CF3-A4A4-58F8736D28EA}" srcOrd="1" destOrd="0" parTransId="{85E97850-BEE2-4753-BD3B-88EF5087557C}" sibTransId="{0B042F8A-94E6-4E80-92AF-4A2CDF6DDA06}"/>
    <dgm:cxn modelId="{DF6F4EBE-2680-444F-BFFA-033B9C155E89}" type="presOf" srcId="{C369D2E7-A551-45B9-922F-93740CCA24BD}" destId="{561F4168-8110-4EF8-9876-EB5E14746E6F}" srcOrd="0" destOrd="0" presId="urn:microsoft.com/office/officeart/2005/8/layout/lProcess3"/>
    <dgm:cxn modelId="{B7B8A4C4-F3C8-491C-B501-A3E208312E20}" type="presOf" srcId="{B8DF6A3F-D679-483B-AC8D-14D1ADB11106}" destId="{3D82F9B9-52DA-4CFC-8E16-03311D79D0F1}" srcOrd="0" destOrd="0" presId="urn:microsoft.com/office/officeart/2005/8/layout/lProcess3"/>
    <dgm:cxn modelId="{443F60C6-2878-463C-AB91-EBCB94BB1A97}" type="presOf" srcId="{95B18046-8698-4403-8275-C6B3E0354FC4}" destId="{9D90933E-77FD-46EB-AE96-A7FB158A050F}" srcOrd="0" destOrd="0" presId="urn:microsoft.com/office/officeart/2005/8/layout/lProcess3"/>
    <dgm:cxn modelId="{D2493BD8-879B-4E48-91D6-29E5AABA0D65}" type="presOf" srcId="{BDFCAFF5-B71F-4B5B-8094-C805B7152BB6}" destId="{55623491-8CFF-4938-B161-853BC9710ED8}" srcOrd="0" destOrd="0" presId="urn:microsoft.com/office/officeart/2005/8/layout/lProcess3"/>
    <dgm:cxn modelId="{E3A47CEF-1837-42CA-AFBE-22FFE38A9DD1}" srcId="{AD206F03-52BA-4CF3-A4A4-58F8736D28EA}" destId="{91B06C2B-3620-408E-8C7E-58B89D2C1C55}" srcOrd="0" destOrd="0" parTransId="{0C522543-9ABD-4A97-8A2B-6FB3428928FA}" sibTransId="{81E03798-817D-4ECD-902B-8A84F3402AD9}"/>
    <dgm:cxn modelId="{C164ABBF-BB6A-4671-A0E4-8DFA78D355A5}" type="presParOf" srcId="{F6B42352-77CE-4C20-BDE2-4F8F09E0D9FF}" destId="{BE4AAE07-313F-4B4C-BFC5-7C772B319DC7}" srcOrd="0" destOrd="0" presId="urn:microsoft.com/office/officeart/2005/8/layout/lProcess3"/>
    <dgm:cxn modelId="{60732F20-2DA1-498F-B094-58510A888FB9}" type="presParOf" srcId="{BE4AAE07-313F-4B4C-BFC5-7C772B319DC7}" destId="{9D90933E-77FD-46EB-AE96-A7FB158A050F}" srcOrd="0" destOrd="0" presId="urn:microsoft.com/office/officeart/2005/8/layout/lProcess3"/>
    <dgm:cxn modelId="{35250F9B-E1BB-42EE-9D77-E6F11613CCE5}" type="presParOf" srcId="{BE4AAE07-313F-4B4C-BFC5-7C772B319DC7}" destId="{35F53F0C-72F9-4FEF-A268-69AE9FE24FCB}" srcOrd="1" destOrd="0" presId="urn:microsoft.com/office/officeart/2005/8/layout/lProcess3"/>
    <dgm:cxn modelId="{9B01D0CD-4085-47D1-BF52-A6C7F986FC6C}" type="presParOf" srcId="{BE4AAE07-313F-4B4C-BFC5-7C772B319DC7}" destId="{561F4168-8110-4EF8-9876-EB5E14746E6F}" srcOrd="2" destOrd="0" presId="urn:microsoft.com/office/officeart/2005/8/layout/lProcess3"/>
    <dgm:cxn modelId="{F400F623-E1C9-4E84-B63A-70ADD4D1F22B}" type="presParOf" srcId="{BE4AAE07-313F-4B4C-BFC5-7C772B319DC7}" destId="{86B2F8B2-6A59-4DF8-918F-1E35E2C981E2}" srcOrd="3" destOrd="0" presId="urn:microsoft.com/office/officeart/2005/8/layout/lProcess3"/>
    <dgm:cxn modelId="{ECB680B2-43FB-406C-B125-A62287DD1AC5}" type="presParOf" srcId="{BE4AAE07-313F-4B4C-BFC5-7C772B319DC7}" destId="{3D82F9B9-52DA-4CFC-8E16-03311D79D0F1}" srcOrd="4" destOrd="0" presId="urn:microsoft.com/office/officeart/2005/8/layout/lProcess3"/>
    <dgm:cxn modelId="{6C3B7FAB-D275-478E-A44D-5C967CA44A19}" type="presParOf" srcId="{F6B42352-77CE-4C20-BDE2-4F8F09E0D9FF}" destId="{F3F6F6C6-8F59-45E6-A1E6-602367AEC8E5}" srcOrd="1" destOrd="0" presId="urn:microsoft.com/office/officeart/2005/8/layout/lProcess3"/>
    <dgm:cxn modelId="{E398D741-10B5-4749-B666-5B722AF5910B}" type="presParOf" srcId="{F6B42352-77CE-4C20-BDE2-4F8F09E0D9FF}" destId="{96A02BA0-412E-42D6-92EE-2634454C952F}" srcOrd="2" destOrd="0" presId="urn:microsoft.com/office/officeart/2005/8/layout/lProcess3"/>
    <dgm:cxn modelId="{EB764BAE-ACF5-43AD-9643-82FA77306E60}" type="presParOf" srcId="{96A02BA0-412E-42D6-92EE-2634454C952F}" destId="{C3722BE9-0C8A-4811-AEB3-46C9B6FDA241}" srcOrd="0" destOrd="0" presId="urn:microsoft.com/office/officeart/2005/8/layout/lProcess3"/>
    <dgm:cxn modelId="{45F7FCA0-DA9E-4075-B6D4-C62E168D791D}" type="presParOf" srcId="{96A02BA0-412E-42D6-92EE-2634454C952F}" destId="{679AF3BA-B130-487B-A1C0-735496C675E5}" srcOrd="1" destOrd="0" presId="urn:microsoft.com/office/officeart/2005/8/layout/lProcess3"/>
    <dgm:cxn modelId="{CEE616AD-BD65-4384-ABF0-6302521D31ED}" type="presParOf" srcId="{96A02BA0-412E-42D6-92EE-2634454C952F}" destId="{CD358C90-083D-4ADB-A5AB-F42D31CC43D0}" srcOrd="2" destOrd="0" presId="urn:microsoft.com/office/officeart/2005/8/layout/lProcess3"/>
    <dgm:cxn modelId="{BB4B0281-6305-4ABC-8365-18376C063629}" type="presParOf" srcId="{96A02BA0-412E-42D6-92EE-2634454C952F}" destId="{3CA0979E-2E4B-458B-ABC5-50702B55D5CF}" srcOrd="3" destOrd="0" presId="urn:microsoft.com/office/officeart/2005/8/layout/lProcess3"/>
    <dgm:cxn modelId="{0109168D-AD72-4166-8859-40A9549BBD65}" type="presParOf" srcId="{96A02BA0-412E-42D6-92EE-2634454C952F}" destId="{90C17B82-6371-4B83-8647-36B701A3DF74}" srcOrd="4" destOrd="0" presId="urn:microsoft.com/office/officeart/2005/8/layout/lProcess3"/>
    <dgm:cxn modelId="{BC9E0E7F-647E-4E86-B4DE-0D3A3F7A41AB}" type="presParOf" srcId="{F6B42352-77CE-4C20-BDE2-4F8F09E0D9FF}" destId="{470132F5-0A6F-4DEF-B8CB-C2BE15E297C2}" srcOrd="3" destOrd="0" presId="urn:microsoft.com/office/officeart/2005/8/layout/lProcess3"/>
    <dgm:cxn modelId="{02F67445-00B1-4D43-92EF-1AB41B9677A4}" type="presParOf" srcId="{F6B42352-77CE-4C20-BDE2-4F8F09E0D9FF}" destId="{4B37BDBA-4897-4A44-A639-95A3B5FF56E2}" srcOrd="4" destOrd="0" presId="urn:microsoft.com/office/officeart/2005/8/layout/lProcess3"/>
    <dgm:cxn modelId="{3CC3CA8C-463E-4FF6-A2C3-6D90295069F1}" type="presParOf" srcId="{4B37BDBA-4897-4A44-A639-95A3B5FF56E2}" destId="{6F7C23D8-6833-43D9-9B34-50F2F7F7B5B3}" srcOrd="0" destOrd="0" presId="urn:microsoft.com/office/officeart/2005/8/layout/lProcess3"/>
    <dgm:cxn modelId="{ADC73620-9363-476B-BC83-30066880BC75}" type="presParOf" srcId="{4B37BDBA-4897-4A44-A639-95A3B5FF56E2}" destId="{EC45E4C0-01D9-4D81-81B1-69D8C2EF7D76}" srcOrd="1" destOrd="0" presId="urn:microsoft.com/office/officeart/2005/8/layout/lProcess3"/>
    <dgm:cxn modelId="{88EF694D-E35E-4246-BA0F-85FECD765D83}" type="presParOf" srcId="{4B37BDBA-4897-4A44-A639-95A3B5FF56E2}" destId="{55623491-8CFF-4938-B161-853BC9710ED8}" srcOrd="2" destOrd="0" presId="urn:microsoft.com/office/officeart/2005/8/layout/lProcess3"/>
    <dgm:cxn modelId="{A2EFBE45-F62B-4218-B472-C85D484D400C}" type="presParOf" srcId="{4B37BDBA-4897-4A44-A639-95A3B5FF56E2}" destId="{0441D5BE-A722-4F32-BC78-ED9A3FC756EB}" srcOrd="3" destOrd="0" presId="urn:microsoft.com/office/officeart/2005/8/layout/lProcess3"/>
    <dgm:cxn modelId="{6CEDEBC5-AAEA-426C-911A-E108DC235B2D}" type="presParOf" srcId="{4B37BDBA-4897-4A44-A639-95A3B5FF56E2}" destId="{36D76F0F-578C-4893-8707-3C390D8B0B79}" srcOrd="4" destOrd="0" presId="urn:microsoft.com/office/officeart/2005/8/layout/lProcess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7598C4E-E2B6-401A-A5D3-2DC2414BB020}" type="doc">
      <dgm:prSet loTypeId="urn:microsoft.com/office/officeart/2005/8/layout/lProcess2" loCatId="list" qsTypeId="urn:microsoft.com/office/officeart/2005/8/quickstyle/3d3" qsCatId="3D" csTypeId="urn:microsoft.com/office/officeart/2005/8/colors/accent1_2" csCatId="accent1" phldr="1"/>
      <dgm:spPr/>
      <dgm:t>
        <a:bodyPr/>
        <a:lstStyle/>
        <a:p>
          <a:endParaRPr lang="en-GB"/>
        </a:p>
      </dgm:t>
    </dgm:pt>
    <dgm:pt modelId="{15D4E316-2088-48E8-BB3F-1701E4FEBC8B}">
      <dgm:prSet phldrT="[Text]" custT="1"/>
      <dgm:spPr/>
      <dgm:t>
        <a:bodyPr/>
        <a:lstStyle/>
        <a:p>
          <a:r>
            <a:rPr lang="en-GB" sz="1200" b="1">
              <a:latin typeface="Arial" panose="020B0604020202020204" pitchFamily="34" charset="0"/>
              <a:cs typeface="Arial" panose="020B0604020202020204" pitchFamily="34" charset="0"/>
            </a:rPr>
            <a:t>Metric</a:t>
          </a:r>
        </a:p>
      </dgm:t>
    </dgm:pt>
    <dgm:pt modelId="{1E91C79B-F763-45B3-A73B-361AE16C7872}" type="parTrans" cxnId="{16CD0C5D-3D08-4D41-9A6B-E1A13E0E87DC}">
      <dgm:prSet/>
      <dgm:spPr/>
      <dgm:t>
        <a:bodyPr/>
        <a:lstStyle/>
        <a:p>
          <a:endParaRPr lang="en-GB"/>
        </a:p>
      </dgm:t>
    </dgm:pt>
    <dgm:pt modelId="{B2B27FD7-98B9-49E8-BB28-2426FA5533C0}" type="sibTrans" cxnId="{16CD0C5D-3D08-4D41-9A6B-E1A13E0E87DC}">
      <dgm:prSet/>
      <dgm:spPr/>
      <dgm:t>
        <a:bodyPr/>
        <a:lstStyle/>
        <a:p>
          <a:endParaRPr lang="en-GB"/>
        </a:p>
      </dgm:t>
    </dgm:pt>
    <dgm:pt modelId="{788A64E3-947C-4DF1-98E5-BBC595F6DDB2}">
      <dgm:prSet phldrT="[Text]" custT="1"/>
      <dgm:spPr/>
      <dgm:t>
        <a:bodyPr/>
        <a:lstStyle/>
        <a:p>
          <a:r>
            <a:rPr lang="en-GB" sz="1100" b="1">
              <a:latin typeface="Arial" panose="020B0604020202020204" pitchFamily="34" charset="0"/>
              <a:cs typeface="Arial" panose="020B0604020202020204" pitchFamily="34" charset="0"/>
            </a:rPr>
            <a:t>Stakeholder satisfaction</a:t>
          </a:r>
        </a:p>
      </dgm:t>
    </dgm:pt>
    <dgm:pt modelId="{42F997FB-F14C-4F4E-8C66-1EC765C25976}" type="parTrans" cxnId="{11BCE661-3FAA-4E14-A1E2-424E844E6CBF}">
      <dgm:prSet/>
      <dgm:spPr/>
      <dgm:t>
        <a:bodyPr/>
        <a:lstStyle/>
        <a:p>
          <a:endParaRPr lang="en-GB"/>
        </a:p>
      </dgm:t>
    </dgm:pt>
    <dgm:pt modelId="{32B927BC-E66F-4547-86A6-25ECDAD8B081}" type="sibTrans" cxnId="{11BCE661-3FAA-4E14-A1E2-424E844E6CBF}">
      <dgm:prSet/>
      <dgm:spPr/>
      <dgm:t>
        <a:bodyPr/>
        <a:lstStyle/>
        <a:p>
          <a:endParaRPr lang="en-GB"/>
        </a:p>
      </dgm:t>
    </dgm:pt>
    <dgm:pt modelId="{64346C12-6DEF-45ED-942C-39173869EBFF}">
      <dgm:prSet phldrT="[Text]" custT="1"/>
      <dgm:spPr/>
      <dgm:t>
        <a:bodyPr/>
        <a:lstStyle/>
        <a:p>
          <a:r>
            <a:rPr lang="en-GB" sz="1200" b="1">
              <a:latin typeface="Arial" panose="020B0604020202020204" pitchFamily="34" charset="0"/>
              <a:cs typeface="Arial" panose="020B0604020202020204" pitchFamily="34" charset="0"/>
            </a:rPr>
            <a:t>Time-to-market</a:t>
          </a:r>
        </a:p>
      </dgm:t>
    </dgm:pt>
    <dgm:pt modelId="{BB5A9247-7CEE-43D3-AABE-47C64419ACE8}" type="parTrans" cxnId="{BEF7A273-CB1A-496A-B033-8B621F585159}">
      <dgm:prSet/>
      <dgm:spPr/>
      <dgm:t>
        <a:bodyPr/>
        <a:lstStyle/>
        <a:p>
          <a:endParaRPr lang="en-GB"/>
        </a:p>
      </dgm:t>
    </dgm:pt>
    <dgm:pt modelId="{E94598CA-2943-455B-AFCB-87B13DBDC19B}" type="sibTrans" cxnId="{BEF7A273-CB1A-496A-B033-8B621F585159}">
      <dgm:prSet/>
      <dgm:spPr/>
      <dgm:t>
        <a:bodyPr/>
        <a:lstStyle/>
        <a:p>
          <a:endParaRPr lang="en-GB"/>
        </a:p>
      </dgm:t>
    </dgm:pt>
    <dgm:pt modelId="{00B7CF58-63D6-43C7-BFFE-369A677018D4}">
      <dgm:prSet phldrT="[Text]" custT="1"/>
      <dgm:spPr/>
      <dgm:t>
        <a:bodyPr/>
        <a:lstStyle/>
        <a:p>
          <a:r>
            <a:rPr lang="en-GB" sz="1200" b="1">
              <a:latin typeface="Arial" panose="020B0604020202020204" pitchFamily="34" charset="0"/>
              <a:cs typeface="Arial" panose="020B0604020202020204" pitchFamily="34" charset="0"/>
            </a:rPr>
            <a:t>Description</a:t>
          </a:r>
        </a:p>
      </dgm:t>
    </dgm:pt>
    <dgm:pt modelId="{EB551318-C320-47F4-957F-021CC7432987}" type="parTrans" cxnId="{E9A6856E-01F5-45C3-83A7-D7F8FA4CC7BC}">
      <dgm:prSet/>
      <dgm:spPr/>
      <dgm:t>
        <a:bodyPr/>
        <a:lstStyle/>
        <a:p>
          <a:endParaRPr lang="en-GB"/>
        </a:p>
      </dgm:t>
    </dgm:pt>
    <dgm:pt modelId="{3930DD55-7B39-4D3C-8511-3D344B5E7347}" type="sibTrans" cxnId="{E9A6856E-01F5-45C3-83A7-D7F8FA4CC7BC}">
      <dgm:prSet/>
      <dgm:spPr/>
      <dgm:t>
        <a:bodyPr/>
        <a:lstStyle/>
        <a:p>
          <a:endParaRPr lang="en-GB"/>
        </a:p>
      </dgm:t>
    </dgm:pt>
    <dgm:pt modelId="{FFDD186D-74ED-4474-BD07-458BDB0F485A}">
      <dgm:prSet phldrT="[Text]" custT="1"/>
      <dgm:spPr/>
      <dgm:t>
        <a:bodyPr/>
        <a:lstStyle/>
        <a:p>
          <a:r>
            <a:rPr lang="en-GB" sz="1100" b="1">
              <a:latin typeface="Arial" panose="020B0604020202020204" pitchFamily="34" charset="0"/>
              <a:cs typeface="Arial" panose="020B0604020202020204" pitchFamily="34" charset="0"/>
            </a:rPr>
            <a:t>Measures engagement quality</a:t>
          </a:r>
        </a:p>
      </dgm:t>
    </dgm:pt>
    <dgm:pt modelId="{56BC76F1-4D0E-4641-8DF7-A972857199E7}" type="parTrans" cxnId="{9308B948-F109-45CA-A169-3603B5191115}">
      <dgm:prSet/>
      <dgm:spPr/>
      <dgm:t>
        <a:bodyPr/>
        <a:lstStyle/>
        <a:p>
          <a:endParaRPr lang="en-GB"/>
        </a:p>
      </dgm:t>
    </dgm:pt>
    <dgm:pt modelId="{22C3E243-6961-446F-A520-2BF61ACDAA3F}" type="sibTrans" cxnId="{9308B948-F109-45CA-A169-3603B5191115}">
      <dgm:prSet/>
      <dgm:spPr/>
      <dgm:t>
        <a:bodyPr/>
        <a:lstStyle/>
        <a:p>
          <a:endParaRPr lang="en-GB"/>
        </a:p>
      </dgm:t>
    </dgm:pt>
    <dgm:pt modelId="{A8ABFAD0-E542-40B0-BE40-A924036415F6}">
      <dgm:prSet phldrT="[Text]" custT="1"/>
      <dgm:spPr/>
      <dgm:t>
        <a:bodyPr/>
        <a:lstStyle/>
        <a:p>
          <a:r>
            <a:rPr lang="en-GB" sz="1100" b="1">
              <a:latin typeface="Arial" panose="020B0604020202020204" pitchFamily="34" charset="0"/>
              <a:cs typeface="Arial" panose="020B0604020202020204" pitchFamily="34" charset="0"/>
            </a:rPr>
            <a:t>Speed of project completion</a:t>
          </a:r>
        </a:p>
      </dgm:t>
    </dgm:pt>
    <dgm:pt modelId="{5F0BEFBA-C074-451D-9A2A-B2136785D552}" type="parTrans" cxnId="{EA7DDC11-F530-400B-87EF-524DC6531A07}">
      <dgm:prSet/>
      <dgm:spPr/>
      <dgm:t>
        <a:bodyPr/>
        <a:lstStyle/>
        <a:p>
          <a:endParaRPr lang="en-GB"/>
        </a:p>
      </dgm:t>
    </dgm:pt>
    <dgm:pt modelId="{0AE8310D-6B98-432A-8A07-CE2557E97283}" type="sibTrans" cxnId="{EA7DDC11-F530-400B-87EF-524DC6531A07}">
      <dgm:prSet/>
      <dgm:spPr/>
      <dgm:t>
        <a:bodyPr/>
        <a:lstStyle/>
        <a:p>
          <a:endParaRPr lang="en-GB"/>
        </a:p>
      </dgm:t>
    </dgm:pt>
    <dgm:pt modelId="{370338D3-66EF-4369-97A5-7E421D8DE968}">
      <dgm:prSet phldrT="[Text]" custT="1"/>
      <dgm:spPr/>
      <dgm:t>
        <a:bodyPr/>
        <a:lstStyle/>
        <a:p>
          <a:r>
            <a:rPr lang="en-GB" sz="1200" b="1">
              <a:latin typeface="Arial" panose="020B0604020202020204" pitchFamily="34" charset="0"/>
              <a:cs typeface="Arial" panose="020B0604020202020204" pitchFamily="34" charset="0"/>
            </a:rPr>
            <a:t>Data Source</a:t>
          </a:r>
        </a:p>
      </dgm:t>
    </dgm:pt>
    <dgm:pt modelId="{C29664C2-9FEC-4BD3-94CB-4CCD29ACD5F6}" type="parTrans" cxnId="{78F39347-D517-4264-9205-C66E33B24A39}">
      <dgm:prSet/>
      <dgm:spPr/>
      <dgm:t>
        <a:bodyPr/>
        <a:lstStyle/>
        <a:p>
          <a:endParaRPr lang="en-GB"/>
        </a:p>
      </dgm:t>
    </dgm:pt>
    <dgm:pt modelId="{35676636-62AB-4905-A54C-15DF3F54D6CE}" type="sibTrans" cxnId="{78F39347-D517-4264-9205-C66E33B24A39}">
      <dgm:prSet/>
      <dgm:spPr/>
      <dgm:t>
        <a:bodyPr/>
        <a:lstStyle/>
        <a:p>
          <a:endParaRPr lang="en-GB"/>
        </a:p>
      </dgm:t>
    </dgm:pt>
    <dgm:pt modelId="{8803470C-A051-4A38-B563-B6F6C64C5BBD}">
      <dgm:prSet phldrT="[Text]" custT="1"/>
      <dgm:spPr/>
      <dgm:t>
        <a:bodyPr/>
        <a:lstStyle/>
        <a:p>
          <a:r>
            <a:rPr lang="en-GB" sz="1100" b="1">
              <a:latin typeface="Arial" panose="020B0604020202020204" pitchFamily="34" charset="0"/>
              <a:cs typeface="Arial" panose="020B0604020202020204" pitchFamily="34" charset="0"/>
            </a:rPr>
            <a:t>Surveys</a:t>
          </a:r>
        </a:p>
      </dgm:t>
    </dgm:pt>
    <dgm:pt modelId="{87A2379B-7760-4E0A-B845-F98CCC4BDEF9}" type="parTrans" cxnId="{BBBAFC42-2F6C-41A2-96C8-A63E0321BF3B}">
      <dgm:prSet/>
      <dgm:spPr/>
      <dgm:t>
        <a:bodyPr/>
        <a:lstStyle/>
        <a:p>
          <a:endParaRPr lang="en-GB"/>
        </a:p>
      </dgm:t>
    </dgm:pt>
    <dgm:pt modelId="{293C8764-0384-4592-B2F2-12E101DE65DD}" type="sibTrans" cxnId="{BBBAFC42-2F6C-41A2-96C8-A63E0321BF3B}">
      <dgm:prSet/>
      <dgm:spPr/>
      <dgm:t>
        <a:bodyPr/>
        <a:lstStyle/>
        <a:p>
          <a:endParaRPr lang="en-GB"/>
        </a:p>
      </dgm:t>
    </dgm:pt>
    <dgm:pt modelId="{9530C0B0-59D2-4BC2-B4F5-0510779F7665}">
      <dgm:prSet phldrT="[Text]" custT="1"/>
      <dgm:spPr/>
      <dgm:t>
        <a:bodyPr/>
        <a:lstStyle/>
        <a:p>
          <a:r>
            <a:rPr lang="en-GB" sz="1100" b="1">
              <a:latin typeface="Arial" panose="020B0604020202020204" pitchFamily="34" charset="0"/>
              <a:cs typeface="Arial" panose="020B0604020202020204" pitchFamily="34" charset="0"/>
            </a:rPr>
            <a:t>Project data</a:t>
          </a:r>
        </a:p>
      </dgm:t>
    </dgm:pt>
    <dgm:pt modelId="{8AE2E8D1-4C19-4FC2-A1D1-437EE9072E30}" type="parTrans" cxnId="{42C9863A-D881-4C1B-88FE-29C29ADD0EB6}">
      <dgm:prSet/>
      <dgm:spPr/>
      <dgm:t>
        <a:bodyPr/>
        <a:lstStyle/>
        <a:p>
          <a:endParaRPr lang="en-GB"/>
        </a:p>
      </dgm:t>
    </dgm:pt>
    <dgm:pt modelId="{3B3EA2BC-4B01-4C39-84B9-E32B41ECCBBB}" type="sibTrans" cxnId="{42C9863A-D881-4C1B-88FE-29C29ADD0EB6}">
      <dgm:prSet/>
      <dgm:spPr/>
      <dgm:t>
        <a:bodyPr/>
        <a:lstStyle/>
        <a:p>
          <a:endParaRPr lang="en-GB"/>
        </a:p>
      </dgm:t>
    </dgm:pt>
    <dgm:pt modelId="{5E4B2645-28D7-4673-8ACB-1886CBAA776E}">
      <dgm:prSet custT="1"/>
      <dgm:spPr/>
      <dgm:t>
        <a:bodyPr/>
        <a:lstStyle/>
        <a:p>
          <a:r>
            <a:rPr lang="en-GB" sz="1100" b="1">
              <a:latin typeface="Arial" panose="020B0604020202020204" pitchFamily="34" charset="0"/>
              <a:cs typeface="Arial" panose="020B0604020202020204" pitchFamily="34" charset="0"/>
            </a:rPr>
            <a:t>Product adoption rate</a:t>
          </a:r>
        </a:p>
      </dgm:t>
    </dgm:pt>
    <dgm:pt modelId="{9A8C128E-64AF-436B-ADF5-6B95ADF6F050}" type="parTrans" cxnId="{911F781E-A5E1-446E-A902-C5F9956D0026}">
      <dgm:prSet/>
      <dgm:spPr/>
      <dgm:t>
        <a:bodyPr/>
        <a:lstStyle/>
        <a:p>
          <a:endParaRPr lang="en-GB"/>
        </a:p>
      </dgm:t>
    </dgm:pt>
    <dgm:pt modelId="{7EB2226B-752E-4725-B69B-B35A89742EAB}" type="sibTrans" cxnId="{911F781E-A5E1-446E-A902-C5F9956D0026}">
      <dgm:prSet/>
      <dgm:spPr/>
      <dgm:t>
        <a:bodyPr/>
        <a:lstStyle/>
        <a:p>
          <a:endParaRPr lang="en-GB"/>
        </a:p>
      </dgm:t>
    </dgm:pt>
    <dgm:pt modelId="{B5DF4FE7-AB0E-4125-8CDE-0E960DCAE34B}">
      <dgm:prSet custT="1"/>
      <dgm:spPr/>
      <dgm:t>
        <a:bodyPr/>
        <a:lstStyle/>
        <a:p>
          <a:r>
            <a:rPr lang="en-GB" sz="1100" b="1">
              <a:latin typeface="Arial" panose="020B0604020202020204" pitchFamily="34" charset="0"/>
              <a:cs typeface="Arial" panose="020B0604020202020204" pitchFamily="34" charset="0"/>
            </a:rPr>
            <a:t>Post-launch success</a:t>
          </a:r>
        </a:p>
      </dgm:t>
    </dgm:pt>
    <dgm:pt modelId="{33096005-0CE1-424B-B4D9-84871CF6A3A2}" type="parTrans" cxnId="{0FE489F5-BDFA-438B-AFB8-3C84FE0F647E}">
      <dgm:prSet/>
      <dgm:spPr/>
      <dgm:t>
        <a:bodyPr/>
        <a:lstStyle/>
        <a:p>
          <a:endParaRPr lang="en-GB"/>
        </a:p>
      </dgm:t>
    </dgm:pt>
    <dgm:pt modelId="{A7BAEC81-F2E8-4954-A922-D981FDF0505F}" type="sibTrans" cxnId="{0FE489F5-BDFA-438B-AFB8-3C84FE0F647E}">
      <dgm:prSet/>
      <dgm:spPr/>
      <dgm:t>
        <a:bodyPr/>
        <a:lstStyle/>
        <a:p>
          <a:endParaRPr lang="en-GB"/>
        </a:p>
      </dgm:t>
    </dgm:pt>
    <dgm:pt modelId="{5028C5A1-008E-4802-8890-58684B037A11}">
      <dgm:prSet custT="1"/>
      <dgm:spPr/>
      <dgm:t>
        <a:bodyPr/>
        <a:lstStyle/>
        <a:p>
          <a:r>
            <a:rPr lang="en-GB" sz="1100" b="1">
              <a:latin typeface="Arial" panose="020B0604020202020204" pitchFamily="34" charset="0"/>
              <a:cs typeface="Arial" panose="020B0604020202020204" pitchFamily="34" charset="0"/>
            </a:rPr>
            <a:t>Sales reports</a:t>
          </a:r>
        </a:p>
      </dgm:t>
    </dgm:pt>
    <dgm:pt modelId="{CCF0B074-AABF-4BD2-A502-ECE77081AD4E}" type="parTrans" cxnId="{A1BFA949-0826-48D2-A3C7-E0B875BFBE17}">
      <dgm:prSet/>
      <dgm:spPr/>
      <dgm:t>
        <a:bodyPr/>
        <a:lstStyle/>
        <a:p>
          <a:endParaRPr lang="en-GB"/>
        </a:p>
      </dgm:t>
    </dgm:pt>
    <dgm:pt modelId="{2A38D232-0C46-425C-97A0-53D0A787BB5C}" type="sibTrans" cxnId="{A1BFA949-0826-48D2-A3C7-E0B875BFBE17}">
      <dgm:prSet/>
      <dgm:spPr/>
      <dgm:t>
        <a:bodyPr/>
        <a:lstStyle/>
        <a:p>
          <a:endParaRPr lang="en-GB"/>
        </a:p>
      </dgm:t>
    </dgm:pt>
    <dgm:pt modelId="{04BCAD4F-F261-4BD3-A444-7811BDC84427}">
      <dgm:prSet custT="1"/>
      <dgm:spPr/>
      <dgm:t>
        <a:bodyPr/>
        <a:lstStyle/>
        <a:p>
          <a:r>
            <a:rPr lang="en-GB" sz="1100" b="1">
              <a:latin typeface="Arial" panose="020B0604020202020204" pitchFamily="34" charset="0"/>
              <a:cs typeface="Arial" panose="020B0604020202020204" pitchFamily="34" charset="0"/>
            </a:rPr>
            <a:t>Compliance success</a:t>
          </a:r>
        </a:p>
      </dgm:t>
    </dgm:pt>
    <dgm:pt modelId="{6530BED8-6FE6-451F-983D-39CFBEED17E7}" type="parTrans" cxnId="{DA8C88FF-D446-4E28-BE9D-50019E97270A}">
      <dgm:prSet/>
      <dgm:spPr/>
      <dgm:t>
        <a:bodyPr/>
        <a:lstStyle/>
        <a:p>
          <a:endParaRPr lang="en-GB"/>
        </a:p>
      </dgm:t>
    </dgm:pt>
    <dgm:pt modelId="{55FC24BC-18BC-493C-A92C-1CC147199013}" type="sibTrans" cxnId="{DA8C88FF-D446-4E28-BE9D-50019E97270A}">
      <dgm:prSet/>
      <dgm:spPr/>
      <dgm:t>
        <a:bodyPr/>
        <a:lstStyle/>
        <a:p>
          <a:endParaRPr lang="en-GB"/>
        </a:p>
      </dgm:t>
    </dgm:pt>
    <dgm:pt modelId="{91232BAE-613E-4091-BF80-3CE453B6B67A}">
      <dgm:prSet custT="1"/>
      <dgm:spPr/>
      <dgm:t>
        <a:bodyPr/>
        <a:lstStyle/>
        <a:p>
          <a:r>
            <a:rPr lang="en-GB" sz="1100" b="1" i="0">
              <a:latin typeface="Arial" panose="020B0604020202020204" pitchFamily="34" charset="0"/>
              <a:cs typeface="Arial" panose="020B0604020202020204" pitchFamily="34" charset="0"/>
            </a:rPr>
            <a:t>Regulatory approvals</a:t>
          </a:r>
        </a:p>
      </dgm:t>
    </dgm:pt>
    <dgm:pt modelId="{15B24FEC-76AA-4414-903B-398A7F95C0A1}" type="parTrans" cxnId="{F9766F23-8CB9-49EF-A76B-FE42FCADE677}">
      <dgm:prSet/>
      <dgm:spPr/>
      <dgm:t>
        <a:bodyPr/>
        <a:lstStyle/>
        <a:p>
          <a:endParaRPr lang="en-GB"/>
        </a:p>
      </dgm:t>
    </dgm:pt>
    <dgm:pt modelId="{70E1042E-6112-41EF-8D30-32DD756C36B0}" type="sibTrans" cxnId="{F9766F23-8CB9-49EF-A76B-FE42FCADE677}">
      <dgm:prSet/>
      <dgm:spPr/>
      <dgm:t>
        <a:bodyPr/>
        <a:lstStyle/>
        <a:p>
          <a:endParaRPr lang="en-GB"/>
        </a:p>
      </dgm:t>
    </dgm:pt>
    <dgm:pt modelId="{FBADDFE9-2F05-4E44-8865-0293689A4A6B}">
      <dgm:prSet custT="1"/>
      <dgm:spPr/>
      <dgm:t>
        <a:bodyPr/>
        <a:lstStyle/>
        <a:p>
          <a:r>
            <a:rPr lang="en-GB" sz="1100" b="1">
              <a:latin typeface="Arial" panose="020B0604020202020204" pitchFamily="34" charset="0"/>
              <a:cs typeface="Arial" panose="020B0604020202020204" pitchFamily="34" charset="0"/>
            </a:rPr>
            <a:t>Legal reports</a:t>
          </a:r>
        </a:p>
      </dgm:t>
    </dgm:pt>
    <dgm:pt modelId="{B6EB508F-4160-478D-96E9-A8F296AFEE77}" type="parTrans" cxnId="{709B0D6F-BE20-42D5-A58E-C37CA6E1DA7E}">
      <dgm:prSet/>
      <dgm:spPr/>
      <dgm:t>
        <a:bodyPr/>
        <a:lstStyle/>
        <a:p>
          <a:endParaRPr lang="en-GB"/>
        </a:p>
      </dgm:t>
    </dgm:pt>
    <dgm:pt modelId="{44E3C2AD-4237-40D8-8A1F-0B31A0DCD9E1}" type="sibTrans" cxnId="{709B0D6F-BE20-42D5-A58E-C37CA6E1DA7E}">
      <dgm:prSet/>
      <dgm:spPr/>
      <dgm:t>
        <a:bodyPr/>
        <a:lstStyle/>
        <a:p>
          <a:endParaRPr lang="en-GB"/>
        </a:p>
      </dgm:t>
    </dgm:pt>
    <dgm:pt modelId="{8EDCEB16-225F-43AD-900F-2E9F2BEC82A0}" type="pres">
      <dgm:prSet presAssocID="{F7598C4E-E2B6-401A-A5D3-2DC2414BB020}" presName="theList" presStyleCnt="0">
        <dgm:presLayoutVars>
          <dgm:dir/>
          <dgm:animLvl val="lvl"/>
          <dgm:resizeHandles val="exact"/>
        </dgm:presLayoutVars>
      </dgm:prSet>
      <dgm:spPr/>
    </dgm:pt>
    <dgm:pt modelId="{7C2A5972-9550-4ABC-B41E-450CEDF566CB}" type="pres">
      <dgm:prSet presAssocID="{15D4E316-2088-48E8-BB3F-1701E4FEBC8B}" presName="compNode" presStyleCnt="0"/>
      <dgm:spPr/>
    </dgm:pt>
    <dgm:pt modelId="{C1C62F7F-10D0-481E-8DE2-A5014C098922}" type="pres">
      <dgm:prSet presAssocID="{15D4E316-2088-48E8-BB3F-1701E4FEBC8B}" presName="aNode" presStyleLbl="bgShp" presStyleIdx="0" presStyleCnt="3" custScaleX="90559"/>
      <dgm:spPr/>
    </dgm:pt>
    <dgm:pt modelId="{9366B52E-3A72-47E7-ABEF-AD1B1EB59EA1}" type="pres">
      <dgm:prSet presAssocID="{15D4E316-2088-48E8-BB3F-1701E4FEBC8B}" presName="textNode" presStyleLbl="bgShp" presStyleIdx="0" presStyleCnt="3"/>
      <dgm:spPr/>
    </dgm:pt>
    <dgm:pt modelId="{4E6498AF-A8DF-46C9-8818-CB79A0A94A81}" type="pres">
      <dgm:prSet presAssocID="{15D4E316-2088-48E8-BB3F-1701E4FEBC8B}" presName="compChildNode" presStyleCnt="0"/>
      <dgm:spPr/>
    </dgm:pt>
    <dgm:pt modelId="{3EDC1729-1E63-44E7-BA50-EB090573995A}" type="pres">
      <dgm:prSet presAssocID="{15D4E316-2088-48E8-BB3F-1701E4FEBC8B}" presName="theInnerList" presStyleCnt="0"/>
      <dgm:spPr/>
    </dgm:pt>
    <dgm:pt modelId="{8105A3F4-C0AF-4D92-B596-DCF74400237F}" type="pres">
      <dgm:prSet presAssocID="{788A64E3-947C-4DF1-98E5-BBC595F6DDB2}" presName="childNode" presStyleLbl="node1" presStyleIdx="0" presStyleCnt="12">
        <dgm:presLayoutVars>
          <dgm:bulletEnabled val="1"/>
        </dgm:presLayoutVars>
      </dgm:prSet>
      <dgm:spPr/>
    </dgm:pt>
    <dgm:pt modelId="{BC0F9A7A-B28E-4B00-BC97-CD4435399067}" type="pres">
      <dgm:prSet presAssocID="{788A64E3-947C-4DF1-98E5-BBC595F6DDB2}" presName="aSpace2" presStyleCnt="0"/>
      <dgm:spPr/>
    </dgm:pt>
    <dgm:pt modelId="{E3685C89-77FB-424D-B69B-38670D6AA446}" type="pres">
      <dgm:prSet presAssocID="{64346C12-6DEF-45ED-942C-39173869EBFF}" presName="childNode" presStyleLbl="node1" presStyleIdx="1" presStyleCnt="12">
        <dgm:presLayoutVars>
          <dgm:bulletEnabled val="1"/>
        </dgm:presLayoutVars>
      </dgm:prSet>
      <dgm:spPr/>
    </dgm:pt>
    <dgm:pt modelId="{0172C80B-68C7-4D8F-BCA3-67D74B652972}" type="pres">
      <dgm:prSet presAssocID="{64346C12-6DEF-45ED-942C-39173869EBFF}" presName="aSpace2" presStyleCnt="0"/>
      <dgm:spPr/>
    </dgm:pt>
    <dgm:pt modelId="{E5981DB4-47C8-4021-B71D-6CA7CB0A5ABC}" type="pres">
      <dgm:prSet presAssocID="{5E4B2645-28D7-4673-8ACB-1886CBAA776E}" presName="childNode" presStyleLbl="node1" presStyleIdx="2" presStyleCnt="12">
        <dgm:presLayoutVars>
          <dgm:bulletEnabled val="1"/>
        </dgm:presLayoutVars>
      </dgm:prSet>
      <dgm:spPr/>
    </dgm:pt>
    <dgm:pt modelId="{2752529A-08BF-4FF9-ABAD-A2005E813587}" type="pres">
      <dgm:prSet presAssocID="{5E4B2645-28D7-4673-8ACB-1886CBAA776E}" presName="aSpace2" presStyleCnt="0"/>
      <dgm:spPr/>
    </dgm:pt>
    <dgm:pt modelId="{D4AB5809-7FB9-42CB-B732-A05D94D518A1}" type="pres">
      <dgm:prSet presAssocID="{04BCAD4F-F261-4BD3-A444-7811BDC84427}" presName="childNode" presStyleLbl="node1" presStyleIdx="3" presStyleCnt="12">
        <dgm:presLayoutVars>
          <dgm:bulletEnabled val="1"/>
        </dgm:presLayoutVars>
      </dgm:prSet>
      <dgm:spPr/>
    </dgm:pt>
    <dgm:pt modelId="{C2022271-556C-46D4-A748-3E9CAE52AE70}" type="pres">
      <dgm:prSet presAssocID="{15D4E316-2088-48E8-BB3F-1701E4FEBC8B}" presName="aSpace" presStyleCnt="0"/>
      <dgm:spPr/>
    </dgm:pt>
    <dgm:pt modelId="{A3A99713-19AE-4F29-AADE-9CB633DF06EC}" type="pres">
      <dgm:prSet presAssocID="{00B7CF58-63D6-43C7-BFFE-369A677018D4}" presName="compNode" presStyleCnt="0"/>
      <dgm:spPr/>
    </dgm:pt>
    <dgm:pt modelId="{7BC246C8-6AC0-45A5-901E-7F243C54956B}" type="pres">
      <dgm:prSet presAssocID="{00B7CF58-63D6-43C7-BFFE-369A677018D4}" presName="aNode" presStyleLbl="bgShp" presStyleIdx="1" presStyleCnt="3"/>
      <dgm:spPr/>
    </dgm:pt>
    <dgm:pt modelId="{3F415A09-2DD2-4B6B-9411-BF9BAA49172A}" type="pres">
      <dgm:prSet presAssocID="{00B7CF58-63D6-43C7-BFFE-369A677018D4}" presName="textNode" presStyleLbl="bgShp" presStyleIdx="1" presStyleCnt="3"/>
      <dgm:spPr/>
    </dgm:pt>
    <dgm:pt modelId="{0BD7E97B-8D7B-49BB-9C00-1F0FF88197FF}" type="pres">
      <dgm:prSet presAssocID="{00B7CF58-63D6-43C7-BFFE-369A677018D4}" presName="compChildNode" presStyleCnt="0"/>
      <dgm:spPr/>
    </dgm:pt>
    <dgm:pt modelId="{F4C994ED-5D58-4830-8126-7CF5DF9EFB12}" type="pres">
      <dgm:prSet presAssocID="{00B7CF58-63D6-43C7-BFFE-369A677018D4}" presName="theInnerList" presStyleCnt="0"/>
      <dgm:spPr/>
    </dgm:pt>
    <dgm:pt modelId="{9C3D8E23-6396-494B-A926-B1EC7B6C5725}" type="pres">
      <dgm:prSet presAssocID="{FFDD186D-74ED-4474-BD07-458BDB0F485A}" presName="childNode" presStyleLbl="node1" presStyleIdx="4" presStyleCnt="12">
        <dgm:presLayoutVars>
          <dgm:bulletEnabled val="1"/>
        </dgm:presLayoutVars>
      </dgm:prSet>
      <dgm:spPr/>
    </dgm:pt>
    <dgm:pt modelId="{6FD80F65-38C0-423E-BA0E-E54001F2A977}" type="pres">
      <dgm:prSet presAssocID="{FFDD186D-74ED-4474-BD07-458BDB0F485A}" presName="aSpace2" presStyleCnt="0"/>
      <dgm:spPr/>
    </dgm:pt>
    <dgm:pt modelId="{7B646D30-2742-4024-8135-6A6BEA489C8A}" type="pres">
      <dgm:prSet presAssocID="{A8ABFAD0-E542-40B0-BE40-A924036415F6}" presName="childNode" presStyleLbl="node1" presStyleIdx="5" presStyleCnt="12">
        <dgm:presLayoutVars>
          <dgm:bulletEnabled val="1"/>
        </dgm:presLayoutVars>
      </dgm:prSet>
      <dgm:spPr/>
    </dgm:pt>
    <dgm:pt modelId="{DD35E5CE-C6F3-43A8-B973-F1DE86165127}" type="pres">
      <dgm:prSet presAssocID="{A8ABFAD0-E542-40B0-BE40-A924036415F6}" presName="aSpace2" presStyleCnt="0"/>
      <dgm:spPr/>
    </dgm:pt>
    <dgm:pt modelId="{3708FDD5-7BA2-4892-B76C-81942624029A}" type="pres">
      <dgm:prSet presAssocID="{B5DF4FE7-AB0E-4125-8CDE-0E960DCAE34B}" presName="childNode" presStyleLbl="node1" presStyleIdx="6" presStyleCnt="12">
        <dgm:presLayoutVars>
          <dgm:bulletEnabled val="1"/>
        </dgm:presLayoutVars>
      </dgm:prSet>
      <dgm:spPr/>
    </dgm:pt>
    <dgm:pt modelId="{F59C1C79-D575-49CA-9866-1BE1D33C4A33}" type="pres">
      <dgm:prSet presAssocID="{B5DF4FE7-AB0E-4125-8CDE-0E960DCAE34B}" presName="aSpace2" presStyleCnt="0"/>
      <dgm:spPr/>
    </dgm:pt>
    <dgm:pt modelId="{28666268-6D96-4883-8CE4-63FD04995EF9}" type="pres">
      <dgm:prSet presAssocID="{91232BAE-613E-4091-BF80-3CE453B6B67A}" presName="childNode" presStyleLbl="node1" presStyleIdx="7" presStyleCnt="12">
        <dgm:presLayoutVars>
          <dgm:bulletEnabled val="1"/>
        </dgm:presLayoutVars>
      </dgm:prSet>
      <dgm:spPr/>
    </dgm:pt>
    <dgm:pt modelId="{36459C5A-1993-4183-AC5C-D52B28232593}" type="pres">
      <dgm:prSet presAssocID="{00B7CF58-63D6-43C7-BFFE-369A677018D4}" presName="aSpace" presStyleCnt="0"/>
      <dgm:spPr/>
    </dgm:pt>
    <dgm:pt modelId="{837705EE-784F-48B2-B686-80C0D03DD8CD}" type="pres">
      <dgm:prSet presAssocID="{370338D3-66EF-4369-97A5-7E421D8DE968}" presName="compNode" presStyleCnt="0"/>
      <dgm:spPr/>
    </dgm:pt>
    <dgm:pt modelId="{3B60989E-0AAB-4839-86CE-CA20F6884BB0}" type="pres">
      <dgm:prSet presAssocID="{370338D3-66EF-4369-97A5-7E421D8DE968}" presName="aNode" presStyleLbl="bgShp" presStyleIdx="2" presStyleCnt="3"/>
      <dgm:spPr/>
    </dgm:pt>
    <dgm:pt modelId="{93DCF9EB-7D9B-4656-9687-5D22A8067881}" type="pres">
      <dgm:prSet presAssocID="{370338D3-66EF-4369-97A5-7E421D8DE968}" presName="textNode" presStyleLbl="bgShp" presStyleIdx="2" presStyleCnt="3"/>
      <dgm:spPr/>
    </dgm:pt>
    <dgm:pt modelId="{25E68339-EF44-4FCA-9519-9C8E70CAAAC4}" type="pres">
      <dgm:prSet presAssocID="{370338D3-66EF-4369-97A5-7E421D8DE968}" presName="compChildNode" presStyleCnt="0"/>
      <dgm:spPr/>
    </dgm:pt>
    <dgm:pt modelId="{80959E44-FA69-402D-AA34-855DBAC32079}" type="pres">
      <dgm:prSet presAssocID="{370338D3-66EF-4369-97A5-7E421D8DE968}" presName="theInnerList" presStyleCnt="0"/>
      <dgm:spPr/>
    </dgm:pt>
    <dgm:pt modelId="{BBCB0A3F-1D7C-46A4-AFDE-64AB756F9899}" type="pres">
      <dgm:prSet presAssocID="{8803470C-A051-4A38-B563-B6F6C64C5BBD}" presName="childNode" presStyleLbl="node1" presStyleIdx="8" presStyleCnt="12">
        <dgm:presLayoutVars>
          <dgm:bulletEnabled val="1"/>
        </dgm:presLayoutVars>
      </dgm:prSet>
      <dgm:spPr/>
    </dgm:pt>
    <dgm:pt modelId="{49D07FA7-23FC-41B0-AE21-3DFCF70A1908}" type="pres">
      <dgm:prSet presAssocID="{8803470C-A051-4A38-B563-B6F6C64C5BBD}" presName="aSpace2" presStyleCnt="0"/>
      <dgm:spPr/>
    </dgm:pt>
    <dgm:pt modelId="{F96D753C-A181-4796-945E-B802BE518DC7}" type="pres">
      <dgm:prSet presAssocID="{9530C0B0-59D2-4BC2-B4F5-0510779F7665}" presName="childNode" presStyleLbl="node1" presStyleIdx="9" presStyleCnt="12">
        <dgm:presLayoutVars>
          <dgm:bulletEnabled val="1"/>
        </dgm:presLayoutVars>
      </dgm:prSet>
      <dgm:spPr/>
    </dgm:pt>
    <dgm:pt modelId="{7B950509-CC1A-4864-8977-3FEF4CBA7AC3}" type="pres">
      <dgm:prSet presAssocID="{9530C0B0-59D2-4BC2-B4F5-0510779F7665}" presName="aSpace2" presStyleCnt="0"/>
      <dgm:spPr/>
    </dgm:pt>
    <dgm:pt modelId="{C0506417-3753-4C40-B609-8952B8118E01}" type="pres">
      <dgm:prSet presAssocID="{5028C5A1-008E-4802-8890-58684B037A11}" presName="childNode" presStyleLbl="node1" presStyleIdx="10" presStyleCnt="12">
        <dgm:presLayoutVars>
          <dgm:bulletEnabled val="1"/>
        </dgm:presLayoutVars>
      </dgm:prSet>
      <dgm:spPr/>
    </dgm:pt>
    <dgm:pt modelId="{6F99AF0D-9355-4FC1-BBB1-4B92EFC7D705}" type="pres">
      <dgm:prSet presAssocID="{5028C5A1-008E-4802-8890-58684B037A11}" presName="aSpace2" presStyleCnt="0"/>
      <dgm:spPr/>
    </dgm:pt>
    <dgm:pt modelId="{5B1BDC8D-97F6-49B9-A0E0-791FDC2B0262}" type="pres">
      <dgm:prSet presAssocID="{FBADDFE9-2F05-4E44-8865-0293689A4A6B}" presName="childNode" presStyleLbl="node1" presStyleIdx="11" presStyleCnt="12">
        <dgm:presLayoutVars>
          <dgm:bulletEnabled val="1"/>
        </dgm:presLayoutVars>
      </dgm:prSet>
      <dgm:spPr/>
    </dgm:pt>
  </dgm:ptLst>
  <dgm:cxnLst>
    <dgm:cxn modelId="{EA7DDC11-F530-400B-87EF-524DC6531A07}" srcId="{00B7CF58-63D6-43C7-BFFE-369A677018D4}" destId="{A8ABFAD0-E542-40B0-BE40-A924036415F6}" srcOrd="1" destOrd="0" parTransId="{5F0BEFBA-C074-451D-9A2A-B2136785D552}" sibTransId="{0AE8310D-6B98-432A-8A07-CE2557E97283}"/>
    <dgm:cxn modelId="{1B899418-2AF3-4ED9-BDA9-B2768D844673}" type="presOf" srcId="{9530C0B0-59D2-4BC2-B4F5-0510779F7665}" destId="{F96D753C-A181-4796-945E-B802BE518DC7}" srcOrd="0" destOrd="0" presId="urn:microsoft.com/office/officeart/2005/8/layout/lProcess2"/>
    <dgm:cxn modelId="{911F781E-A5E1-446E-A902-C5F9956D0026}" srcId="{15D4E316-2088-48E8-BB3F-1701E4FEBC8B}" destId="{5E4B2645-28D7-4673-8ACB-1886CBAA776E}" srcOrd="2" destOrd="0" parTransId="{9A8C128E-64AF-436B-ADF5-6B95ADF6F050}" sibTransId="{7EB2226B-752E-4725-B69B-B35A89742EAB}"/>
    <dgm:cxn modelId="{F9766F23-8CB9-49EF-A76B-FE42FCADE677}" srcId="{00B7CF58-63D6-43C7-BFFE-369A677018D4}" destId="{91232BAE-613E-4091-BF80-3CE453B6B67A}" srcOrd="3" destOrd="0" parTransId="{15B24FEC-76AA-4414-903B-398A7F95C0A1}" sibTransId="{70E1042E-6112-41EF-8D30-32DD756C36B0}"/>
    <dgm:cxn modelId="{26AC5526-196F-4F41-BECA-EAE59946D2A5}" type="presOf" srcId="{64346C12-6DEF-45ED-942C-39173869EBFF}" destId="{E3685C89-77FB-424D-B69B-38670D6AA446}" srcOrd="0" destOrd="0" presId="urn:microsoft.com/office/officeart/2005/8/layout/lProcess2"/>
    <dgm:cxn modelId="{17CC8830-4583-434B-A7FE-73EEE883DCA2}" type="presOf" srcId="{91232BAE-613E-4091-BF80-3CE453B6B67A}" destId="{28666268-6D96-4883-8CE4-63FD04995EF9}" srcOrd="0" destOrd="0" presId="urn:microsoft.com/office/officeart/2005/8/layout/lProcess2"/>
    <dgm:cxn modelId="{42C9863A-D881-4C1B-88FE-29C29ADD0EB6}" srcId="{370338D3-66EF-4369-97A5-7E421D8DE968}" destId="{9530C0B0-59D2-4BC2-B4F5-0510779F7665}" srcOrd="1" destOrd="0" parTransId="{8AE2E8D1-4C19-4FC2-A1D1-437EE9072E30}" sibTransId="{3B3EA2BC-4B01-4C39-84B9-E32B41ECCBBB}"/>
    <dgm:cxn modelId="{16CD0C5D-3D08-4D41-9A6B-E1A13E0E87DC}" srcId="{F7598C4E-E2B6-401A-A5D3-2DC2414BB020}" destId="{15D4E316-2088-48E8-BB3F-1701E4FEBC8B}" srcOrd="0" destOrd="0" parTransId="{1E91C79B-F763-45B3-A73B-361AE16C7872}" sibTransId="{B2B27FD7-98B9-49E8-BB28-2426FA5533C0}"/>
    <dgm:cxn modelId="{E01F9C5D-E659-45C0-8651-3445598EE64C}" type="presOf" srcId="{00B7CF58-63D6-43C7-BFFE-369A677018D4}" destId="{7BC246C8-6AC0-45A5-901E-7F243C54956B}" srcOrd="0" destOrd="0" presId="urn:microsoft.com/office/officeart/2005/8/layout/lProcess2"/>
    <dgm:cxn modelId="{11BCE661-3FAA-4E14-A1E2-424E844E6CBF}" srcId="{15D4E316-2088-48E8-BB3F-1701E4FEBC8B}" destId="{788A64E3-947C-4DF1-98E5-BBC595F6DDB2}" srcOrd="0" destOrd="0" parTransId="{42F997FB-F14C-4F4E-8C66-1EC765C25976}" sibTransId="{32B927BC-E66F-4547-86A6-25ECDAD8B081}"/>
    <dgm:cxn modelId="{258AAC62-DFDD-49DD-BC9F-C5924DBBA71D}" type="presOf" srcId="{04BCAD4F-F261-4BD3-A444-7811BDC84427}" destId="{D4AB5809-7FB9-42CB-B732-A05D94D518A1}" srcOrd="0" destOrd="0" presId="urn:microsoft.com/office/officeart/2005/8/layout/lProcess2"/>
    <dgm:cxn modelId="{BBBAFC42-2F6C-41A2-96C8-A63E0321BF3B}" srcId="{370338D3-66EF-4369-97A5-7E421D8DE968}" destId="{8803470C-A051-4A38-B563-B6F6C64C5BBD}" srcOrd="0" destOrd="0" parTransId="{87A2379B-7760-4E0A-B845-F98CCC4BDEF9}" sibTransId="{293C8764-0384-4592-B2F2-12E101DE65DD}"/>
    <dgm:cxn modelId="{EDC54666-9AD8-4C68-9AE8-727805361C69}" type="presOf" srcId="{FFDD186D-74ED-4474-BD07-458BDB0F485A}" destId="{9C3D8E23-6396-494B-A926-B1EC7B6C5725}" srcOrd="0" destOrd="0" presId="urn:microsoft.com/office/officeart/2005/8/layout/lProcess2"/>
    <dgm:cxn modelId="{46C26946-9030-44A0-91AF-465ADBE10662}" type="presOf" srcId="{A8ABFAD0-E542-40B0-BE40-A924036415F6}" destId="{7B646D30-2742-4024-8135-6A6BEA489C8A}" srcOrd="0" destOrd="0" presId="urn:microsoft.com/office/officeart/2005/8/layout/lProcess2"/>
    <dgm:cxn modelId="{968C0147-FD95-405C-B0C5-0BE42141CF1E}" type="presOf" srcId="{FBADDFE9-2F05-4E44-8865-0293689A4A6B}" destId="{5B1BDC8D-97F6-49B9-A0E0-791FDC2B0262}" srcOrd="0" destOrd="0" presId="urn:microsoft.com/office/officeart/2005/8/layout/lProcess2"/>
    <dgm:cxn modelId="{78F39347-D517-4264-9205-C66E33B24A39}" srcId="{F7598C4E-E2B6-401A-A5D3-2DC2414BB020}" destId="{370338D3-66EF-4369-97A5-7E421D8DE968}" srcOrd="2" destOrd="0" parTransId="{C29664C2-9FEC-4BD3-94CB-4CCD29ACD5F6}" sibTransId="{35676636-62AB-4905-A54C-15DF3F54D6CE}"/>
    <dgm:cxn modelId="{9308B948-F109-45CA-A169-3603B5191115}" srcId="{00B7CF58-63D6-43C7-BFFE-369A677018D4}" destId="{FFDD186D-74ED-4474-BD07-458BDB0F485A}" srcOrd="0" destOrd="0" parTransId="{56BC76F1-4D0E-4641-8DF7-A972857199E7}" sibTransId="{22C3E243-6961-446F-A520-2BF61ACDAA3F}"/>
    <dgm:cxn modelId="{A1BFA949-0826-48D2-A3C7-E0B875BFBE17}" srcId="{370338D3-66EF-4369-97A5-7E421D8DE968}" destId="{5028C5A1-008E-4802-8890-58684B037A11}" srcOrd="2" destOrd="0" parTransId="{CCF0B074-AABF-4BD2-A502-ECE77081AD4E}" sibTransId="{2A38D232-0C46-425C-97A0-53D0A787BB5C}"/>
    <dgm:cxn modelId="{E9A6856E-01F5-45C3-83A7-D7F8FA4CC7BC}" srcId="{F7598C4E-E2B6-401A-A5D3-2DC2414BB020}" destId="{00B7CF58-63D6-43C7-BFFE-369A677018D4}" srcOrd="1" destOrd="0" parTransId="{EB551318-C320-47F4-957F-021CC7432987}" sibTransId="{3930DD55-7B39-4D3C-8511-3D344B5E7347}"/>
    <dgm:cxn modelId="{709B0D6F-BE20-42D5-A58E-C37CA6E1DA7E}" srcId="{370338D3-66EF-4369-97A5-7E421D8DE968}" destId="{FBADDFE9-2F05-4E44-8865-0293689A4A6B}" srcOrd="3" destOrd="0" parTransId="{B6EB508F-4160-478D-96E9-A8F296AFEE77}" sibTransId="{44E3C2AD-4237-40D8-8A1F-0B31A0DCD9E1}"/>
    <dgm:cxn modelId="{99F54770-FFFD-4361-997C-C21E8ED3BFB6}" type="presOf" srcId="{F7598C4E-E2B6-401A-A5D3-2DC2414BB020}" destId="{8EDCEB16-225F-43AD-900F-2E9F2BEC82A0}" srcOrd="0" destOrd="0" presId="urn:microsoft.com/office/officeart/2005/8/layout/lProcess2"/>
    <dgm:cxn modelId="{BEF7A273-CB1A-496A-B033-8B621F585159}" srcId="{15D4E316-2088-48E8-BB3F-1701E4FEBC8B}" destId="{64346C12-6DEF-45ED-942C-39173869EBFF}" srcOrd="1" destOrd="0" parTransId="{BB5A9247-7CEE-43D3-AABE-47C64419ACE8}" sibTransId="{E94598CA-2943-455B-AFCB-87B13DBDC19B}"/>
    <dgm:cxn modelId="{5EA72554-51C3-42B2-94B8-E1AD99BF747E}" type="presOf" srcId="{8803470C-A051-4A38-B563-B6F6C64C5BBD}" destId="{BBCB0A3F-1D7C-46A4-AFDE-64AB756F9899}" srcOrd="0" destOrd="0" presId="urn:microsoft.com/office/officeart/2005/8/layout/lProcess2"/>
    <dgm:cxn modelId="{E6E38D74-F587-4A96-9422-05A27E4250A6}" type="presOf" srcId="{370338D3-66EF-4369-97A5-7E421D8DE968}" destId="{93DCF9EB-7D9B-4656-9687-5D22A8067881}" srcOrd="1" destOrd="0" presId="urn:microsoft.com/office/officeart/2005/8/layout/lProcess2"/>
    <dgm:cxn modelId="{15455A92-1163-49F4-99CF-37E68D0F81C7}" type="presOf" srcId="{370338D3-66EF-4369-97A5-7E421D8DE968}" destId="{3B60989E-0AAB-4839-86CE-CA20F6884BB0}" srcOrd="0" destOrd="0" presId="urn:microsoft.com/office/officeart/2005/8/layout/lProcess2"/>
    <dgm:cxn modelId="{71415B94-EAD0-4BE1-9C61-EB2EF20B35A5}" type="presOf" srcId="{5E4B2645-28D7-4673-8ACB-1886CBAA776E}" destId="{E5981DB4-47C8-4021-B71D-6CA7CB0A5ABC}" srcOrd="0" destOrd="0" presId="urn:microsoft.com/office/officeart/2005/8/layout/lProcess2"/>
    <dgm:cxn modelId="{11E80EA4-1816-471E-890F-2F3BBDF2CE13}" type="presOf" srcId="{788A64E3-947C-4DF1-98E5-BBC595F6DDB2}" destId="{8105A3F4-C0AF-4D92-B596-DCF74400237F}" srcOrd="0" destOrd="0" presId="urn:microsoft.com/office/officeart/2005/8/layout/lProcess2"/>
    <dgm:cxn modelId="{65A174A8-7412-4FCE-87D4-F3B9EAE42662}" type="presOf" srcId="{15D4E316-2088-48E8-BB3F-1701E4FEBC8B}" destId="{9366B52E-3A72-47E7-ABEF-AD1B1EB59EA1}" srcOrd="1" destOrd="0" presId="urn:microsoft.com/office/officeart/2005/8/layout/lProcess2"/>
    <dgm:cxn modelId="{815642C4-793E-4139-9FC6-39215E4B2C40}" type="presOf" srcId="{15D4E316-2088-48E8-BB3F-1701E4FEBC8B}" destId="{C1C62F7F-10D0-481E-8DE2-A5014C098922}" srcOrd="0" destOrd="0" presId="urn:microsoft.com/office/officeart/2005/8/layout/lProcess2"/>
    <dgm:cxn modelId="{549FCCCE-A3A7-4211-9F05-A31ED8C8ECAE}" type="presOf" srcId="{00B7CF58-63D6-43C7-BFFE-369A677018D4}" destId="{3F415A09-2DD2-4B6B-9411-BF9BAA49172A}" srcOrd="1" destOrd="0" presId="urn:microsoft.com/office/officeart/2005/8/layout/lProcess2"/>
    <dgm:cxn modelId="{02B968DE-7EBF-4CFB-90B8-BF829755EA49}" type="presOf" srcId="{5028C5A1-008E-4802-8890-58684B037A11}" destId="{C0506417-3753-4C40-B609-8952B8118E01}" srcOrd="0" destOrd="0" presId="urn:microsoft.com/office/officeart/2005/8/layout/lProcess2"/>
    <dgm:cxn modelId="{BC34DFED-3B84-4F58-BA1D-AEE8C41585D3}" type="presOf" srcId="{B5DF4FE7-AB0E-4125-8CDE-0E960DCAE34B}" destId="{3708FDD5-7BA2-4892-B76C-81942624029A}" srcOrd="0" destOrd="0" presId="urn:microsoft.com/office/officeart/2005/8/layout/lProcess2"/>
    <dgm:cxn modelId="{0FE489F5-BDFA-438B-AFB8-3C84FE0F647E}" srcId="{00B7CF58-63D6-43C7-BFFE-369A677018D4}" destId="{B5DF4FE7-AB0E-4125-8CDE-0E960DCAE34B}" srcOrd="2" destOrd="0" parTransId="{33096005-0CE1-424B-B4D9-84871CF6A3A2}" sibTransId="{A7BAEC81-F2E8-4954-A922-D981FDF0505F}"/>
    <dgm:cxn modelId="{DA8C88FF-D446-4E28-BE9D-50019E97270A}" srcId="{15D4E316-2088-48E8-BB3F-1701E4FEBC8B}" destId="{04BCAD4F-F261-4BD3-A444-7811BDC84427}" srcOrd="3" destOrd="0" parTransId="{6530BED8-6FE6-451F-983D-39CFBEED17E7}" sibTransId="{55FC24BC-18BC-493C-A92C-1CC147199013}"/>
    <dgm:cxn modelId="{6C34326B-40B0-4A63-B378-5AF7157BE802}" type="presParOf" srcId="{8EDCEB16-225F-43AD-900F-2E9F2BEC82A0}" destId="{7C2A5972-9550-4ABC-B41E-450CEDF566CB}" srcOrd="0" destOrd="0" presId="urn:microsoft.com/office/officeart/2005/8/layout/lProcess2"/>
    <dgm:cxn modelId="{30F38177-7EF7-4E29-8920-5EC1A7603977}" type="presParOf" srcId="{7C2A5972-9550-4ABC-B41E-450CEDF566CB}" destId="{C1C62F7F-10D0-481E-8DE2-A5014C098922}" srcOrd="0" destOrd="0" presId="urn:microsoft.com/office/officeart/2005/8/layout/lProcess2"/>
    <dgm:cxn modelId="{58638678-A9D6-417E-9916-3B204B5D68CD}" type="presParOf" srcId="{7C2A5972-9550-4ABC-B41E-450CEDF566CB}" destId="{9366B52E-3A72-47E7-ABEF-AD1B1EB59EA1}" srcOrd="1" destOrd="0" presId="urn:microsoft.com/office/officeart/2005/8/layout/lProcess2"/>
    <dgm:cxn modelId="{8E7E50D4-1B4B-4417-992B-794445490A6E}" type="presParOf" srcId="{7C2A5972-9550-4ABC-B41E-450CEDF566CB}" destId="{4E6498AF-A8DF-46C9-8818-CB79A0A94A81}" srcOrd="2" destOrd="0" presId="urn:microsoft.com/office/officeart/2005/8/layout/lProcess2"/>
    <dgm:cxn modelId="{3B03A7EE-03C6-4194-B894-DE57A044680D}" type="presParOf" srcId="{4E6498AF-A8DF-46C9-8818-CB79A0A94A81}" destId="{3EDC1729-1E63-44E7-BA50-EB090573995A}" srcOrd="0" destOrd="0" presId="urn:microsoft.com/office/officeart/2005/8/layout/lProcess2"/>
    <dgm:cxn modelId="{7AEFF247-B3E2-4EB9-B001-E1C439491D7C}" type="presParOf" srcId="{3EDC1729-1E63-44E7-BA50-EB090573995A}" destId="{8105A3F4-C0AF-4D92-B596-DCF74400237F}" srcOrd="0" destOrd="0" presId="urn:microsoft.com/office/officeart/2005/8/layout/lProcess2"/>
    <dgm:cxn modelId="{2FA25DEF-95B5-4CDB-BD66-25DB91744BE0}" type="presParOf" srcId="{3EDC1729-1E63-44E7-BA50-EB090573995A}" destId="{BC0F9A7A-B28E-4B00-BC97-CD4435399067}" srcOrd="1" destOrd="0" presId="urn:microsoft.com/office/officeart/2005/8/layout/lProcess2"/>
    <dgm:cxn modelId="{265F10CF-124C-4221-9B67-81D4D1FE278A}" type="presParOf" srcId="{3EDC1729-1E63-44E7-BA50-EB090573995A}" destId="{E3685C89-77FB-424D-B69B-38670D6AA446}" srcOrd="2" destOrd="0" presId="urn:microsoft.com/office/officeart/2005/8/layout/lProcess2"/>
    <dgm:cxn modelId="{F66B4206-47E9-4C12-8342-A9F98E929684}" type="presParOf" srcId="{3EDC1729-1E63-44E7-BA50-EB090573995A}" destId="{0172C80B-68C7-4D8F-BCA3-67D74B652972}" srcOrd="3" destOrd="0" presId="urn:microsoft.com/office/officeart/2005/8/layout/lProcess2"/>
    <dgm:cxn modelId="{74F2FE5D-9207-4102-84AA-092D81B11C0C}" type="presParOf" srcId="{3EDC1729-1E63-44E7-BA50-EB090573995A}" destId="{E5981DB4-47C8-4021-B71D-6CA7CB0A5ABC}" srcOrd="4" destOrd="0" presId="urn:microsoft.com/office/officeart/2005/8/layout/lProcess2"/>
    <dgm:cxn modelId="{7169FF4E-AEA9-4537-8F53-CCA31B6210E4}" type="presParOf" srcId="{3EDC1729-1E63-44E7-BA50-EB090573995A}" destId="{2752529A-08BF-4FF9-ABAD-A2005E813587}" srcOrd="5" destOrd="0" presId="urn:microsoft.com/office/officeart/2005/8/layout/lProcess2"/>
    <dgm:cxn modelId="{A1CEF571-3BD2-4790-AF59-D6828BC466C6}" type="presParOf" srcId="{3EDC1729-1E63-44E7-BA50-EB090573995A}" destId="{D4AB5809-7FB9-42CB-B732-A05D94D518A1}" srcOrd="6" destOrd="0" presId="urn:microsoft.com/office/officeart/2005/8/layout/lProcess2"/>
    <dgm:cxn modelId="{85D8408C-A005-477F-94AA-C2E7EBE4350F}" type="presParOf" srcId="{8EDCEB16-225F-43AD-900F-2E9F2BEC82A0}" destId="{C2022271-556C-46D4-A748-3E9CAE52AE70}" srcOrd="1" destOrd="0" presId="urn:microsoft.com/office/officeart/2005/8/layout/lProcess2"/>
    <dgm:cxn modelId="{9331C464-4F32-4603-876C-C18423E28634}" type="presParOf" srcId="{8EDCEB16-225F-43AD-900F-2E9F2BEC82A0}" destId="{A3A99713-19AE-4F29-AADE-9CB633DF06EC}" srcOrd="2" destOrd="0" presId="urn:microsoft.com/office/officeart/2005/8/layout/lProcess2"/>
    <dgm:cxn modelId="{7F94E1F9-9842-46CF-A4BD-8C29A8061AC2}" type="presParOf" srcId="{A3A99713-19AE-4F29-AADE-9CB633DF06EC}" destId="{7BC246C8-6AC0-45A5-901E-7F243C54956B}" srcOrd="0" destOrd="0" presId="urn:microsoft.com/office/officeart/2005/8/layout/lProcess2"/>
    <dgm:cxn modelId="{24EE3D68-89DD-4252-A1DC-5FAAB7669F6E}" type="presParOf" srcId="{A3A99713-19AE-4F29-AADE-9CB633DF06EC}" destId="{3F415A09-2DD2-4B6B-9411-BF9BAA49172A}" srcOrd="1" destOrd="0" presId="urn:microsoft.com/office/officeart/2005/8/layout/lProcess2"/>
    <dgm:cxn modelId="{2BB263FF-20D4-455B-85D0-BFD141991317}" type="presParOf" srcId="{A3A99713-19AE-4F29-AADE-9CB633DF06EC}" destId="{0BD7E97B-8D7B-49BB-9C00-1F0FF88197FF}" srcOrd="2" destOrd="0" presId="urn:microsoft.com/office/officeart/2005/8/layout/lProcess2"/>
    <dgm:cxn modelId="{EC97772D-FB45-4A40-8AFB-CF68CC024293}" type="presParOf" srcId="{0BD7E97B-8D7B-49BB-9C00-1F0FF88197FF}" destId="{F4C994ED-5D58-4830-8126-7CF5DF9EFB12}" srcOrd="0" destOrd="0" presId="urn:microsoft.com/office/officeart/2005/8/layout/lProcess2"/>
    <dgm:cxn modelId="{44A7712A-D72F-445D-B4B1-FC84DD2C6D82}" type="presParOf" srcId="{F4C994ED-5D58-4830-8126-7CF5DF9EFB12}" destId="{9C3D8E23-6396-494B-A926-B1EC7B6C5725}" srcOrd="0" destOrd="0" presId="urn:microsoft.com/office/officeart/2005/8/layout/lProcess2"/>
    <dgm:cxn modelId="{0E46C42D-D9E3-4683-80B4-C5A13D2863AC}" type="presParOf" srcId="{F4C994ED-5D58-4830-8126-7CF5DF9EFB12}" destId="{6FD80F65-38C0-423E-BA0E-E54001F2A977}" srcOrd="1" destOrd="0" presId="urn:microsoft.com/office/officeart/2005/8/layout/lProcess2"/>
    <dgm:cxn modelId="{CA547339-7B53-4DF1-B873-4032E7E9F0E0}" type="presParOf" srcId="{F4C994ED-5D58-4830-8126-7CF5DF9EFB12}" destId="{7B646D30-2742-4024-8135-6A6BEA489C8A}" srcOrd="2" destOrd="0" presId="urn:microsoft.com/office/officeart/2005/8/layout/lProcess2"/>
    <dgm:cxn modelId="{15A17821-2596-426C-9292-22BC85460A68}" type="presParOf" srcId="{F4C994ED-5D58-4830-8126-7CF5DF9EFB12}" destId="{DD35E5CE-C6F3-43A8-B973-F1DE86165127}" srcOrd="3" destOrd="0" presId="urn:microsoft.com/office/officeart/2005/8/layout/lProcess2"/>
    <dgm:cxn modelId="{48775F69-A7C8-4142-B5D7-F8802110177C}" type="presParOf" srcId="{F4C994ED-5D58-4830-8126-7CF5DF9EFB12}" destId="{3708FDD5-7BA2-4892-B76C-81942624029A}" srcOrd="4" destOrd="0" presId="urn:microsoft.com/office/officeart/2005/8/layout/lProcess2"/>
    <dgm:cxn modelId="{4354CAB9-4C23-4E84-8D87-5339AA0E2665}" type="presParOf" srcId="{F4C994ED-5D58-4830-8126-7CF5DF9EFB12}" destId="{F59C1C79-D575-49CA-9866-1BE1D33C4A33}" srcOrd="5" destOrd="0" presId="urn:microsoft.com/office/officeart/2005/8/layout/lProcess2"/>
    <dgm:cxn modelId="{45DB8C64-E0AC-45DA-93F8-DB41778A3AAD}" type="presParOf" srcId="{F4C994ED-5D58-4830-8126-7CF5DF9EFB12}" destId="{28666268-6D96-4883-8CE4-63FD04995EF9}" srcOrd="6" destOrd="0" presId="urn:microsoft.com/office/officeart/2005/8/layout/lProcess2"/>
    <dgm:cxn modelId="{7F404429-6BEE-4A14-8279-8BBE7F5A8967}" type="presParOf" srcId="{8EDCEB16-225F-43AD-900F-2E9F2BEC82A0}" destId="{36459C5A-1993-4183-AC5C-D52B28232593}" srcOrd="3" destOrd="0" presId="urn:microsoft.com/office/officeart/2005/8/layout/lProcess2"/>
    <dgm:cxn modelId="{5345820D-2DBE-4134-B45F-0AF4BEBA24EC}" type="presParOf" srcId="{8EDCEB16-225F-43AD-900F-2E9F2BEC82A0}" destId="{837705EE-784F-48B2-B686-80C0D03DD8CD}" srcOrd="4" destOrd="0" presId="urn:microsoft.com/office/officeart/2005/8/layout/lProcess2"/>
    <dgm:cxn modelId="{F0A7140F-BAE9-486F-ADDB-CF22344278F0}" type="presParOf" srcId="{837705EE-784F-48B2-B686-80C0D03DD8CD}" destId="{3B60989E-0AAB-4839-86CE-CA20F6884BB0}" srcOrd="0" destOrd="0" presId="urn:microsoft.com/office/officeart/2005/8/layout/lProcess2"/>
    <dgm:cxn modelId="{E379A8DD-6C77-467D-B028-8EC9A8E136D9}" type="presParOf" srcId="{837705EE-784F-48B2-B686-80C0D03DD8CD}" destId="{93DCF9EB-7D9B-4656-9687-5D22A8067881}" srcOrd="1" destOrd="0" presId="urn:microsoft.com/office/officeart/2005/8/layout/lProcess2"/>
    <dgm:cxn modelId="{FECE12B9-DEDF-4F01-B6C3-A432D60B22F1}" type="presParOf" srcId="{837705EE-784F-48B2-B686-80C0D03DD8CD}" destId="{25E68339-EF44-4FCA-9519-9C8E70CAAAC4}" srcOrd="2" destOrd="0" presId="urn:microsoft.com/office/officeart/2005/8/layout/lProcess2"/>
    <dgm:cxn modelId="{47B8BB20-EE94-4FD3-A578-CAD1959FA843}" type="presParOf" srcId="{25E68339-EF44-4FCA-9519-9C8E70CAAAC4}" destId="{80959E44-FA69-402D-AA34-855DBAC32079}" srcOrd="0" destOrd="0" presId="urn:microsoft.com/office/officeart/2005/8/layout/lProcess2"/>
    <dgm:cxn modelId="{FF85139E-07C1-407D-AB4F-5D26CA6E77D7}" type="presParOf" srcId="{80959E44-FA69-402D-AA34-855DBAC32079}" destId="{BBCB0A3F-1D7C-46A4-AFDE-64AB756F9899}" srcOrd="0" destOrd="0" presId="urn:microsoft.com/office/officeart/2005/8/layout/lProcess2"/>
    <dgm:cxn modelId="{4B4C88D3-0E7B-4B84-A5BB-716BF38DAB44}" type="presParOf" srcId="{80959E44-FA69-402D-AA34-855DBAC32079}" destId="{49D07FA7-23FC-41B0-AE21-3DFCF70A1908}" srcOrd="1" destOrd="0" presId="urn:microsoft.com/office/officeart/2005/8/layout/lProcess2"/>
    <dgm:cxn modelId="{200935EF-1C2B-4D04-9E2E-3009653BFC1F}" type="presParOf" srcId="{80959E44-FA69-402D-AA34-855DBAC32079}" destId="{F96D753C-A181-4796-945E-B802BE518DC7}" srcOrd="2" destOrd="0" presId="urn:microsoft.com/office/officeart/2005/8/layout/lProcess2"/>
    <dgm:cxn modelId="{016B2A57-96DE-446C-A1A1-EC19BDC58DE3}" type="presParOf" srcId="{80959E44-FA69-402D-AA34-855DBAC32079}" destId="{7B950509-CC1A-4864-8977-3FEF4CBA7AC3}" srcOrd="3" destOrd="0" presId="urn:microsoft.com/office/officeart/2005/8/layout/lProcess2"/>
    <dgm:cxn modelId="{E3D388E2-664F-454D-85BF-40BB0753EF8D}" type="presParOf" srcId="{80959E44-FA69-402D-AA34-855DBAC32079}" destId="{C0506417-3753-4C40-B609-8952B8118E01}" srcOrd="4" destOrd="0" presId="urn:microsoft.com/office/officeart/2005/8/layout/lProcess2"/>
    <dgm:cxn modelId="{501D6625-E899-43AC-B376-A8259832F0CD}" type="presParOf" srcId="{80959E44-FA69-402D-AA34-855DBAC32079}" destId="{6F99AF0D-9355-4FC1-BBB1-4B92EFC7D705}" srcOrd="5" destOrd="0" presId="urn:microsoft.com/office/officeart/2005/8/layout/lProcess2"/>
    <dgm:cxn modelId="{E08DB86D-CBF4-458B-B36C-CC1C0F23ABD3}" type="presParOf" srcId="{80959E44-FA69-402D-AA34-855DBAC32079}" destId="{5B1BDC8D-97F6-49B9-A0E0-791FDC2B0262}" srcOrd="6" destOrd="0" presId="urn:microsoft.com/office/officeart/2005/8/layout/lProcess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90933E-77FD-46EB-AE96-A7FB158A050F}">
      <dsp:nvSpPr>
        <dsp:cNvPr id="0" name=""/>
        <dsp:cNvSpPr/>
      </dsp:nvSpPr>
      <dsp:spPr>
        <a:xfrm>
          <a:off x="1470" y="109956"/>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Power / Interest</a:t>
          </a:r>
        </a:p>
      </dsp:txBody>
      <dsp:txXfrm>
        <a:off x="455812" y="109956"/>
        <a:ext cx="1363028" cy="908684"/>
      </dsp:txXfrm>
    </dsp:sp>
    <dsp:sp modelId="{561F4168-8110-4EF8-9876-EB5E14746E6F}">
      <dsp:nvSpPr>
        <dsp:cNvPr id="0" name=""/>
        <dsp:cNvSpPr/>
      </dsp:nvSpPr>
      <dsp:spPr>
        <a:xfrm>
          <a:off x="1977860" y="187194"/>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High Interest</a:t>
          </a:r>
        </a:p>
      </dsp:txBody>
      <dsp:txXfrm>
        <a:off x="2354964" y="187194"/>
        <a:ext cx="1131313" cy="754208"/>
      </dsp:txXfrm>
    </dsp:sp>
    <dsp:sp modelId="{3D82F9B9-52DA-4CFC-8E16-03311D79D0F1}">
      <dsp:nvSpPr>
        <dsp:cNvPr id="0" name=""/>
        <dsp:cNvSpPr/>
      </dsp:nvSpPr>
      <dsp:spPr>
        <a:xfrm>
          <a:off x="3600878" y="187194"/>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Low Interest</a:t>
          </a:r>
        </a:p>
      </dsp:txBody>
      <dsp:txXfrm>
        <a:off x="3977982" y="187194"/>
        <a:ext cx="1131313" cy="754208"/>
      </dsp:txXfrm>
    </dsp:sp>
    <dsp:sp modelId="{C3722BE9-0C8A-4811-AEB3-46C9B6FDA241}">
      <dsp:nvSpPr>
        <dsp:cNvPr id="0" name=""/>
        <dsp:cNvSpPr/>
      </dsp:nvSpPr>
      <dsp:spPr>
        <a:xfrm>
          <a:off x="1470" y="1145857"/>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High Power</a:t>
          </a:r>
        </a:p>
      </dsp:txBody>
      <dsp:txXfrm>
        <a:off x="455812" y="1145857"/>
        <a:ext cx="1363028" cy="908684"/>
      </dsp:txXfrm>
    </dsp:sp>
    <dsp:sp modelId="{CD358C90-083D-4ADB-A5AB-F42D31CC43D0}">
      <dsp:nvSpPr>
        <dsp:cNvPr id="0" name=""/>
        <dsp:cNvSpPr/>
      </dsp:nvSpPr>
      <dsp:spPr>
        <a:xfrm>
          <a:off x="1977860" y="1223095"/>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Senior Management, Regulators, Investors</a:t>
          </a:r>
        </a:p>
      </dsp:txBody>
      <dsp:txXfrm>
        <a:off x="2354964" y="1223095"/>
        <a:ext cx="1131313" cy="754208"/>
      </dsp:txXfrm>
    </dsp:sp>
    <dsp:sp modelId="{90C17B82-6371-4B83-8647-36B701A3DF74}">
      <dsp:nvSpPr>
        <dsp:cNvPr id="0" name=""/>
        <dsp:cNvSpPr/>
      </dsp:nvSpPr>
      <dsp:spPr>
        <a:xfrm>
          <a:off x="3599408" y="1223095"/>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Government Bodies</a:t>
          </a:r>
        </a:p>
      </dsp:txBody>
      <dsp:txXfrm>
        <a:off x="3976512" y="1223095"/>
        <a:ext cx="1131313" cy="754208"/>
      </dsp:txXfrm>
    </dsp:sp>
    <dsp:sp modelId="{6F7C23D8-6833-43D9-9B34-50F2F7F7B5B3}">
      <dsp:nvSpPr>
        <dsp:cNvPr id="0" name=""/>
        <dsp:cNvSpPr/>
      </dsp:nvSpPr>
      <dsp:spPr>
        <a:xfrm>
          <a:off x="1470" y="2181758"/>
          <a:ext cx="2271712" cy="9086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Low Power</a:t>
          </a:r>
        </a:p>
      </dsp:txBody>
      <dsp:txXfrm>
        <a:off x="455812" y="2181758"/>
        <a:ext cx="1363028" cy="908684"/>
      </dsp:txXfrm>
    </dsp:sp>
    <dsp:sp modelId="{55623491-8CFF-4938-B161-853BC9710ED8}">
      <dsp:nvSpPr>
        <dsp:cNvPr id="0" name=""/>
        <dsp:cNvSpPr/>
      </dsp:nvSpPr>
      <dsp:spPr>
        <a:xfrm>
          <a:off x="1977860" y="2258996"/>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Consumers, Media</a:t>
          </a:r>
        </a:p>
      </dsp:txBody>
      <dsp:txXfrm>
        <a:off x="2354964" y="2258996"/>
        <a:ext cx="1131313" cy="754208"/>
      </dsp:txXfrm>
    </dsp:sp>
    <dsp:sp modelId="{36D76F0F-578C-4893-8707-3C390D8B0B79}">
      <dsp:nvSpPr>
        <dsp:cNvPr id="0" name=""/>
        <dsp:cNvSpPr/>
      </dsp:nvSpPr>
      <dsp:spPr>
        <a:xfrm>
          <a:off x="3599408" y="2258996"/>
          <a:ext cx="1885521" cy="754208"/>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6510" tIns="8255" rIns="0" bIns="8255" numCol="1" spcCol="1270" anchor="ctr" anchorCtr="0">
          <a:noAutofit/>
        </a:bodyPr>
        <a:lstStyle/>
        <a:p>
          <a:pPr marL="0" lvl="0" indent="0" algn="ctr" defTabSz="577850">
            <a:lnSpc>
              <a:spcPct val="90000"/>
            </a:lnSpc>
            <a:spcBef>
              <a:spcPct val="0"/>
            </a:spcBef>
            <a:spcAft>
              <a:spcPct val="35000"/>
            </a:spcAft>
            <a:buNone/>
          </a:pPr>
          <a:r>
            <a:rPr lang="en-GB" sz="1300" kern="1200"/>
            <a:t>Peripheral Suppliers</a:t>
          </a:r>
        </a:p>
      </dsp:txBody>
      <dsp:txXfrm>
        <a:off x="3976512" y="2258996"/>
        <a:ext cx="1131313" cy="7542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C62F7F-10D0-481E-8DE2-A5014C098922}">
      <dsp:nvSpPr>
        <dsp:cNvPr id="0" name=""/>
        <dsp:cNvSpPr/>
      </dsp:nvSpPr>
      <dsp:spPr>
        <a:xfrm>
          <a:off x="1083" y="0"/>
          <a:ext cx="1742804" cy="349758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Metric</a:t>
          </a:r>
        </a:p>
      </dsp:txBody>
      <dsp:txXfrm>
        <a:off x="1083" y="0"/>
        <a:ext cx="1742804" cy="1049274"/>
      </dsp:txXfrm>
    </dsp:sp>
    <dsp:sp modelId="{8105A3F4-C0AF-4D92-B596-DCF74400237F}">
      <dsp:nvSpPr>
        <dsp:cNvPr id="0" name=""/>
        <dsp:cNvSpPr/>
      </dsp:nvSpPr>
      <dsp:spPr>
        <a:xfrm>
          <a:off x="102687" y="1049359"/>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Stakeholder satisfaction</a:t>
          </a:r>
        </a:p>
      </dsp:txBody>
      <dsp:txXfrm>
        <a:off x="117610" y="1064282"/>
        <a:ext cx="1509751" cy="479676"/>
      </dsp:txXfrm>
    </dsp:sp>
    <dsp:sp modelId="{E3685C89-77FB-424D-B69B-38670D6AA446}">
      <dsp:nvSpPr>
        <dsp:cNvPr id="0" name=""/>
        <dsp:cNvSpPr/>
      </dsp:nvSpPr>
      <dsp:spPr>
        <a:xfrm>
          <a:off x="102687" y="1637270"/>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Time-to-market</a:t>
          </a:r>
        </a:p>
      </dsp:txBody>
      <dsp:txXfrm>
        <a:off x="117610" y="1652193"/>
        <a:ext cx="1509751" cy="479676"/>
      </dsp:txXfrm>
    </dsp:sp>
    <dsp:sp modelId="{E5981DB4-47C8-4021-B71D-6CA7CB0A5ABC}">
      <dsp:nvSpPr>
        <dsp:cNvPr id="0" name=""/>
        <dsp:cNvSpPr/>
      </dsp:nvSpPr>
      <dsp:spPr>
        <a:xfrm>
          <a:off x="102687" y="2225181"/>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Product adoption rate</a:t>
          </a:r>
        </a:p>
      </dsp:txBody>
      <dsp:txXfrm>
        <a:off x="117610" y="2240104"/>
        <a:ext cx="1509751" cy="479676"/>
      </dsp:txXfrm>
    </dsp:sp>
    <dsp:sp modelId="{D4AB5809-7FB9-42CB-B732-A05D94D518A1}">
      <dsp:nvSpPr>
        <dsp:cNvPr id="0" name=""/>
        <dsp:cNvSpPr/>
      </dsp:nvSpPr>
      <dsp:spPr>
        <a:xfrm>
          <a:off x="102687" y="2813092"/>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Compliance success</a:t>
          </a:r>
        </a:p>
      </dsp:txBody>
      <dsp:txXfrm>
        <a:off x="117610" y="2828015"/>
        <a:ext cx="1509751" cy="479676"/>
      </dsp:txXfrm>
    </dsp:sp>
    <dsp:sp modelId="{7BC246C8-6AC0-45A5-901E-7F243C54956B}">
      <dsp:nvSpPr>
        <dsp:cNvPr id="0" name=""/>
        <dsp:cNvSpPr/>
      </dsp:nvSpPr>
      <dsp:spPr>
        <a:xfrm>
          <a:off x="1888225" y="0"/>
          <a:ext cx="1924496" cy="349758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Description</a:t>
          </a:r>
        </a:p>
      </dsp:txBody>
      <dsp:txXfrm>
        <a:off x="1888225" y="0"/>
        <a:ext cx="1924496" cy="1049274"/>
      </dsp:txXfrm>
    </dsp:sp>
    <dsp:sp modelId="{9C3D8E23-6396-494B-A926-B1EC7B6C5725}">
      <dsp:nvSpPr>
        <dsp:cNvPr id="0" name=""/>
        <dsp:cNvSpPr/>
      </dsp:nvSpPr>
      <dsp:spPr>
        <a:xfrm>
          <a:off x="2080675" y="1049359"/>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Measures engagement quality</a:t>
          </a:r>
        </a:p>
      </dsp:txBody>
      <dsp:txXfrm>
        <a:off x="2095598" y="1064282"/>
        <a:ext cx="1509751" cy="479676"/>
      </dsp:txXfrm>
    </dsp:sp>
    <dsp:sp modelId="{7B646D30-2742-4024-8135-6A6BEA489C8A}">
      <dsp:nvSpPr>
        <dsp:cNvPr id="0" name=""/>
        <dsp:cNvSpPr/>
      </dsp:nvSpPr>
      <dsp:spPr>
        <a:xfrm>
          <a:off x="2080675" y="1637270"/>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Speed of project completion</a:t>
          </a:r>
        </a:p>
      </dsp:txBody>
      <dsp:txXfrm>
        <a:off x="2095598" y="1652193"/>
        <a:ext cx="1509751" cy="479676"/>
      </dsp:txXfrm>
    </dsp:sp>
    <dsp:sp modelId="{3708FDD5-7BA2-4892-B76C-81942624029A}">
      <dsp:nvSpPr>
        <dsp:cNvPr id="0" name=""/>
        <dsp:cNvSpPr/>
      </dsp:nvSpPr>
      <dsp:spPr>
        <a:xfrm>
          <a:off x="2080675" y="2225181"/>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Post-launch success</a:t>
          </a:r>
        </a:p>
      </dsp:txBody>
      <dsp:txXfrm>
        <a:off x="2095598" y="2240104"/>
        <a:ext cx="1509751" cy="479676"/>
      </dsp:txXfrm>
    </dsp:sp>
    <dsp:sp modelId="{28666268-6D96-4883-8CE4-63FD04995EF9}">
      <dsp:nvSpPr>
        <dsp:cNvPr id="0" name=""/>
        <dsp:cNvSpPr/>
      </dsp:nvSpPr>
      <dsp:spPr>
        <a:xfrm>
          <a:off x="2080675" y="2813092"/>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Arial" panose="020B0604020202020204" pitchFamily="34" charset="0"/>
              <a:cs typeface="Arial" panose="020B0604020202020204" pitchFamily="34" charset="0"/>
            </a:rPr>
            <a:t>Regulatory approvals</a:t>
          </a:r>
        </a:p>
      </dsp:txBody>
      <dsp:txXfrm>
        <a:off x="2095598" y="2828015"/>
        <a:ext cx="1509751" cy="479676"/>
      </dsp:txXfrm>
    </dsp:sp>
    <dsp:sp modelId="{3B60989E-0AAB-4839-86CE-CA20F6884BB0}">
      <dsp:nvSpPr>
        <dsp:cNvPr id="0" name=""/>
        <dsp:cNvSpPr/>
      </dsp:nvSpPr>
      <dsp:spPr>
        <a:xfrm>
          <a:off x="3957059" y="0"/>
          <a:ext cx="1924496" cy="349758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Data Source</a:t>
          </a:r>
        </a:p>
      </dsp:txBody>
      <dsp:txXfrm>
        <a:off x="3957059" y="0"/>
        <a:ext cx="1924496" cy="1049274"/>
      </dsp:txXfrm>
    </dsp:sp>
    <dsp:sp modelId="{BBCB0A3F-1D7C-46A4-AFDE-64AB756F9899}">
      <dsp:nvSpPr>
        <dsp:cNvPr id="0" name=""/>
        <dsp:cNvSpPr/>
      </dsp:nvSpPr>
      <dsp:spPr>
        <a:xfrm>
          <a:off x="4149509" y="1049359"/>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Surveys</a:t>
          </a:r>
        </a:p>
      </dsp:txBody>
      <dsp:txXfrm>
        <a:off x="4164432" y="1064282"/>
        <a:ext cx="1509751" cy="479676"/>
      </dsp:txXfrm>
    </dsp:sp>
    <dsp:sp modelId="{F96D753C-A181-4796-945E-B802BE518DC7}">
      <dsp:nvSpPr>
        <dsp:cNvPr id="0" name=""/>
        <dsp:cNvSpPr/>
      </dsp:nvSpPr>
      <dsp:spPr>
        <a:xfrm>
          <a:off x="4149509" y="1637270"/>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Project data</a:t>
          </a:r>
        </a:p>
      </dsp:txBody>
      <dsp:txXfrm>
        <a:off x="4164432" y="1652193"/>
        <a:ext cx="1509751" cy="479676"/>
      </dsp:txXfrm>
    </dsp:sp>
    <dsp:sp modelId="{C0506417-3753-4C40-B609-8952B8118E01}">
      <dsp:nvSpPr>
        <dsp:cNvPr id="0" name=""/>
        <dsp:cNvSpPr/>
      </dsp:nvSpPr>
      <dsp:spPr>
        <a:xfrm>
          <a:off x="4149509" y="2225181"/>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Sales reports</a:t>
          </a:r>
        </a:p>
      </dsp:txBody>
      <dsp:txXfrm>
        <a:off x="4164432" y="2240104"/>
        <a:ext cx="1509751" cy="479676"/>
      </dsp:txXfrm>
    </dsp:sp>
    <dsp:sp modelId="{5B1BDC8D-97F6-49B9-A0E0-791FDC2B0262}">
      <dsp:nvSpPr>
        <dsp:cNvPr id="0" name=""/>
        <dsp:cNvSpPr/>
      </dsp:nvSpPr>
      <dsp:spPr>
        <a:xfrm>
          <a:off x="4149509" y="2813092"/>
          <a:ext cx="1539597" cy="509522"/>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7940" tIns="20955" rIns="27940" bIns="2095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Legal reports</a:t>
          </a:r>
        </a:p>
      </dsp:txBody>
      <dsp:txXfrm>
        <a:off x="4164432" y="2828015"/>
        <a:ext cx="1509751" cy="479676"/>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0068E-4BAE-4FBE-BE70-B31191605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3892</TotalTime>
  <Pages>21</Pages>
  <Words>4692</Words>
  <Characters>26745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161</cp:revision>
  <dcterms:created xsi:type="dcterms:W3CDTF">2025-10-24T21:51:00Z</dcterms:created>
  <dcterms:modified xsi:type="dcterms:W3CDTF">2025-11-16T21:43:00Z</dcterms:modified>
</cp:coreProperties>
</file>