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EB5C27" w14:textId="78511057" w:rsidR="00DD7E8F" w:rsidRDefault="00B34DCC" w:rsidP="00DD7E8F">
      <w:pPr>
        <w:spacing w:line="360" w:lineRule="auto"/>
        <w:rPr>
          <w:rFonts w:ascii="Arial" w:hAnsi="Arial" w:cs="Arial"/>
          <w:sz w:val="22"/>
          <w:szCs w:val="22"/>
        </w:rPr>
      </w:pPr>
      <w:r w:rsidRPr="002130CB">
        <w:rPr>
          <w:rFonts w:ascii="Arial" w:hAnsi="Arial" w:cs="Arial"/>
          <w:sz w:val="22"/>
          <w:szCs w:val="22"/>
        </w:rPr>
        <w:tab/>
      </w:r>
      <w:r w:rsidR="00F828E0" w:rsidRPr="009242E5">
        <w:rPr>
          <w:rFonts w:ascii="Arial" w:hAnsi="Arial" w:cs="Arial"/>
          <w:sz w:val="22"/>
          <w:szCs w:val="22"/>
        </w:rPr>
        <w:t xml:space="preserve">This essay </w:t>
      </w:r>
      <w:r w:rsidR="00F367D0" w:rsidRPr="009242E5">
        <w:rPr>
          <w:rFonts w:ascii="Arial" w:hAnsi="Arial" w:cs="Arial"/>
          <w:sz w:val="22"/>
          <w:szCs w:val="22"/>
        </w:rPr>
        <w:t xml:space="preserve">examines a case study on individuals, </w:t>
      </w:r>
      <w:r w:rsidR="00B33C28" w:rsidRPr="009242E5">
        <w:rPr>
          <w:rFonts w:ascii="Arial" w:hAnsi="Arial" w:cs="Arial"/>
          <w:sz w:val="22"/>
          <w:szCs w:val="22"/>
        </w:rPr>
        <w:t xml:space="preserve">who have been involved within an observed </w:t>
      </w:r>
      <w:r w:rsidR="007E57F8" w:rsidRPr="009242E5">
        <w:rPr>
          <w:rFonts w:ascii="Arial" w:hAnsi="Arial" w:cs="Arial"/>
          <w:sz w:val="22"/>
          <w:szCs w:val="22"/>
        </w:rPr>
        <w:t>critical</w:t>
      </w:r>
      <w:r w:rsidR="00B33C28" w:rsidRPr="009242E5">
        <w:rPr>
          <w:rFonts w:ascii="Arial" w:hAnsi="Arial" w:cs="Arial"/>
          <w:sz w:val="22"/>
          <w:szCs w:val="22"/>
        </w:rPr>
        <w:t xml:space="preserve"> incident. </w:t>
      </w:r>
      <w:r w:rsidR="00D42D19">
        <w:rPr>
          <w:rFonts w:ascii="Arial" w:hAnsi="Arial" w:cs="Arial"/>
          <w:sz w:val="22"/>
          <w:szCs w:val="22"/>
        </w:rPr>
        <w:t xml:space="preserve">There will be an identification of the potential next </w:t>
      </w:r>
      <w:r w:rsidR="003D7C7D">
        <w:rPr>
          <w:rFonts w:ascii="Arial" w:hAnsi="Arial" w:cs="Arial"/>
          <w:sz w:val="22"/>
          <w:szCs w:val="22"/>
        </w:rPr>
        <w:t xml:space="preserve">teaching and learning </w:t>
      </w:r>
      <w:r w:rsidR="00D42D19">
        <w:rPr>
          <w:rFonts w:ascii="Arial" w:hAnsi="Arial" w:cs="Arial"/>
          <w:sz w:val="22"/>
          <w:szCs w:val="22"/>
        </w:rPr>
        <w:t xml:space="preserve">steps, </w:t>
      </w:r>
      <w:r w:rsidR="003D7C7D">
        <w:rPr>
          <w:rFonts w:ascii="Arial" w:hAnsi="Arial" w:cs="Arial"/>
          <w:sz w:val="22"/>
          <w:szCs w:val="22"/>
        </w:rPr>
        <w:t>alongside a personal reflection of the incident in question.</w:t>
      </w:r>
    </w:p>
    <w:p w14:paraId="45EFCB41" w14:textId="4D67C0CE" w:rsidR="00632988" w:rsidRDefault="00DD7E8F" w:rsidP="00DD7E8F">
      <w:pPr>
        <w:spacing w:line="360" w:lineRule="auto"/>
        <w:rPr>
          <w:rFonts w:ascii="Arial" w:hAnsi="Arial" w:cs="Arial"/>
          <w:sz w:val="22"/>
          <w:szCs w:val="22"/>
        </w:rPr>
      </w:pPr>
      <w:r>
        <w:rPr>
          <w:rFonts w:ascii="Arial" w:hAnsi="Arial" w:cs="Arial"/>
          <w:sz w:val="22"/>
          <w:szCs w:val="22"/>
        </w:rPr>
        <w:tab/>
      </w:r>
      <w:r w:rsidR="00A63734">
        <w:rPr>
          <w:rFonts w:ascii="Arial" w:hAnsi="Arial" w:cs="Arial"/>
          <w:sz w:val="22"/>
          <w:szCs w:val="22"/>
        </w:rPr>
        <w:t xml:space="preserve">A critical incident is often something unexpected, and out of place within a daily routine (Department of Education, 2019). </w:t>
      </w:r>
      <w:r w:rsidR="0024168A">
        <w:rPr>
          <w:rFonts w:ascii="Arial" w:hAnsi="Arial" w:cs="Arial"/>
          <w:sz w:val="22"/>
          <w:szCs w:val="22"/>
        </w:rPr>
        <w:t xml:space="preserve">It </w:t>
      </w:r>
      <w:r w:rsidR="005D3615">
        <w:rPr>
          <w:rFonts w:ascii="Arial" w:hAnsi="Arial" w:cs="Arial"/>
          <w:sz w:val="22"/>
          <w:szCs w:val="22"/>
        </w:rPr>
        <w:t>opens up an opportunity for the practitioner to reflect, and note any possible next steps (Tripp, 1993). The</w:t>
      </w:r>
      <w:r w:rsidR="00A63734">
        <w:rPr>
          <w:rFonts w:ascii="Arial" w:hAnsi="Arial" w:cs="Arial"/>
          <w:sz w:val="22"/>
          <w:szCs w:val="22"/>
        </w:rPr>
        <w:t xml:space="preserve"> definition shall be </w:t>
      </w:r>
      <w:r w:rsidR="005D3466">
        <w:rPr>
          <w:rFonts w:ascii="Arial" w:hAnsi="Arial" w:cs="Arial"/>
          <w:sz w:val="22"/>
          <w:szCs w:val="22"/>
        </w:rPr>
        <w:t>further</w:t>
      </w:r>
      <w:r w:rsidR="00A63734">
        <w:rPr>
          <w:rFonts w:ascii="Arial" w:hAnsi="Arial" w:cs="Arial"/>
          <w:sz w:val="22"/>
          <w:szCs w:val="22"/>
        </w:rPr>
        <w:t xml:space="preserve"> explored within the methodology section, </w:t>
      </w:r>
      <w:r w:rsidR="00DA0B0E">
        <w:rPr>
          <w:rFonts w:ascii="Arial" w:hAnsi="Arial" w:cs="Arial"/>
          <w:sz w:val="22"/>
          <w:szCs w:val="22"/>
        </w:rPr>
        <w:t>alongside a</w:t>
      </w:r>
      <w:r w:rsidR="003E0A25">
        <w:rPr>
          <w:rFonts w:ascii="Arial" w:hAnsi="Arial" w:cs="Arial"/>
          <w:sz w:val="22"/>
          <w:szCs w:val="22"/>
        </w:rPr>
        <w:t xml:space="preserve"> detailed review into observations. </w:t>
      </w:r>
    </w:p>
    <w:p w14:paraId="62FBE96F" w14:textId="77777777" w:rsidR="00030FE8" w:rsidRDefault="0024168A" w:rsidP="002130CB">
      <w:pPr>
        <w:spacing w:line="360" w:lineRule="auto"/>
        <w:rPr>
          <w:rFonts w:ascii="Arial" w:hAnsi="Arial" w:cs="Arial"/>
          <w:sz w:val="22"/>
          <w:szCs w:val="22"/>
        </w:rPr>
      </w:pPr>
      <w:r>
        <w:rPr>
          <w:rFonts w:ascii="Arial" w:hAnsi="Arial" w:cs="Arial"/>
          <w:sz w:val="22"/>
          <w:szCs w:val="22"/>
        </w:rPr>
        <w:tab/>
      </w:r>
    </w:p>
    <w:p w14:paraId="54EB2431" w14:textId="02E112A4" w:rsidR="00B879C9" w:rsidRPr="009242E5" w:rsidRDefault="00811B42" w:rsidP="00030FE8">
      <w:pPr>
        <w:spacing w:line="360" w:lineRule="auto"/>
        <w:ind w:firstLine="720"/>
        <w:rPr>
          <w:rFonts w:ascii="Arial" w:hAnsi="Arial" w:cs="Arial"/>
          <w:sz w:val="22"/>
          <w:szCs w:val="22"/>
        </w:rPr>
      </w:pPr>
      <w:r w:rsidRPr="009242E5">
        <w:rPr>
          <w:rFonts w:ascii="Arial" w:hAnsi="Arial" w:cs="Arial"/>
          <w:sz w:val="22"/>
          <w:szCs w:val="22"/>
        </w:rPr>
        <w:t>The observations took pl</w:t>
      </w:r>
      <w:r w:rsidR="00EE41F2" w:rsidRPr="009242E5">
        <w:rPr>
          <w:rFonts w:ascii="Arial" w:hAnsi="Arial" w:cs="Arial"/>
          <w:sz w:val="22"/>
          <w:szCs w:val="22"/>
        </w:rPr>
        <w:t>ace</w:t>
      </w:r>
      <w:r w:rsidR="00695889" w:rsidRPr="009242E5">
        <w:rPr>
          <w:rFonts w:ascii="Arial" w:hAnsi="Arial" w:cs="Arial"/>
          <w:sz w:val="22"/>
          <w:szCs w:val="22"/>
        </w:rPr>
        <w:t xml:space="preserve"> on the 26</w:t>
      </w:r>
      <w:r w:rsidR="00695889" w:rsidRPr="009242E5">
        <w:rPr>
          <w:rFonts w:ascii="Arial" w:hAnsi="Arial" w:cs="Arial"/>
          <w:sz w:val="22"/>
          <w:szCs w:val="22"/>
          <w:vertAlign w:val="superscript"/>
        </w:rPr>
        <w:t>th</w:t>
      </w:r>
      <w:r w:rsidR="00695889" w:rsidRPr="009242E5">
        <w:rPr>
          <w:rFonts w:ascii="Arial" w:hAnsi="Arial" w:cs="Arial"/>
          <w:sz w:val="22"/>
          <w:szCs w:val="22"/>
        </w:rPr>
        <w:t xml:space="preserve"> September 2019</w:t>
      </w:r>
      <w:r w:rsidR="00EE41F2" w:rsidRPr="009242E5">
        <w:rPr>
          <w:rFonts w:ascii="Arial" w:hAnsi="Arial" w:cs="Arial"/>
          <w:sz w:val="22"/>
          <w:szCs w:val="22"/>
        </w:rPr>
        <w:t xml:space="preserve"> within a </w:t>
      </w:r>
      <w:r w:rsidR="00A95DEB" w:rsidRPr="009242E5">
        <w:rPr>
          <w:rFonts w:ascii="Arial" w:hAnsi="Arial" w:cs="Arial"/>
          <w:sz w:val="22"/>
          <w:szCs w:val="22"/>
        </w:rPr>
        <w:t>rural</w:t>
      </w:r>
      <w:r w:rsidR="00EE41F2" w:rsidRPr="009242E5">
        <w:rPr>
          <w:rFonts w:ascii="Arial" w:hAnsi="Arial" w:cs="Arial"/>
          <w:sz w:val="22"/>
          <w:szCs w:val="22"/>
        </w:rPr>
        <w:t xml:space="preserve"> primary </w:t>
      </w:r>
      <w:r w:rsidR="007152A5" w:rsidRPr="009242E5">
        <w:rPr>
          <w:rFonts w:ascii="Arial" w:hAnsi="Arial" w:cs="Arial"/>
          <w:sz w:val="22"/>
          <w:szCs w:val="22"/>
        </w:rPr>
        <w:t>school,</w:t>
      </w:r>
      <w:r w:rsidR="00DC4AA3" w:rsidRPr="009242E5">
        <w:rPr>
          <w:rFonts w:ascii="Arial" w:hAnsi="Arial" w:cs="Arial"/>
          <w:sz w:val="22"/>
          <w:szCs w:val="22"/>
        </w:rPr>
        <w:t xml:space="preserve"> </w:t>
      </w:r>
      <w:r w:rsidR="004F772F" w:rsidRPr="009242E5">
        <w:rPr>
          <w:rFonts w:ascii="Arial" w:hAnsi="Arial" w:cs="Arial"/>
          <w:sz w:val="22"/>
          <w:szCs w:val="22"/>
        </w:rPr>
        <w:t xml:space="preserve">with approximately two hundred </w:t>
      </w:r>
      <w:r w:rsidR="00A95DEB" w:rsidRPr="009242E5">
        <w:rPr>
          <w:rFonts w:ascii="Arial" w:hAnsi="Arial" w:cs="Arial"/>
          <w:sz w:val="22"/>
          <w:szCs w:val="22"/>
        </w:rPr>
        <w:t>pupils (Estyn,</w:t>
      </w:r>
      <w:r w:rsidR="00BF77DA" w:rsidRPr="009242E5">
        <w:rPr>
          <w:rFonts w:ascii="Arial" w:hAnsi="Arial" w:cs="Arial"/>
          <w:sz w:val="22"/>
          <w:szCs w:val="22"/>
        </w:rPr>
        <w:t xml:space="preserve"> 2017). </w:t>
      </w:r>
      <w:r w:rsidR="001A011E" w:rsidRPr="009242E5">
        <w:rPr>
          <w:rFonts w:ascii="Arial" w:hAnsi="Arial" w:cs="Arial"/>
          <w:sz w:val="22"/>
          <w:szCs w:val="22"/>
        </w:rPr>
        <w:t>There are</w:t>
      </w:r>
      <w:r w:rsidR="00057A14" w:rsidRPr="009242E5">
        <w:rPr>
          <w:rFonts w:ascii="Arial" w:hAnsi="Arial" w:cs="Arial"/>
          <w:sz w:val="22"/>
          <w:szCs w:val="22"/>
        </w:rPr>
        <w:t xml:space="preserve"> </w:t>
      </w:r>
      <w:r w:rsidR="001A011E" w:rsidRPr="009242E5">
        <w:rPr>
          <w:rFonts w:ascii="Arial" w:hAnsi="Arial" w:cs="Arial"/>
          <w:sz w:val="22"/>
          <w:szCs w:val="22"/>
        </w:rPr>
        <w:t xml:space="preserve">3% of pupils within the school who </w:t>
      </w:r>
      <w:r w:rsidR="00051D7F" w:rsidRPr="009242E5">
        <w:rPr>
          <w:rFonts w:ascii="Arial" w:hAnsi="Arial" w:cs="Arial"/>
          <w:sz w:val="22"/>
          <w:szCs w:val="22"/>
        </w:rPr>
        <w:t>are entitled to</w:t>
      </w:r>
      <w:r w:rsidR="001A011E" w:rsidRPr="009242E5">
        <w:rPr>
          <w:rFonts w:ascii="Arial" w:hAnsi="Arial" w:cs="Arial"/>
          <w:sz w:val="22"/>
          <w:szCs w:val="22"/>
        </w:rPr>
        <w:t xml:space="preserve"> Free School Meals</w:t>
      </w:r>
      <w:r w:rsidR="0042719E" w:rsidRPr="009242E5">
        <w:rPr>
          <w:rFonts w:ascii="Arial" w:hAnsi="Arial" w:cs="Arial"/>
          <w:sz w:val="22"/>
          <w:szCs w:val="22"/>
        </w:rPr>
        <w:t>, and approximately 20% with Additional Learning Needs</w:t>
      </w:r>
      <w:r w:rsidR="001A011E" w:rsidRPr="009242E5">
        <w:rPr>
          <w:rFonts w:ascii="Arial" w:hAnsi="Arial" w:cs="Arial"/>
          <w:sz w:val="22"/>
          <w:szCs w:val="22"/>
        </w:rPr>
        <w:t xml:space="preserve"> (</w:t>
      </w:r>
      <w:r w:rsidR="0042719E" w:rsidRPr="009242E5">
        <w:rPr>
          <w:rFonts w:ascii="Arial" w:hAnsi="Arial" w:cs="Arial"/>
          <w:sz w:val="22"/>
          <w:szCs w:val="22"/>
        </w:rPr>
        <w:t>Estyn, 2017).</w:t>
      </w:r>
      <w:r w:rsidR="000571E8" w:rsidRPr="009242E5">
        <w:rPr>
          <w:rFonts w:ascii="Arial" w:hAnsi="Arial" w:cs="Arial"/>
          <w:sz w:val="22"/>
          <w:szCs w:val="22"/>
        </w:rPr>
        <w:t xml:space="preserve"> </w:t>
      </w:r>
      <w:r w:rsidR="00D94B7B" w:rsidRPr="009242E5">
        <w:rPr>
          <w:rFonts w:ascii="Arial" w:hAnsi="Arial" w:cs="Arial"/>
          <w:sz w:val="22"/>
          <w:szCs w:val="22"/>
        </w:rPr>
        <w:t xml:space="preserve">The </w:t>
      </w:r>
      <w:r w:rsidR="00A309BB" w:rsidRPr="009242E5">
        <w:rPr>
          <w:rFonts w:ascii="Arial" w:hAnsi="Arial" w:cs="Arial"/>
          <w:sz w:val="22"/>
          <w:szCs w:val="22"/>
        </w:rPr>
        <w:t xml:space="preserve">observations took place </w:t>
      </w:r>
      <w:r w:rsidR="00D94B7B" w:rsidRPr="009242E5">
        <w:rPr>
          <w:rFonts w:ascii="Arial" w:hAnsi="Arial" w:cs="Arial"/>
          <w:sz w:val="22"/>
          <w:szCs w:val="22"/>
        </w:rPr>
        <w:t>within a year two class of</w:t>
      </w:r>
      <w:r w:rsidR="003B1129" w:rsidRPr="009242E5">
        <w:rPr>
          <w:rFonts w:ascii="Arial" w:hAnsi="Arial" w:cs="Arial"/>
          <w:sz w:val="22"/>
          <w:szCs w:val="22"/>
        </w:rPr>
        <w:t xml:space="preserve"> </w:t>
      </w:r>
      <w:r w:rsidR="00AC5500" w:rsidRPr="009242E5">
        <w:rPr>
          <w:rFonts w:ascii="Arial" w:hAnsi="Arial" w:cs="Arial"/>
          <w:sz w:val="22"/>
          <w:szCs w:val="22"/>
        </w:rPr>
        <w:t>fifteen pupils</w:t>
      </w:r>
      <w:r w:rsidR="00A309BB" w:rsidRPr="009242E5">
        <w:rPr>
          <w:rFonts w:ascii="Arial" w:hAnsi="Arial" w:cs="Arial"/>
          <w:sz w:val="22"/>
          <w:szCs w:val="22"/>
        </w:rPr>
        <w:t>, who were supported by a class teacher and two Learning Support Assistants (LSAs).</w:t>
      </w:r>
      <w:r w:rsidR="00A45164">
        <w:rPr>
          <w:rFonts w:ascii="Arial" w:hAnsi="Arial" w:cs="Arial"/>
          <w:sz w:val="22"/>
          <w:szCs w:val="22"/>
        </w:rPr>
        <w:t xml:space="preserve"> </w:t>
      </w:r>
      <w:r w:rsidR="00B83D3D">
        <w:rPr>
          <w:rFonts w:ascii="Arial" w:hAnsi="Arial" w:cs="Arial"/>
          <w:sz w:val="22"/>
          <w:szCs w:val="22"/>
        </w:rPr>
        <w:t>The relevant lesson observation sheet and ARC model</w:t>
      </w:r>
      <w:r w:rsidR="00A45164">
        <w:rPr>
          <w:rFonts w:ascii="Arial" w:hAnsi="Arial" w:cs="Arial"/>
          <w:sz w:val="22"/>
          <w:szCs w:val="22"/>
        </w:rPr>
        <w:t xml:space="preserve"> are included underneath </w:t>
      </w:r>
      <w:r w:rsidR="003D4083">
        <w:rPr>
          <w:rFonts w:ascii="Arial" w:hAnsi="Arial" w:cs="Arial"/>
          <w:sz w:val="22"/>
          <w:szCs w:val="22"/>
        </w:rPr>
        <w:t>appendices</w:t>
      </w:r>
      <w:r w:rsidR="00A45164">
        <w:rPr>
          <w:rFonts w:ascii="Arial" w:hAnsi="Arial" w:cs="Arial"/>
          <w:sz w:val="22"/>
          <w:szCs w:val="22"/>
        </w:rPr>
        <w:t xml:space="preserve"> </w:t>
      </w:r>
      <w:r w:rsidR="003D4083">
        <w:rPr>
          <w:rFonts w:ascii="Arial" w:hAnsi="Arial" w:cs="Arial"/>
          <w:sz w:val="22"/>
          <w:szCs w:val="22"/>
        </w:rPr>
        <w:t>1</w:t>
      </w:r>
      <w:r w:rsidR="00A45164">
        <w:rPr>
          <w:rFonts w:ascii="Arial" w:hAnsi="Arial" w:cs="Arial"/>
          <w:sz w:val="22"/>
          <w:szCs w:val="22"/>
        </w:rPr>
        <w:t xml:space="preserve"> and </w:t>
      </w:r>
      <w:r w:rsidR="003D4083">
        <w:rPr>
          <w:rFonts w:ascii="Arial" w:hAnsi="Arial" w:cs="Arial"/>
          <w:sz w:val="22"/>
          <w:szCs w:val="22"/>
        </w:rPr>
        <w:t>2.</w:t>
      </w:r>
    </w:p>
    <w:p w14:paraId="6C8AB897" w14:textId="2D99F232" w:rsidR="00811B42" w:rsidRPr="009242E5" w:rsidRDefault="00B879C9" w:rsidP="002130CB">
      <w:pPr>
        <w:spacing w:line="360" w:lineRule="auto"/>
        <w:rPr>
          <w:rFonts w:ascii="Arial" w:hAnsi="Arial" w:cs="Arial"/>
          <w:sz w:val="22"/>
          <w:szCs w:val="22"/>
        </w:rPr>
      </w:pPr>
      <w:r w:rsidRPr="009242E5">
        <w:rPr>
          <w:rFonts w:ascii="Arial" w:hAnsi="Arial" w:cs="Arial"/>
          <w:sz w:val="22"/>
          <w:szCs w:val="22"/>
        </w:rPr>
        <w:tab/>
      </w:r>
      <w:r w:rsidR="00BD79BF" w:rsidRPr="009242E5">
        <w:rPr>
          <w:rFonts w:ascii="Arial" w:hAnsi="Arial" w:cs="Arial"/>
          <w:sz w:val="22"/>
          <w:szCs w:val="22"/>
        </w:rPr>
        <w:t xml:space="preserve">Notably, there has been </w:t>
      </w:r>
      <w:r w:rsidR="008622C1" w:rsidRPr="009242E5">
        <w:rPr>
          <w:rFonts w:ascii="Arial" w:hAnsi="Arial" w:cs="Arial"/>
          <w:sz w:val="22"/>
          <w:szCs w:val="22"/>
        </w:rPr>
        <w:t xml:space="preserve">an emphasis </w:t>
      </w:r>
      <w:r w:rsidR="002B241E" w:rsidRPr="009242E5">
        <w:rPr>
          <w:rFonts w:ascii="Arial" w:hAnsi="Arial" w:cs="Arial"/>
          <w:sz w:val="22"/>
          <w:szCs w:val="22"/>
        </w:rPr>
        <w:t>up</w:t>
      </w:r>
      <w:r w:rsidR="008622C1" w:rsidRPr="009242E5">
        <w:rPr>
          <w:rFonts w:ascii="Arial" w:hAnsi="Arial" w:cs="Arial"/>
          <w:sz w:val="22"/>
          <w:szCs w:val="22"/>
        </w:rPr>
        <w:t xml:space="preserve">on protecting </w:t>
      </w:r>
      <w:r w:rsidR="00F441B0" w:rsidRPr="009242E5">
        <w:rPr>
          <w:rFonts w:ascii="Arial" w:hAnsi="Arial" w:cs="Arial"/>
          <w:sz w:val="22"/>
          <w:szCs w:val="22"/>
        </w:rPr>
        <w:t>participants who are seen as more vulnerable</w:t>
      </w:r>
      <w:r w:rsidR="00B06C63" w:rsidRPr="009242E5">
        <w:rPr>
          <w:rFonts w:ascii="Arial" w:hAnsi="Arial" w:cs="Arial"/>
          <w:sz w:val="22"/>
          <w:szCs w:val="22"/>
        </w:rPr>
        <w:t xml:space="preserve"> (B</w:t>
      </w:r>
      <w:r w:rsidR="00E97B97">
        <w:rPr>
          <w:rFonts w:ascii="Arial" w:hAnsi="Arial" w:cs="Arial"/>
          <w:sz w:val="22"/>
          <w:szCs w:val="22"/>
        </w:rPr>
        <w:t>ERA</w:t>
      </w:r>
      <w:r w:rsidR="00B06C63" w:rsidRPr="009242E5">
        <w:rPr>
          <w:rFonts w:ascii="Arial" w:hAnsi="Arial" w:cs="Arial"/>
          <w:sz w:val="22"/>
          <w:szCs w:val="22"/>
        </w:rPr>
        <w:t>, 2019</w:t>
      </w:r>
      <w:r w:rsidR="00A17C7F" w:rsidRPr="009242E5">
        <w:rPr>
          <w:rFonts w:ascii="Arial" w:hAnsi="Arial" w:cs="Arial"/>
          <w:sz w:val="22"/>
          <w:szCs w:val="22"/>
        </w:rPr>
        <w:t>; Economic and Social Research Council, 2019</w:t>
      </w:r>
      <w:r w:rsidR="00B06C63" w:rsidRPr="009242E5">
        <w:rPr>
          <w:rFonts w:ascii="Arial" w:hAnsi="Arial" w:cs="Arial"/>
          <w:sz w:val="22"/>
          <w:szCs w:val="22"/>
        </w:rPr>
        <w:t xml:space="preserve">). </w:t>
      </w:r>
      <w:r w:rsidR="00BB50B7">
        <w:rPr>
          <w:rFonts w:ascii="Arial" w:hAnsi="Arial" w:cs="Arial"/>
          <w:sz w:val="22"/>
          <w:szCs w:val="22"/>
        </w:rPr>
        <w:t xml:space="preserve">Children are seen as vulnerable as they may not possess the capability to fully understand the potential risks associated with research (Presidential </w:t>
      </w:r>
      <w:r w:rsidR="00B83D3D">
        <w:rPr>
          <w:rFonts w:ascii="Arial" w:hAnsi="Arial" w:cs="Arial"/>
          <w:sz w:val="22"/>
          <w:szCs w:val="22"/>
        </w:rPr>
        <w:t>Commission</w:t>
      </w:r>
      <w:r w:rsidR="00BB50B7">
        <w:rPr>
          <w:rFonts w:ascii="Arial" w:hAnsi="Arial" w:cs="Arial"/>
          <w:sz w:val="22"/>
          <w:szCs w:val="22"/>
        </w:rPr>
        <w:t xml:space="preserve"> for the Study of Bioethical Issues, 2016). Due to their vulnerability, a</w:t>
      </w:r>
      <w:r w:rsidR="00790244" w:rsidRPr="009242E5">
        <w:rPr>
          <w:rFonts w:ascii="Arial" w:hAnsi="Arial" w:cs="Arial"/>
          <w:sz w:val="22"/>
          <w:szCs w:val="22"/>
        </w:rPr>
        <w:t xml:space="preserve"> strict level of confidentiality must be maintained throughout. </w:t>
      </w:r>
      <w:r w:rsidR="003A661B" w:rsidRPr="009242E5">
        <w:rPr>
          <w:rFonts w:ascii="Arial" w:hAnsi="Arial" w:cs="Arial"/>
          <w:sz w:val="22"/>
          <w:szCs w:val="22"/>
        </w:rPr>
        <w:t xml:space="preserve">Confidentiality has been defined by Ary et al (2019) as when </w:t>
      </w:r>
      <w:r w:rsidR="00870B38" w:rsidRPr="009242E5">
        <w:rPr>
          <w:rFonts w:ascii="Arial" w:hAnsi="Arial" w:cs="Arial"/>
          <w:sz w:val="22"/>
          <w:szCs w:val="22"/>
        </w:rPr>
        <w:t xml:space="preserve">the researcher is aware of details regarding the </w:t>
      </w:r>
      <w:r w:rsidR="00197C4F" w:rsidRPr="009242E5">
        <w:rPr>
          <w:rFonts w:ascii="Arial" w:hAnsi="Arial" w:cs="Arial"/>
          <w:sz w:val="22"/>
          <w:szCs w:val="22"/>
        </w:rPr>
        <w:t>participants but</w:t>
      </w:r>
      <w:r w:rsidR="00870B38" w:rsidRPr="009242E5">
        <w:rPr>
          <w:rFonts w:ascii="Arial" w:hAnsi="Arial" w:cs="Arial"/>
          <w:sz w:val="22"/>
          <w:szCs w:val="22"/>
        </w:rPr>
        <w:t xml:space="preserve"> will not make them public knowledge. </w:t>
      </w:r>
    </w:p>
    <w:p w14:paraId="5EEA95A2" w14:textId="23049CA0" w:rsidR="004D5E20" w:rsidRPr="009242E5" w:rsidRDefault="008C78DD" w:rsidP="002130CB">
      <w:pPr>
        <w:spacing w:line="360" w:lineRule="auto"/>
        <w:rPr>
          <w:rFonts w:ascii="Arial" w:hAnsi="Arial" w:cs="Arial"/>
          <w:sz w:val="22"/>
          <w:szCs w:val="22"/>
        </w:rPr>
      </w:pPr>
      <w:r w:rsidRPr="009242E5">
        <w:rPr>
          <w:rFonts w:ascii="Arial" w:hAnsi="Arial" w:cs="Arial"/>
          <w:sz w:val="22"/>
          <w:szCs w:val="22"/>
        </w:rPr>
        <w:tab/>
      </w:r>
      <w:r w:rsidR="00540167" w:rsidRPr="009242E5">
        <w:rPr>
          <w:rFonts w:ascii="Arial" w:hAnsi="Arial" w:cs="Arial"/>
          <w:sz w:val="22"/>
          <w:szCs w:val="22"/>
        </w:rPr>
        <w:t xml:space="preserve"> </w:t>
      </w:r>
      <w:r w:rsidR="00197C4F" w:rsidRPr="009242E5">
        <w:rPr>
          <w:rFonts w:ascii="Arial" w:hAnsi="Arial" w:cs="Arial"/>
          <w:sz w:val="22"/>
          <w:szCs w:val="22"/>
        </w:rPr>
        <w:t>In addition,</w:t>
      </w:r>
      <w:r w:rsidR="00E375CE" w:rsidRPr="009242E5">
        <w:rPr>
          <w:rFonts w:ascii="Arial" w:hAnsi="Arial" w:cs="Arial"/>
          <w:sz w:val="22"/>
          <w:szCs w:val="22"/>
        </w:rPr>
        <w:t xml:space="preserve"> </w:t>
      </w:r>
      <w:r w:rsidR="00C96134" w:rsidRPr="009242E5">
        <w:rPr>
          <w:rFonts w:ascii="Arial" w:hAnsi="Arial" w:cs="Arial"/>
          <w:sz w:val="22"/>
          <w:szCs w:val="22"/>
        </w:rPr>
        <w:t xml:space="preserve">article </w:t>
      </w:r>
      <w:r w:rsidR="006B531F" w:rsidRPr="009242E5">
        <w:rPr>
          <w:rFonts w:ascii="Arial" w:hAnsi="Arial" w:cs="Arial"/>
          <w:sz w:val="22"/>
          <w:szCs w:val="22"/>
        </w:rPr>
        <w:t>sixteen</w:t>
      </w:r>
      <w:r w:rsidR="00C96134" w:rsidRPr="009242E5">
        <w:rPr>
          <w:rFonts w:ascii="Arial" w:hAnsi="Arial" w:cs="Arial"/>
          <w:sz w:val="22"/>
          <w:szCs w:val="22"/>
        </w:rPr>
        <w:t xml:space="preserve"> in the United Nations Convention on The Rights of the Child </w:t>
      </w:r>
      <w:r w:rsidR="00550808" w:rsidRPr="009242E5">
        <w:rPr>
          <w:rFonts w:ascii="Arial" w:hAnsi="Arial" w:cs="Arial"/>
          <w:sz w:val="22"/>
          <w:szCs w:val="22"/>
        </w:rPr>
        <w:t xml:space="preserve">(UNCRC) </w:t>
      </w:r>
      <w:r w:rsidR="00C96134" w:rsidRPr="009242E5">
        <w:rPr>
          <w:rFonts w:ascii="Arial" w:hAnsi="Arial" w:cs="Arial"/>
          <w:sz w:val="22"/>
          <w:szCs w:val="22"/>
        </w:rPr>
        <w:t xml:space="preserve">states that </w:t>
      </w:r>
      <w:r w:rsidR="003B7EEE" w:rsidRPr="009242E5">
        <w:rPr>
          <w:rFonts w:ascii="Arial" w:hAnsi="Arial" w:cs="Arial"/>
          <w:sz w:val="22"/>
          <w:szCs w:val="22"/>
        </w:rPr>
        <w:t>children</w:t>
      </w:r>
      <w:r w:rsidR="00D54F82" w:rsidRPr="009242E5">
        <w:rPr>
          <w:rFonts w:ascii="Arial" w:hAnsi="Arial" w:cs="Arial"/>
          <w:sz w:val="22"/>
          <w:szCs w:val="22"/>
        </w:rPr>
        <w:t xml:space="preserve"> and young people</w:t>
      </w:r>
      <w:r w:rsidR="003B7EEE" w:rsidRPr="009242E5">
        <w:rPr>
          <w:rFonts w:ascii="Arial" w:hAnsi="Arial" w:cs="Arial"/>
          <w:sz w:val="22"/>
          <w:szCs w:val="22"/>
        </w:rPr>
        <w:t xml:space="preserve"> have the right </w:t>
      </w:r>
      <w:r w:rsidR="00A61AD6" w:rsidRPr="009242E5">
        <w:rPr>
          <w:rFonts w:ascii="Arial" w:hAnsi="Arial" w:cs="Arial"/>
          <w:sz w:val="22"/>
          <w:szCs w:val="22"/>
        </w:rPr>
        <w:t xml:space="preserve">to </w:t>
      </w:r>
      <w:r w:rsidR="006B531F" w:rsidRPr="009242E5">
        <w:rPr>
          <w:rFonts w:ascii="Arial" w:hAnsi="Arial" w:cs="Arial"/>
          <w:sz w:val="22"/>
          <w:szCs w:val="22"/>
        </w:rPr>
        <w:t>privacy</w:t>
      </w:r>
      <w:r w:rsidR="00A61AD6" w:rsidRPr="009242E5">
        <w:rPr>
          <w:rFonts w:ascii="Arial" w:hAnsi="Arial" w:cs="Arial"/>
          <w:sz w:val="22"/>
          <w:szCs w:val="22"/>
        </w:rPr>
        <w:t xml:space="preserve"> (U</w:t>
      </w:r>
      <w:r w:rsidR="00E97B97">
        <w:rPr>
          <w:rFonts w:ascii="Arial" w:hAnsi="Arial" w:cs="Arial"/>
          <w:sz w:val="22"/>
          <w:szCs w:val="22"/>
        </w:rPr>
        <w:t>NICEF</w:t>
      </w:r>
      <w:r w:rsidR="00A61AD6" w:rsidRPr="009242E5">
        <w:rPr>
          <w:rFonts w:ascii="Arial" w:hAnsi="Arial" w:cs="Arial"/>
          <w:sz w:val="22"/>
          <w:szCs w:val="22"/>
        </w:rPr>
        <w:t xml:space="preserve">, 2019, </w:t>
      </w:r>
      <w:r w:rsidR="00F21202" w:rsidRPr="009242E5">
        <w:rPr>
          <w:rFonts w:ascii="Arial" w:hAnsi="Arial" w:cs="Arial"/>
          <w:sz w:val="22"/>
          <w:szCs w:val="22"/>
        </w:rPr>
        <w:t>pg.1).</w:t>
      </w:r>
      <w:r w:rsidR="006B531F" w:rsidRPr="009242E5">
        <w:rPr>
          <w:rFonts w:ascii="Arial" w:hAnsi="Arial" w:cs="Arial"/>
          <w:sz w:val="22"/>
          <w:szCs w:val="22"/>
        </w:rPr>
        <w:t xml:space="preserve"> </w:t>
      </w:r>
      <w:r w:rsidR="00550808" w:rsidRPr="009242E5">
        <w:rPr>
          <w:rFonts w:ascii="Arial" w:hAnsi="Arial" w:cs="Arial"/>
          <w:sz w:val="22"/>
          <w:szCs w:val="22"/>
        </w:rPr>
        <w:t xml:space="preserve">In accordance </w:t>
      </w:r>
      <w:r w:rsidR="003C2A1F" w:rsidRPr="009242E5">
        <w:rPr>
          <w:rFonts w:ascii="Arial" w:hAnsi="Arial" w:cs="Arial"/>
          <w:sz w:val="22"/>
          <w:szCs w:val="22"/>
        </w:rPr>
        <w:t>with</w:t>
      </w:r>
      <w:r w:rsidR="00550808" w:rsidRPr="009242E5">
        <w:rPr>
          <w:rFonts w:ascii="Arial" w:hAnsi="Arial" w:cs="Arial"/>
          <w:sz w:val="22"/>
          <w:szCs w:val="22"/>
        </w:rPr>
        <w:t xml:space="preserve"> the advice taken from B</w:t>
      </w:r>
      <w:r w:rsidR="00E97B97">
        <w:rPr>
          <w:rFonts w:ascii="Arial" w:hAnsi="Arial" w:cs="Arial"/>
          <w:sz w:val="22"/>
          <w:szCs w:val="22"/>
        </w:rPr>
        <w:t xml:space="preserve">ERA </w:t>
      </w:r>
      <w:r w:rsidR="00550808" w:rsidRPr="009242E5">
        <w:rPr>
          <w:rFonts w:ascii="Arial" w:hAnsi="Arial" w:cs="Arial"/>
          <w:sz w:val="22"/>
          <w:szCs w:val="22"/>
        </w:rPr>
        <w:t xml:space="preserve">and </w:t>
      </w:r>
      <w:r w:rsidR="009B42BF" w:rsidRPr="009242E5">
        <w:rPr>
          <w:rFonts w:ascii="Arial" w:hAnsi="Arial" w:cs="Arial"/>
          <w:sz w:val="22"/>
          <w:szCs w:val="22"/>
        </w:rPr>
        <w:t xml:space="preserve">the UNCRC, </w:t>
      </w:r>
      <w:r w:rsidR="00071AD2" w:rsidRPr="009242E5">
        <w:rPr>
          <w:rFonts w:ascii="Arial" w:hAnsi="Arial" w:cs="Arial"/>
          <w:sz w:val="22"/>
          <w:szCs w:val="22"/>
        </w:rPr>
        <w:t xml:space="preserve">the pupil in question shall be </w:t>
      </w:r>
      <w:r w:rsidR="007C3054" w:rsidRPr="009242E5">
        <w:rPr>
          <w:rFonts w:ascii="Arial" w:hAnsi="Arial" w:cs="Arial"/>
          <w:sz w:val="22"/>
          <w:szCs w:val="22"/>
        </w:rPr>
        <w:t>referred</w:t>
      </w:r>
      <w:r w:rsidR="00071AD2" w:rsidRPr="009242E5">
        <w:rPr>
          <w:rFonts w:ascii="Arial" w:hAnsi="Arial" w:cs="Arial"/>
          <w:sz w:val="22"/>
          <w:szCs w:val="22"/>
        </w:rPr>
        <w:t xml:space="preserve"> to as ‘Pupil X’</w:t>
      </w:r>
      <w:r w:rsidR="001E3535" w:rsidRPr="009242E5">
        <w:rPr>
          <w:rFonts w:ascii="Arial" w:hAnsi="Arial" w:cs="Arial"/>
          <w:sz w:val="22"/>
          <w:szCs w:val="22"/>
        </w:rPr>
        <w:t xml:space="preserve"> to protect their privacy.</w:t>
      </w:r>
      <w:r w:rsidR="00483F3B">
        <w:rPr>
          <w:rFonts w:ascii="Arial" w:hAnsi="Arial" w:cs="Arial"/>
          <w:sz w:val="22"/>
          <w:szCs w:val="22"/>
        </w:rPr>
        <w:t xml:space="preserve"> The school shall also not be named, in order to </w:t>
      </w:r>
      <w:r w:rsidR="00585B8F">
        <w:rPr>
          <w:rFonts w:ascii="Arial" w:hAnsi="Arial" w:cs="Arial"/>
          <w:sz w:val="22"/>
          <w:szCs w:val="22"/>
        </w:rPr>
        <w:t xml:space="preserve">safeguard all those who are associated. </w:t>
      </w:r>
    </w:p>
    <w:p w14:paraId="03C3533C" w14:textId="775CE7C8" w:rsidR="00DA532D" w:rsidRPr="009242E5" w:rsidRDefault="00DA532D" w:rsidP="002130CB">
      <w:pPr>
        <w:spacing w:line="360" w:lineRule="auto"/>
        <w:ind w:firstLine="720"/>
        <w:rPr>
          <w:rFonts w:ascii="Arial" w:hAnsi="Arial" w:cs="Arial"/>
          <w:sz w:val="22"/>
          <w:szCs w:val="22"/>
        </w:rPr>
      </w:pPr>
    </w:p>
    <w:p w14:paraId="1860AD9C" w14:textId="77777777" w:rsidR="00A43D2B" w:rsidRDefault="00334C50" w:rsidP="00334C50">
      <w:pPr>
        <w:spacing w:line="360" w:lineRule="auto"/>
        <w:rPr>
          <w:rFonts w:ascii="Arial" w:hAnsi="Arial" w:cs="Arial"/>
          <w:sz w:val="22"/>
          <w:szCs w:val="22"/>
        </w:rPr>
      </w:pPr>
      <w:r>
        <w:rPr>
          <w:rFonts w:ascii="Arial" w:hAnsi="Arial" w:cs="Arial"/>
          <w:sz w:val="22"/>
          <w:szCs w:val="22"/>
        </w:rPr>
        <w:tab/>
      </w:r>
      <w:r w:rsidR="003F74AA">
        <w:rPr>
          <w:rFonts w:ascii="Arial" w:hAnsi="Arial" w:cs="Arial"/>
          <w:sz w:val="22"/>
          <w:szCs w:val="22"/>
        </w:rPr>
        <w:t xml:space="preserve">As this </w:t>
      </w:r>
      <w:r>
        <w:rPr>
          <w:rFonts w:ascii="Arial" w:hAnsi="Arial" w:cs="Arial"/>
          <w:sz w:val="22"/>
          <w:szCs w:val="22"/>
        </w:rPr>
        <w:t xml:space="preserve">case study </w:t>
      </w:r>
      <w:r w:rsidR="003F74AA">
        <w:rPr>
          <w:rFonts w:ascii="Arial" w:hAnsi="Arial" w:cs="Arial"/>
          <w:sz w:val="22"/>
          <w:szCs w:val="22"/>
        </w:rPr>
        <w:t xml:space="preserve">is </w:t>
      </w:r>
      <w:r>
        <w:rPr>
          <w:rFonts w:ascii="Arial" w:hAnsi="Arial" w:cs="Arial"/>
          <w:sz w:val="22"/>
          <w:szCs w:val="22"/>
        </w:rPr>
        <w:t>focusing upon an observed critical incident</w:t>
      </w:r>
      <w:r w:rsidR="003F74AA">
        <w:rPr>
          <w:rFonts w:ascii="Arial" w:hAnsi="Arial" w:cs="Arial"/>
          <w:sz w:val="22"/>
          <w:szCs w:val="22"/>
        </w:rPr>
        <w:t xml:space="preserve">, it </w:t>
      </w:r>
      <w:r w:rsidR="00DA357F">
        <w:rPr>
          <w:rFonts w:ascii="Arial" w:hAnsi="Arial" w:cs="Arial"/>
          <w:sz w:val="22"/>
          <w:szCs w:val="22"/>
        </w:rPr>
        <w:t>is important that the definition is firstly clarified.</w:t>
      </w:r>
    </w:p>
    <w:p w14:paraId="7CA1B3FC" w14:textId="53F9272C" w:rsidR="00334C50" w:rsidRPr="009242E5" w:rsidRDefault="00334C50" w:rsidP="00334C50">
      <w:pPr>
        <w:spacing w:line="360" w:lineRule="auto"/>
        <w:rPr>
          <w:rFonts w:ascii="Arial" w:hAnsi="Arial" w:cs="Arial"/>
          <w:sz w:val="22"/>
          <w:szCs w:val="22"/>
        </w:rPr>
      </w:pPr>
      <w:r w:rsidRPr="009242E5">
        <w:rPr>
          <w:rFonts w:ascii="Arial" w:hAnsi="Arial" w:cs="Arial"/>
          <w:sz w:val="22"/>
          <w:szCs w:val="22"/>
        </w:rPr>
        <w:tab/>
        <w:t xml:space="preserve">McGarr and McCormack (2016) argues that a critical incident does not mean an event that is serious or pressing in nature. On the other hand, Tripp (1993, p.8) claims that a critical incident is created by how an individual perceives an event, and the judgements that they attach to it. Whereas Joshi (2018) has highlighted the fact that a critical incident is something that is unplanned and can often be personal to the teacher. Richards and Farrell (2010, </w:t>
      </w:r>
      <w:r w:rsidRPr="009242E5">
        <w:rPr>
          <w:rFonts w:ascii="Arial" w:hAnsi="Arial" w:cs="Arial"/>
          <w:i/>
          <w:sz w:val="22"/>
          <w:szCs w:val="22"/>
        </w:rPr>
        <w:t xml:space="preserve">cited in </w:t>
      </w:r>
      <w:r w:rsidRPr="009242E5">
        <w:rPr>
          <w:rFonts w:ascii="Arial" w:hAnsi="Arial" w:cs="Arial"/>
          <w:sz w:val="22"/>
          <w:szCs w:val="22"/>
        </w:rPr>
        <w:t xml:space="preserve">Joshi, 2018 p.83) leads on this, by suggesting that a critical incident provides teachers with an awareness of teaching and learning aspects. </w:t>
      </w:r>
    </w:p>
    <w:p w14:paraId="6282B791" w14:textId="77777777" w:rsidR="00334C50" w:rsidRPr="009242E5" w:rsidRDefault="00334C50" w:rsidP="00334C50">
      <w:pPr>
        <w:spacing w:line="360" w:lineRule="auto"/>
        <w:ind w:firstLine="720"/>
        <w:rPr>
          <w:rFonts w:ascii="Arial" w:hAnsi="Arial" w:cs="Arial"/>
          <w:sz w:val="22"/>
          <w:szCs w:val="22"/>
        </w:rPr>
      </w:pPr>
      <w:r w:rsidRPr="009242E5">
        <w:rPr>
          <w:rFonts w:ascii="Arial" w:hAnsi="Arial" w:cs="Arial"/>
          <w:sz w:val="22"/>
          <w:szCs w:val="22"/>
        </w:rPr>
        <w:lastRenderedPageBreak/>
        <w:t xml:space="preserve">This unique insight allows teachers to critically reflect upon the incident that has taken place, and to determine if there are other alternative actions that could possibly be taken (Cranton, 1996 </w:t>
      </w:r>
      <w:r w:rsidRPr="009242E5">
        <w:rPr>
          <w:rFonts w:ascii="Arial" w:hAnsi="Arial" w:cs="Arial"/>
          <w:i/>
          <w:sz w:val="22"/>
          <w:szCs w:val="22"/>
        </w:rPr>
        <w:t xml:space="preserve">cited in </w:t>
      </w:r>
      <w:r w:rsidRPr="009242E5">
        <w:rPr>
          <w:rFonts w:ascii="Arial" w:hAnsi="Arial" w:cs="Arial"/>
          <w:sz w:val="22"/>
          <w:szCs w:val="22"/>
        </w:rPr>
        <w:t>Shandomo, 2010 p.101). Furthermore, according to Dewey (</w:t>
      </w:r>
      <w:r w:rsidRPr="009242E5">
        <w:rPr>
          <w:rFonts w:ascii="Arial" w:hAnsi="Arial" w:cs="Arial"/>
          <w:i/>
          <w:sz w:val="22"/>
          <w:szCs w:val="22"/>
        </w:rPr>
        <w:t>cited in</w:t>
      </w:r>
      <w:r w:rsidRPr="009242E5">
        <w:rPr>
          <w:rFonts w:ascii="Arial" w:hAnsi="Arial" w:cs="Arial"/>
          <w:sz w:val="22"/>
          <w:szCs w:val="22"/>
        </w:rPr>
        <w:t xml:space="preserve"> Grigg, 2010), the act of reflection encourages the growth of an individual. </w:t>
      </w:r>
    </w:p>
    <w:p w14:paraId="4BC91A9B" w14:textId="77777777" w:rsidR="00334C50" w:rsidRPr="009242E5" w:rsidRDefault="00334C50" w:rsidP="00334C50">
      <w:pPr>
        <w:spacing w:line="360" w:lineRule="auto"/>
        <w:ind w:firstLine="720"/>
        <w:rPr>
          <w:rFonts w:ascii="Arial" w:hAnsi="Arial" w:cs="Arial"/>
          <w:sz w:val="22"/>
          <w:szCs w:val="22"/>
        </w:rPr>
      </w:pPr>
      <w:r w:rsidRPr="009242E5">
        <w:rPr>
          <w:rFonts w:ascii="Arial" w:hAnsi="Arial" w:cs="Arial"/>
          <w:sz w:val="22"/>
          <w:szCs w:val="22"/>
        </w:rPr>
        <w:t>Critical reflection encourages a teacher to become a reflective practitioner, a notion introduced by Sch</w:t>
      </w:r>
      <w:r w:rsidRPr="009242E5">
        <w:rPr>
          <w:rFonts w:ascii="Tahoma" w:hAnsi="Tahoma" w:cs="Tahoma"/>
          <w:sz w:val="22"/>
          <w:szCs w:val="22"/>
        </w:rPr>
        <w:t>ö</w:t>
      </w:r>
      <w:r w:rsidRPr="009242E5">
        <w:rPr>
          <w:rFonts w:ascii="Arial" w:hAnsi="Arial" w:cs="Arial"/>
          <w:sz w:val="22"/>
          <w:szCs w:val="22"/>
        </w:rPr>
        <w:t xml:space="preserve">n (1983, </w:t>
      </w:r>
      <w:r w:rsidRPr="009242E5">
        <w:rPr>
          <w:rFonts w:ascii="Arial" w:hAnsi="Arial" w:cs="Arial"/>
          <w:i/>
          <w:sz w:val="22"/>
          <w:szCs w:val="22"/>
        </w:rPr>
        <w:t xml:space="preserve">cited in </w:t>
      </w:r>
      <w:r w:rsidRPr="009242E5">
        <w:rPr>
          <w:rFonts w:ascii="Arial" w:hAnsi="Arial" w:cs="Arial"/>
          <w:sz w:val="22"/>
          <w:szCs w:val="22"/>
        </w:rPr>
        <w:t xml:space="preserve">Barnes and Price, 2015 p.109; Manti, Henderson and Watkinson, 2011, p.1). It is important for teachers to take part in relevant and purposeful critical reflection (MacBlain, 2014), as it helps them to identify and undertake any improvements in their practice (Menter, 2012). Paterson and Chapman (2013) has also stated that reflection is a critical aspect of creating and maintaining a sense of capability, across a teacher’s professional lifetime. </w:t>
      </w:r>
    </w:p>
    <w:p w14:paraId="718582A1" w14:textId="5BB1690F" w:rsidR="00AB1B17" w:rsidRPr="009242E5" w:rsidRDefault="00AB1B17" w:rsidP="00334C50">
      <w:pPr>
        <w:spacing w:line="360" w:lineRule="auto"/>
        <w:ind w:firstLine="720"/>
        <w:rPr>
          <w:rFonts w:ascii="Arial" w:hAnsi="Arial" w:cs="Arial"/>
          <w:sz w:val="22"/>
          <w:szCs w:val="22"/>
        </w:rPr>
      </w:pPr>
      <w:r w:rsidRPr="009242E5">
        <w:rPr>
          <w:rFonts w:ascii="Arial" w:hAnsi="Arial" w:cs="Arial"/>
          <w:sz w:val="22"/>
          <w:szCs w:val="22"/>
        </w:rPr>
        <w:t>Two kinds of data can be produced during research. Quantitative research focuses upon producing numerical and quantifiable data (Almaki, 2016; Bryman, 2015). On the other hand, qualitative research is concerned with strengthening an understanding surrounding a topic (Queirós, Faria and Almedia, 2017). This research project will be focusing upon collecting qualitative data through the means of observations.</w:t>
      </w:r>
    </w:p>
    <w:p w14:paraId="29F13BE6" w14:textId="77777777" w:rsidR="00AB1B17" w:rsidRPr="009242E5" w:rsidRDefault="00AB1B17" w:rsidP="002130CB">
      <w:pPr>
        <w:spacing w:line="360" w:lineRule="auto"/>
        <w:rPr>
          <w:rFonts w:ascii="Arial" w:hAnsi="Arial" w:cs="Arial"/>
          <w:sz w:val="22"/>
          <w:szCs w:val="22"/>
        </w:rPr>
      </w:pPr>
      <w:r w:rsidRPr="009242E5">
        <w:rPr>
          <w:rFonts w:ascii="Arial" w:hAnsi="Arial" w:cs="Arial"/>
          <w:sz w:val="22"/>
          <w:szCs w:val="22"/>
        </w:rPr>
        <w:tab/>
        <w:t xml:space="preserve">Marshall and Rossman (1995, </w:t>
      </w:r>
      <w:r w:rsidRPr="009242E5">
        <w:rPr>
          <w:rFonts w:ascii="Arial" w:hAnsi="Arial" w:cs="Arial"/>
          <w:i/>
          <w:sz w:val="22"/>
          <w:szCs w:val="22"/>
        </w:rPr>
        <w:t xml:space="preserve">cited in </w:t>
      </w:r>
      <w:r w:rsidRPr="009242E5">
        <w:rPr>
          <w:rFonts w:ascii="Arial" w:hAnsi="Arial" w:cs="Arial"/>
          <w:sz w:val="22"/>
          <w:szCs w:val="22"/>
        </w:rPr>
        <w:t xml:space="preserve">Cohen, Manion and Morrison, 2014, pg. 456) have emphasised that observations in research involve taking note of events, behaviours, settings and routines that are taking place. It provides researchers with an opportunity to improve their understanding upon real-life situations, just by observing the behaviours of those around them (Wilkinson and Birmingham, 2003, </w:t>
      </w:r>
      <w:r w:rsidRPr="009242E5">
        <w:rPr>
          <w:rFonts w:ascii="Arial" w:hAnsi="Arial" w:cs="Arial"/>
          <w:i/>
          <w:sz w:val="22"/>
          <w:szCs w:val="22"/>
        </w:rPr>
        <w:t>cited in</w:t>
      </w:r>
      <w:r w:rsidRPr="009242E5">
        <w:rPr>
          <w:rFonts w:ascii="Arial" w:hAnsi="Arial" w:cs="Arial"/>
          <w:sz w:val="22"/>
          <w:szCs w:val="22"/>
        </w:rPr>
        <w:t xml:space="preserve"> Blaxter, Hughes and Tight, 2010).</w:t>
      </w:r>
    </w:p>
    <w:p w14:paraId="26939F21" w14:textId="77777777" w:rsidR="00AB1B17" w:rsidRPr="009242E5" w:rsidRDefault="00AB1B17" w:rsidP="002130CB">
      <w:pPr>
        <w:spacing w:line="360" w:lineRule="auto"/>
        <w:ind w:firstLine="720"/>
        <w:rPr>
          <w:rFonts w:ascii="Arial" w:hAnsi="Arial" w:cs="Arial"/>
          <w:sz w:val="22"/>
          <w:szCs w:val="22"/>
        </w:rPr>
      </w:pPr>
      <w:r w:rsidRPr="009242E5">
        <w:rPr>
          <w:rFonts w:ascii="Arial" w:hAnsi="Arial" w:cs="Arial"/>
          <w:sz w:val="22"/>
          <w:szCs w:val="22"/>
        </w:rPr>
        <w:t xml:space="preserve"> There are two different ways in which researchers can conduct an observation. They can either choose to be a participant or a non-participant observer (Blaxter, Hughes and Tight, 2010; Dawson, 2009). A participant observation is when a researcher fully immerses themselves as part of the participant group, whilst a non-participant is one who focuses solely on observing what is taking place (Cohen, Manion and Morrison, 2014).</w:t>
      </w:r>
    </w:p>
    <w:p w14:paraId="084C6DCA" w14:textId="77777777" w:rsidR="00AB1B17" w:rsidRPr="009242E5" w:rsidRDefault="00AB1B17" w:rsidP="002130CB">
      <w:pPr>
        <w:spacing w:line="360" w:lineRule="auto"/>
        <w:ind w:firstLine="720"/>
        <w:rPr>
          <w:rFonts w:ascii="Arial" w:hAnsi="Arial" w:cs="Arial"/>
          <w:sz w:val="22"/>
          <w:szCs w:val="22"/>
        </w:rPr>
      </w:pPr>
      <w:r w:rsidRPr="009242E5">
        <w:rPr>
          <w:rFonts w:ascii="Arial" w:hAnsi="Arial" w:cs="Arial"/>
          <w:sz w:val="22"/>
          <w:szCs w:val="22"/>
        </w:rPr>
        <w:t xml:space="preserve">Whilst a participant observation can provide the researcher with a greater understanding into the participants (Lopez-Dicastillo and Belintxon, 2014 </w:t>
      </w:r>
      <w:r w:rsidRPr="009242E5">
        <w:rPr>
          <w:rFonts w:ascii="Arial" w:hAnsi="Arial" w:cs="Arial"/>
          <w:i/>
          <w:sz w:val="22"/>
          <w:szCs w:val="22"/>
        </w:rPr>
        <w:t xml:space="preserve">cited in </w:t>
      </w:r>
      <w:r w:rsidRPr="009242E5">
        <w:rPr>
          <w:rFonts w:ascii="Arial" w:hAnsi="Arial" w:cs="Arial"/>
          <w:sz w:val="22"/>
          <w:szCs w:val="22"/>
        </w:rPr>
        <w:t>Takyi, 2015), there is also the risk of bias if the researcher becomes too involved within the group (McLeod, 2015). Participant observation can also be seen as discriminating, focusing too heavily upon the agenda of the researcher (Cohen, Manion and Morrison, 2014, pg. 468).</w:t>
      </w:r>
    </w:p>
    <w:p w14:paraId="771C85B8" w14:textId="77777777" w:rsidR="00AB1B17" w:rsidRPr="009242E5" w:rsidRDefault="00AB1B17" w:rsidP="002130CB">
      <w:pPr>
        <w:spacing w:line="360" w:lineRule="auto"/>
        <w:ind w:firstLine="720"/>
        <w:rPr>
          <w:rFonts w:ascii="Arial" w:hAnsi="Arial" w:cs="Arial"/>
          <w:sz w:val="22"/>
          <w:szCs w:val="22"/>
        </w:rPr>
      </w:pPr>
      <w:r w:rsidRPr="009242E5">
        <w:rPr>
          <w:rFonts w:ascii="Arial" w:hAnsi="Arial" w:cs="Arial"/>
          <w:sz w:val="22"/>
          <w:szCs w:val="22"/>
        </w:rPr>
        <w:t xml:space="preserve">Alternatively, non-participant observation is typically done on a smaller scale, which means the results will not be able to be replicated or generalised across society (McLeod, 2015). Despite this, it has been seen as a normal and increasingly popular method of observation (Angrosino, 2016), perhaps due to the simplicity in its execution. </w:t>
      </w:r>
    </w:p>
    <w:p w14:paraId="1C42CB8C" w14:textId="3EA81470" w:rsidR="00AB1B17" w:rsidRPr="009242E5" w:rsidRDefault="00AB1B17" w:rsidP="002130CB">
      <w:pPr>
        <w:spacing w:line="360" w:lineRule="auto"/>
        <w:ind w:firstLine="720"/>
        <w:rPr>
          <w:rFonts w:ascii="Arial" w:hAnsi="Arial" w:cs="Arial"/>
          <w:sz w:val="22"/>
          <w:szCs w:val="22"/>
        </w:rPr>
      </w:pPr>
      <w:r w:rsidRPr="009242E5">
        <w:rPr>
          <w:rFonts w:ascii="Arial" w:hAnsi="Arial" w:cs="Arial"/>
          <w:sz w:val="22"/>
          <w:szCs w:val="22"/>
        </w:rPr>
        <w:lastRenderedPageBreak/>
        <w:t xml:space="preserve">However, both participant and non-participant observation can carry the risk of participants altering their behaviour, through the influence of an observer (Berthelot, 2011). This is known as the Hawthorne Effect, and is defined as when the participants change their behaviour, as they are </w:t>
      </w:r>
      <w:r w:rsidR="006B4BE9" w:rsidRPr="009242E5">
        <w:rPr>
          <w:rFonts w:ascii="Arial" w:hAnsi="Arial" w:cs="Arial"/>
          <w:sz w:val="22"/>
          <w:szCs w:val="22"/>
        </w:rPr>
        <w:t>aware,</w:t>
      </w:r>
      <w:r w:rsidRPr="009242E5">
        <w:rPr>
          <w:rFonts w:ascii="Arial" w:hAnsi="Arial" w:cs="Arial"/>
          <w:sz w:val="22"/>
          <w:szCs w:val="22"/>
        </w:rPr>
        <w:t xml:space="preserve"> they are being observed (Paradis and Sutkin, 2017; McCambridge, Witton and Elbourne, 2014; Sedgwick, 2012). Some have argued that there is little evidence to suggest the existence of the Hawthorne Effect (Paradis and Sutkin, 2017; Draper et al, 1996) and that it is perhaps an overly simple way of generalising the vast effects of observations (Paradis and Sutkin, 2017). On the other hand, Gass and Mackey (2007, </w:t>
      </w:r>
      <w:r w:rsidRPr="009242E5">
        <w:rPr>
          <w:rFonts w:ascii="Arial" w:hAnsi="Arial" w:cs="Arial"/>
          <w:i/>
          <w:sz w:val="22"/>
          <w:szCs w:val="22"/>
        </w:rPr>
        <w:t xml:space="preserve">cited in </w:t>
      </w:r>
      <w:r w:rsidRPr="009242E5">
        <w:rPr>
          <w:rFonts w:ascii="Arial" w:hAnsi="Arial" w:cs="Arial"/>
          <w:sz w:val="22"/>
          <w:szCs w:val="22"/>
        </w:rPr>
        <w:t xml:space="preserve">Baker and Lee, 2011) have argued that the changes in behaviour do happen, and that these are positive. </w:t>
      </w:r>
    </w:p>
    <w:p w14:paraId="49877C52" w14:textId="3A28DDC0" w:rsidR="00AB1B17" w:rsidRDefault="00AB1B17" w:rsidP="002130CB">
      <w:pPr>
        <w:spacing w:line="360" w:lineRule="auto"/>
        <w:ind w:firstLine="720"/>
        <w:rPr>
          <w:rFonts w:ascii="Arial" w:hAnsi="Arial" w:cs="Arial"/>
          <w:sz w:val="22"/>
          <w:szCs w:val="22"/>
        </w:rPr>
      </w:pPr>
      <w:r w:rsidRPr="009242E5">
        <w:rPr>
          <w:rFonts w:ascii="Arial" w:hAnsi="Arial" w:cs="Arial"/>
          <w:sz w:val="22"/>
          <w:szCs w:val="22"/>
        </w:rPr>
        <w:t xml:space="preserve">As the main concern surrounding the Hawthorne Effect is regarding a change in behaviour, Paradis and Sutkin (2017) have suggested restricting the participants awareness of the research question or topic. Cohen, Manion and Morrison (2014) are of the viewpoint that notifying the participants of what is being researched, would result in the undesired change of behaviour. The researcher has chosen to undertake non-participant observation, with the pupils being unaware of the purposes of the observation. </w:t>
      </w:r>
    </w:p>
    <w:p w14:paraId="039B8C06" w14:textId="7D0E797B" w:rsidR="00903ED3" w:rsidRPr="009242E5" w:rsidRDefault="00903ED3" w:rsidP="00334C50">
      <w:pPr>
        <w:spacing w:line="360" w:lineRule="auto"/>
        <w:rPr>
          <w:rFonts w:ascii="Arial" w:hAnsi="Arial" w:cs="Arial"/>
          <w:sz w:val="22"/>
          <w:szCs w:val="22"/>
        </w:rPr>
      </w:pPr>
      <w:r>
        <w:rPr>
          <w:rFonts w:ascii="Arial" w:hAnsi="Arial" w:cs="Arial"/>
          <w:sz w:val="22"/>
          <w:szCs w:val="22"/>
        </w:rPr>
        <w:tab/>
      </w:r>
      <w:r w:rsidRPr="009242E5">
        <w:rPr>
          <w:rFonts w:ascii="Arial" w:hAnsi="Arial" w:cs="Arial"/>
          <w:sz w:val="22"/>
          <w:szCs w:val="22"/>
        </w:rPr>
        <w:t xml:space="preserve"> </w:t>
      </w:r>
    </w:p>
    <w:p w14:paraId="2720EF39" w14:textId="521AC26F" w:rsidR="0092725E" w:rsidRPr="009242E5" w:rsidRDefault="00183CF3" w:rsidP="00933076">
      <w:pPr>
        <w:spacing w:line="360" w:lineRule="auto"/>
        <w:ind w:firstLine="720"/>
        <w:jc w:val="both"/>
        <w:rPr>
          <w:rFonts w:ascii="Arial" w:hAnsi="Arial" w:cs="Arial"/>
          <w:sz w:val="22"/>
          <w:szCs w:val="22"/>
        </w:rPr>
      </w:pPr>
      <w:r w:rsidRPr="009242E5">
        <w:rPr>
          <w:rFonts w:ascii="Arial" w:hAnsi="Arial" w:cs="Arial"/>
          <w:sz w:val="22"/>
          <w:szCs w:val="22"/>
        </w:rPr>
        <w:t xml:space="preserve"> </w:t>
      </w:r>
      <w:r w:rsidR="0092725E" w:rsidRPr="009242E5">
        <w:rPr>
          <w:rFonts w:ascii="Arial" w:hAnsi="Arial" w:cs="Arial"/>
          <w:sz w:val="22"/>
          <w:szCs w:val="22"/>
        </w:rPr>
        <w:t xml:space="preserve">The critical incident in question, took place during a Read, Write, Inc. session. Read, Write, Inc. aims to teach children to gain confidence in reading accurately and confidently (Ruth Miskin Training, 2019). One of the four purposes, as stated by Donaldson (2015), is to ensure that children can become ‘ambitious, capable learners’ (pg. 29). He expands on this, by explaining that they should be able to build up their knowledge and have the correct skills in place to be able to apply their knowledge in a range of different scenarios (Donaldson, 2019). Read, Write, Inc enables children to create and build upon their knowledge, at a pace that is suitable for them (Ruth Miskin Training, 2019). </w:t>
      </w:r>
    </w:p>
    <w:p w14:paraId="35862EDB" w14:textId="77777777" w:rsidR="0092725E" w:rsidRPr="009242E5" w:rsidRDefault="0092725E" w:rsidP="002130CB">
      <w:pPr>
        <w:spacing w:line="360" w:lineRule="auto"/>
        <w:ind w:firstLine="720"/>
        <w:jc w:val="both"/>
        <w:rPr>
          <w:rFonts w:ascii="Arial" w:hAnsi="Arial" w:cs="Arial"/>
          <w:sz w:val="22"/>
          <w:szCs w:val="22"/>
        </w:rPr>
      </w:pPr>
      <w:r w:rsidRPr="009242E5">
        <w:rPr>
          <w:rFonts w:ascii="Arial" w:hAnsi="Arial" w:cs="Arial"/>
          <w:sz w:val="22"/>
          <w:szCs w:val="22"/>
        </w:rPr>
        <w:t xml:space="preserve">During this lesson, pupils where split into three groups and where supported by either the teacher or one of the class LSAs. Pupil X was in an LSA supported group, with seven other pupils. The pupils where asked a question about the book they had recently been reading together during that session. Questioning plays a large role in allowing children to achieve the previously mentioned purpose (Donaldson, 2015). In order to become an ambitious, capable learner, children should be given opportunities to ask and answer questions (Donaldson, 2015). </w:t>
      </w:r>
    </w:p>
    <w:p w14:paraId="77C06208" w14:textId="58751504" w:rsidR="0092725E" w:rsidRPr="009242E5" w:rsidRDefault="0092725E" w:rsidP="002130CB">
      <w:pPr>
        <w:spacing w:line="360" w:lineRule="auto"/>
        <w:ind w:firstLine="720"/>
        <w:jc w:val="both"/>
        <w:rPr>
          <w:rFonts w:ascii="Arial" w:hAnsi="Arial" w:cs="Arial"/>
          <w:sz w:val="22"/>
          <w:szCs w:val="22"/>
        </w:rPr>
      </w:pPr>
      <w:r w:rsidRPr="009242E5">
        <w:rPr>
          <w:rFonts w:ascii="Arial" w:hAnsi="Arial" w:cs="Arial"/>
          <w:sz w:val="22"/>
          <w:szCs w:val="22"/>
        </w:rPr>
        <w:t xml:space="preserve">However, once Pupil X had noticed their peers having different answers than the </w:t>
      </w:r>
      <w:r w:rsidR="006B4BE9" w:rsidRPr="009242E5">
        <w:rPr>
          <w:rFonts w:ascii="Arial" w:hAnsi="Arial" w:cs="Arial"/>
          <w:sz w:val="22"/>
          <w:szCs w:val="22"/>
        </w:rPr>
        <w:t>one,</w:t>
      </w:r>
      <w:r w:rsidRPr="009242E5">
        <w:rPr>
          <w:rFonts w:ascii="Arial" w:hAnsi="Arial" w:cs="Arial"/>
          <w:sz w:val="22"/>
          <w:szCs w:val="22"/>
        </w:rPr>
        <w:t xml:space="preserve"> they had given, their answer quickly changed. This can be suggested that perhaps Pupil X is not able to achieve one of the four purposes, of being a healthy confident individual (Donaldson, 2015). It is believed that to accomplish this purpose, children must be confident enough to take part in group activities and be able to confidently triumph in adversities they </w:t>
      </w:r>
      <w:r w:rsidRPr="009242E5">
        <w:rPr>
          <w:rFonts w:ascii="Arial" w:hAnsi="Arial" w:cs="Arial"/>
          <w:sz w:val="22"/>
          <w:szCs w:val="22"/>
        </w:rPr>
        <w:lastRenderedPageBreak/>
        <w:t>may face (Donaldson, 2015). Pupil X was not given an opportunity to discuss their opinion, therefore they would have also been unable to fulfil the purpose of being an ‘ambitious, capable learner’ (Donaldson, 2015).</w:t>
      </w:r>
    </w:p>
    <w:p w14:paraId="1FBAAD3D" w14:textId="5794C072" w:rsidR="00421FDA" w:rsidRPr="009242E5" w:rsidRDefault="00421FDA" w:rsidP="002130CB">
      <w:pPr>
        <w:spacing w:line="360" w:lineRule="auto"/>
        <w:ind w:firstLine="720"/>
        <w:jc w:val="both"/>
        <w:rPr>
          <w:rFonts w:ascii="Arial" w:hAnsi="Arial" w:cs="Arial"/>
          <w:sz w:val="22"/>
          <w:szCs w:val="22"/>
        </w:rPr>
      </w:pPr>
    </w:p>
    <w:p w14:paraId="3CA1DAC9" w14:textId="5B5C0BAF" w:rsidR="00421FDA" w:rsidRPr="009242E5" w:rsidRDefault="00421FDA" w:rsidP="002130CB">
      <w:pPr>
        <w:spacing w:line="360" w:lineRule="auto"/>
        <w:rPr>
          <w:rFonts w:ascii="Arial" w:hAnsi="Arial" w:cs="Arial"/>
          <w:sz w:val="22"/>
          <w:szCs w:val="22"/>
        </w:rPr>
      </w:pPr>
      <w:r w:rsidRPr="009242E5">
        <w:rPr>
          <w:sz w:val="22"/>
          <w:szCs w:val="22"/>
        </w:rPr>
        <w:tab/>
      </w:r>
      <w:r w:rsidRPr="009242E5">
        <w:rPr>
          <w:rFonts w:ascii="Arial" w:hAnsi="Arial" w:cs="Arial"/>
          <w:sz w:val="22"/>
          <w:szCs w:val="22"/>
        </w:rPr>
        <w:t xml:space="preserve">The critical incident can be viewed through the eyes of a behaviourist. </w:t>
      </w:r>
      <w:r w:rsidR="006B4BE9" w:rsidRPr="009242E5">
        <w:rPr>
          <w:rFonts w:ascii="Arial" w:hAnsi="Arial" w:cs="Arial"/>
          <w:sz w:val="22"/>
          <w:szCs w:val="22"/>
        </w:rPr>
        <w:t>Behaviourism learning theories</w:t>
      </w:r>
      <w:r w:rsidRPr="009242E5">
        <w:rPr>
          <w:rFonts w:ascii="Arial" w:hAnsi="Arial" w:cs="Arial"/>
          <w:sz w:val="22"/>
          <w:szCs w:val="22"/>
        </w:rPr>
        <w:t xml:space="preserve"> are </w:t>
      </w:r>
      <w:r w:rsidR="006B4BE9" w:rsidRPr="009242E5">
        <w:rPr>
          <w:rFonts w:ascii="Arial" w:hAnsi="Arial" w:cs="Arial"/>
          <w:sz w:val="22"/>
          <w:szCs w:val="22"/>
        </w:rPr>
        <w:t>cent</w:t>
      </w:r>
      <w:r w:rsidR="006B4BE9">
        <w:rPr>
          <w:rFonts w:ascii="Arial" w:hAnsi="Arial" w:cs="Arial"/>
          <w:sz w:val="22"/>
          <w:szCs w:val="22"/>
        </w:rPr>
        <w:t>red</w:t>
      </w:r>
      <w:r w:rsidRPr="009242E5">
        <w:rPr>
          <w:rFonts w:ascii="Arial" w:hAnsi="Arial" w:cs="Arial"/>
          <w:sz w:val="22"/>
          <w:szCs w:val="22"/>
        </w:rPr>
        <w:t xml:space="preserve"> around behaviour which has been derived from a stimulus or a response (Grigg, 2010). One of the main behaviourists, is B.F. Skinner, who created the operant conditioning theory (Keenan, Evans and Crowley, 2016)</w:t>
      </w:r>
    </w:p>
    <w:p w14:paraId="28532192" w14:textId="77777777" w:rsidR="00421FDA" w:rsidRPr="009242E5" w:rsidRDefault="00421FDA" w:rsidP="002130CB">
      <w:pPr>
        <w:spacing w:line="360" w:lineRule="auto"/>
        <w:rPr>
          <w:rFonts w:ascii="Arial" w:hAnsi="Arial" w:cs="Arial"/>
          <w:sz w:val="22"/>
          <w:szCs w:val="22"/>
        </w:rPr>
      </w:pPr>
      <w:r w:rsidRPr="009242E5">
        <w:rPr>
          <w:rFonts w:ascii="Arial" w:hAnsi="Arial" w:cs="Arial"/>
          <w:sz w:val="22"/>
          <w:szCs w:val="22"/>
        </w:rPr>
        <w:tab/>
        <w:t xml:space="preserve">Skinner believed that behaviour was a result of a response towards a stimulus, which can be shaped through either positive or negative reinforcement (Denby, 2015). Positive reinforcement, such as verbally praising a child, is seen to strengthen the behaviour that has been displayed (MacBlain, 2014). On the other hand, negative reinforcement, such as giving a consequence for poor behaviour, decreases the likelihood of the behaviour being repeated (Keenan, Evans and Crowley, 2016). McLeod (2018) has also noted that if the behaviour is to be ignored, then this has no effect upon the behaviour being repeated again. </w:t>
      </w:r>
    </w:p>
    <w:p w14:paraId="183BA719" w14:textId="77777777" w:rsidR="00421FDA" w:rsidRPr="009242E5" w:rsidRDefault="00421FDA" w:rsidP="002130CB">
      <w:pPr>
        <w:spacing w:line="360" w:lineRule="auto"/>
        <w:rPr>
          <w:rFonts w:ascii="Arial" w:hAnsi="Arial" w:cs="Arial"/>
          <w:sz w:val="22"/>
          <w:szCs w:val="22"/>
        </w:rPr>
      </w:pPr>
      <w:r w:rsidRPr="009242E5">
        <w:rPr>
          <w:rFonts w:ascii="Arial" w:hAnsi="Arial" w:cs="Arial"/>
          <w:sz w:val="22"/>
          <w:szCs w:val="22"/>
        </w:rPr>
        <w:tab/>
        <w:t xml:space="preserve">Another behaviourist, J.B. Watson, stated that if the reinforcement was performed regularly enough, then the behaviour would become more of a stronger mannerism (McLeod, 2018; Grigg, 2010). Skinner also agreed with this, noting how important the frequency of reinforcements is to increase or decrease behaviour (MacBlain, 2014). Although, if positive reinforcement is used too often, then it loses its effectiveness in shaping behaviour (Gray and MacBlain, 2015). Similarly, if there is a lack of positive reinforcement, then this could result in the child feeling unappreciated (McLeod, 2018; Gray and MacBlain, 2015). </w:t>
      </w:r>
    </w:p>
    <w:p w14:paraId="43862161" w14:textId="77777777" w:rsidR="00421FDA" w:rsidRPr="009242E5" w:rsidRDefault="00421FDA" w:rsidP="002130CB">
      <w:pPr>
        <w:spacing w:line="360" w:lineRule="auto"/>
        <w:rPr>
          <w:rFonts w:ascii="Arial" w:hAnsi="Arial" w:cs="Arial"/>
          <w:sz w:val="22"/>
          <w:szCs w:val="22"/>
        </w:rPr>
      </w:pPr>
      <w:r w:rsidRPr="009242E5">
        <w:rPr>
          <w:rFonts w:ascii="Arial" w:hAnsi="Arial" w:cs="Arial"/>
          <w:sz w:val="22"/>
          <w:szCs w:val="22"/>
        </w:rPr>
        <w:tab/>
        <w:t>Skinner and his operant conditioning theory have come under scrutiny and been a subject of debate. Firstly, his experiments took place within laboratories, using animals’ behaviour to form his theories (MacBlain, 2015). Noah Chomsky (1959) argued that the conditioned responses of a child, could not fully explain their understanding surrounding their behaviour. Such criticisms of the theory can lead to the worry surrounding its relevance within a classroom environment.</w:t>
      </w:r>
    </w:p>
    <w:p w14:paraId="0BBB6207" w14:textId="05F14B00" w:rsidR="00421FDA" w:rsidRPr="009242E5" w:rsidRDefault="00421FDA" w:rsidP="002130CB">
      <w:pPr>
        <w:spacing w:line="360" w:lineRule="auto"/>
        <w:rPr>
          <w:rFonts w:ascii="Arial" w:hAnsi="Arial" w:cs="Arial"/>
          <w:sz w:val="22"/>
          <w:szCs w:val="22"/>
        </w:rPr>
      </w:pPr>
      <w:r w:rsidRPr="009242E5">
        <w:rPr>
          <w:rFonts w:ascii="Arial" w:hAnsi="Arial" w:cs="Arial"/>
          <w:sz w:val="22"/>
          <w:szCs w:val="22"/>
        </w:rPr>
        <w:tab/>
        <w:t>Despite this, McLeod (2018) has pointed out the relevance operant conditioning theory has in shaping and improving performance in the classroom. Skinner was of the belief that for teaching to be effective, that relevant positive reinforcement must be included (Holland and Skinner, 1961). The operant conditioning theory can be witnessed in modern day classrooms, through the use of behaviour management or the provision of feedback (McLeod, 2018)</w:t>
      </w:r>
      <w:r w:rsidR="002130CB" w:rsidRPr="009242E5">
        <w:rPr>
          <w:rFonts w:ascii="Arial" w:hAnsi="Arial" w:cs="Arial"/>
          <w:sz w:val="22"/>
          <w:szCs w:val="22"/>
        </w:rPr>
        <w:t>, such as Assessment for Learning.</w:t>
      </w:r>
    </w:p>
    <w:p w14:paraId="7885EC1D" w14:textId="77777777" w:rsidR="0099372B" w:rsidRPr="009242E5" w:rsidRDefault="0099372B" w:rsidP="0099372B">
      <w:pPr>
        <w:spacing w:line="360" w:lineRule="auto"/>
        <w:ind w:firstLine="720"/>
        <w:rPr>
          <w:rFonts w:ascii="Arial" w:hAnsi="Arial" w:cs="Arial"/>
          <w:sz w:val="22"/>
          <w:szCs w:val="22"/>
        </w:rPr>
      </w:pPr>
      <w:r w:rsidRPr="009242E5">
        <w:rPr>
          <w:rFonts w:ascii="Arial" w:hAnsi="Arial" w:cs="Arial"/>
        </w:rPr>
        <w:tab/>
      </w:r>
      <w:r w:rsidRPr="009242E5">
        <w:rPr>
          <w:rFonts w:ascii="Arial" w:hAnsi="Arial" w:cs="Arial"/>
          <w:sz w:val="22"/>
          <w:szCs w:val="22"/>
        </w:rPr>
        <w:t xml:space="preserve">Assessment for learning has been summarised as being ‘formative assessment’ (Brown, 2019; Hargreaves, 2010; Black and Wiliam, 1998). It is a way of </w:t>
      </w:r>
      <w:r w:rsidRPr="009242E5">
        <w:rPr>
          <w:rFonts w:ascii="Arial" w:hAnsi="Arial" w:cs="Arial"/>
          <w:sz w:val="22"/>
          <w:szCs w:val="22"/>
        </w:rPr>
        <w:lastRenderedPageBreak/>
        <w:t xml:space="preserve">gathering information about where a pupil is in their learning, what they would need to achieve next, and the most suitable way to get there (Assessment Reform Group, 2002 </w:t>
      </w:r>
      <w:r w:rsidRPr="009242E5">
        <w:rPr>
          <w:rFonts w:ascii="Arial" w:hAnsi="Arial" w:cs="Arial"/>
          <w:i/>
          <w:sz w:val="22"/>
          <w:szCs w:val="22"/>
        </w:rPr>
        <w:t xml:space="preserve">cited in </w:t>
      </w:r>
      <w:r w:rsidRPr="009242E5">
        <w:rPr>
          <w:rFonts w:ascii="Arial" w:hAnsi="Arial" w:cs="Arial"/>
          <w:sz w:val="22"/>
          <w:szCs w:val="22"/>
        </w:rPr>
        <w:t xml:space="preserve">Hargreaves, 2005). Black and Wiliam (1998) have further defined this as a form of assessment that provides feedback, allowing for relevant changes to be made in teaching and learning. The use of assessment for learning, to move children forward in their education, has also been highlighted by Donaldson (2015) as one of his twelve pedological principles. </w:t>
      </w:r>
    </w:p>
    <w:p w14:paraId="44C00A8C" w14:textId="77777777" w:rsidR="0099372B" w:rsidRPr="009242E5" w:rsidRDefault="0099372B" w:rsidP="0099372B">
      <w:pPr>
        <w:spacing w:line="360" w:lineRule="auto"/>
        <w:ind w:firstLine="720"/>
        <w:rPr>
          <w:rFonts w:ascii="Arial" w:hAnsi="Arial" w:cs="Arial"/>
          <w:sz w:val="22"/>
          <w:szCs w:val="22"/>
        </w:rPr>
      </w:pPr>
      <w:r w:rsidRPr="009242E5">
        <w:rPr>
          <w:rFonts w:ascii="Arial" w:hAnsi="Arial" w:cs="Arial"/>
          <w:sz w:val="22"/>
          <w:szCs w:val="22"/>
        </w:rPr>
        <w:t xml:space="preserve"> It differs to that of summative assessment, which is assessment that takes place at the end of a period of learning, using methods such as exams to collect the information (National Foundation for Educational Research, 2019). Summative assessment has been seen as having a harmful influence upon children (Assessment Reform Group, 2002 </w:t>
      </w:r>
      <w:r w:rsidRPr="009242E5">
        <w:rPr>
          <w:rFonts w:ascii="Arial" w:hAnsi="Arial" w:cs="Arial"/>
          <w:i/>
          <w:sz w:val="22"/>
          <w:szCs w:val="22"/>
        </w:rPr>
        <w:t xml:space="preserve">cited in </w:t>
      </w:r>
      <w:r w:rsidRPr="009242E5">
        <w:rPr>
          <w:rFonts w:ascii="Arial" w:hAnsi="Arial" w:cs="Arial"/>
          <w:sz w:val="22"/>
          <w:szCs w:val="22"/>
        </w:rPr>
        <w:t>Black et al, 2003). It has been suggested that the high focus it has upon achieving certain grades and abilities, has an impact upon pupil’s self-esteem (Black et al, 2003). Therefore, the active involvement of pupils within Assessment for Learning has been shown to reinforce and improve learning (Trauth-Nare and Buck, 2011; Black et al, 2003).</w:t>
      </w:r>
    </w:p>
    <w:p w14:paraId="16617A00" w14:textId="77777777" w:rsidR="0099372B" w:rsidRPr="009242E5" w:rsidRDefault="0099372B" w:rsidP="0099372B">
      <w:pPr>
        <w:spacing w:line="360" w:lineRule="auto"/>
        <w:ind w:firstLine="720"/>
        <w:rPr>
          <w:rFonts w:ascii="Arial" w:hAnsi="Arial" w:cs="Arial"/>
          <w:sz w:val="22"/>
          <w:szCs w:val="22"/>
        </w:rPr>
      </w:pPr>
      <w:r w:rsidRPr="009242E5">
        <w:rPr>
          <w:rFonts w:ascii="Arial" w:hAnsi="Arial" w:cs="Arial"/>
          <w:sz w:val="22"/>
          <w:szCs w:val="22"/>
        </w:rPr>
        <w:t>There are several techniques to ensure that formative assessment is taking place. The use of quality feedback, as suggested by Brown (2019) and Wiliam and Black (1998), will be discussed in further detail within the context of the critical incident.</w:t>
      </w:r>
    </w:p>
    <w:p w14:paraId="3491FD03" w14:textId="77777777" w:rsidR="0099372B" w:rsidRPr="009242E5" w:rsidRDefault="0099372B" w:rsidP="0099372B">
      <w:pPr>
        <w:spacing w:line="360" w:lineRule="auto"/>
        <w:ind w:firstLine="720"/>
        <w:rPr>
          <w:rFonts w:ascii="Arial" w:hAnsi="Arial" w:cs="Arial"/>
          <w:sz w:val="22"/>
          <w:szCs w:val="22"/>
        </w:rPr>
      </w:pPr>
      <w:r w:rsidRPr="009242E5">
        <w:rPr>
          <w:rFonts w:ascii="Arial" w:hAnsi="Arial" w:cs="Arial"/>
          <w:sz w:val="22"/>
          <w:szCs w:val="22"/>
        </w:rPr>
        <w:t xml:space="preserve">The use of feedback has been recognised as a vital part of assessment for learning (Brown, 2019; Swaffield, 2008; Black et al, 2003; Black and Wiliam, 1998). Hattie (2009) has defined feedback as being the most influential towards improving pupil’s attainment. It allows pupils to understand their next steps in learning, and what they need to do to achieve this (Assessment Reform Group, 1999 </w:t>
      </w:r>
      <w:r w:rsidRPr="009242E5">
        <w:rPr>
          <w:rFonts w:ascii="Arial" w:hAnsi="Arial" w:cs="Arial"/>
          <w:i/>
          <w:sz w:val="22"/>
          <w:szCs w:val="22"/>
        </w:rPr>
        <w:t xml:space="preserve">cited in </w:t>
      </w:r>
      <w:r w:rsidRPr="009242E5">
        <w:rPr>
          <w:rFonts w:ascii="Arial" w:hAnsi="Arial" w:cs="Arial"/>
          <w:sz w:val="22"/>
          <w:szCs w:val="22"/>
        </w:rPr>
        <w:t xml:space="preserve">Hargreaves, 2005). </w:t>
      </w:r>
    </w:p>
    <w:p w14:paraId="5FA4199B" w14:textId="77777777" w:rsidR="0099372B" w:rsidRPr="009242E5" w:rsidRDefault="0099372B" w:rsidP="0099372B">
      <w:pPr>
        <w:spacing w:line="360" w:lineRule="auto"/>
        <w:ind w:firstLine="720"/>
        <w:rPr>
          <w:rFonts w:ascii="Arial" w:hAnsi="Arial" w:cs="Arial"/>
          <w:sz w:val="22"/>
          <w:szCs w:val="22"/>
        </w:rPr>
      </w:pPr>
      <w:r w:rsidRPr="009242E5">
        <w:rPr>
          <w:rFonts w:ascii="Arial" w:hAnsi="Arial" w:cs="Arial"/>
          <w:sz w:val="22"/>
          <w:szCs w:val="22"/>
        </w:rPr>
        <w:t xml:space="preserve">Black and Wiliam (1998) have stressed the importance surrounding the contents of feedback. They stated that feedback should ‘be about particular qualities of his/her work, with advice on what he/she can do to improve’ (Black and Wiliam, 1998, pg. 9). The information that has been provided should then be used, to close the gap between current and desired knowledge (Sadler, 1989 </w:t>
      </w:r>
      <w:r w:rsidRPr="009242E5">
        <w:rPr>
          <w:rFonts w:ascii="Arial" w:hAnsi="Arial" w:cs="Arial"/>
          <w:i/>
          <w:sz w:val="22"/>
          <w:szCs w:val="22"/>
        </w:rPr>
        <w:t xml:space="preserve">cited in </w:t>
      </w:r>
      <w:r w:rsidRPr="009242E5">
        <w:rPr>
          <w:rFonts w:ascii="Arial" w:hAnsi="Arial" w:cs="Arial"/>
          <w:sz w:val="22"/>
          <w:szCs w:val="22"/>
        </w:rPr>
        <w:t xml:space="preserve">Swaffield, 2008). </w:t>
      </w:r>
    </w:p>
    <w:p w14:paraId="35772E05" w14:textId="77777777" w:rsidR="0099372B" w:rsidRPr="009242E5" w:rsidRDefault="0099372B" w:rsidP="0099372B">
      <w:pPr>
        <w:spacing w:line="360" w:lineRule="auto"/>
        <w:ind w:firstLine="720"/>
        <w:rPr>
          <w:rFonts w:ascii="Arial" w:hAnsi="Arial" w:cs="Arial"/>
          <w:sz w:val="22"/>
          <w:szCs w:val="22"/>
        </w:rPr>
      </w:pPr>
      <w:r w:rsidRPr="009242E5">
        <w:rPr>
          <w:rFonts w:ascii="Arial" w:hAnsi="Arial" w:cs="Arial"/>
          <w:sz w:val="22"/>
          <w:szCs w:val="22"/>
        </w:rPr>
        <w:t xml:space="preserve">Although feedback has been noted to positively impact upon learning, it can also hinder a child if not used correctly. Black et al (2003) have noted that numerical feedback, such as a test percentage, does not provide a child with enough information on how to move forward in their learning. Hattie and Timperley (2007) also agree with this, stating that the numbers or grades are irrelevant, and it’s the feedback provided that is important. This method of feedback only encourages children to compare themselves with peers, ignoring the potential for improvement (Black et al, 2003). </w:t>
      </w:r>
    </w:p>
    <w:p w14:paraId="382D4012" w14:textId="77777777" w:rsidR="0099372B" w:rsidRPr="009242E5" w:rsidRDefault="0099372B" w:rsidP="0099372B">
      <w:pPr>
        <w:spacing w:line="360" w:lineRule="auto"/>
        <w:ind w:firstLine="720"/>
        <w:rPr>
          <w:rFonts w:ascii="Arial" w:hAnsi="Arial" w:cs="Arial"/>
          <w:sz w:val="22"/>
          <w:szCs w:val="22"/>
        </w:rPr>
      </w:pPr>
      <w:r w:rsidRPr="009242E5">
        <w:rPr>
          <w:rFonts w:ascii="Arial" w:hAnsi="Arial" w:cs="Arial"/>
          <w:sz w:val="22"/>
          <w:szCs w:val="22"/>
        </w:rPr>
        <w:t xml:space="preserve">Time is also an issue surrounding feedback. If feedback isn’t given instantly, then children would have forgotten the detail and the task surrounding it, rendering it ineffective </w:t>
      </w:r>
      <w:r w:rsidRPr="009242E5">
        <w:rPr>
          <w:rFonts w:ascii="Arial" w:hAnsi="Arial" w:cs="Arial"/>
          <w:sz w:val="22"/>
          <w:szCs w:val="22"/>
        </w:rPr>
        <w:lastRenderedPageBreak/>
        <w:t xml:space="preserve">towards learning (Swaffield, 2008). Therefore, the feedback would need to be relevant and provided almost instantaneously. This can also be linked in with Skinners operant conditioning theory and rewards. The positive or negative reinforcers used to shape behaviour can be a form of feedback, which needed to be given immediately (McLeod, 2018; Omomia and Omomia, 2014). </w:t>
      </w:r>
    </w:p>
    <w:p w14:paraId="0502E096" w14:textId="77777777" w:rsidR="00B60ACD" w:rsidRPr="009242E5" w:rsidRDefault="00242021" w:rsidP="006851A7">
      <w:pPr>
        <w:spacing w:line="360" w:lineRule="auto"/>
        <w:ind w:firstLine="720"/>
        <w:rPr>
          <w:rFonts w:ascii="Arial" w:hAnsi="Arial" w:cs="Arial"/>
          <w:sz w:val="22"/>
          <w:szCs w:val="22"/>
        </w:rPr>
      </w:pPr>
      <w:r w:rsidRPr="009242E5">
        <w:rPr>
          <w:rFonts w:ascii="Arial" w:hAnsi="Arial" w:cs="Arial"/>
          <w:sz w:val="22"/>
          <w:szCs w:val="22"/>
        </w:rPr>
        <w:tab/>
      </w:r>
      <w:r w:rsidR="006851A7" w:rsidRPr="009242E5">
        <w:rPr>
          <w:rFonts w:ascii="Arial" w:hAnsi="Arial" w:cs="Arial"/>
          <w:sz w:val="22"/>
          <w:szCs w:val="22"/>
        </w:rPr>
        <w:t xml:space="preserve">During the Read Write Ink session, pupil X was working within a group of their peers. The literature suggests that students are more likely to seriously accept constructive criticism, or feedback, from their peers over their teachers (Black et al, 2003). Swaffield (2008) has noted that because feedback should be part of a consistent dialogue, it is more likely to occur between peers. </w:t>
      </w:r>
      <w:r w:rsidR="00B60ACD" w:rsidRPr="009242E5">
        <w:rPr>
          <w:rFonts w:ascii="Arial" w:hAnsi="Arial" w:cs="Arial"/>
          <w:sz w:val="22"/>
          <w:szCs w:val="22"/>
        </w:rPr>
        <w:t xml:space="preserve">Donaldson (2015) has also expressed the power that peer feedback has, highlighting it’s potential to allow the testing of ideas. </w:t>
      </w:r>
    </w:p>
    <w:p w14:paraId="6CC6A18F" w14:textId="3046B1E8" w:rsidR="006851A7" w:rsidRPr="009242E5" w:rsidRDefault="006851A7" w:rsidP="006851A7">
      <w:pPr>
        <w:spacing w:line="360" w:lineRule="auto"/>
        <w:ind w:firstLine="720"/>
        <w:rPr>
          <w:rFonts w:ascii="Arial" w:hAnsi="Arial" w:cs="Arial"/>
          <w:sz w:val="22"/>
          <w:szCs w:val="22"/>
        </w:rPr>
      </w:pPr>
      <w:r w:rsidRPr="009242E5">
        <w:rPr>
          <w:rFonts w:ascii="Arial" w:hAnsi="Arial" w:cs="Arial"/>
          <w:sz w:val="22"/>
          <w:szCs w:val="22"/>
        </w:rPr>
        <w:t xml:space="preserve">Due to the social nature of group feedback, then the children would need to feel comfortable with the environment that they are in. Hattie (2009) stressed the importance of creating a safe environment, where mistakes are welcomed and not judged by others. The research undertaken by Carol Dweck (2006, </w:t>
      </w:r>
      <w:r w:rsidRPr="009242E5">
        <w:rPr>
          <w:rFonts w:ascii="Arial" w:hAnsi="Arial" w:cs="Arial"/>
          <w:i/>
          <w:sz w:val="22"/>
          <w:szCs w:val="22"/>
        </w:rPr>
        <w:t xml:space="preserve">cited in </w:t>
      </w:r>
      <w:r w:rsidRPr="009242E5">
        <w:rPr>
          <w:rFonts w:ascii="Arial" w:hAnsi="Arial" w:cs="Arial"/>
          <w:sz w:val="22"/>
          <w:szCs w:val="22"/>
        </w:rPr>
        <w:t>Swaffield, 2008) suggested that the idea one possesses about themselves, is massively influenced by feedback. This can lead to the worry of negative feedback, and the implications this may have upon a child. Brown (2019) stressed the importance for a child to be psychologically sound enough to deal with peer feedback.</w:t>
      </w:r>
    </w:p>
    <w:p w14:paraId="2323D338" w14:textId="3BB35D6C" w:rsidR="009156D3" w:rsidRPr="009242E5" w:rsidRDefault="009156D3" w:rsidP="006851A7">
      <w:pPr>
        <w:spacing w:line="360" w:lineRule="auto"/>
        <w:ind w:firstLine="720"/>
        <w:rPr>
          <w:rFonts w:ascii="Arial" w:hAnsi="Arial" w:cs="Arial"/>
          <w:sz w:val="22"/>
          <w:szCs w:val="22"/>
        </w:rPr>
      </w:pPr>
      <w:r w:rsidRPr="009242E5">
        <w:rPr>
          <w:rFonts w:ascii="Arial" w:hAnsi="Arial" w:cs="Arial"/>
          <w:sz w:val="22"/>
          <w:szCs w:val="22"/>
        </w:rPr>
        <w:t xml:space="preserve">Alternatively, it was witnessed that Pupil X changed their mind once they have viewed the opinions of others within their group. According to Albert Banduras Social Learning Theory, children learn by observing the actions of those around them (McLeod, 2016). This can be through either the physical or verbal behaviours displayed and can include the expectations their peers have created about them (Linden, 2005 </w:t>
      </w:r>
      <w:r w:rsidRPr="009242E5">
        <w:rPr>
          <w:rFonts w:ascii="Arial" w:hAnsi="Arial" w:cs="Arial"/>
          <w:i/>
          <w:iCs/>
          <w:sz w:val="22"/>
          <w:szCs w:val="22"/>
        </w:rPr>
        <w:t>cited in</w:t>
      </w:r>
      <w:r w:rsidRPr="009242E5">
        <w:rPr>
          <w:rFonts w:ascii="Arial" w:hAnsi="Arial" w:cs="Arial"/>
          <w:sz w:val="22"/>
          <w:szCs w:val="22"/>
        </w:rPr>
        <w:t xml:space="preserve"> Gray and MacBlain, 2015). Bandura also believed in the concept of self-efficacy, which involved the beliefs the child had about their own abilities and potential to succeed (Bandura, 1994). </w:t>
      </w:r>
      <w:r w:rsidR="006B4BE9" w:rsidRPr="009242E5">
        <w:rPr>
          <w:rFonts w:ascii="Arial" w:hAnsi="Arial" w:cs="Arial"/>
          <w:sz w:val="22"/>
          <w:szCs w:val="22"/>
        </w:rPr>
        <w:t xml:space="preserve">Gray and MacBlain (2015) noted how </w:t>
      </w:r>
      <w:r w:rsidR="006B4BE9">
        <w:rPr>
          <w:rFonts w:ascii="Arial" w:hAnsi="Arial" w:cs="Arial"/>
          <w:sz w:val="22"/>
          <w:szCs w:val="22"/>
        </w:rPr>
        <w:t xml:space="preserve">on one hand </w:t>
      </w:r>
      <w:r w:rsidR="006B4BE9" w:rsidRPr="009242E5">
        <w:rPr>
          <w:rFonts w:ascii="Arial" w:hAnsi="Arial" w:cs="Arial"/>
          <w:sz w:val="22"/>
          <w:szCs w:val="22"/>
        </w:rPr>
        <w:t xml:space="preserve">children </w:t>
      </w:r>
      <w:r w:rsidR="006B4BE9">
        <w:rPr>
          <w:rFonts w:ascii="Arial" w:hAnsi="Arial" w:cs="Arial"/>
          <w:sz w:val="22"/>
          <w:szCs w:val="22"/>
        </w:rPr>
        <w:t>can</w:t>
      </w:r>
      <w:r w:rsidR="006B4BE9" w:rsidRPr="009242E5">
        <w:rPr>
          <w:rFonts w:ascii="Arial" w:hAnsi="Arial" w:cs="Arial"/>
          <w:sz w:val="22"/>
          <w:szCs w:val="22"/>
        </w:rPr>
        <w:t xml:space="preserve"> be self-confident, and therefore have a good sense of self-efficacy. </w:t>
      </w:r>
      <w:r w:rsidRPr="009242E5">
        <w:rPr>
          <w:rFonts w:ascii="Arial" w:hAnsi="Arial" w:cs="Arial"/>
          <w:sz w:val="22"/>
          <w:szCs w:val="22"/>
        </w:rPr>
        <w:t xml:space="preserve">On the other hand, they may also have weak self-efficacy, and may struggle with their confidence during complicated tasks (Gray and MacBlain, 2015). It is suggested that to enable a strong sense of self-efficacy, children receive positive comments from those around them (Gray and MacBlain, 2015; Bandura, 1994). In regard to receiving feedback, Swaffield (2008) has suggested that it is not the existence or lack of feedback that would make a difference to the </w:t>
      </w:r>
      <w:r w:rsidR="006B4BE9">
        <w:rPr>
          <w:rFonts w:ascii="Arial" w:hAnsi="Arial" w:cs="Arial"/>
          <w:sz w:val="22"/>
          <w:szCs w:val="22"/>
        </w:rPr>
        <w:t>pupils</w:t>
      </w:r>
      <w:r w:rsidRPr="009242E5">
        <w:rPr>
          <w:rFonts w:ascii="Arial" w:hAnsi="Arial" w:cs="Arial"/>
          <w:sz w:val="22"/>
          <w:szCs w:val="22"/>
        </w:rPr>
        <w:t xml:space="preserve"> learning, it is the standard of the feedback received that would have an impact. Therefore, it can be implied that if Pupil X was to receive good quality feedback, then their self-efficacy would improve.</w:t>
      </w:r>
    </w:p>
    <w:p w14:paraId="253A97FA" w14:textId="2EFF0E86" w:rsidR="00685029" w:rsidRPr="009242E5" w:rsidRDefault="007835C7" w:rsidP="00685029">
      <w:pPr>
        <w:spacing w:line="360" w:lineRule="auto"/>
        <w:rPr>
          <w:rFonts w:ascii="Arial" w:hAnsi="Arial" w:cs="Arial"/>
          <w:sz w:val="22"/>
          <w:szCs w:val="22"/>
        </w:rPr>
      </w:pPr>
      <w:r w:rsidRPr="009242E5">
        <w:rPr>
          <w:rFonts w:ascii="Arial" w:hAnsi="Arial" w:cs="Arial"/>
          <w:sz w:val="22"/>
          <w:szCs w:val="22"/>
        </w:rPr>
        <w:tab/>
      </w:r>
    </w:p>
    <w:p w14:paraId="64B7B56A" w14:textId="77777777" w:rsidR="007835C7" w:rsidRPr="009242E5" w:rsidRDefault="007835C7" w:rsidP="007835C7">
      <w:pPr>
        <w:spacing w:line="360" w:lineRule="auto"/>
        <w:rPr>
          <w:rFonts w:ascii="Arial" w:hAnsi="Arial" w:cs="Arial"/>
          <w:sz w:val="22"/>
          <w:szCs w:val="22"/>
        </w:rPr>
      </w:pPr>
      <w:r w:rsidRPr="009242E5">
        <w:rPr>
          <w:rFonts w:ascii="Arial" w:hAnsi="Arial" w:cs="Arial"/>
          <w:sz w:val="22"/>
          <w:szCs w:val="22"/>
        </w:rPr>
        <w:lastRenderedPageBreak/>
        <w:tab/>
      </w:r>
      <w:r w:rsidRPr="009242E5">
        <w:rPr>
          <w:rFonts w:ascii="Arial" w:hAnsi="Arial" w:cs="Arial"/>
          <w:sz w:val="22"/>
          <w:szCs w:val="22"/>
        </w:rPr>
        <w:tab/>
      </w:r>
      <w:r w:rsidRPr="009242E5">
        <w:rPr>
          <w:rFonts w:ascii="Arial" w:hAnsi="Arial" w:cs="Arial"/>
          <w:sz w:val="22"/>
          <w:szCs w:val="22"/>
        </w:rPr>
        <w:tab/>
        <w:t xml:space="preserve">To allow reflection, an ARC reflection model format has been used. It gave the researcher a chance to analyse the critical incident, allowing the suggestion of further actions to be taken. As Tripp (1993) highlighted, an incident becomes critical once deeper reflection has taken place. Indeed, this then allows a judgement to develop with suggested next steps forming from the analysis (Tripp, 2011). This next section will be reflecting upon the critical incident in question, suggesting the potential next steps that could be taken in the future. The ARC reflection model that refers back to this critical incident, is included underneath appendices 2.  </w:t>
      </w:r>
    </w:p>
    <w:p w14:paraId="76B787FC" w14:textId="77777777" w:rsidR="007835C7" w:rsidRPr="009242E5" w:rsidRDefault="007835C7" w:rsidP="007835C7">
      <w:pPr>
        <w:spacing w:line="360" w:lineRule="auto"/>
        <w:rPr>
          <w:rFonts w:ascii="Arial" w:hAnsi="Arial" w:cs="Arial"/>
          <w:sz w:val="22"/>
          <w:szCs w:val="22"/>
        </w:rPr>
      </w:pPr>
      <w:r w:rsidRPr="009242E5">
        <w:rPr>
          <w:rFonts w:ascii="Arial" w:hAnsi="Arial" w:cs="Arial"/>
          <w:sz w:val="22"/>
          <w:szCs w:val="22"/>
        </w:rPr>
        <w:tab/>
        <w:t xml:space="preserve">The first suggested way forward, is to incorporate the use of think-pair-share within the classroom. It was first developed in 1981 by Frank Lyman, for the use of additional learning needs classrooms (Cooper, 2018; Kaddoura, 2013). It poses a question to the students, who then go onto discuss their opinions with a peer before stating their answers to the group (Cooper, 2018; Kaddoura, 2013; McTighe and Lyman, 1998 </w:t>
      </w:r>
      <w:r w:rsidRPr="009242E5">
        <w:rPr>
          <w:rFonts w:ascii="Arial" w:hAnsi="Arial" w:cs="Arial"/>
          <w:i/>
          <w:iCs/>
          <w:sz w:val="22"/>
          <w:szCs w:val="22"/>
        </w:rPr>
        <w:t xml:space="preserve">cited in </w:t>
      </w:r>
      <w:r w:rsidRPr="009242E5">
        <w:rPr>
          <w:rFonts w:ascii="Arial" w:hAnsi="Arial" w:cs="Arial"/>
          <w:sz w:val="22"/>
          <w:szCs w:val="22"/>
        </w:rPr>
        <w:t>Carss, 2007).</w:t>
      </w:r>
    </w:p>
    <w:p w14:paraId="79E8BEA3" w14:textId="77777777" w:rsidR="007835C7" w:rsidRPr="009242E5" w:rsidRDefault="007835C7" w:rsidP="007835C7">
      <w:pPr>
        <w:spacing w:line="360" w:lineRule="auto"/>
        <w:rPr>
          <w:rFonts w:ascii="Arial" w:hAnsi="Arial" w:cs="Arial"/>
          <w:sz w:val="22"/>
          <w:szCs w:val="22"/>
        </w:rPr>
      </w:pPr>
      <w:r w:rsidRPr="009242E5">
        <w:rPr>
          <w:rFonts w:ascii="Arial" w:hAnsi="Arial" w:cs="Arial"/>
          <w:sz w:val="22"/>
          <w:szCs w:val="22"/>
        </w:rPr>
        <w:tab/>
        <w:t xml:space="preserve">It could be suggested that Pupil X felt pressured to change their answer, due to the question being posed toward the group, with their peers having different answers. Think-pair-share removes the aspect of peer pressure, that is an aspect of responding to a large group (McKeachie and Svinicki, 2010 </w:t>
      </w:r>
      <w:r w:rsidRPr="009242E5">
        <w:rPr>
          <w:rFonts w:ascii="Arial" w:hAnsi="Arial" w:cs="Arial"/>
          <w:i/>
          <w:iCs/>
          <w:sz w:val="22"/>
          <w:szCs w:val="22"/>
        </w:rPr>
        <w:t xml:space="preserve">cited in </w:t>
      </w:r>
      <w:r w:rsidRPr="009242E5">
        <w:rPr>
          <w:rFonts w:ascii="Arial" w:hAnsi="Arial" w:cs="Arial"/>
          <w:sz w:val="22"/>
          <w:szCs w:val="22"/>
        </w:rPr>
        <w:t>Kaddoura, 2013). Children are given time to discuss their opinions, and to rehearse their answers before discussing it with their class (Carss, 2007). It supports children of all abilities to contribute to the discussions and answers, therefore supporting the communication and thinking skills of a wide range of learners (Azlina, 2010; Welsh Assembly Government, 2010; Carss, 2007).</w:t>
      </w:r>
    </w:p>
    <w:p w14:paraId="70E66939" w14:textId="77777777" w:rsidR="007835C7" w:rsidRPr="009242E5" w:rsidRDefault="007835C7" w:rsidP="007835C7">
      <w:pPr>
        <w:spacing w:line="360" w:lineRule="auto"/>
        <w:rPr>
          <w:rFonts w:ascii="Arial" w:hAnsi="Arial" w:cs="Arial"/>
          <w:sz w:val="22"/>
          <w:szCs w:val="22"/>
        </w:rPr>
      </w:pPr>
      <w:r w:rsidRPr="009242E5">
        <w:rPr>
          <w:rFonts w:ascii="Arial" w:hAnsi="Arial" w:cs="Arial"/>
          <w:sz w:val="22"/>
          <w:szCs w:val="22"/>
        </w:rPr>
        <w:tab/>
        <w:t xml:space="preserve">Alternatively, perhaps Pupil X felt as if they did not have enough time to answer the question and did not feel confident with their initial answer, hence the change. Time to think and discuss is an important aspect of think-pair-share (Robertson, 2006 </w:t>
      </w:r>
      <w:r w:rsidRPr="009242E5">
        <w:rPr>
          <w:rFonts w:ascii="Arial" w:hAnsi="Arial" w:cs="Arial"/>
          <w:i/>
          <w:iCs/>
          <w:sz w:val="22"/>
          <w:szCs w:val="22"/>
        </w:rPr>
        <w:t>cited in</w:t>
      </w:r>
      <w:r w:rsidRPr="009242E5">
        <w:rPr>
          <w:rFonts w:ascii="Arial" w:hAnsi="Arial" w:cs="Arial"/>
          <w:sz w:val="22"/>
          <w:szCs w:val="22"/>
        </w:rPr>
        <w:t xml:space="preserve"> Kaddoura, 2013). Azlina (2010) notes how this leads to an improvement in the students thinking, with the Welsh Assembly Government (2010) noting how this makes room for the development of more advanced answers.</w:t>
      </w:r>
    </w:p>
    <w:p w14:paraId="525FB335" w14:textId="77777777" w:rsidR="007835C7" w:rsidRPr="009242E5" w:rsidRDefault="007835C7" w:rsidP="007835C7">
      <w:pPr>
        <w:spacing w:line="360" w:lineRule="auto"/>
        <w:rPr>
          <w:rFonts w:ascii="Arial" w:hAnsi="Arial" w:cs="Arial"/>
          <w:sz w:val="22"/>
          <w:szCs w:val="22"/>
        </w:rPr>
      </w:pPr>
      <w:r w:rsidRPr="009242E5">
        <w:rPr>
          <w:rFonts w:ascii="Arial" w:hAnsi="Arial" w:cs="Arial"/>
          <w:sz w:val="22"/>
          <w:szCs w:val="22"/>
        </w:rPr>
        <w:tab/>
        <w:t xml:space="preserve">The second suggested way forward, as mentioned within the Arc Reflection model (appendices 2) is the use of concept cartoons. Concept cartoons where developed by Stuart Naylor and Brenda Keogh, and where initially used to explore misconceptions children had about science (Celik and Gundogdu, 2016; Welsh Assembly Government, 2010; STEM Learning, 2009). It has since proven a useful method, to support learners during the teaching and learning process (Celik and Gundogdu, 2016). </w:t>
      </w:r>
    </w:p>
    <w:p w14:paraId="3C6AC9B4" w14:textId="77777777" w:rsidR="007835C7" w:rsidRPr="009242E5" w:rsidRDefault="007835C7" w:rsidP="007835C7">
      <w:pPr>
        <w:spacing w:line="360" w:lineRule="auto"/>
        <w:rPr>
          <w:rFonts w:ascii="Arial" w:hAnsi="Arial" w:cs="Arial"/>
          <w:sz w:val="22"/>
          <w:szCs w:val="22"/>
        </w:rPr>
      </w:pPr>
      <w:r w:rsidRPr="009242E5">
        <w:rPr>
          <w:rFonts w:ascii="Arial" w:hAnsi="Arial" w:cs="Arial"/>
          <w:sz w:val="22"/>
          <w:szCs w:val="22"/>
        </w:rPr>
        <w:tab/>
        <w:t xml:space="preserve">Concept cartoons have been described as being cartoon images or characters, which each represent a different point of view or idea (Celik and Gundogdu, 2016; Naylor and Keogh, 2012; Welsh Assembly Government, 2010). In terms of the critical incident, it can be assumed that Pupil X did not feel completely confident in their answer. The fact that </w:t>
      </w:r>
      <w:r w:rsidRPr="009242E5">
        <w:rPr>
          <w:rFonts w:ascii="Arial" w:hAnsi="Arial" w:cs="Arial"/>
          <w:sz w:val="22"/>
          <w:szCs w:val="22"/>
        </w:rPr>
        <w:lastRenderedPageBreak/>
        <w:t>they also quickly changed it after observing their peers, also suggests this. It is noted how those pupils who are less confident than their peers, are often reluctant to disclose their ideas in fear that they are incorrect (Naylor and Keogh, 2012). Both the Welsh Assembly Government (2010) and STEM Learning (2009) have noted how concept cartoons demolishes this fear. This is perhaps due to the pupils believing that the cartoons are the ones who hold the opinion, so the blame can easily be placed upon them if they are wrong.</w:t>
      </w:r>
    </w:p>
    <w:p w14:paraId="67C8C2DF" w14:textId="3FBA9202" w:rsidR="007835C7" w:rsidRPr="0019328E" w:rsidRDefault="007835C7" w:rsidP="007835C7">
      <w:pPr>
        <w:spacing w:line="360" w:lineRule="auto"/>
        <w:rPr>
          <w:rFonts w:ascii="Arial" w:hAnsi="Arial" w:cs="Arial"/>
          <w:sz w:val="22"/>
          <w:szCs w:val="22"/>
        </w:rPr>
      </w:pPr>
      <w:r w:rsidRPr="009242E5">
        <w:rPr>
          <w:rFonts w:ascii="Arial" w:hAnsi="Arial" w:cs="Arial"/>
          <w:sz w:val="22"/>
          <w:szCs w:val="22"/>
        </w:rPr>
        <w:tab/>
        <w:t xml:space="preserve">Keogh and Naylor (1999, </w:t>
      </w:r>
      <w:r w:rsidRPr="009242E5">
        <w:rPr>
          <w:rFonts w:ascii="Arial" w:hAnsi="Arial" w:cs="Arial"/>
          <w:i/>
          <w:iCs/>
          <w:sz w:val="22"/>
          <w:szCs w:val="22"/>
        </w:rPr>
        <w:t xml:space="preserve">cited in </w:t>
      </w:r>
      <w:r w:rsidRPr="009242E5">
        <w:rPr>
          <w:rFonts w:ascii="Arial" w:hAnsi="Arial" w:cs="Arial"/>
          <w:sz w:val="22"/>
          <w:szCs w:val="22"/>
        </w:rPr>
        <w:t xml:space="preserve">Naylor and Keogh, 2012) have also explained how concept cartoons are easily able to be included as a method of assessment for learning. The ease at which pupils are able to express their thoughts and feelings through concept cartoons, supports them in developing their understanding (Wotjaszczyk and Smith, 2006 </w:t>
      </w:r>
      <w:r w:rsidRPr="009242E5">
        <w:rPr>
          <w:rFonts w:ascii="Arial" w:hAnsi="Arial" w:cs="Arial"/>
          <w:i/>
          <w:iCs/>
          <w:sz w:val="22"/>
          <w:szCs w:val="22"/>
        </w:rPr>
        <w:t xml:space="preserve">cited in </w:t>
      </w:r>
      <w:r w:rsidRPr="009242E5">
        <w:rPr>
          <w:rFonts w:ascii="Arial" w:hAnsi="Arial" w:cs="Arial"/>
          <w:sz w:val="22"/>
          <w:szCs w:val="22"/>
        </w:rPr>
        <w:t>Celik and Gundogdu, 2016). This could have provided the LSA supporting Pupil X, with an opportunity to assess their understanding surrounding the topic</w:t>
      </w:r>
      <w:r w:rsidR="00CF2ADB">
        <w:rPr>
          <w:rFonts w:ascii="Arial" w:hAnsi="Arial" w:cs="Arial"/>
          <w:sz w:val="22"/>
          <w:szCs w:val="22"/>
        </w:rPr>
        <w:t xml:space="preserve">, which would have also allowed </w:t>
      </w:r>
      <w:r w:rsidR="00685F7C">
        <w:rPr>
          <w:rFonts w:ascii="Arial" w:hAnsi="Arial" w:cs="Arial"/>
          <w:sz w:val="22"/>
          <w:szCs w:val="22"/>
        </w:rPr>
        <w:t xml:space="preserve">the correct feedback to be delivered. </w:t>
      </w:r>
      <w:r w:rsidR="00CF2ADB">
        <w:rPr>
          <w:rFonts w:ascii="Arial" w:hAnsi="Arial" w:cs="Arial"/>
          <w:sz w:val="22"/>
          <w:szCs w:val="22"/>
        </w:rPr>
        <w:t xml:space="preserve"> </w:t>
      </w:r>
    </w:p>
    <w:p w14:paraId="0ED088D5" w14:textId="2A6E3E72" w:rsidR="00990E32" w:rsidRDefault="00990E32" w:rsidP="009242E5">
      <w:pPr>
        <w:spacing w:line="360" w:lineRule="auto"/>
        <w:rPr>
          <w:rFonts w:ascii="Arial" w:hAnsi="Arial" w:cs="Arial"/>
          <w:sz w:val="22"/>
          <w:szCs w:val="22"/>
        </w:rPr>
      </w:pPr>
    </w:p>
    <w:p w14:paraId="34CF1824" w14:textId="71A5BDA0" w:rsidR="0098506F" w:rsidRDefault="00A636E4" w:rsidP="009242E5">
      <w:pPr>
        <w:spacing w:line="360" w:lineRule="auto"/>
        <w:rPr>
          <w:rFonts w:ascii="Arial" w:hAnsi="Arial" w:cs="Arial"/>
          <w:sz w:val="22"/>
          <w:szCs w:val="22"/>
        </w:rPr>
      </w:pPr>
      <w:r>
        <w:rPr>
          <w:rFonts w:ascii="Arial" w:hAnsi="Arial" w:cs="Arial"/>
          <w:sz w:val="22"/>
          <w:szCs w:val="22"/>
        </w:rPr>
        <w:tab/>
      </w:r>
      <w:r w:rsidR="00485FFE">
        <w:rPr>
          <w:rFonts w:ascii="Arial" w:hAnsi="Arial" w:cs="Arial"/>
          <w:sz w:val="22"/>
          <w:szCs w:val="22"/>
        </w:rPr>
        <w:t xml:space="preserve">In conclusion, </w:t>
      </w:r>
      <w:r w:rsidR="005E7701">
        <w:rPr>
          <w:rFonts w:ascii="Arial" w:hAnsi="Arial" w:cs="Arial"/>
          <w:sz w:val="22"/>
          <w:szCs w:val="22"/>
        </w:rPr>
        <w:t>think-pair-share easily allows peer feedback to</w:t>
      </w:r>
      <w:r w:rsidR="00746B4F">
        <w:rPr>
          <w:rFonts w:ascii="Arial" w:hAnsi="Arial" w:cs="Arial"/>
          <w:sz w:val="22"/>
          <w:szCs w:val="22"/>
        </w:rPr>
        <w:t xml:space="preserve"> take place</w:t>
      </w:r>
      <w:r w:rsidR="002559EC">
        <w:rPr>
          <w:rFonts w:ascii="Arial" w:hAnsi="Arial" w:cs="Arial"/>
          <w:sz w:val="22"/>
          <w:szCs w:val="22"/>
        </w:rPr>
        <w:t xml:space="preserve"> (Carss, 2007) </w:t>
      </w:r>
      <w:r w:rsidR="00746B4F">
        <w:rPr>
          <w:rFonts w:ascii="Arial" w:hAnsi="Arial" w:cs="Arial"/>
          <w:sz w:val="22"/>
          <w:szCs w:val="22"/>
        </w:rPr>
        <w:t xml:space="preserve">whereas concept cartoons </w:t>
      </w:r>
      <w:r w:rsidR="006B4BE9">
        <w:rPr>
          <w:rFonts w:ascii="Arial" w:hAnsi="Arial" w:cs="Arial"/>
          <w:sz w:val="22"/>
          <w:szCs w:val="22"/>
        </w:rPr>
        <w:t>remove</w:t>
      </w:r>
      <w:r w:rsidR="002559EC">
        <w:rPr>
          <w:rFonts w:ascii="Arial" w:hAnsi="Arial" w:cs="Arial"/>
          <w:sz w:val="22"/>
          <w:szCs w:val="22"/>
        </w:rPr>
        <w:t xml:space="preserve"> the fear of responding, supporting children in their learning (Celik and Gundogdu, 2016). Both methods easily allow assessment for learning to take place, </w:t>
      </w:r>
      <w:r w:rsidR="00A84685">
        <w:rPr>
          <w:rFonts w:ascii="Arial" w:hAnsi="Arial" w:cs="Arial"/>
          <w:sz w:val="22"/>
          <w:szCs w:val="22"/>
        </w:rPr>
        <w:t>enabling the teacher to provide formative feedback.</w:t>
      </w:r>
    </w:p>
    <w:p w14:paraId="32A351E2" w14:textId="72EB62CA" w:rsidR="005C30B7" w:rsidRDefault="005C30B7" w:rsidP="009242E5">
      <w:pPr>
        <w:spacing w:line="360" w:lineRule="auto"/>
        <w:rPr>
          <w:rFonts w:ascii="Arial" w:hAnsi="Arial" w:cs="Arial"/>
          <w:sz w:val="22"/>
          <w:szCs w:val="22"/>
        </w:rPr>
      </w:pPr>
      <w:r>
        <w:rPr>
          <w:rFonts w:ascii="Arial" w:hAnsi="Arial" w:cs="Arial"/>
          <w:sz w:val="22"/>
          <w:szCs w:val="22"/>
        </w:rPr>
        <w:tab/>
      </w:r>
      <w:r w:rsidR="0091186E">
        <w:rPr>
          <w:rFonts w:ascii="Arial" w:hAnsi="Arial" w:cs="Arial"/>
          <w:sz w:val="22"/>
          <w:szCs w:val="22"/>
        </w:rPr>
        <w:t xml:space="preserve">Assessment for learning and formative </w:t>
      </w:r>
      <w:r w:rsidR="00BE7A43">
        <w:rPr>
          <w:rFonts w:ascii="Arial" w:hAnsi="Arial" w:cs="Arial"/>
          <w:sz w:val="22"/>
          <w:szCs w:val="22"/>
        </w:rPr>
        <w:t xml:space="preserve">feedback </w:t>
      </w:r>
      <w:r w:rsidR="00FB39FC">
        <w:rPr>
          <w:rFonts w:ascii="Arial" w:hAnsi="Arial" w:cs="Arial"/>
          <w:sz w:val="22"/>
          <w:szCs w:val="22"/>
        </w:rPr>
        <w:t>is essential,</w:t>
      </w:r>
      <w:r w:rsidR="00C54E41">
        <w:rPr>
          <w:rFonts w:ascii="Arial" w:hAnsi="Arial" w:cs="Arial"/>
          <w:sz w:val="22"/>
          <w:szCs w:val="22"/>
        </w:rPr>
        <w:t xml:space="preserve"> to ensure that pupils are on the right track of their learning and that teaching is kept relevant. </w:t>
      </w:r>
      <w:r w:rsidR="006A2F6B">
        <w:rPr>
          <w:rFonts w:ascii="Arial" w:hAnsi="Arial" w:cs="Arial"/>
          <w:sz w:val="22"/>
          <w:szCs w:val="22"/>
        </w:rPr>
        <w:t xml:space="preserve">These are important aspects, to guarantee that </w:t>
      </w:r>
      <w:r w:rsidR="007644CE">
        <w:rPr>
          <w:rFonts w:ascii="Arial" w:hAnsi="Arial" w:cs="Arial"/>
          <w:sz w:val="22"/>
          <w:szCs w:val="22"/>
        </w:rPr>
        <w:t xml:space="preserve">the professional standards of teaching and </w:t>
      </w:r>
      <w:r w:rsidR="006B4BE9">
        <w:rPr>
          <w:rFonts w:ascii="Arial" w:hAnsi="Arial" w:cs="Arial"/>
          <w:sz w:val="22"/>
          <w:szCs w:val="22"/>
        </w:rPr>
        <w:t>leadership</w:t>
      </w:r>
      <w:bookmarkStart w:id="0" w:name="_GoBack"/>
      <w:bookmarkEnd w:id="0"/>
      <w:r w:rsidR="007644CE">
        <w:rPr>
          <w:rFonts w:ascii="Arial" w:hAnsi="Arial" w:cs="Arial"/>
          <w:sz w:val="22"/>
          <w:szCs w:val="22"/>
        </w:rPr>
        <w:t xml:space="preserve"> are being met.</w:t>
      </w:r>
      <w:r w:rsidR="006B4BE9">
        <w:rPr>
          <w:rFonts w:ascii="Arial" w:hAnsi="Arial" w:cs="Arial"/>
          <w:sz w:val="22"/>
          <w:szCs w:val="22"/>
        </w:rPr>
        <w:t xml:space="preserve"> </w:t>
      </w:r>
      <w:r w:rsidR="003955C4">
        <w:rPr>
          <w:rFonts w:ascii="Arial" w:hAnsi="Arial" w:cs="Arial"/>
          <w:sz w:val="22"/>
          <w:szCs w:val="22"/>
        </w:rPr>
        <w:t xml:space="preserve">Welsh Government (2018) explains that these </w:t>
      </w:r>
      <w:r w:rsidR="002857E6">
        <w:rPr>
          <w:rFonts w:ascii="Arial" w:hAnsi="Arial" w:cs="Arial"/>
          <w:sz w:val="22"/>
          <w:szCs w:val="22"/>
        </w:rPr>
        <w:t xml:space="preserve">values </w:t>
      </w:r>
      <w:r w:rsidR="003955C4">
        <w:rPr>
          <w:rFonts w:ascii="Arial" w:hAnsi="Arial" w:cs="Arial"/>
          <w:sz w:val="22"/>
          <w:szCs w:val="22"/>
        </w:rPr>
        <w:t xml:space="preserve">encourage teachers </w:t>
      </w:r>
      <w:r w:rsidR="00996FBB">
        <w:rPr>
          <w:rFonts w:ascii="Arial" w:hAnsi="Arial" w:cs="Arial"/>
          <w:sz w:val="22"/>
          <w:szCs w:val="22"/>
        </w:rPr>
        <w:t>to be the best that they can possibly be</w:t>
      </w:r>
      <w:r w:rsidR="00962728">
        <w:rPr>
          <w:rFonts w:ascii="Arial" w:hAnsi="Arial" w:cs="Arial"/>
          <w:sz w:val="22"/>
          <w:szCs w:val="22"/>
        </w:rPr>
        <w:t xml:space="preserve">, ensuring the best outcomes for their pupils. </w:t>
      </w:r>
      <w:r w:rsidR="00A61AEA">
        <w:rPr>
          <w:rFonts w:ascii="Arial" w:hAnsi="Arial" w:cs="Arial"/>
          <w:sz w:val="22"/>
          <w:szCs w:val="22"/>
        </w:rPr>
        <w:t>Both think-pair-share and concept cartoons</w:t>
      </w:r>
      <w:r w:rsidR="008C0859">
        <w:rPr>
          <w:rFonts w:ascii="Arial" w:hAnsi="Arial" w:cs="Arial"/>
          <w:sz w:val="22"/>
          <w:szCs w:val="22"/>
        </w:rPr>
        <w:t>, refine</w:t>
      </w:r>
      <w:r w:rsidR="0073626F">
        <w:rPr>
          <w:rFonts w:ascii="Arial" w:hAnsi="Arial" w:cs="Arial"/>
          <w:sz w:val="22"/>
          <w:szCs w:val="22"/>
        </w:rPr>
        <w:t>s</w:t>
      </w:r>
      <w:r w:rsidR="008C0859">
        <w:rPr>
          <w:rFonts w:ascii="Arial" w:hAnsi="Arial" w:cs="Arial"/>
          <w:sz w:val="22"/>
          <w:szCs w:val="22"/>
        </w:rPr>
        <w:t xml:space="preserve"> and support learning for children,</w:t>
      </w:r>
      <w:r w:rsidR="0073626F">
        <w:rPr>
          <w:rFonts w:ascii="Arial" w:hAnsi="Arial" w:cs="Arial"/>
          <w:sz w:val="22"/>
          <w:szCs w:val="22"/>
        </w:rPr>
        <w:t xml:space="preserve"> ensuring that the standard of teaching and learning being paramount, is met (Welsh Government, 2018). </w:t>
      </w:r>
      <w:r w:rsidR="0069453D">
        <w:rPr>
          <w:rFonts w:ascii="Arial" w:hAnsi="Arial" w:cs="Arial"/>
          <w:sz w:val="22"/>
          <w:szCs w:val="22"/>
        </w:rPr>
        <w:t>Through critical reflection</w:t>
      </w:r>
      <w:r w:rsidR="00ED68AC">
        <w:rPr>
          <w:rFonts w:ascii="Arial" w:hAnsi="Arial" w:cs="Arial"/>
          <w:sz w:val="22"/>
          <w:szCs w:val="22"/>
        </w:rPr>
        <w:t xml:space="preserve"> </w:t>
      </w:r>
      <w:r w:rsidR="009859DD">
        <w:rPr>
          <w:rFonts w:ascii="Arial" w:hAnsi="Arial" w:cs="Arial"/>
          <w:sz w:val="22"/>
          <w:szCs w:val="22"/>
        </w:rPr>
        <w:t xml:space="preserve">teaching practices can be </w:t>
      </w:r>
      <w:r w:rsidR="00ED68AC">
        <w:rPr>
          <w:rFonts w:ascii="Arial" w:hAnsi="Arial" w:cs="Arial"/>
          <w:sz w:val="22"/>
          <w:szCs w:val="22"/>
        </w:rPr>
        <w:t>consistently</w:t>
      </w:r>
      <w:r w:rsidR="009859DD">
        <w:rPr>
          <w:rFonts w:ascii="Arial" w:hAnsi="Arial" w:cs="Arial"/>
          <w:sz w:val="22"/>
          <w:szCs w:val="22"/>
        </w:rPr>
        <w:t xml:space="preserve"> refined,</w:t>
      </w:r>
      <w:r w:rsidR="00ED68AC">
        <w:rPr>
          <w:rFonts w:ascii="Arial" w:hAnsi="Arial" w:cs="Arial"/>
          <w:sz w:val="22"/>
          <w:szCs w:val="22"/>
        </w:rPr>
        <w:t xml:space="preserve"> enabling practices are kept up to date, ensuring the best possible outcomes for learners.</w:t>
      </w:r>
    </w:p>
    <w:p w14:paraId="55D32366" w14:textId="2001E476" w:rsidR="00984824" w:rsidRPr="009242E5" w:rsidRDefault="00984824" w:rsidP="009242E5">
      <w:pPr>
        <w:spacing w:line="360" w:lineRule="auto"/>
        <w:rPr>
          <w:rFonts w:ascii="Arial" w:hAnsi="Arial" w:cs="Arial"/>
          <w:sz w:val="22"/>
          <w:szCs w:val="22"/>
        </w:rPr>
      </w:pPr>
      <w:r>
        <w:rPr>
          <w:rFonts w:ascii="Arial" w:hAnsi="Arial" w:cs="Arial"/>
          <w:sz w:val="22"/>
          <w:szCs w:val="22"/>
        </w:rPr>
        <w:tab/>
      </w:r>
    </w:p>
    <w:sectPr w:rsidR="00984824" w:rsidRPr="009242E5" w:rsidSect="00F5188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B0F857" w14:textId="77777777" w:rsidR="00365887" w:rsidRDefault="00365887" w:rsidP="00D8710E">
      <w:r>
        <w:separator/>
      </w:r>
    </w:p>
  </w:endnote>
  <w:endnote w:type="continuationSeparator" w:id="0">
    <w:p w14:paraId="0ED30031" w14:textId="77777777" w:rsidR="00365887" w:rsidRDefault="00365887" w:rsidP="00D871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FD2ECC" w14:textId="77777777" w:rsidR="00365887" w:rsidRDefault="00365887" w:rsidP="00D8710E">
      <w:r>
        <w:separator/>
      </w:r>
    </w:p>
  </w:footnote>
  <w:footnote w:type="continuationSeparator" w:id="0">
    <w:p w14:paraId="768E946D" w14:textId="77777777" w:rsidR="00365887" w:rsidRDefault="00365887" w:rsidP="00D8710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6034"/>
    <w:rsid w:val="00013D5D"/>
    <w:rsid w:val="00016DFB"/>
    <w:rsid w:val="000229C3"/>
    <w:rsid w:val="00024FBA"/>
    <w:rsid w:val="000307C3"/>
    <w:rsid w:val="00030FE8"/>
    <w:rsid w:val="0003426B"/>
    <w:rsid w:val="00050B9B"/>
    <w:rsid w:val="00051D7F"/>
    <w:rsid w:val="00052E45"/>
    <w:rsid w:val="000571E8"/>
    <w:rsid w:val="00057A14"/>
    <w:rsid w:val="00057F7F"/>
    <w:rsid w:val="000664D6"/>
    <w:rsid w:val="00071AD2"/>
    <w:rsid w:val="00072908"/>
    <w:rsid w:val="000815E5"/>
    <w:rsid w:val="00083903"/>
    <w:rsid w:val="000932F4"/>
    <w:rsid w:val="000A1021"/>
    <w:rsid w:val="000B580E"/>
    <w:rsid w:val="000C3036"/>
    <w:rsid w:val="000C36DC"/>
    <w:rsid w:val="000C558D"/>
    <w:rsid w:val="000D7CBB"/>
    <w:rsid w:val="000E3526"/>
    <w:rsid w:val="000E41BD"/>
    <w:rsid w:val="000F3FEB"/>
    <w:rsid w:val="0010651E"/>
    <w:rsid w:val="00111978"/>
    <w:rsid w:val="00113727"/>
    <w:rsid w:val="00115C4E"/>
    <w:rsid w:val="00120CDC"/>
    <w:rsid w:val="00122B3C"/>
    <w:rsid w:val="001269D9"/>
    <w:rsid w:val="001343C3"/>
    <w:rsid w:val="00140CA8"/>
    <w:rsid w:val="00142DAC"/>
    <w:rsid w:val="00152FC8"/>
    <w:rsid w:val="00162094"/>
    <w:rsid w:val="00163F4F"/>
    <w:rsid w:val="001732D3"/>
    <w:rsid w:val="0018389F"/>
    <w:rsid w:val="00183CF3"/>
    <w:rsid w:val="00187929"/>
    <w:rsid w:val="00187E9B"/>
    <w:rsid w:val="001902C4"/>
    <w:rsid w:val="0019427D"/>
    <w:rsid w:val="00196154"/>
    <w:rsid w:val="00197774"/>
    <w:rsid w:val="00197C4F"/>
    <w:rsid w:val="001A011E"/>
    <w:rsid w:val="001A25B2"/>
    <w:rsid w:val="001A6654"/>
    <w:rsid w:val="001B11D0"/>
    <w:rsid w:val="001B1DC0"/>
    <w:rsid w:val="001D147F"/>
    <w:rsid w:val="001D5852"/>
    <w:rsid w:val="001D69B6"/>
    <w:rsid w:val="001D72C6"/>
    <w:rsid w:val="001E3535"/>
    <w:rsid w:val="001E3D15"/>
    <w:rsid w:val="0020734D"/>
    <w:rsid w:val="00211A56"/>
    <w:rsid w:val="002130CB"/>
    <w:rsid w:val="002152DF"/>
    <w:rsid w:val="0022398A"/>
    <w:rsid w:val="0024168A"/>
    <w:rsid w:val="00242021"/>
    <w:rsid w:val="002431A6"/>
    <w:rsid w:val="00243830"/>
    <w:rsid w:val="0024583A"/>
    <w:rsid w:val="002559EC"/>
    <w:rsid w:val="0026274D"/>
    <w:rsid w:val="0026503A"/>
    <w:rsid w:val="0026728E"/>
    <w:rsid w:val="00267E1B"/>
    <w:rsid w:val="00271B33"/>
    <w:rsid w:val="002857E6"/>
    <w:rsid w:val="00295BE7"/>
    <w:rsid w:val="002976C5"/>
    <w:rsid w:val="002A10F5"/>
    <w:rsid w:val="002A1AB9"/>
    <w:rsid w:val="002A266B"/>
    <w:rsid w:val="002B241E"/>
    <w:rsid w:val="002B2AF5"/>
    <w:rsid w:val="002C4B63"/>
    <w:rsid w:val="002C5D8D"/>
    <w:rsid w:val="002C67AC"/>
    <w:rsid w:val="002C7955"/>
    <w:rsid w:val="002D5B4E"/>
    <w:rsid w:val="002D77F1"/>
    <w:rsid w:val="002D7D3B"/>
    <w:rsid w:val="002E7C4E"/>
    <w:rsid w:val="00313DE6"/>
    <w:rsid w:val="00316939"/>
    <w:rsid w:val="00324A29"/>
    <w:rsid w:val="00331FBC"/>
    <w:rsid w:val="00334C50"/>
    <w:rsid w:val="00343A3A"/>
    <w:rsid w:val="00350D5C"/>
    <w:rsid w:val="00357B3F"/>
    <w:rsid w:val="00365887"/>
    <w:rsid w:val="00373C1A"/>
    <w:rsid w:val="0038150D"/>
    <w:rsid w:val="00382EC2"/>
    <w:rsid w:val="0038360D"/>
    <w:rsid w:val="00391623"/>
    <w:rsid w:val="003955C4"/>
    <w:rsid w:val="00395AF2"/>
    <w:rsid w:val="003A661B"/>
    <w:rsid w:val="003A729F"/>
    <w:rsid w:val="003B1129"/>
    <w:rsid w:val="003B5A79"/>
    <w:rsid w:val="003B7EEE"/>
    <w:rsid w:val="003C1C87"/>
    <w:rsid w:val="003C220B"/>
    <w:rsid w:val="003C2A1F"/>
    <w:rsid w:val="003C7EB8"/>
    <w:rsid w:val="003D19C8"/>
    <w:rsid w:val="003D2031"/>
    <w:rsid w:val="003D32CF"/>
    <w:rsid w:val="003D3E95"/>
    <w:rsid w:val="003D4083"/>
    <w:rsid w:val="003D7C7D"/>
    <w:rsid w:val="003E0A25"/>
    <w:rsid w:val="003F38A7"/>
    <w:rsid w:val="003F41AE"/>
    <w:rsid w:val="003F54A7"/>
    <w:rsid w:val="003F69E1"/>
    <w:rsid w:val="003F74AA"/>
    <w:rsid w:val="00405395"/>
    <w:rsid w:val="00410DF8"/>
    <w:rsid w:val="0041303C"/>
    <w:rsid w:val="00421E69"/>
    <w:rsid w:val="00421FDA"/>
    <w:rsid w:val="0042719E"/>
    <w:rsid w:val="00434B5E"/>
    <w:rsid w:val="00441982"/>
    <w:rsid w:val="00442DBC"/>
    <w:rsid w:val="00454D38"/>
    <w:rsid w:val="004724CE"/>
    <w:rsid w:val="00472D0E"/>
    <w:rsid w:val="004732EF"/>
    <w:rsid w:val="00474081"/>
    <w:rsid w:val="00474D6C"/>
    <w:rsid w:val="00477262"/>
    <w:rsid w:val="00483F3B"/>
    <w:rsid w:val="00483FC9"/>
    <w:rsid w:val="00485FFE"/>
    <w:rsid w:val="00487C7C"/>
    <w:rsid w:val="004953C7"/>
    <w:rsid w:val="00495545"/>
    <w:rsid w:val="00495C95"/>
    <w:rsid w:val="00495F37"/>
    <w:rsid w:val="004970A6"/>
    <w:rsid w:val="00497954"/>
    <w:rsid w:val="004A69A9"/>
    <w:rsid w:val="004B6AFF"/>
    <w:rsid w:val="004C0771"/>
    <w:rsid w:val="004C1AFB"/>
    <w:rsid w:val="004C51BC"/>
    <w:rsid w:val="004C5433"/>
    <w:rsid w:val="004C5AD4"/>
    <w:rsid w:val="004D13C3"/>
    <w:rsid w:val="004D21C5"/>
    <w:rsid w:val="004D57D5"/>
    <w:rsid w:val="004D5E20"/>
    <w:rsid w:val="004E2477"/>
    <w:rsid w:val="004E68DD"/>
    <w:rsid w:val="004F323D"/>
    <w:rsid w:val="004F772F"/>
    <w:rsid w:val="0050375A"/>
    <w:rsid w:val="005101B0"/>
    <w:rsid w:val="00510334"/>
    <w:rsid w:val="00510D00"/>
    <w:rsid w:val="00513597"/>
    <w:rsid w:val="00514CEC"/>
    <w:rsid w:val="00521B05"/>
    <w:rsid w:val="005231D0"/>
    <w:rsid w:val="00526508"/>
    <w:rsid w:val="00532DA2"/>
    <w:rsid w:val="00537A8F"/>
    <w:rsid w:val="00540167"/>
    <w:rsid w:val="00544F72"/>
    <w:rsid w:val="005500B1"/>
    <w:rsid w:val="005506B6"/>
    <w:rsid w:val="00550808"/>
    <w:rsid w:val="0055746A"/>
    <w:rsid w:val="00566C34"/>
    <w:rsid w:val="00575D01"/>
    <w:rsid w:val="0057647B"/>
    <w:rsid w:val="00585B8F"/>
    <w:rsid w:val="00587F28"/>
    <w:rsid w:val="00596034"/>
    <w:rsid w:val="005B01D7"/>
    <w:rsid w:val="005B0A4D"/>
    <w:rsid w:val="005C06E0"/>
    <w:rsid w:val="005C30B7"/>
    <w:rsid w:val="005C3260"/>
    <w:rsid w:val="005D2E7C"/>
    <w:rsid w:val="005D3466"/>
    <w:rsid w:val="005D3615"/>
    <w:rsid w:val="005E14E6"/>
    <w:rsid w:val="005E2BDA"/>
    <w:rsid w:val="005E6D49"/>
    <w:rsid w:val="005E7701"/>
    <w:rsid w:val="005F2596"/>
    <w:rsid w:val="006048AC"/>
    <w:rsid w:val="00604B45"/>
    <w:rsid w:val="00611772"/>
    <w:rsid w:val="00611CC1"/>
    <w:rsid w:val="00612341"/>
    <w:rsid w:val="00623E55"/>
    <w:rsid w:val="006247DF"/>
    <w:rsid w:val="006301F7"/>
    <w:rsid w:val="00630CB0"/>
    <w:rsid w:val="00632988"/>
    <w:rsid w:val="00632CB1"/>
    <w:rsid w:val="00635D40"/>
    <w:rsid w:val="00637B8B"/>
    <w:rsid w:val="00640059"/>
    <w:rsid w:val="00641105"/>
    <w:rsid w:val="006439C8"/>
    <w:rsid w:val="0065700F"/>
    <w:rsid w:val="00661DAC"/>
    <w:rsid w:val="00667430"/>
    <w:rsid w:val="006705B9"/>
    <w:rsid w:val="00671677"/>
    <w:rsid w:val="00674861"/>
    <w:rsid w:val="00683C72"/>
    <w:rsid w:val="00685029"/>
    <w:rsid w:val="006851A7"/>
    <w:rsid w:val="00685482"/>
    <w:rsid w:val="00685F7C"/>
    <w:rsid w:val="00686E04"/>
    <w:rsid w:val="0069453D"/>
    <w:rsid w:val="00695889"/>
    <w:rsid w:val="00697430"/>
    <w:rsid w:val="00697D4D"/>
    <w:rsid w:val="006A0FF2"/>
    <w:rsid w:val="006A215D"/>
    <w:rsid w:val="006A2F6B"/>
    <w:rsid w:val="006A48B3"/>
    <w:rsid w:val="006A6B24"/>
    <w:rsid w:val="006B4340"/>
    <w:rsid w:val="006B4BE9"/>
    <w:rsid w:val="006B531F"/>
    <w:rsid w:val="006B6F5E"/>
    <w:rsid w:val="006B7786"/>
    <w:rsid w:val="006C00D1"/>
    <w:rsid w:val="006C0921"/>
    <w:rsid w:val="006C0DB7"/>
    <w:rsid w:val="006C5CEB"/>
    <w:rsid w:val="006D61B3"/>
    <w:rsid w:val="006F0F64"/>
    <w:rsid w:val="006F6372"/>
    <w:rsid w:val="00711745"/>
    <w:rsid w:val="007152A5"/>
    <w:rsid w:val="00726A60"/>
    <w:rsid w:val="0073626F"/>
    <w:rsid w:val="00746B4F"/>
    <w:rsid w:val="0075168E"/>
    <w:rsid w:val="007644CE"/>
    <w:rsid w:val="007724D3"/>
    <w:rsid w:val="007835C7"/>
    <w:rsid w:val="00790244"/>
    <w:rsid w:val="00797BB3"/>
    <w:rsid w:val="007A1C8E"/>
    <w:rsid w:val="007A2659"/>
    <w:rsid w:val="007A4B0E"/>
    <w:rsid w:val="007A7FF2"/>
    <w:rsid w:val="007C220C"/>
    <w:rsid w:val="007C3054"/>
    <w:rsid w:val="007C3CFC"/>
    <w:rsid w:val="007C74B1"/>
    <w:rsid w:val="007E0738"/>
    <w:rsid w:val="007E08F8"/>
    <w:rsid w:val="007E2A53"/>
    <w:rsid w:val="007E4173"/>
    <w:rsid w:val="007E57F8"/>
    <w:rsid w:val="00811B42"/>
    <w:rsid w:val="008143CD"/>
    <w:rsid w:val="00830D97"/>
    <w:rsid w:val="00842C80"/>
    <w:rsid w:val="008461EC"/>
    <w:rsid w:val="008500B6"/>
    <w:rsid w:val="008564C0"/>
    <w:rsid w:val="008622C1"/>
    <w:rsid w:val="008707DD"/>
    <w:rsid w:val="00870B38"/>
    <w:rsid w:val="0087503F"/>
    <w:rsid w:val="00875319"/>
    <w:rsid w:val="00881DF6"/>
    <w:rsid w:val="008838C4"/>
    <w:rsid w:val="00884C9A"/>
    <w:rsid w:val="0089136B"/>
    <w:rsid w:val="00896C33"/>
    <w:rsid w:val="00896CB5"/>
    <w:rsid w:val="008A3FB2"/>
    <w:rsid w:val="008A5DE6"/>
    <w:rsid w:val="008A731E"/>
    <w:rsid w:val="008B3320"/>
    <w:rsid w:val="008C0859"/>
    <w:rsid w:val="008C5A1E"/>
    <w:rsid w:val="008C691E"/>
    <w:rsid w:val="008C75BB"/>
    <w:rsid w:val="008C78DD"/>
    <w:rsid w:val="008D0CBF"/>
    <w:rsid w:val="008D4BF1"/>
    <w:rsid w:val="008E557F"/>
    <w:rsid w:val="008E644C"/>
    <w:rsid w:val="008F5ED3"/>
    <w:rsid w:val="00903ED3"/>
    <w:rsid w:val="00907949"/>
    <w:rsid w:val="0091186E"/>
    <w:rsid w:val="009140FB"/>
    <w:rsid w:val="009156D3"/>
    <w:rsid w:val="009242E5"/>
    <w:rsid w:val="0092725E"/>
    <w:rsid w:val="00933076"/>
    <w:rsid w:val="00933EC1"/>
    <w:rsid w:val="0094792A"/>
    <w:rsid w:val="00960C8D"/>
    <w:rsid w:val="00962728"/>
    <w:rsid w:val="00963D87"/>
    <w:rsid w:val="009679D3"/>
    <w:rsid w:val="00967C13"/>
    <w:rsid w:val="009774E4"/>
    <w:rsid w:val="00981419"/>
    <w:rsid w:val="00984824"/>
    <w:rsid w:val="0098506F"/>
    <w:rsid w:val="009859DD"/>
    <w:rsid w:val="00990E32"/>
    <w:rsid w:val="0099372B"/>
    <w:rsid w:val="009948DC"/>
    <w:rsid w:val="00996BA1"/>
    <w:rsid w:val="00996FBB"/>
    <w:rsid w:val="009A2D1F"/>
    <w:rsid w:val="009A684F"/>
    <w:rsid w:val="009B42BF"/>
    <w:rsid w:val="009C2714"/>
    <w:rsid w:val="009C43DF"/>
    <w:rsid w:val="009D04FA"/>
    <w:rsid w:val="009D0918"/>
    <w:rsid w:val="009E3835"/>
    <w:rsid w:val="009E41C5"/>
    <w:rsid w:val="009E66FD"/>
    <w:rsid w:val="009F019B"/>
    <w:rsid w:val="009F3A24"/>
    <w:rsid w:val="009F729A"/>
    <w:rsid w:val="00A036C1"/>
    <w:rsid w:val="00A06615"/>
    <w:rsid w:val="00A06ABD"/>
    <w:rsid w:val="00A17743"/>
    <w:rsid w:val="00A17C7F"/>
    <w:rsid w:val="00A309BB"/>
    <w:rsid w:val="00A31CFE"/>
    <w:rsid w:val="00A35686"/>
    <w:rsid w:val="00A363D2"/>
    <w:rsid w:val="00A37720"/>
    <w:rsid w:val="00A40044"/>
    <w:rsid w:val="00A41E9B"/>
    <w:rsid w:val="00A43D2B"/>
    <w:rsid w:val="00A45164"/>
    <w:rsid w:val="00A473A0"/>
    <w:rsid w:val="00A52CB9"/>
    <w:rsid w:val="00A61AD6"/>
    <w:rsid w:val="00A61AEA"/>
    <w:rsid w:val="00A636E4"/>
    <w:rsid w:val="00A63734"/>
    <w:rsid w:val="00A65113"/>
    <w:rsid w:val="00A7176A"/>
    <w:rsid w:val="00A7204A"/>
    <w:rsid w:val="00A816AC"/>
    <w:rsid w:val="00A84685"/>
    <w:rsid w:val="00A8474F"/>
    <w:rsid w:val="00A85FDD"/>
    <w:rsid w:val="00A92204"/>
    <w:rsid w:val="00A95DEB"/>
    <w:rsid w:val="00AA10A9"/>
    <w:rsid w:val="00AA754C"/>
    <w:rsid w:val="00AB0AE8"/>
    <w:rsid w:val="00AB1B17"/>
    <w:rsid w:val="00AB4889"/>
    <w:rsid w:val="00AB7EB8"/>
    <w:rsid w:val="00AC2651"/>
    <w:rsid w:val="00AC5500"/>
    <w:rsid w:val="00AE3EE3"/>
    <w:rsid w:val="00AE667F"/>
    <w:rsid w:val="00AF55DC"/>
    <w:rsid w:val="00B0063E"/>
    <w:rsid w:val="00B03241"/>
    <w:rsid w:val="00B06C63"/>
    <w:rsid w:val="00B27E1B"/>
    <w:rsid w:val="00B31EDE"/>
    <w:rsid w:val="00B33C28"/>
    <w:rsid w:val="00B34DCC"/>
    <w:rsid w:val="00B41573"/>
    <w:rsid w:val="00B419C9"/>
    <w:rsid w:val="00B421EC"/>
    <w:rsid w:val="00B45794"/>
    <w:rsid w:val="00B56B68"/>
    <w:rsid w:val="00B6062C"/>
    <w:rsid w:val="00B60ACD"/>
    <w:rsid w:val="00B73012"/>
    <w:rsid w:val="00B73329"/>
    <w:rsid w:val="00B74D4A"/>
    <w:rsid w:val="00B75FF4"/>
    <w:rsid w:val="00B83D3D"/>
    <w:rsid w:val="00B879C9"/>
    <w:rsid w:val="00BB13FF"/>
    <w:rsid w:val="00BB50B7"/>
    <w:rsid w:val="00BC1D9E"/>
    <w:rsid w:val="00BC2713"/>
    <w:rsid w:val="00BD2314"/>
    <w:rsid w:val="00BD79BF"/>
    <w:rsid w:val="00BE7A43"/>
    <w:rsid w:val="00BF006A"/>
    <w:rsid w:val="00BF10B5"/>
    <w:rsid w:val="00BF4363"/>
    <w:rsid w:val="00BF4E5B"/>
    <w:rsid w:val="00BF77DA"/>
    <w:rsid w:val="00C00656"/>
    <w:rsid w:val="00C02496"/>
    <w:rsid w:val="00C04D9C"/>
    <w:rsid w:val="00C04F22"/>
    <w:rsid w:val="00C17402"/>
    <w:rsid w:val="00C178E2"/>
    <w:rsid w:val="00C315F8"/>
    <w:rsid w:val="00C40BF1"/>
    <w:rsid w:val="00C40E32"/>
    <w:rsid w:val="00C54E41"/>
    <w:rsid w:val="00C610D8"/>
    <w:rsid w:val="00C7232C"/>
    <w:rsid w:val="00C8435D"/>
    <w:rsid w:val="00C87523"/>
    <w:rsid w:val="00C9517B"/>
    <w:rsid w:val="00C96134"/>
    <w:rsid w:val="00CB1D9D"/>
    <w:rsid w:val="00CB1E11"/>
    <w:rsid w:val="00CB4AF8"/>
    <w:rsid w:val="00CB6C18"/>
    <w:rsid w:val="00CD41C6"/>
    <w:rsid w:val="00CD51FA"/>
    <w:rsid w:val="00CE3872"/>
    <w:rsid w:val="00CF2ADB"/>
    <w:rsid w:val="00D020E0"/>
    <w:rsid w:val="00D14936"/>
    <w:rsid w:val="00D15747"/>
    <w:rsid w:val="00D377DA"/>
    <w:rsid w:val="00D42D19"/>
    <w:rsid w:val="00D43AB2"/>
    <w:rsid w:val="00D54F82"/>
    <w:rsid w:val="00D553E0"/>
    <w:rsid w:val="00D579DC"/>
    <w:rsid w:val="00D613F5"/>
    <w:rsid w:val="00D63318"/>
    <w:rsid w:val="00D654B5"/>
    <w:rsid w:val="00D81FCC"/>
    <w:rsid w:val="00D82272"/>
    <w:rsid w:val="00D83342"/>
    <w:rsid w:val="00D838A6"/>
    <w:rsid w:val="00D8710E"/>
    <w:rsid w:val="00D93971"/>
    <w:rsid w:val="00D94B7B"/>
    <w:rsid w:val="00DA0B0E"/>
    <w:rsid w:val="00DA357F"/>
    <w:rsid w:val="00DA532D"/>
    <w:rsid w:val="00DA728C"/>
    <w:rsid w:val="00DB41BE"/>
    <w:rsid w:val="00DC4AA3"/>
    <w:rsid w:val="00DD43D1"/>
    <w:rsid w:val="00DD7E8F"/>
    <w:rsid w:val="00DF4DEE"/>
    <w:rsid w:val="00DF6527"/>
    <w:rsid w:val="00DF6B12"/>
    <w:rsid w:val="00E00D80"/>
    <w:rsid w:val="00E172A8"/>
    <w:rsid w:val="00E2497B"/>
    <w:rsid w:val="00E303B7"/>
    <w:rsid w:val="00E32058"/>
    <w:rsid w:val="00E3257B"/>
    <w:rsid w:val="00E34B2B"/>
    <w:rsid w:val="00E3747A"/>
    <w:rsid w:val="00E375CE"/>
    <w:rsid w:val="00E37E67"/>
    <w:rsid w:val="00E47DD7"/>
    <w:rsid w:val="00E54A2A"/>
    <w:rsid w:val="00E667A3"/>
    <w:rsid w:val="00E74768"/>
    <w:rsid w:val="00E92251"/>
    <w:rsid w:val="00E94B07"/>
    <w:rsid w:val="00E97B97"/>
    <w:rsid w:val="00EA0BE9"/>
    <w:rsid w:val="00EA411E"/>
    <w:rsid w:val="00EA4F1F"/>
    <w:rsid w:val="00EA6404"/>
    <w:rsid w:val="00ED5828"/>
    <w:rsid w:val="00ED68AC"/>
    <w:rsid w:val="00EE41F2"/>
    <w:rsid w:val="00EE5F83"/>
    <w:rsid w:val="00EF133C"/>
    <w:rsid w:val="00EF2821"/>
    <w:rsid w:val="00EF63AD"/>
    <w:rsid w:val="00F06993"/>
    <w:rsid w:val="00F072E0"/>
    <w:rsid w:val="00F21202"/>
    <w:rsid w:val="00F21319"/>
    <w:rsid w:val="00F367D0"/>
    <w:rsid w:val="00F42017"/>
    <w:rsid w:val="00F441B0"/>
    <w:rsid w:val="00F51880"/>
    <w:rsid w:val="00F63866"/>
    <w:rsid w:val="00F64ABF"/>
    <w:rsid w:val="00F64DB7"/>
    <w:rsid w:val="00F672B8"/>
    <w:rsid w:val="00F80975"/>
    <w:rsid w:val="00F81B78"/>
    <w:rsid w:val="00F828E0"/>
    <w:rsid w:val="00F95136"/>
    <w:rsid w:val="00F97047"/>
    <w:rsid w:val="00FA3C9B"/>
    <w:rsid w:val="00FB2759"/>
    <w:rsid w:val="00FB39FC"/>
    <w:rsid w:val="00FB4493"/>
    <w:rsid w:val="00FC0258"/>
    <w:rsid w:val="00FD01DD"/>
    <w:rsid w:val="00FF2DF3"/>
    <w:rsid w:val="00FF57B4"/>
    <w:rsid w:val="00FF75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B8CDB56"/>
  <w15:chartTrackingRefBased/>
  <w15:docId w15:val="{7F4E5DF8-DCB1-D24F-8793-C0F77F4F4D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711745"/>
    <w:rPr>
      <w:sz w:val="16"/>
      <w:szCs w:val="16"/>
    </w:rPr>
  </w:style>
  <w:style w:type="paragraph" w:styleId="CommentText">
    <w:name w:val="annotation text"/>
    <w:basedOn w:val="Normal"/>
    <w:link w:val="CommentTextChar"/>
    <w:uiPriority w:val="99"/>
    <w:semiHidden/>
    <w:unhideWhenUsed/>
    <w:rsid w:val="00711745"/>
    <w:rPr>
      <w:sz w:val="20"/>
      <w:szCs w:val="20"/>
    </w:rPr>
  </w:style>
  <w:style w:type="character" w:customStyle="1" w:styleId="CommentTextChar">
    <w:name w:val="Comment Text Char"/>
    <w:basedOn w:val="DefaultParagraphFont"/>
    <w:link w:val="CommentText"/>
    <w:uiPriority w:val="99"/>
    <w:semiHidden/>
    <w:rsid w:val="00711745"/>
    <w:rPr>
      <w:sz w:val="20"/>
      <w:szCs w:val="20"/>
    </w:rPr>
  </w:style>
  <w:style w:type="paragraph" w:styleId="CommentSubject">
    <w:name w:val="annotation subject"/>
    <w:basedOn w:val="CommentText"/>
    <w:next w:val="CommentText"/>
    <w:link w:val="CommentSubjectChar"/>
    <w:uiPriority w:val="99"/>
    <w:semiHidden/>
    <w:unhideWhenUsed/>
    <w:rsid w:val="00711745"/>
    <w:rPr>
      <w:b/>
      <w:bCs/>
    </w:rPr>
  </w:style>
  <w:style w:type="character" w:customStyle="1" w:styleId="CommentSubjectChar">
    <w:name w:val="Comment Subject Char"/>
    <w:basedOn w:val="CommentTextChar"/>
    <w:link w:val="CommentSubject"/>
    <w:uiPriority w:val="99"/>
    <w:semiHidden/>
    <w:rsid w:val="00711745"/>
    <w:rPr>
      <w:b/>
      <w:bCs/>
      <w:sz w:val="20"/>
      <w:szCs w:val="20"/>
    </w:rPr>
  </w:style>
  <w:style w:type="paragraph" w:styleId="BalloonText">
    <w:name w:val="Balloon Text"/>
    <w:basedOn w:val="Normal"/>
    <w:link w:val="BalloonTextChar"/>
    <w:uiPriority w:val="99"/>
    <w:semiHidden/>
    <w:unhideWhenUsed/>
    <w:rsid w:val="00711745"/>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711745"/>
    <w:rPr>
      <w:rFonts w:ascii="Times New Roman" w:hAnsi="Times New Roman" w:cs="Times New Roman"/>
      <w:sz w:val="18"/>
      <w:szCs w:val="18"/>
    </w:rPr>
  </w:style>
  <w:style w:type="paragraph" w:styleId="Header">
    <w:name w:val="header"/>
    <w:basedOn w:val="Normal"/>
    <w:link w:val="HeaderChar"/>
    <w:uiPriority w:val="99"/>
    <w:unhideWhenUsed/>
    <w:rsid w:val="00D8710E"/>
    <w:pPr>
      <w:tabs>
        <w:tab w:val="center" w:pos="4680"/>
        <w:tab w:val="right" w:pos="9360"/>
      </w:tabs>
    </w:pPr>
  </w:style>
  <w:style w:type="character" w:customStyle="1" w:styleId="HeaderChar">
    <w:name w:val="Header Char"/>
    <w:basedOn w:val="DefaultParagraphFont"/>
    <w:link w:val="Header"/>
    <w:uiPriority w:val="99"/>
    <w:rsid w:val="00D8710E"/>
  </w:style>
  <w:style w:type="paragraph" w:styleId="Footer">
    <w:name w:val="footer"/>
    <w:basedOn w:val="Normal"/>
    <w:link w:val="FooterChar"/>
    <w:uiPriority w:val="99"/>
    <w:unhideWhenUsed/>
    <w:rsid w:val="00D8710E"/>
    <w:pPr>
      <w:tabs>
        <w:tab w:val="center" w:pos="4680"/>
        <w:tab w:val="right" w:pos="9360"/>
      </w:tabs>
    </w:pPr>
  </w:style>
  <w:style w:type="character" w:customStyle="1" w:styleId="FooterChar">
    <w:name w:val="Footer Char"/>
    <w:basedOn w:val="DefaultParagraphFont"/>
    <w:link w:val="Footer"/>
    <w:uiPriority w:val="99"/>
    <w:rsid w:val="00D871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338</TotalTime>
  <Pages>8</Pages>
  <Words>3460</Words>
  <Characters>19722</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Robynne Williams (1400276)</dc:creator>
  <cp:keywords/>
  <dc:description/>
  <cp:lastModifiedBy>Robynne Williams (1400276)</cp:lastModifiedBy>
  <cp:revision>253</cp:revision>
  <cp:lastPrinted>2019-10-19T15:58:00Z</cp:lastPrinted>
  <dcterms:created xsi:type="dcterms:W3CDTF">2019-10-07T13:19:00Z</dcterms:created>
  <dcterms:modified xsi:type="dcterms:W3CDTF">2019-10-20T17:08:00Z</dcterms:modified>
</cp:coreProperties>
</file>