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FEB3" w14:textId="77777777" w:rsidR="00BF649C" w:rsidRPr="00ED1049" w:rsidRDefault="00BF649C" w:rsidP="00BF649C">
      <w:pPr>
        <w:ind w:left="426"/>
        <w:rPr>
          <w:rFonts w:ascii="Arial" w:hAnsi="Arial" w:cs="Arial"/>
        </w:rPr>
      </w:pPr>
    </w:p>
    <w:p w14:paraId="2EEF04DA" w14:textId="35D62C6C" w:rsidR="00BF649C" w:rsidRPr="00074402" w:rsidRDefault="00BF649C" w:rsidP="00BF649C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81A858" wp14:editId="48E28A0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419332954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99E15C" w14:textId="77777777" w:rsidR="00BF649C" w:rsidRPr="00074402" w:rsidRDefault="00BF649C" w:rsidP="00BF649C">
      <w:pPr>
        <w:spacing w:line="360" w:lineRule="auto"/>
        <w:ind w:left="426"/>
        <w:rPr>
          <w:rFonts w:ascii="Arial" w:hAnsi="Arial" w:cs="Arial"/>
          <w:szCs w:val="24"/>
        </w:rPr>
      </w:pPr>
    </w:p>
    <w:p w14:paraId="046748D0" w14:textId="77777777" w:rsidR="00BF649C" w:rsidRPr="00074402" w:rsidRDefault="00BF649C" w:rsidP="00BF649C">
      <w:pPr>
        <w:spacing w:line="360" w:lineRule="auto"/>
        <w:ind w:left="426"/>
        <w:rPr>
          <w:rFonts w:ascii="Arial" w:hAnsi="Arial" w:cs="Arial"/>
          <w:szCs w:val="24"/>
        </w:rPr>
      </w:pPr>
    </w:p>
    <w:p w14:paraId="0961047F" w14:textId="77777777" w:rsidR="00BF649C" w:rsidRPr="00074402" w:rsidRDefault="00BF649C" w:rsidP="00BF649C">
      <w:pPr>
        <w:spacing w:line="360" w:lineRule="auto"/>
        <w:ind w:left="426"/>
        <w:rPr>
          <w:rFonts w:ascii="Arial" w:hAnsi="Arial" w:cs="Arial"/>
          <w:szCs w:val="24"/>
        </w:rPr>
      </w:pPr>
    </w:p>
    <w:p w14:paraId="69F620B3" w14:textId="77777777" w:rsidR="00BF649C" w:rsidRDefault="00BF649C" w:rsidP="00BF649C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22516572" w14:textId="451474A8" w:rsidR="00BF649C" w:rsidRPr="00814A9E" w:rsidRDefault="00BF649C" w:rsidP="00BF649C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BE2BB1">
        <w:rPr>
          <w:rFonts w:ascii="Arial" w:hAnsi="Arial" w:cs="Arial"/>
          <w:sz w:val="28"/>
          <w:szCs w:val="28"/>
          <w:lang w:val="nl-NL"/>
        </w:rPr>
        <w:t xml:space="preserve"> </w:t>
      </w:r>
      <w:r w:rsidR="00BE2BB1" w:rsidRPr="00BE2BB1">
        <w:rPr>
          <w:rFonts w:ascii="Arial" w:hAnsi="Arial" w:cs="Arial"/>
          <w:b/>
          <w:bCs/>
          <w:sz w:val="28"/>
          <w:szCs w:val="28"/>
          <w:lang w:val="nl-NL"/>
        </w:rPr>
        <w:t>Adeola Victoria Kolawole</w:t>
      </w:r>
    </w:p>
    <w:p w14:paraId="337552F9" w14:textId="0958BC59" w:rsidR="00BF649C" w:rsidRPr="00812BA4" w:rsidRDefault="00BF649C" w:rsidP="00BF649C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127BEC">
        <w:rPr>
          <w:rFonts w:ascii="Arial" w:hAnsi="Arial" w:cs="Arial"/>
          <w:sz w:val="28"/>
          <w:szCs w:val="28"/>
          <w:lang w:val="nl-NL"/>
        </w:rPr>
        <w:t xml:space="preserve"> </w:t>
      </w:r>
      <w:r w:rsidR="00127BEC" w:rsidRPr="00812BA4">
        <w:rPr>
          <w:rFonts w:ascii="Arial" w:hAnsi="Arial" w:cs="Arial"/>
          <w:b/>
          <w:bCs/>
          <w:sz w:val="28"/>
          <w:szCs w:val="28"/>
          <w:lang w:val="nl-NL"/>
        </w:rPr>
        <w:t>2246896</w:t>
      </w:r>
    </w:p>
    <w:p w14:paraId="36FCDFD8" w14:textId="6153EAB1" w:rsidR="00BF649C" w:rsidRDefault="00BF649C" w:rsidP="00BF649C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</w:t>
      </w:r>
      <w:r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>
        <w:rPr>
          <w:rFonts w:ascii="Arial" w:hAnsi="Arial" w:cs="Arial"/>
          <w:sz w:val="28"/>
          <w:szCs w:val="28"/>
        </w:rPr>
        <w:t>:</w:t>
      </w:r>
      <w:r w:rsidR="00127BEC">
        <w:rPr>
          <w:rFonts w:ascii="Arial" w:hAnsi="Arial" w:cs="Arial"/>
          <w:sz w:val="28"/>
          <w:szCs w:val="28"/>
        </w:rPr>
        <w:t xml:space="preserve"> </w:t>
      </w:r>
      <w:r w:rsidR="00127BEC" w:rsidRPr="00127BEC">
        <w:rPr>
          <w:rFonts w:ascii="Arial" w:hAnsi="Arial" w:cs="Arial"/>
          <w:b/>
          <w:bCs/>
          <w:sz w:val="28"/>
          <w:szCs w:val="28"/>
        </w:rPr>
        <w:t>Laila Surani</w:t>
      </w:r>
    </w:p>
    <w:p w14:paraId="17F6D103" w14:textId="77777777" w:rsidR="00BF649C" w:rsidRDefault="00BF649C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E0F7C49" w14:textId="77777777" w:rsidR="00BF649C" w:rsidRDefault="00BF649C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259DAE0C" w14:textId="77777777" w:rsidR="00BF649C" w:rsidRDefault="00BF649C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078F41A4" w14:textId="731FCA38" w:rsidR="00CB09A0" w:rsidRPr="005C7C16" w:rsidRDefault="00811166">
      <w:pPr>
        <w:rPr>
          <w:rFonts w:ascii="Arial" w:hAnsi="Arial" w:cs="Arial"/>
          <w:b/>
          <w:bCs/>
          <w:sz w:val="28"/>
          <w:szCs w:val="28"/>
          <w:lang w:val="en-US"/>
        </w:rPr>
      </w:pPr>
      <w:r w:rsidRPr="005C7C16">
        <w:rPr>
          <w:rFonts w:ascii="Arial" w:hAnsi="Arial" w:cs="Arial"/>
          <w:b/>
          <w:bCs/>
          <w:sz w:val="28"/>
          <w:szCs w:val="28"/>
          <w:lang w:val="en-US"/>
        </w:rPr>
        <w:t>Twenty References</w:t>
      </w:r>
    </w:p>
    <w:p w14:paraId="7E84CB62" w14:textId="06ADF066" w:rsidR="005C7C16" w:rsidRPr="005C7C16" w:rsidRDefault="005C7C16" w:rsidP="005C7C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77B5C5F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C7C16">
        <w:rPr>
          <w:rFonts w:ascii="Arial" w:hAnsi="Arial" w:cs="Arial"/>
          <w:sz w:val="24"/>
          <w:szCs w:val="24"/>
        </w:rPr>
        <w:t>Kunonga</w:t>
      </w:r>
      <w:proofErr w:type="spellEnd"/>
      <w:r w:rsidRPr="005C7C16">
        <w:rPr>
          <w:rFonts w:ascii="Arial" w:hAnsi="Arial" w:cs="Arial"/>
          <w:sz w:val="24"/>
          <w:szCs w:val="24"/>
        </w:rPr>
        <w:t xml:space="preserve">, T.P. (2021) ‘Effects of digital technologies on older people’s access to health and social services: a systematic review’, </w:t>
      </w:r>
      <w:r w:rsidRPr="005C7C16">
        <w:rPr>
          <w:rFonts w:ascii="Arial" w:hAnsi="Arial" w:cs="Arial"/>
          <w:i/>
          <w:iCs/>
          <w:sz w:val="24"/>
          <w:szCs w:val="24"/>
        </w:rPr>
        <w:t>Journal of Medical Internet Research</w:t>
      </w:r>
      <w:r w:rsidRPr="005C7C16">
        <w:rPr>
          <w:rFonts w:ascii="Arial" w:hAnsi="Arial" w:cs="Arial"/>
          <w:sz w:val="24"/>
          <w:szCs w:val="24"/>
        </w:rPr>
        <w:t xml:space="preserve">, 23(11). Available at: </w:t>
      </w:r>
      <w:hyperlink r:id="rId7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https://www.jmir.org/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62938665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Zou, C., et al. (2023) ‘A systematic review of digital health technologies for the care of older adults during the COVID-19 pandemic’, </w:t>
      </w:r>
      <w:r w:rsidRPr="005C7C16">
        <w:rPr>
          <w:rFonts w:ascii="Arial" w:hAnsi="Arial" w:cs="Arial"/>
          <w:i/>
          <w:iCs/>
          <w:sz w:val="24"/>
          <w:szCs w:val="24"/>
        </w:rPr>
        <w:t>Digital Health</w:t>
      </w:r>
      <w:r w:rsidRPr="005C7C16">
        <w:rPr>
          <w:rFonts w:ascii="Arial" w:hAnsi="Arial" w:cs="Arial"/>
          <w:sz w:val="24"/>
          <w:szCs w:val="24"/>
        </w:rPr>
        <w:t xml:space="preserve">, 9. Available at: </w:t>
      </w:r>
      <w:hyperlink r:id="rId8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https://journals.sagepub.com/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5097C162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Sweeting, A. (2024) ‘The role of assistive technology in enabling older adults to live independently: a viewpoint’, </w:t>
      </w:r>
      <w:r w:rsidRPr="005C7C16">
        <w:rPr>
          <w:rFonts w:ascii="Arial" w:hAnsi="Arial" w:cs="Arial"/>
          <w:i/>
          <w:iCs/>
          <w:sz w:val="24"/>
          <w:szCs w:val="24"/>
        </w:rPr>
        <w:t>BMJ Open</w:t>
      </w:r>
      <w:r w:rsidRPr="005C7C16">
        <w:rPr>
          <w:rFonts w:ascii="Arial" w:hAnsi="Arial" w:cs="Arial"/>
          <w:sz w:val="24"/>
          <w:szCs w:val="24"/>
        </w:rPr>
        <w:t xml:space="preserve"> (viewpoint/article), 2024. Available at: </w:t>
      </w:r>
      <w:hyperlink r:id="rId9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https://www.ncbi.nlm.nih.gov/pmc/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68E2ADA2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C7C16">
        <w:rPr>
          <w:rFonts w:ascii="Arial" w:hAnsi="Arial" w:cs="Arial"/>
          <w:sz w:val="24"/>
          <w:szCs w:val="24"/>
        </w:rPr>
        <w:t>Jutai</w:t>
      </w:r>
      <w:proofErr w:type="spellEnd"/>
      <w:r w:rsidRPr="005C7C16">
        <w:rPr>
          <w:rFonts w:ascii="Arial" w:hAnsi="Arial" w:cs="Arial"/>
          <w:sz w:val="24"/>
          <w:szCs w:val="24"/>
        </w:rPr>
        <w:t xml:space="preserve">, J.W. and colleagues (2024) ‘Implementation of digital health technologies for older adults: challenges and recommendations’, </w:t>
      </w:r>
      <w:r w:rsidRPr="005C7C16">
        <w:rPr>
          <w:rFonts w:ascii="Arial" w:hAnsi="Arial" w:cs="Arial"/>
          <w:i/>
          <w:iCs/>
          <w:sz w:val="24"/>
          <w:szCs w:val="24"/>
        </w:rPr>
        <w:t>BMJ Open / Implementation Science</w:t>
      </w:r>
      <w:r w:rsidRPr="005C7C16">
        <w:rPr>
          <w:rFonts w:ascii="Arial" w:hAnsi="Arial" w:cs="Arial"/>
          <w:sz w:val="24"/>
          <w:szCs w:val="24"/>
        </w:rPr>
        <w:t xml:space="preserve"> (article), 2024. Available at: </w:t>
      </w:r>
      <w:hyperlink r:id="rId10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https://www.ncbi.nlm.nih.gov/pmc/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5B2C024E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  <w:lang w:val="fr-FR"/>
        </w:rPr>
        <w:lastRenderedPageBreak/>
        <w:t xml:space="preserve">Tian, Y.J.A., et al. </w:t>
      </w:r>
      <w:r w:rsidRPr="005C7C16">
        <w:rPr>
          <w:rFonts w:ascii="Arial" w:hAnsi="Arial" w:cs="Arial"/>
          <w:sz w:val="24"/>
          <w:szCs w:val="24"/>
        </w:rPr>
        <w:t xml:space="preserve">(2024) ‘Benefits and barriers associated with the use of smart home health technologies for older adults: a scoping review’, </w:t>
      </w:r>
      <w:r w:rsidRPr="005C7C16">
        <w:rPr>
          <w:rFonts w:ascii="Arial" w:hAnsi="Arial" w:cs="Arial"/>
          <w:i/>
          <w:iCs/>
          <w:sz w:val="24"/>
          <w:szCs w:val="24"/>
        </w:rPr>
        <w:t>BMC Geriatrics</w:t>
      </w:r>
      <w:r w:rsidRPr="005C7C16">
        <w:rPr>
          <w:rFonts w:ascii="Arial" w:hAnsi="Arial" w:cs="Arial"/>
          <w:sz w:val="24"/>
          <w:szCs w:val="24"/>
        </w:rPr>
        <w:t xml:space="preserve">, 24. Available at: </w:t>
      </w:r>
      <w:hyperlink r:id="rId11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https://bmcgeriatr.biomedcentral.com/articles/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42615E1A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Bertolazzi, A., et al. (2024) ‘Barriers and facilitators to health technology adoption by older adults: a systematic review’, </w:t>
      </w:r>
      <w:r w:rsidRPr="005C7C16">
        <w:rPr>
          <w:rFonts w:ascii="Arial" w:hAnsi="Arial" w:cs="Arial"/>
          <w:i/>
          <w:iCs/>
          <w:sz w:val="24"/>
          <w:szCs w:val="24"/>
        </w:rPr>
        <w:t>BMC Public Health</w:t>
      </w:r>
      <w:r w:rsidRPr="005C7C16">
        <w:rPr>
          <w:rFonts w:ascii="Arial" w:hAnsi="Arial" w:cs="Arial"/>
          <w:sz w:val="24"/>
          <w:szCs w:val="24"/>
        </w:rPr>
        <w:t xml:space="preserve">, 24. Available at: </w:t>
      </w:r>
      <w:hyperlink r:id="rId12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https://bmcpublichealth.biomedcentral.com/articles/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2C63D746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Tian, Y. and colleagues (2022) ‘Integrated care for older people based on information and communication technology: a scoping review’, </w:t>
      </w:r>
      <w:r w:rsidRPr="005C7C16">
        <w:rPr>
          <w:rFonts w:ascii="Arial" w:hAnsi="Arial" w:cs="Arial"/>
          <w:i/>
          <w:iCs/>
          <w:sz w:val="24"/>
          <w:szCs w:val="24"/>
        </w:rPr>
        <w:t>BMJ Open</w:t>
      </w:r>
      <w:r w:rsidRPr="005C7C16">
        <w:rPr>
          <w:rFonts w:ascii="Arial" w:hAnsi="Arial" w:cs="Arial"/>
          <w:sz w:val="24"/>
          <w:szCs w:val="24"/>
        </w:rPr>
        <w:t xml:space="preserve">, 12(7), e061011. Available at: </w:t>
      </w:r>
      <w:hyperlink r:id="rId13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https://bmjopen.bmj.com/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0D466B61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MacNeil, M., et al. (2024) ‘A scoping review of intelligent assistive technologies in rehabilitation for older adults’, </w:t>
      </w:r>
      <w:r w:rsidRPr="005C7C16">
        <w:rPr>
          <w:rFonts w:ascii="Arial" w:hAnsi="Arial" w:cs="Arial"/>
          <w:i/>
          <w:iCs/>
          <w:sz w:val="24"/>
          <w:szCs w:val="24"/>
        </w:rPr>
        <w:t>Disability &amp; Rehabilitation: Assistive Technology</w:t>
      </w:r>
      <w:r w:rsidRPr="005C7C16">
        <w:rPr>
          <w:rFonts w:ascii="Arial" w:hAnsi="Arial" w:cs="Arial"/>
          <w:sz w:val="24"/>
          <w:szCs w:val="24"/>
        </w:rPr>
        <w:t xml:space="preserve">, 2024. Available at: </w:t>
      </w:r>
      <w:hyperlink r:id="rId14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https://www.tandfonline.com/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61921EA2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Dermody, G., et al. (2024) ‘Factors affecting clinician readiness to adopt smart home health technologies’, </w:t>
      </w:r>
      <w:r w:rsidRPr="005C7C16">
        <w:rPr>
          <w:rFonts w:ascii="Arial" w:hAnsi="Arial" w:cs="Arial"/>
          <w:i/>
          <w:iCs/>
          <w:sz w:val="24"/>
          <w:szCs w:val="24"/>
        </w:rPr>
        <w:t>JMIR Aging</w:t>
      </w:r>
      <w:r w:rsidRPr="005C7C16">
        <w:rPr>
          <w:rFonts w:ascii="Arial" w:hAnsi="Arial" w:cs="Arial"/>
          <w:sz w:val="24"/>
          <w:szCs w:val="24"/>
        </w:rPr>
        <w:t xml:space="preserve">, 7. Available at: </w:t>
      </w:r>
      <w:hyperlink r:id="rId15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https://aging.jmir.org/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3DAE281C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Wong, A., et al. (2025) ‘Supporting older people through Hospital-at-Home care: a review of models, patient and staff perspectives’, </w:t>
      </w:r>
      <w:r w:rsidRPr="005C7C16">
        <w:rPr>
          <w:rFonts w:ascii="Arial" w:hAnsi="Arial" w:cs="Arial"/>
          <w:i/>
          <w:iCs/>
          <w:sz w:val="24"/>
          <w:szCs w:val="24"/>
        </w:rPr>
        <w:t>Age and Ageing</w:t>
      </w:r>
      <w:r w:rsidRPr="005C7C16">
        <w:rPr>
          <w:rFonts w:ascii="Arial" w:hAnsi="Arial" w:cs="Arial"/>
          <w:sz w:val="24"/>
          <w:szCs w:val="24"/>
        </w:rPr>
        <w:t xml:space="preserve">, 54(2). Available at: </w:t>
      </w:r>
      <w:hyperlink r:id="rId16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https://academic.oup.com/ageing/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5D458C4B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Fothergill, L., et al. (2025) ‘Understanding how, for whom and under what circumstances telecare supports independence: a realist review’, </w:t>
      </w:r>
      <w:r w:rsidRPr="005C7C16">
        <w:rPr>
          <w:rFonts w:ascii="Arial" w:hAnsi="Arial" w:cs="Arial"/>
          <w:i/>
          <w:iCs/>
          <w:sz w:val="24"/>
          <w:szCs w:val="24"/>
        </w:rPr>
        <w:t>BMC Geriatrics</w:t>
      </w:r>
      <w:r w:rsidRPr="005C7C16">
        <w:rPr>
          <w:rFonts w:ascii="Arial" w:hAnsi="Arial" w:cs="Arial"/>
          <w:sz w:val="24"/>
          <w:szCs w:val="24"/>
        </w:rPr>
        <w:t xml:space="preserve">, 2025. Available at: </w:t>
      </w:r>
      <w:hyperlink r:id="rId17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https://bmcgeriatr.biomedcentral.com/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5023F615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Langdon, J., et al. (2025) ‘Utilizing smart televisions as assistive technology to reduce social isolation in older adults’, </w:t>
      </w:r>
      <w:r w:rsidRPr="005C7C16">
        <w:rPr>
          <w:rFonts w:ascii="Arial" w:hAnsi="Arial" w:cs="Arial"/>
          <w:i/>
          <w:iCs/>
          <w:sz w:val="24"/>
          <w:szCs w:val="24"/>
        </w:rPr>
        <w:t>JMIR Rehabilitation and Assistive Technologies</w:t>
      </w:r>
      <w:r w:rsidRPr="005C7C16">
        <w:rPr>
          <w:rFonts w:ascii="Arial" w:hAnsi="Arial" w:cs="Arial"/>
          <w:sz w:val="24"/>
          <w:szCs w:val="24"/>
        </w:rPr>
        <w:t xml:space="preserve">, 2025. Available at: </w:t>
      </w:r>
      <w:hyperlink r:id="rId18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https://rehab.jmir.org/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0EA45F7F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C7C16">
        <w:rPr>
          <w:rFonts w:ascii="Arial" w:hAnsi="Arial" w:cs="Arial"/>
          <w:sz w:val="24"/>
          <w:szCs w:val="24"/>
          <w:lang w:val="fr-FR"/>
        </w:rPr>
        <w:lastRenderedPageBreak/>
        <w:t>Korkmaz</w:t>
      </w:r>
      <w:proofErr w:type="spellEnd"/>
      <w:r w:rsidRPr="005C7C16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C7C16">
        <w:rPr>
          <w:rFonts w:ascii="Arial" w:hAnsi="Arial" w:cs="Arial"/>
          <w:sz w:val="24"/>
          <w:szCs w:val="24"/>
          <w:lang w:val="fr-FR"/>
        </w:rPr>
        <w:t>Yaylagul</w:t>
      </w:r>
      <w:proofErr w:type="spellEnd"/>
      <w:r w:rsidRPr="005C7C16">
        <w:rPr>
          <w:rFonts w:ascii="Arial" w:hAnsi="Arial" w:cs="Arial"/>
          <w:sz w:val="24"/>
          <w:szCs w:val="24"/>
          <w:lang w:val="fr-FR"/>
        </w:rPr>
        <w:t xml:space="preserve">, N., et al. </w:t>
      </w:r>
      <w:r w:rsidRPr="005C7C16">
        <w:rPr>
          <w:rFonts w:ascii="Arial" w:hAnsi="Arial" w:cs="Arial"/>
          <w:sz w:val="24"/>
          <w:szCs w:val="24"/>
        </w:rPr>
        <w:t xml:space="preserve">(2022) ‘Trends in telecare use among community-dwelling older adults: a scoping review’, </w:t>
      </w:r>
      <w:r w:rsidRPr="005C7C16">
        <w:rPr>
          <w:rFonts w:ascii="Arial" w:hAnsi="Arial" w:cs="Arial"/>
          <w:i/>
          <w:iCs/>
          <w:sz w:val="24"/>
          <w:szCs w:val="24"/>
        </w:rPr>
        <w:t>International Journal of Environmental Research and Public Health</w:t>
      </w:r>
      <w:r w:rsidRPr="005C7C16">
        <w:rPr>
          <w:rFonts w:ascii="Arial" w:hAnsi="Arial" w:cs="Arial"/>
          <w:sz w:val="24"/>
          <w:szCs w:val="24"/>
        </w:rPr>
        <w:t>, 19(24), 16672. doi:10.3390/ijerph192416672.</w:t>
      </w:r>
    </w:p>
    <w:p w14:paraId="52F032C6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C7C16">
        <w:rPr>
          <w:rFonts w:ascii="Arial" w:hAnsi="Arial" w:cs="Arial"/>
          <w:sz w:val="24"/>
          <w:szCs w:val="24"/>
        </w:rPr>
        <w:t>Kunonga</w:t>
      </w:r>
      <w:proofErr w:type="spellEnd"/>
      <w:r w:rsidRPr="005C7C16">
        <w:rPr>
          <w:rFonts w:ascii="Arial" w:hAnsi="Arial" w:cs="Arial"/>
          <w:sz w:val="24"/>
          <w:szCs w:val="24"/>
        </w:rPr>
        <w:t xml:space="preserve">, T.P. &amp; colleagues (2021) ‘Effects of digital technologies on older people’s access to health and social services’, </w:t>
      </w:r>
      <w:r w:rsidRPr="005C7C16">
        <w:rPr>
          <w:rFonts w:ascii="Arial" w:hAnsi="Arial" w:cs="Arial"/>
          <w:i/>
          <w:iCs/>
          <w:sz w:val="24"/>
          <w:szCs w:val="24"/>
        </w:rPr>
        <w:t>JMIR</w:t>
      </w:r>
      <w:r w:rsidRPr="005C7C16">
        <w:rPr>
          <w:rFonts w:ascii="Arial" w:hAnsi="Arial" w:cs="Arial"/>
          <w:sz w:val="24"/>
          <w:szCs w:val="24"/>
        </w:rPr>
        <w:t xml:space="preserve"> systematic review (duplicate/expanded study listing), </w:t>
      </w:r>
      <w:r w:rsidRPr="005C7C16">
        <w:rPr>
          <w:rFonts w:ascii="Arial" w:hAnsi="Arial" w:cs="Arial"/>
          <w:i/>
          <w:iCs/>
          <w:sz w:val="24"/>
          <w:szCs w:val="24"/>
        </w:rPr>
        <w:t>Journal of Medical Internet Research</w:t>
      </w:r>
      <w:r w:rsidRPr="005C7C16">
        <w:rPr>
          <w:rFonts w:ascii="Arial" w:hAnsi="Arial" w:cs="Arial"/>
          <w:sz w:val="24"/>
          <w:szCs w:val="24"/>
        </w:rPr>
        <w:t xml:space="preserve">, 2021. Available at: </w:t>
      </w:r>
      <w:hyperlink r:id="rId19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https://www.jmir.org/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63D8B323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Wu, M., et al. (2024) ‘Effectiveness of telecare interventions on depression and anxiety in older adults: a meta-analysis’, </w:t>
      </w:r>
      <w:r w:rsidRPr="005C7C16">
        <w:rPr>
          <w:rFonts w:ascii="Arial" w:hAnsi="Arial" w:cs="Arial"/>
          <w:i/>
          <w:iCs/>
          <w:sz w:val="24"/>
          <w:szCs w:val="24"/>
        </w:rPr>
        <w:t>Journal of Affective Disorders / JMIR</w:t>
      </w:r>
      <w:r w:rsidRPr="005C7C16">
        <w:rPr>
          <w:rFonts w:ascii="Arial" w:hAnsi="Arial" w:cs="Arial"/>
          <w:sz w:val="24"/>
          <w:szCs w:val="24"/>
        </w:rPr>
        <w:t xml:space="preserve"> (article), 2024. Available at: </w:t>
      </w:r>
      <w:hyperlink r:id="rId20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https://www.ncbi.nlm.nih.gov/pmc/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0B5D446C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C7C16">
        <w:rPr>
          <w:rFonts w:ascii="Arial" w:hAnsi="Arial" w:cs="Arial"/>
          <w:sz w:val="24"/>
          <w:szCs w:val="24"/>
        </w:rPr>
        <w:t>Demiris</w:t>
      </w:r>
      <w:proofErr w:type="spellEnd"/>
      <w:r w:rsidRPr="005C7C16">
        <w:rPr>
          <w:rFonts w:ascii="Arial" w:hAnsi="Arial" w:cs="Arial"/>
          <w:sz w:val="24"/>
          <w:szCs w:val="24"/>
        </w:rPr>
        <w:t xml:space="preserve">, G. (2008) ‘A systematic review of “smart home” applications and their relevance to older adults’, </w:t>
      </w:r>
      <w:r w:rsidRPr="005C7C16">
        <w:rPr>
          <w:rFonts w:ascii="Arial" w:hAnsi="Arial" w:cs="Arial"/>
          <w:i/>
          <w:iCs/>
          <w:sz w:val="24"/>
          <w:szCs w:val="24"/>
        </w:rPr>
        <w:t>Yearbook of Medical Informatics / Journal of Telemedicine and Telecare</w:t>
      </w:r>
      <w:r w:rsidRPr="005C7C16">
        <w:rPr>
          <w:rFonts w:ascii="Arial" w:hAnsi="Arial" w:cs="Arial"/>
          <w:sz w:val="24"/>
          <w:szCs w:val="24"/>
        </w:rPr>
        <w:t xml:space="preserve">, 2008. Available at: </w:t>
      </w:r>
      <w:hyperlink r:id="rId21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https://pubmed.ncbi.nlm.nih.gov/18660873/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14169CA2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5C7C16">
        <w:rPr>
          <w:rFonts w:ascii="Arial" w:hAnsi="Arial" w:cs="Arial"/>
          <w:sz w:val="24"/>
          <w:szCs w:val="24"/>
          <w:lang w:val="fr-FR"/>
        </w:rPr>
        <w:t>van</w:t>
      </w:r>
      <w:proofErr w:type="gramEnd"/>
      <w:r w:rsidRPr="005C7C16">
        <w:rPr>
          <w:rFonts w:ascii="Arial" w:hAnsi="Arial" w:cs="Arial"/>
          <w:sz w:val="24"/>
          <w:szCs w:val="24"/>
          <w:lang w:val="fr-FR"/>
        </w:rPr>
        <w:t xml:space="preserve"> den Berg, N., et al. </w:t>
      </w:r>
      <w:r w:rsidRPr="005C7C16">
        <w:rPr>
          <w:rFonts w:ascii="Arial" w:hAnsi="Arial" w:cs="Arial"/>
          <w:sz w:val="24"/>
          <w:szCs w:val="24"/>
        </w:rPr>
        <w:t xml:space="preserve">(2012) ‘Telemedicine and telecare for older patients: a systematic review of controlled studies’, </w:t>
      </w:r>
      <w:r w:rsidRPr="005C7C16">
        <w:rPr>
          <w:rFonts w:ascii="Arial" w:hAnsi="Arial" w:cs="Arial"/>
          <w:i/>
          <w:iCs/>
          <w:sz w:val="24"/>
          <w:szCs w:val="24"/>
        </w:rPr>
        <w:t>International Journal of Medical Informatics</w:t>
      </w:r>
      <w:r w:rsidRPr="005C7C16">
        <w:rPr>
          <w:rFonts w:ascii="Arial" w:hAnsi="Arial" w:cs="Arial"/>
          <w:sz w:val="24"/>
          <w:szCs w:val="24"/>
        </w:rPr>
        <w:t xml:space="preserve">, 81(12), pp. 2xx–2xx. Available at: </w:t>
      </w:r>
      <w:hyperlink r:id="rId22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https://www.sciencedirect.com/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4283AB93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Kruse, C., et al. (2020) ‘Utilization barriers and medical outcomes associated with telehealth among older adults: systematic review’, </w:t>
      </w:r>
      <w:r w:rsidRPr="005C7C16">
        <w:rPr>
          <w:rFonts w:ascii="Arial" w:hAnsi="Arial" w:cs="Arial"/>
          <w:i/>
          <w:iCs/>
          <w:sz w:val="24"/>
          <w:szCs w:val="24"/>
        </w:rPr>
        <w:t>Journal of Medical Internet Research</w:t>
      </w:r>
      <w:r w:rsidRPr="005C7C16">
        <w:rPr>
          <w:rFonts w:ascii="Arial" w:hAnsi="Arial" w:cs="Arial"/>
          <w:sz w:val="24"/>
          <w:szCs w:val="24"/>
        </w:rPr>
        <w:t xml:space="preserve">, 2020. Available at: </w:t>
      </w:r>
      <w:hyperlink r:id="rId23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https://www.ncbi.nlm.nih.gov/pmc/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5059ED22" w14:textId="77777777" w:rsidR="005C7C16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Fothergill, L. (2023) ‘Understanding the value of a proactive telecare system in supporting older adults to remain at home: stakeholder perspectives’, </w:t>
      </w:r>
      <w:r w:rsidRPr="005C7C16">
        <w:rPr>
          <w:rFonts w:ascii="Arial" w:hAnsi="Arial" w:cs="Arial"/>
          <w:i/>
          <w:iCs/>
          <w:sz w:val="24"/>
          <w:szCs w:val="24"/>
        </w:rPr>
        <w:t>Journal of Medical Internet Research</w:t>
      </w:r>
      <w:r w:rsidRPr="005C7C16">
        <w:rPr>
          <w:rFonts w:ascii="Arial" w:hAnsi="Arial" w:cs="Arial"/>
          <w:sz w:val="24"/>
          <w:szCs w:val="24"/>
        </w:rPr>
        <w:t xml:space="preserve">, 25. Available at: </w:t>
      </w:r>
      <w:hyperlink r:id="rId24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https://www.jmir.org/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p w14:paraId="32C2D170" w14:textId="6A8E1F09" w:rsidR="00CB09A0" w:rsidRPr="005C7C16" w:rsidRDefault="005C7C16" w:rsidP="005C7C16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7C16">
        <w:rPr>
          <w:rFonts w:ascii="Arial" w:hAnsi="Arial" w:cs="Arial"/>
          <w:sz w:val="24"/>
          <w:szCs w:val="24"/>
        </w:rPr>
        <w:t xml:space="preserve">Soffer, T. and colleagues (2024) ‘The impact of emerging digital technologies on the healthcare and social needs of older adults: horizon scanning and implications’, </w:t>
      </w:r>
      <w:r w:rsidRPr="005C7C16">
        <w:rPr>
          <w:rFonts w:ascii="Arial" w:hAnsi="Arial" w:cs="Arial"/>
          <w:i/>
          <w:iCs/>
          <w:sz w:val="24"/>
          <w:szCs w:val="24"/>
        </w:rPr>
        <w:t>Technology in Society / Elsevier</w:t>
      </w:r>
      <w:r w:rsidRPr="005C7C16">
        <w:rPr>
          <w:rFonts w:ascii="Arial" w:hAnsi="Arial" w:cs="Arial"/>
          <w:sz w:val="24"/>
          <w:szCs w:val="24"/>
        </w:rPr>
        <w:t xml:space="preserve">, 2024. Available at: </w:t>
      </w:r>
      <w:hyperlink r:id="rId25" w:history="1">
        <w:r w:rsidRPr="005C7C16">
          <w:rPr>
            <w:rStyle w:val="Hyperlink"/>
            <w:rFonts w:ascii="Arial" w:hAnsi="Arial" w:cs="Arial"/>
            <w:sz w:val="24"/>
            <w:szCs w:val="24"/>
            <w:u w:val="none"/>
          </w:rPr>
          <w:t>https://www.sciencedirect.com/</w:t>
        </w:r>
      </w:hyperlink>
      <w:r w:rsidRPr="005C7C16">
        <w:rPr>
          <w:rFonts w:ascii="Arial" w:hAnsi="Arial" w:cs="Arial"/>
          <w:sz w:val="24"/>
          <w:szCs w:val="24"/>
        </w:rPr>
        <w:t xml:space="preserve"> (Accessed: 16 November 2025).</w:t>
      </w:r>
    </w:p>
    <w:sectPr w:rsidR="00CB09A0" w:rsidRPr="005C7C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07F77"/>
    <w:multiLevelType w:val="multilevel"/>
    <w:tmpl w:val="ABE63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99219E"/>
    <w:multiLevelType w:val="hybridMultilevel"/>
    <w:tmpl w:val="A04851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B3C3E"/>
    <w:multiLevelType w:val="multilevel"/>
    <w:tmpl w:val="D34CA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5215960">
    <w:abstractNumId w:val="1"/>
  </w:num>
  <w:num w:numId="2" w16cid:durableId="707218447">
    <w:abstractNumId w:val="2"/>
  </w:num>
  <w:num w:numId="3" w16cid:durableId="1115253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166"/>
    <w:rsid w:val="00000955"/>
    <w:rsid w:val="00002546"/>
    <w:rsid w:val="00127BEC"/>
    <w:rsid w:val="002D58AA"/>
    <w:rsid w:val="00373C09"/>
    <w:rsid w:val="005C7C16"/>
    <w:rsid w:val="005D0375"/>
    <w:rsid w:val="007219D4"/>
    <w:rsid w:val="00811166"/>
    <w:rsid w:val="00812BA4"/>
    <w:rsid w:val="00A776BF"/>
    <w:rsid w:val="00AB0725"/>
    <w:rsid w:val="00B74F27"/>
    <w:rsid w:val="00BE2BB1"/>
    <w:rsid w:val="00BE620E"/>
    <w:rsid w:val="00BF649C"/>
    <w:rsid w:val="00C32CC8"/>
    <w:rsid w:val="00CB09A0"/>
    <w:rsid w:val="00D57D67"/>
    <w:rsid w:val="00D74E8B"/>
    <w:rsid w:val="00D876F2"/>
    <w:rsid w:val="00DC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6E5DFB"/>
  <w15:chartTrackingRefBased/>
  <w15:docId w15:val="{9FAAD62A-FF2B-4B83-A6CA-730B9E9E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1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1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1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1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1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1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11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11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1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1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1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1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1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1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1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1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11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1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1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09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9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" TargetMode="External"/><Relationship Id="rId13" Type="http://schemas.openxmlformats.org/officeDocument/2006/relationships/hyperlink" Target="https://bmjopen.bmj.com/" TargetMode="External"/><Relationship Id="rId18" Type="http://schemas.openxmlformats.org/officeDocument/2006/relationships/hyperlink" Target="https://rehab.jmir.org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pubmed.ncbi.nlm.nih.gov/18660873/" TargetMode="External"/><Relationship Id="rId7" Type="http://schemas.openxmlformats.org/officeDocument/2006/relationships/hyperlink" Target="https://www.jmir.org/" TargetMode="External"/><Relationship Id="rId12" Type="http://schemas.openxmlformats.org/officeDocument/2006/relationships/hyperlink" Target="https://bmcpublichealth.biomedcentral.com/articles/" TargetMode="External"/><Relationship Id="rId17" Type="http://schemas.openxmlformats.org/officeDocument/2006/relationships/hyperlink" Target="https://bmcgeriatr.biomedcentral.com/" TargetMode="External"/><Relationship Id="rId25" Type="http://schemas.openxmlformats.org/officeDocument/2006/relationships/hyperlink" Target="https://www.sciencedirect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academic.oup.com/ageing/" TargetMode="External"/><Relationship Id="rId20" Type="http://schemas.openxmlformats.org/officeDocument/2006/relationships/hyperlink" Target="https://www.ncbi.nlm.nih.gov/pmc/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hyperlink" Target="https://bmcgeriatr.biomedcentral.com/articles/" TargetMode="External"/><Relationship Id="rId24" Type="http://schemas.openxmlformats.org/officeDocument/2006/relationships/hyperlink" Target="https://www.jmir.org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aging.jmir.org/" TargetMode="External"/><Relationship Id="rId23" Type="http://schemas.openxmlformats.org/officeDocument/2006/relationships/hyperlink" Target="https://www.ncbi.nlm.nih.gov/pmc/" TargetMode="External"/><Relationship Id="rId10" Type="http://schemas.openxmlformats.org/officeDocument/2006/relationships/hyperlink" Target="https://www.ncbi.nlm.nih.gov/pmc/" TargetMode="External"/><Relationship Id="rId19" Type="http://schemas.openxmlformats.org/officeDocument/2006/relationships/hyperlink" Target="https://www.jmir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mc/" TargetMode="External"/><Relationship Id="rId14" Type="http://schemas.openxmlformats.org/officeDocument/2006/relationships/hyperlink" Target="https://www.tandfonline.com/" TargetMode="External"/><Relationship Id="rId22" Type="http://schemas.openxmlformats.org/officeDocument/2006/relationships/hyperlink" Target="https://www.sciencedirect.com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UK</dc:creator>
  <cp:keywords/>
  <dc:description/>
  <cp:lastModifiedBy>London UK</cp:lastModifiedBy>
  <cp:revision>12</cp:revision>
  <dcterms:created xsi:type="dcterms:W3CDTF">2025-11-16T19:44:00Z</dcterms:created>
  <dcterms:modified xsi:type="dcterms:W3CDTF">2025-12-04T21:03:00Z</dcterms:modified>
</cp:coreProperties>
</file>