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E8F3D3" w:themeColor="accent2" w:themeTint="33"/>
  <w:body>
    <w:p w14:paraId="3EEA466F" w14:textId="77777777" w:rsidR="00DB2BA3" w:rsidRDefault="00DB2BA3" w:rsidP="00631DF9">
      <w:pPr>
        <w:pStyle w:val="Heading1"/>
      </w:pPr>
    </w:p>
    <w:p w14:paraId="6B7A4264" w14:textId="0F79A2AE" w:rsidR="00DB2BA3" w:rsidRPr="00DB2BA3" w:rsidRDefault="00DB2BA3" w:rsidP="00DB2BA3">
      <w:pPr>
        <w:jc w:val="center"/>
        <w:rPr>
          <w:rFonts w:cs="Arial"/>
          <w:b/>
          <w:bCs/>
          <w:sz w:val="40"/>
          <w:szCs w:val="40"/>
          <w:u w:val="single"/>
        </w:rPr>
      </w:pPr>
      <w:r w:rsidRPr="006136E8">
        <w:rPr>
          <w:rFonts w:cs="Arial"/>
          <w:b/>
          <w:bCs/>
          <w:sz w:val="40"/>
          <w:szCs w:val="40"/>
          <w:u w:val="single"/>
        </w:rPr>
        <w:t>ASSIGNMEN</w:t>
      </w:r>
      <w:r>
        <w:rPr>
          <w:rFonts w:cs="Arial"/>
          <w:b/>
          <w:bCs/>
          <w:sz w:val="40"/>
          <w:szCs w:val="40"/>
          <w:u w:val="single"/>
        </w:rPr>
        <w:t>T</w:t>
      </w:r>
    </w:p>
    <w:p w14:paraId="7E0FC0DF" w14:textId="77777777" w:rsidR="00DB2BA3" w:rsidRDefault="00DB2BA3" w:rsidP="00DB2BA3">
      <w:pPr>
        <w:rPr>
          <w:rFonts w:cs="Arial"/>
          <w:sz w:val="32"/>
          <w:szCs w:val="28"/>
        </w:rPr>
      </w:pPr>
    </w:p>
    <w:p w14:paraId="3D6738A0" w14:textId="77777777" w:rsidR="00DB2BA3" w:rsidRPr="0073154C" w:rsidRDefault="00DB2BA3" w:rsidP="00DB2BA3">
      <w:pPr>
        <w:jc w:val="center"/>
        <w:rPr>
          <w:rFonts w:cs="Arial"/>
          <w:sz w:val="32"/>
          <w:szCs w:val="28"/>
        </w:rPr>
      </w:pPr>
    </w:p>
    <w:p w14:paraId="2307E03B" w14:textId="5F4564C7" w:rsidR="00DB2BA3" w:rsidRPr="0073154C" w:rsidRDefault="00DB2BA3" w:rsidP="00C066D1">
      <w:pPr>
        <w:jc w:val="center"/>
        <w:rPr>
          <w:rFonts w:cs="Arial"/>
          <w:sz w:val="32"/>
          <w:szCs w:val="28"/>
        </w:rPr>
      </w:pPr>
      <w:r w:rsidRPr="0073154C">
        <w:rPr>
          <w:rFonts w:cs="Arial"/>
          <w:b/>
          <w:bCs/>
          <w:sz w:val="32"/>
          <w:szCs w:val="28"/>
        </w:rPr>
        <w:t>Module:</w:t>
      </w:r>
      <w:r w:rsidRPr="0073154C">
        <w:rPr>
          <w:rFonts w:cs="Arial"/>
          <w:sz w:val="32"/>
          <w:szCs w:val="28"/>
        </w:rPr>
        <w:t xml:space="preserve"> </w:t>
      </w:r>
      <w:r w:rsidR="002B4740" w:rsidRPr="002B4740">
        <w:rPr>
          <w:rFonts w:cs="Arial"/>
          <w:sz w:val="32"/>
          <w:szCs w:val="28"/>
        </w:rPr>
        <w:t>Psychological Classifications and Provisions</w:t>
      </w:r>
    </w:p>
    <w:p w14:paraId="1760EF0F" w14:textId="79E19CB2" w:rsidR="00DB2BA3" w:rsidRPr="0073154C" w:rsidRDefault="00DB2BA3" w:rsidP="00C066D1">
      <w:pPr>
        <w:jc w:val="center"/>
        <w:rPr>
          <w:rFonts w:cs="Arial"/>
          <w:sz w:val="32"/>
          <w:szCs w:val="28"/>
        </w:rPr>
      </w:pPr>
      <w:r w:rsidRPr="0073154C">
        <w:rPr>
          <w:rFonts w:cs="Arial"/>
          <w:b/>
          <w:bCs/>
          <w:sz w:val="32"/>
          <w:szCs w:val="28"/>
        </w:rPr>
        <w:t>Module Code:</w:t>
      </w:r>
      <w:r w:rsidRPr="0073154C">
        <w:rPr>
          <w:rFonts w:cs="Arial"/>
          <w:sz w:val="32"/>
          <w:szCs w:val="28"/>
        </w:rPr>
        <w:t xml:space="preserve"> BMHP</w:t>
      </w:r>
      <w:r w:rsidR="002B4740">
        <w:rPr>
          <w:rFonts w:cs="Arial"/>
          <w:sz w:val="32"/>
          <w:szCs w:val="28"/>
        </w:rPr>
        <w:t>6029</w:t>
      </w:r>
    </w:p>
    <w:p w14:paraId="7CBFD1E9" w14:textId="4276094D" w:rsidR="00DB2BA3" w:rsidRPr="0073154C" w:rsidRDefault="00DB2BA3" w:rsidP="00DB2BA3">
      <w:pPr>
        <w:jc w:val="center"/>
        <w:rPr>
          <w:rFonts w:cs="Arial"/>
          <w:sz w:val="32"/>
          <w:szCs w:val="28"/>
        </w:rPr>
      </w:pPr>
      <w:r w:rsidRPr="0073154C">
        <w:rPr>
          <w:rFonts w:cs="Arial"/>
          <w:b/>
          <w:bCs/>
          <w:sz w:val="32"/>
          <w:szCs w:val="28"/>
        </w:rPr>
        <w:t>Assignment:</w:t>
      </w:r>
      <w:r w:rsidRPr="0073154C">
        <w:rPr>
          <w:rFonts w:cs="Arial"/>
          <w:sz w:val="32"/>
          <w:szCs w:val="28"/>
        </w:rPr>
        <w:t xml:space="preserve"> Component </w:t>
      </w:r>
      <w:r w:rsidR="00C066D1">
        <w:rPr>
          <w:rFonts w:cs="Arial"/>
          <w:sz w:val="32"/>
          <w:szCs w:val="28"/>
        </w:rPr>
        <w:t>1</w:t>
      </w:r>
    </w:p>
    <w:p w14:paraId="18834AC3" w14:textId="551AA2BA" w:rsidR="00DB2BA3" w:rsidRPr="0073154C" w:rsidRDefault="00C066D1" w:rsidP="00DB2BA3">
      <w:pPr>
        <w:jc w:val="center"/>
        <w:rPr>
          <w:rFonts w:cs="Arial"/>
          <w:sz w:val="32"/>
          <w:szCs w:val="28"/>
        </w:rPr>
      </w:pPr>
      <w:r>
        <w:rPr>
          <w:rFonts w:cs="Arial"/>
          <w:sz w:val="32"/>
          <w:szCs w:val="28"/>
        </w:rPr>
        <w:t>Academic Poster</w:t>
      </w:r>
    </w:p>
    <w:p w14:paraId="7FD7CA0B" w14:textId="77777777" w:rsidR="00DB2BA3" w:rsidRDefault="00DB2BA3" w:rsidP="00DB2BA3">
      <w:pPr>
        <w:jc w:val="center"/>
        <w:rPr>
          <w:rFonts w:cs="Arial"/>
          <w:sz w:val="32"/>
          <w:szCs w:val="28"/>
        </w:rPr>
      </w:pPr>
      <w:r w:rsidRPr="0073154C">
        <w:rPr>
          <w:rFonts w:cs="Arial"/>
          <w:b/>
          <w:bCs/>
          <w:sz w:val="32"/>
          <w:szCs w:val="28"/>
        </w:rPr>
        <w:t>Student Name:</w:t>
      </w:r>
      <w:r w:rsidRPr="0073154C">
        <w:rPr>
          <w:rFonts w:cs="Arial"/>
          <w:sz w:val="32"/>
          <w:szCs w:val="28"/>
        </w:rPr>
        <w:t xml:space="preserve"> Bouchra El Imrani Taidi</w:t>
      </w:r>
    </w:p>
    <w:p w14:paraId="7F58C3C6" w14:textId="77777777" w:rsidR="00DB2BA3" w:rsidRPr="0073154C" w:rsidRDefault="00DB2BA3" w:rsidP="00DB2BA3">
      <w:pPr>
        <w:jc w:val="center"/>
        <w:rPr>
          <w:rFonts w:cs="Arial"/>
          <w:sz w:val="32"/>
          <w:szCs w:val="28"/>
        </w:rPr>
      </w:pPr>
      <w:r w:rsidRPr="0073154C">
        <w:rPr>
          <w:rFonts w:cs="Arial"/>
          <w:b/>
          <w:bCs/>
          <w:sz w:val="32"/>
          <w:szCs w:val="28"/>
        </w:rPr>
        <w:t>Student Number</w:t>
      </w:r>
      <w:r>
        <w:rPr>
          <w:rFonts w:cs="Arial"/>
          <w:sz w:val="32"/>
          <w:szCs w:val="28"/>
        </w:rPr>
        <w:t>:</w:t>
      </w:r>
      <w:r w:rsidRPr="0073154C">
        <w:rPr>
          <w:rFonts w:cs="Arial"/>
          <w:sz w:val="32"/>
          <w:szCs w:val="28"/>
        </w:rPr>
        <w:t xml:space="preserve"> 2321157</w:t>
      </w:r>
    </w:p>
    <w:p w14:paraId="0B5B8F80" w14:textId="77777777" w:rsidR="00DB2BA3" w:rsidRPr="0073154C" w:rsidRDefault="00DB2BA3" w:rsidP="00DB2BA3">
      <w:pPr>
        <w:jc w:val="center"/>
        <w:rPr>
          <w:rFonts w:cs="Arial"/>
          <w:sz w:val="32"/>
          <w:szCs w:val="28"/>
          <w:u w:val="single"/>
        </w:rPr>
      </w:pPr>
    </w:p>
    <w:p w14:paraId="529CCBAF" w14:textId="77777777" w:rsidR="00DB2BA3" w:rsidRPr="00FE74C3" w:rsidRDefault="00DB2BA3" w:rsidP="00DB2BA3">
      <w:pPr>
        <w:jc w:val="center"/>
        <w:rPr>
          <w:rFonts w:cs="Arial"/>
          <w:u w:val="single"/>
        </w:rPr>
      </w:pPr>
    </w:p>
    <w:p w14:paraId="643EDC87" w14:textId="77777777" w:rsidR="00DB2BA3" w:rsidRPr="00FE74C3" w:rsidRDefault="00DB2BA3" w:rsidP="00DB2BA3">
      <w:pPr>
        <w:jc w:val="center"/>
        <w:rPr>
          <w:rFonts w:cs="Arial"/>
          <w:u w:val="single"/>
        </w:rPr>
      </w:pPr>
    </w:p>
    <w:p w14:paraId="5A9F0CB8" w14:textId="77777777" w:rsidR="00DB2BA3" w:rsidRPr="00FE74C3" w:rsidRDefault="00DB2BA3" w:rsidP="00DB2BA3">
      <w:pPr>
        <w:jc w:val="center"/>
        <w:rPr>
          <w:rFonts w:cs="Arial"/>
          <w:u w:val="single"/>
        </w:rPr>
      </w:pPr>
    </w:p>
    <w:p w14:paraId="22B7DB58" w14:textId="7F3F74D4" w:rsidR="00DB2BA3" w:rsidRPr="00FE74C3" w:rsidRDefault="00DB2BA3" w:rsidP="00DB2BA3">
      <w:pPr>
        <w:jc w:val="center"/>
        <w:rPr>
          <w:rFonts w:cs="Arial"/>
          <w:u w:val="single"/>
        </w:rPr>
      </w:pPr>
      <w:r w:rsidRPr="00FE74C3">
        <w:rPr>
          <w:noProof/>
          <w:lang w:val="en-IN" w:eastAsia="en-IN"/>
        </w:rPr>
        <w:drawing>
          <wp:inline distT="0" distB="0" distL="0" distR="0" wp14:anchorId="46C762F5" wp14:editId="5488BCFF">
            <wp:extent cx="4120567" cy="1720850"/>
            <wp:effectExtent l="0" t="0" r="0" b="0"/>
            <wp:docPr id="740525248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6919" cy="17235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66730C" w14:textId="118BE44D" w:rsidR="00DB2BA3" w:rsidRPr="00FE74C3" w:rsidRDefault="00DB2BA3" w:rsidP="00DB2BA3">
      <w:pPr>
        <w:jc w:val="center"/>
        <w:rPr>
          <w:rFonts w:cs="Arial"/>
          <w:u w:val="single"/>
        </w:rPr>
      </w:pPr>
    </w:p>
    <w:p w14:paraId="2F58500D" w14:textId="7C12ED80" w:rsidR="00DB2BA3" w:rsidRPr="00FE74C3" w:rsidRDefault="00DB2BA3" w:rsidP="00DB2BA3">
      <w:pPr>
        <w:jc w:val="center"/>
        <w:rPr>
          <w:rFonts w:cs="Arial"/>
          <w:u w:val="single"/>
        </w:rPr>
      </w:pPr>
    </w:p>
    <w:p w14:paraId="6A03E182" w14:textId="04E6D25D" w:rsidR="00DB2BA3" w:rsidRPr="00FE74C3" w:rsidRDefault="00DB2BA3" w:rsidP="00DB2BA3">
      <w:r w:rsidRPr="00FE74C3">
        <w:br w:type="page"/>
      </w:r>
    </w:p>
    <w:p w14:paraId="6A65C3B6" w14:textId="2FDF2E01" w:rsidR="00DB2BA3" w:rsidRDefault="00C0108D">
      <w:pPr>
        <w:rPr>
          <w:rFonts w:asciiTheme="majorHAnsi" w:eastAsiaTheme="majorEastAsia" w:hAnsiTheme="majorHAnsi" w:cstheme="majorBidi"/>
          <w:b/>
          <w:bCs/>
          <w:color w:val="3E762A" w:themeColor="accent1" w:themeShade="BF"/>
          <w:sz w:val="28"/>
          <w:szCs w:val="28"/>
        </w:rPr>
      </w:pPr>
      <w:r>
        <w:rPr>
          <w:noProof/>
          <w:lang w:val="en-IN" w:eastAsia="en-IN"/>
        </w:rPr>
        <w:lastRenderedPageBreak/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108BF735" wp14:editId="00016159">
                <wp:simplePos x="0" y="0"/>
                <wp:positionH relativeFrom="column">
                  <wp:posOffset>5044987</wp:posOffset>
                </wp:positionH>
                <wp:positionV relativeFrom="paragraph">
                  <wp:posOffset>-840740</wp:posOffset>
                </wp:positionV>
                <wp:extent cx="7155815" cy="826770"/>
                <wp:effectExtent l="0" t="0" r="254635" b="29718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155815" cy="82677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  <a:effectLst>
                          <a:outerShdw blurRad="190500" dist="228600" dir="2700000" algn="ctr">
                            <a:srgbClr val="000000">
                              <a:alpha val="30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glow" dir="t">
                            <a:rot lat="0" lon="0" rev="4800000"/>
                          </a:lightRig>
                        </a:scene3d>
                        <a:sp3d prstMaterial="matte">
                          <a:bevelT w="127000" h="63500"/>
                        </a:sp3d>
                      </wps:spPr>
                      <wps:txbx>
                        <w:txbxContent>
                          <w:p w14:paraId="4A99903C" w14:textId="552BC545" w:rsidR="00BA619B" w:rsidRPr="00BA619B" w:rsidRDefault="00BA619B" w:rsidP="00BA619B">
                            <w:pPr>
                              <w:jc w:val="both"/>
                              <w:rPr>
                                <w:b/>
                                <w:bCs/>
                                <w:sz w:val="48"/>
                                <w:szCs w:val="48"/>
                                <w:u w:val="single"/>
                              </w:rPr>
                            </w:pPr>
                            <w:r w:rsidRPr="003C51D7">
                              <w:rPr>
                                <w:b/>
                                <w:bCs/>
                                <w:sz w:val="56"/>
                                <w:szCs w:val="56"/>
                                <w:u w:val="single"/>
                              </w:rPr>
                              <w:t>POST- TRAUMATIC STRESS DISORDER</w:t>
                            </w:r>
                            <w:r w:rsidR="003C51D7">
                              <w:rPr>
                                <w:b/>
                                <w:bCs/>
                                <w:sz w:val="56"/>
                                <w:szCs w:val="56"/>
                                <w:u w:val="single"/>
                              </w:rPr>
                              <w:t xml:space="preserve"> </w:t>
                            </w:r>
                            <w:r w:rsidR="00912D31" w:rsidRPr="00912D31">
                              <w:rPr>
                                <w:noProof/>
                                <w:lang w:val="en-IN" w:eastAsia="en-IN"/>
                              </w:rPr>
                              <w:drawing>
                                <wp:inline distT="0" distB="0" distL="0" distR="0" wp14:anchorId="21A782E9" wp14:editId="7CB7259F">
                                  <wp:extent cx="1176793" cy="650992"/>
                                  <wp:effectExtent l="0" t="0" r="4445" b="0"/>
                                  <wp:docPr id="2125305727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125889543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194873" cy="66099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08BF73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7.25pt;margin-top:-66.2pt;width:563.45pt;height:65.1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" filled="f" stroked="f">
                <v:shadow on="t" color="black" opacity="19660f" offset="4.49014mm,4.49014mm"/>
                <v:textbox>
                  <w:txbxContent>
                    <w:p w14:paraId="4A99903C" w14:textId="552BC545" w:rsidR="00BA619B" w:rsidRPr="00BA619B" w:rsidRDefault="00BA619B" w:rsidP="00BA619B">
                      <w:pPr>
                        <w:jc w:val="both"/>
                        <w:rPr>
                          <w:b/>
                          <w:bCs/>
                          <w:sz w:val="48"/>
                          <w:szCs w:val="48"/>
                          <w:u w:val="single"/>
                        </w:rPr>
                      </w:pPr>
                      <w:r w:rsidRPr="003C51D7">
                        <w:rPr>
                          <w:b/>
                          <w:bCs/>
                          <w:sz w:val="56"/>
                          <w:szCs w:val="56"/>
                          <w:u w:val="single"/>
                        </w:rPr>
                        <w:t>POST- TRAUMATIC STRESS DISORDER</w:t>
                      </w:r>
                      <w:r w:rsidR="003C51D7">
                        <w:rPr>
                          <w:b/>
                          <w:bCs/>
                          <w:sz w:val="56"/>
                          <w:szCs w:val="56"/>
                          <w:u w:val="single"/>
                        </w:rPr>
                        <w:t xml:space="preserve"> </w:t>
                      </w:r>
                      <w:r w:rsidR="00912D31" w:rsidRPr="00912D31">
                        <w:rPr>
                          <w:noProof/>
                          <w:lang w:val="en-IN" w:eastAsia="en-IN"/>
                        </w:rPr>
                        <w:drawing>
                          <wp:inline distT="0" distB="0" distL="0" distR="0" wp14:anchorId="21A782E9" wp14:editId="7CB7259F">
                            <wp:extent cx="1176793" cy="650992"/>
                            <wp:effectExtent l="0" t="0" r="4445" b="0"/>
                            <wp:docPr id="2125305727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125889543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194873" cy="66099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86414C">
        <w:rPr>
          <w:noProof/>
          <w:lang w:val="en-IN" w:eastAsia="en-IN"/>
        </w:rPr>
        <w:drawing>
          <wp:anchor distT="0" distB="0" distL="114300" distR="114300" simplePos="0" relativeHeight="251661312" behindDoc="1" locked="0" layoutInCell="1" allowOverlap="1" wp14:anchorId="421D6FB6" wp14:editId="0A5D964C">
            <wp:simplePos x="0" y="0"/>
            <wp:positionH relativeFrom="column">
              <wp:posOffset>5215890</wp:posOffset>
            </wp:positionH>
            <wp:positionV relativeFrom="paragraph">
              <wp:posOffset>440249</wp:posOffset>
            </wp:positionV>
            <wp:extent cx="3731895" cy="3416935"/>
            <wp:effectExtent l="0" t="0" r="1905" b="0"/>
            <wp:wrapThrough wrapText="bothSides">
              <wp:wrapPolygon edited="0">
                <wp:start x="0" y="0"/>
                <wp:lineTo x="0" y="21435"/>
                <wp:lineTo x="21501" y="21435"/>
                <wp:lineTo x="21501" y="0"/>
                <wp:lineTo x="0" y="0"/>
              </wp:wrapPolygon>
            </wp:wrapThrough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731895" cy="3416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C9C6F6" w14:textId="1FF4B8AD" w:rsidR="009776F0" w:rsidRDefault="003B2A9E" w:rsidP="00631DF9">
      <w:pPr>
        <w:pStyle w:val="Heading1"/>
      </w:pPr>
      <w:r>
        <w:rPr>
          <w:noProof/>
          <w:lang w:val="en-IN" w:eastAsia="en-IN"/>
        </w:rPr>
        <mc:AlternateContent>
          <mc:Choice Requires="wpg">
            <w:drawing>
              <wp:anchor distT="45720" distB="45720" distL="182880" distR="182880" simplePos="0" relativeHeight="251660800" behindDoc="0" locked="0" layoutInCell="1" allowOverlap="1" wp14:anchorId="515B32EB" wp14:editId="435BA618">
                <wp:simplePos x="0" y="0"/>
                <wp:positionH relativeFrom="margin">
                  <wp:posOffset>5335905</wp:posOffset>
                </wp:positionH>
                <wp:positionV relativeFrom="margin">
                  <wp:posOffset>4029075</wp:posOffset>
                </wp:positionV>
                <wp:extent cx="3648710" cy="5050790"/>
                <wp:effectExtent l="0" t="0" r="8890" b="0"/>
                <wp:wrapSquare wrapText="bothSides"/>
                <wp:docPr id="198" name="Group 20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48710" cy="5050790"/>
                          <a:chOff x="-83157" y="-1"/>
                          <a:chExt cx="3650592" cy="5050172"/>
                        </a:xfrm>
                      </wpg:grpSpPr>
                      <wps:wsp>
                        <wps:cNvPr id="199" name="Rectangle 199"/>
                        <wps:cNvSpPr/>
                        <wps:spPr>
                          <a:xfrm>
                            <a:off x="-13" y="-1"/>
                            <a:ext cx="3567448" cy="34114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0EAEA82" w14:textId="2F17D055" w:rsidR="00BA619B" w:rsidRDefault="00BB40B0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FFFFFF" w:themeColor="background1"/>
                                  <w:sz w:val="24"/>
                                  <w:szCs w:val="28"/>
                                  <w:u w:val="single"/>
                                </w:rPr>
                              </w:pPr>
                              <w:r w:rsidRPr="00C066D1"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FFFFFF" w:themeColor="background1"/>
                                  <w:sz w:val="24"/>
                                  <w:szCs w:val="28"/>
                                  <w:u w:val="single"/>
                                </w:rPr>
                                <w:t>MODERN PRACTISE</w:t>
                              </w:r>
                            </w:p>
                            <w:p w14:paraId="3FA014F6" w14:textId="7B50F12A" w:rsidR="003B2A9E" w:rsidRDefault="003B2A9E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FFFFFF" w:themeColor="background1"/>
                                  <w:sz w:val="24"/>
                                  <w:szCs w:val="28"/>
                                  <w:u w:val="single"/>
                                </w:rPr>
                              </w:pPr>
                            </w:p>
                            <w:p w14:paraId="6B40C341" w14:textId="77777777" w:rsidR="003B2A9E" w:rsidRPr="00C066D1" w:rsidRDefault="003B2A9E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FFFFFF" w:themeColor="background1"/>
                                  <w:sz w:val="24"/>
                                  <w:szCs w:val="28"/>
                                  <w:u w:val="single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" name="Text Box 200"/>
                        <wps:cNvSpPr txBox="1"/>
                        <wps:spPr>
                          <a:xfrm>
                            <a:off x="-83157" y="186862"/>
                            <a:ext cx="3564907" cy="4863309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5DB917D2" w14:textId="2E575E1D" w:rsidR="00BA619B" w:rsidRPr="00A12492" w:rsidRDefault="00C066D1" w:rsidP="00C066D1">
                              <w:pPr>
                                <w:pStyle w:val="Heading2"/>
                                <w:rPr>
                                  <w:lang w:val="en-GB"/>
                                </w:rPr>
                              </w:pPr>
                              <w:r w:rsidRPr="00A12492">
                                <w:rPr>
                                  <w:lang w:val="en-GB"/>
                                </w:rPr>
                                <w:t>FIRST LINE</w:t>
                              </w:r>
                              <w:r w:rsidR="00BA619B" w:rsidRPr="00A12492">
                                <w:rPr>
                                  <w:lang w:val="en-GB"/>
                                </w:rPr>
                                <w:t>: TF-CBT and EMDR (Lewis et al., 2020).</w:t>
                              </w:r>
                            </w:p>
                            <w:p w14:paraId="20D3CEC6" w14:textId="2EAC7D59" w:rsidR="00BA619B" w:rsidRPr="00A12492" w:rsidRDefault="00BA619B" w:rsidP="00C066D1">
                              <w:pPr>
                                <w:pStyle w:val="Heading2"/>
                                <w:numPr>
                                  <w:ilvl w:val="0"/>
                                  <w:numId w:val="17"/>
                                </w:numPr>
                                <w:rPr>
                                  <w:lang w:val="en-GB"/>
                                </w:rPr>
                              </w:pPr>
                              <w:r w:rsidRPr="00A12492">
                                <w:rPr>
                                  <w:lang w:val="en-GB"/>
                                </w:rPr>
                                <w:t>Trauma-focused therapies superior to non-trauma controls (Lewis et al., 2020).</w:t>
                              </w:r>
                            </w:p>
                            <w:p w14:paraId="1E19077B" w14:textId="6424D3A1" w:rsidR="00A12492" w:rsidRPr="00A12492" w:rsidRDefault="00A12492" w:rsidP="00C066D1">
                              <w:pPr>
                                <w:pStyle w:val="Heading2"/>
                                <w:numPr>
                                  <w:ilvl w:val="0"/>
                                  <w:numId w:val="17"/>
                                </w:numPr>
                                <w:rPr>
                                  <w:lang w:val="en-GB"/>
                                </w:rPr>
                              </w:pPr>
                              <w:r w:rsidRPr="00A12492">
                                <w:rPr>
                                  <w:lang w:val="en-GB"/>
                                </w:rPr>
                                <w:t>Pharmacotherapy demonstrates moderate benefit but lower efficacy (Hoskins et al.,2015)</w:t>
                              </w:r>
                            </w:p>
                            <w:p w14:paraId="73D7C152" w14:textId="3D2C47A3" w:rsidR="00A12492" w:rsidRPr="00A12492" w:rsidRDefault="00C066D1" w:rsidP="00C066D1">
                              <w:pPr>
                                <w:pStyle w:val="Heading2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 xml:space="preserve">         </w:t>
                              </w:r>
                              <w:r w:rsidR="00A12492" w:rsidRPr="00A12492">
                                <w:rPr>
                                  <w:lang w:val="en-GB"/>
                                </w:rPr>
                                <w:sym w:font="Wingdings" w:char="F0E0"/>
                              </w:r>
                              <w:r w:rsidR="00A12492" w:rsidRPr="00A12492">
                                <w:rPr>
                                  <w:lang w:val="en-GB"/>
                                </w:rPr>
                                <w:t xml:space="preserve"> Suggests psychological intervention remains gold standard</w:t>
                              </w:r>
                            </w:p>
                            <w:p w14:paraId="78B050FA" w14:textId="77777777" w:rsidR="00BA619B" w:rsidRPr="00A12492" w:rsidRDefault="00BA619B" w:rsidP="00C066D1">
                              <w:pPr>
                                <w:pStyle w:val="Heading2"/>
                                <w:numPr>
                                  <w:ilvl w:val="0"/>
                                  <w:numId w:val="18"/>
                                </w:numPr>
                                <w:rPr>
                                  <w:lang w:val="en-GB"/>
                                </w:rPr>
                              </w:pPr>
                              <w:r w:rsidRPr="00A12492">
                                <w:rPr>
                                  <w:lang w:val="en-GB"/>
                                </w:rPr>
                                <w:t>ICD-11 recognition of Complex PTSD informs phased interventions (Stubley, Chipp and Buszewicz, 2025).</w:t>
                              </w:r>
                            </w:p>
                            <w:p w14:paraId="1F1F78DD" w14:textId="77777777" w:rsidR="00BA619B" w:rsidRPr="00A12492" w:rsidRDefault="00BA619B" w:rsidP="00C066D1">
                              <w:pPr>
                                <w:pStyle w:val="Heading2"/>
                                <w:numPr>
                                  <w:ilvl w:val="0"/>
                                  <w:numId w:val="18"/>
                                </w:numPr>
                                <w:rPr>
                                  <w:sz w:val="28"/>
                                  <w:lang w:val="en-GB"/>
                                </w:rPr>
                              </w:pPr>
                              <w:r w:rsidRPr="00A12492">
                                <w:rPr>
                                  <w:lang w:val="en-GB"/>
                                </w:rPr>
                                <w:t xml:space="preserve">Trauma-informed care integrated across services (Stubley, Chipp and Buszewicz, </w:t>
                              </w:r>
                              <w:r w:rsidRPr="00A12492">
                                <w:rPr>
                                  <w:sz w:val="28"/>
                                  <w:lang w:val="en-GB"/>
                                </w:rPr>
                                <w:t>2025).</w:t>
                              </w:r>
                            </w:p>
                            <w:p w14:paraId="40C24BC9" w14:textId="36F2708D" w:rsidR="00BA619B" w:rsidRPr="00A12492" w:rsidRDefault="00BA619B" w:rsidP="00A12492">
                              <w:pPr>
                                <w:jc w:val="both"/>
                                <w:rPr>
                                  <w:caps/>
                                  <w:color w:val="549E39" w:themeColor="accent1"/>
                                  <w:sz w:val="28"/>
                                  <w:szCs w:val="2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15B32EB" id="Group 203" o:spid="_x0000_s1027" style="position:absolute;margin-left:420.15pt;margin-top:317.25pt;width:287.3pt;height:397.7pt;z-index:251660800;mso-wrap-distance-left:14.4pt;mso-wrap-distance-top:3.6pt;mso-wrap-distance-right:14.4pt;mso-wrap-distance-bottom:3.6pt;mso-position-horizontal-relative:margin;mso-position-vertical-relative:margin;mso-width-relative:margin;mso-height-relative:margin" coordorigin="-831" coordsize="36505,5050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">
                <v:rect id="Rectangle 199" o:spid="_x0000_s1028" style="position:absolute;width:35674;height:341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" fillcolor="#549e39 [3204]" stroked="f" strokeweight="1.52778mm">
                  <v:stroke linestyle="thickThin"/>
                  <v:textbox>
                    <w:txbxContent>
                      <w:p w14:paraId="40EAEA82" w14:textId="2F17D055" w:rsidR="00BA619B" w:rsidRDefault="00BB40B0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b/>
                            <w:color w:val="FFFFFF" w:themeColor="background1"/>
                            <w:sz w:val="24"/>
                            <w:szCs w:val="28"/>
                            <w:u w:val="single"/>
                          </w:rPr>
                        </w:pPr>
                        <w:r w:rsidRPr="00C066D1">
                          <w:rPr>
                            <w:rFonts w:asciiTheme="majorHAnsi" w:eastAsiaTheme="majorEastAsia" w:hAnsiTheme="majorHAnsi" w:cstheme="majorBidi"/>
                            <w:b/>
                            <w:color w:val="FFFFFF" w:themeColor="background1"/>
                            <w:sz w:val="24"/>
                            <w:szCs w:val="28"/>
                            <w:u w:val="single"/>
                          </w:rPr>
                          <w:t>MODERN PRACTISE</w:t>
                        </w:r>
                      </w:p>
                      <w:p w14:paraId="3FA014F6" w14:textId="7B50F12A" w:rsidR="003B2A9E" w:rsidRDefault="003B2A9E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b/>
                            <w:color w:val="FFFFFF" w:themeColor="background1"/>
                            <w:sz w:val="24"/>
                            <w:szCs w:val="28"/>
                            <w:u w:val="single"/>
                          </w:rPr>
                        </w:pPr>
                      </w:p>
                      <w:p w14:paraId="6B40C341" w14:textId="77777777" w:rsidR="003B2A9E" w:rsidRPr="00C066D1" w:rsidRDefault="003B2A9E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b/>
                            <w:color w:val="FFFFFF" w:themeColor="background1"/>
                            <w:sz w:val="24"/>
                            <w:szCs w:val="28"/>
                            <w:u w:val="single"/>
                          </w:rPr>
                        </w:pPr>
                      </w:p>
                    </w:txbxContent>
                  </v:textbox>
                </v:rect>
                <v:shape id="Text Box 200" o:spid="_x0000_s1029" type="#_x0000_t202" style="position:absolute;left:-831;top:1868;width:35648;height:486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" filled="f" stroked="f" strokeweight=".5pt">
                  <v:textbox style="mso-fit-shape-to-text:t" inset=",7.2pt,,0">
                    <w:txbxContent>
                      <w:p w14:paraId="5DB917D2" w14:textId="2E575E1D" w:rsidR="00BA619B" w:rsidRPr="00A12492" w:rsidRDefault="00C066D1" w:rsidP="00C066D1">
                        <w:pPr>
                          <w:pStyle w:val="Heading2"/>
                          <w:rPr>
                            <w:lang w:val="en-GB"/>
                          </w:rPr>
                        </w:pPr>
                        <w:r w:rsidRPr="00A12492">
                          <w:rPr>
                            <w:lang w:val="en-GB"/>
                          </w:rPr>
                          <w:t>FIRST LINE</w:t>
                        </w:r>
                        <w:r w:rsidR="00BA619B" w:rsidRPr="00A12492">
                          <w:rPr>
                            <w:lang w:val="en-GB"/>
                          </w:rPr>
                          <w:t>: TF-CBT and EMDR (Lewis et al., 2020).</w:t>
                        </w:r>
                      </w:p>
                      <w:p w14:paraId="20D3CEC6" w14:textId="2EAC7D59" w:rsidR="00BA619B" w:rsidRPr="00A12492" w:rsidRDefault="00BA619B" w:rsidP="00C066D1">
                        <w:pPr>
                          <w:pStyle w:val="Heading2"/>
                          <w:numPr>
                            <w:ilvl w:val="0"/>
                            <w:numId w:val="17"/>
                          </w:numPr>
                          <w:rPr>
                            <w:lang w:val="en-GB"/>
                          </w:rPr>
                        </w:pPr>
                        <w:r w:rsidRPr="00A12492">
                          <w:rPr>
                            <w:lang w:val="en-GB"/>
                          </w:rPr>
                          <w:t>Trauma-focused therapies superior to non-trauma controls (Lewis et al., 2020).</w:t>
                        </w:r>
                      </w:p>
                      <w:p w14:paraId="1E19077B" w14:textId="6424D3A1" w:rsidR="00A12492" w:rsidRPr="00A12492" w:rsidRDefault="00A12492" w:rsidP="00C066D1">
                        <w:pPr>
                          <w:pStyle w:val="Heading2"/>
                          <w:numPr>
                            <w:ilvl w:val="0"/>
                            <w:numId w:val="17"/>
                          </w:numPr>
                          <w:rPr>
                            <w:lang w:val="en-GB"/>
                          </w:rPr>
                        </w:pPr>
                        <w:r w:rsidRPr="00A12492">
                          <w:rPr>
                            <w:lang w:val="en-GB"/>
                          </w:rPr>
                          <w:t>Pharmacotherapy demonstrates moderate benefit but lower efficacy (Hoskins et al.,2015)</w:t>
                        </w:r>
                      </w:p>
                      <w:p w14:paraId="73D7C152" w14:textId="3D2C47A3" w:rsidR="00A12492" w:rsidRPr="00A12492" w:rsidRDefault="00C066D1" w:rsidP="00C066D1">
                        <w:pPr>
                          <w:pStyle w:val="Heading2"/>
                          <w:rPr>
                            <w:lang w:val="en-GB"/>
                          </w:rPr>
                        </w:pPr>
                        <w:r>
                          <w:rPr>
                            <w:lang w:val="en-GB"/>
                          </w:rPr>
                          <w:t xml:space="preserve">         </w:t>
                        </w:r>
                        <w:r w:rsidR="00A12492" w:rsidRPr="00A12492">
                          <w:rPr>
                            <w:lang w:val="en-GB"/>
                          </w:rPr>
                          <w:sym w:font="Wingdings" w:char="F0E0"/>
                        </w:r>
                        <w:r w:rsidR="00A12492" w:rsidRPr="00A12492">
                          <w:rPr>
                            <w:lang w:val="en-GB"/>
                          </w:rPr>
                          <w:t xml:space="preserve"> Suggests psychological intervention remains gold standard</w:t>
                        </w:r>
                      </w:p>
                      <w:p w14:paraId="78B050FA" w14:textId="77777777" w:rsidR="00BA619B" w:rsidRPr="00A12492" w:rsidRDefault="00BA619B" w:rsidP="00C066D1">
                        <w:pPr>
                          <w:pStyle w:val="Heading2"/>
                          <w:numPr>
                            <w:ilvl w:val="0"/>
                            <w:numId w:val="18"/>
                          </w:numPr>
                          <w:rPr>
                            <w:lang w:val="en-GB"/>
                          </w:rPr>
                        </w:pPr>
                        <w:r w:rsidRPr="00A12492">
                          <w:rPr>
                            <w:lang w:val="en-GB"/>
                          </w:rPr>
                          <w:t>ICD-11 recognition of Complex PTSD informs phased interventions (Stubley, Chipp and Buszewicz, 2025).</w:t>
                        </w:r>
                      </w:p>
                      <w:p w14:paraId="1F1F78DD" w14:textId="77777777" w:rsidR="00BA619B" w:rsidRPr="00A12492" w:rsidRDefault="00BA619B" w:rsidP="00C066D1">
                        <w:pPr>
                          <w:pStyle w:val="Heading2"/>
                          <w:numPr>
                            <w:ilvl w:val="0"/>
                            <w:numId w:val="18"/>
                          </w:numPr>
                          <w:rPr>
                            <w:sz w:val="28"/>
                            <w:lang w:val="en-GB"/>
                          </w:rPr>
                        </w:pPr>
                        <w:r w:rsidRPr="00A12492">
                          <w:rPr>
                            <w:lang w:val="en-GB"/>
                          </w:rPr>
                          <w:t xml:space="preserve">Trauma-informed care integrated across services (Stubley, Chipp and Buszewicz, </w:t>
                        </w:r>
                        <w:r w:rsidRPr="00A12492">
                          <w:rPr>
                            <w:sz w:val="28"/>
                            <w:lang w:val="en-GB"/>
                          </w:rPr>
                          <w:t>2025).</w:t>
                        </w:r>
                      </w:p>
                      <w:p w14:paraId="40C24BC9" w14:textId="36F2708D" w:rsidR="00BA619B" w:rsidRPr="00A12492" w:rsidRDefault="00BA619B" w:rsidP="00A12492">
                        <w:pPr>
                          <w:jc w:val="both"/>
                          <w:rPr>
                            <w:caps/>
                            <w:color w:val="549E39" w:themeColor="accent1"/>
                            <w:sz w:val="28"/>
                            <w:szCs w:val="26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BB40B0">
        <w:t xml:space="preserve"> </w:t>
      </w:r>
      <w:r w:rsidR="005A27C4">
        <w:rPr>
          <w:noProof/>
          <w:lang w:val="en-IN" w:eastAsia="en-IN"/>
        </w:rPr>
        <mc:AlternateContent>
          <mc:Choice Requires="wpg">
            <w:drawing>
              <wp:anchor distT="0" distB="0" distL="228600" distR="228600" simplePos="0" relativeHeight="251655168" behindDoc="1" locked="0" layoutInCell="1" allowOverlap="1" wp14:anchorId="0DBEFBBB" wp14:editId="35060A55">
                <wp:simplePos x="528034" y="592428"/>
                <wp:positionH relativeFrom="margin">
                  <wp:align>right</wp:align>
                </wp:positionH>
                <wp:positionV relativeFrom="margin">
                  <wp:align>top</wp:align>
                </wp:positionV>
                <wp:extent cx="1828800" cy="8953500"/>
                <wp:effectExtent l="0" t="0" r="1905" b="0"/>
                <wp:wrapSquare wrapText="bothSides"/>
                <wp:docPr id="201" name="Group 20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828800" cy="8953877"/>
                          <a:chOff x="0" y="0"/>
                          <a:chExt cx="1828800" cy="8953877"/>
                        </a:xfrm>
                      </wpg:grpSpPr>
                      <wps:wsp>
                        <wps:cNvPr id="202" name="Rectangle 202"/>
                        <wps:cNvSpPr/>
                        <wps:spPr>
                          <a:xfrm>
                            <a:off x="0" y="0"/>
                            <a:ext cx="1828800" cy="228600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3" name="Rectangle 203"/>
                        <wps:cNvSpPr/>
                        <wps:spPr>
                          <a:xfrm>
                            <a:off x="0" y="956320"/>
                            <a:ext cx="1828800" cy="7997557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D3CA859" w14:textId="524C75B4" w:rsidR="00BA619B" w:rsidRPr="00BB40B0" w:rsidRDefault="00A60CCC" w:rsidP="00BA619B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  <w:lang w:val="en-GB"/>
                                </w:rPr>
                              </w:pPr>
                              <w:r w:rsidRPr="00BB40B0">
                                <w:rPr>
                                  <w:b/>
                                  <w:smallCaps/>
                                  <w:color w:val="FFFFFF" w:themeColor="background1"/>
                                  <w:sz w:val="28"/>
                                  <w:szCs w:val="24"/>
                                  <w:lang w:val="en-GB"/>
                                </w:rPr>
                                <w:t>Diagnostic systems do</w:t>
                              </w:r>
                              <w:r w:rsidR="00BA34BE">
                                <w:rPr>
                                  <w:b/>
                                  <w:smallCaps/>
                                  <w:color w:val="FFFFFF" w:themeColor="background1"/>
                                  <w:sz w:val="28"/>
                                  <w:szCs w:val="24"/>
                                  <w:lang w:val="en-GB"/>
                                </w:rPr>
                                <w:t xml:space="preserve"> not simply describe disorders. </w:t>
                              </w:r>
                              <w:r w:rsidRPr="00BB40B0">
                                <w:rPr>
                                  <w:b/>
                                  <w:smallCaps/>
                                  <w:color w:val="FFFFFF" w:themeColor="background1"/>
                                  <w:sz w:val="28"/>
                                  <w:szCs w:val="24"/>
                                  <w:lang w:val="en-GB"/>
                                </w:rPr>
                                <w:t xml:space="preserve"> they shape who receives care, funding, and legitimacy</w:t>
                              </w:r>
                            </w:p>
                            <w:p w14:paraId="5B1332DA" w14:textId="77777777" w:rsidR="00BA619B" w:rsidRPr="00BA619B" w:rsidRDefault="00BA619B" w:rsidP="00BA619B">
                              <w:pPr>
                                <w:numPr>
                                  <w:ilvl w:val="0"/>
                                  <w:numId w:val="14"/>
                                </w:numPr>
                                <w:rPr>
                                  <w:color w:val="FFFFFF" w:themeColor="background1"/>
                                  <w:lang w:val="en-GB"/>
                                </w:rPr>
                              </w:pPr>
                              <w:r w:rsidRPr="00BA619B">
                                <w:rPr>
                                  <w:color w:val="FFFFFF" w:themeColor="background1"/>
                                  <w:lang w:val="en-GB"/>
                                </w:rPr>
                                <w:t>Manualised protocols improve fidelity but risk reduced individualisation (Lewis et al., 2020).</w:t>
                              </w:r>
                            </w:p>
                            <w:p w14:paraId="0A92AAD8" w14:textId="77777777" w:rsidR="00BA619B" w:rsidRPr="00BA619B" w:rsidRDefault="00BA619B" w:rsidP="00BA619B">
                              <w:pPr>
                                <w:numPr>
                                  <w:ilvl w:val="0"/>
                                  <w:numId w:val="14"/>
                                </w:numPr>
                                <w:rPr>
                                  <w:color w:val="FFFFFF" w:themeColor="background1"/>
                                  <w:lang w:val="en-GB"/>
                                </w:rPr>
                              </w:pPr>
                              <w:r w:rsidRPr="00BA619B">
                                <w:rPr>
                                  <w:color w:val="FFFFFF" w:themeColor="background1"/>
                                  <w:lang w:val="en-GB"/>
                                </w:rPr>
                                <w:t>Strong efficacy ≠ equitable access (Stubley, Chipp and Buszewicz, 2025).</w:t>
                              </w:r>
                            </w:p>
                            <w:p w14:paraId="37B0C52F" w14:textId="77777777" w:rsidR="00BA619B" w:rsidRPr="00BA619B" w:rsidRDefault="00BA619B" w:rsidP="00BA619B">
                              <w:pPr>
                                <w:numPr>
                                  <w:ilvl w:val="0"/>
                                  <w:numId w:val="14"/>
                                </w:numPr>
                                <w:rPr>
                                  <w:color w:val="FFFFFF" w:themeColor="background1"/>
                                  <w:lang w:val="en-GB"/>
                                </w:rPr>
                              </w:pPr>
                              <w:r w:rsidRPr="00BA619B">
                                <w:rPr>
                                  <w:color w:val="FFFFFF" w:themeColor="background1"/>
                                  <w:lang w:val="en-GB"/>
                                </w:rPr>
                                <w:t>Practice remains individual-focused; structural determinants under-addressed (Stubley, Chipp and Buszewicz, 2025).</w:t>
                              </w:r>
                            </w:p>
                            <w:p w14:paraId="705EA56B" w14:textId="3ABA452A" w:rsidR="00331EFB" w:rsidRDefault="005A27C4" w:rsidP="00BA619B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>
                                <w:t xml:space="preserve">              </w:t>
                              </w:r>
                              <w:r w:rsidR="00BA619B" w:rsidRPr="00BA619B">
                                <w:rPr>
                                  <w:noProof/>
                                  <w:lang w:val="en-IN" w:eastAsia="en-IN"/>
                                </w:rPr>
                                <w:drawing>
                                  <wp:inline distT="0" distB="0" distL="0" distR="0" wp14:anchorId="1D059FF5" wp14:editId="4E041166">
                                    <wp:extent cx="3032911" cy="3032911"/>
                                    <wp:effectExtent l="0" t="0" r="0" b="0"/>
                                    <wp:docPr id="1393237389" name="Picture 1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1190063365" name=""/>
                                            <pic:cNvPicPr/>
                                          </pic:nvPicPr>
                                          <pic:blipFill>
                                            <a:blip r:embed="rId11"/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>
                                            <a:xfrm>
                                              <a:off x="0" y="0"/>
                                              <a:ext cx="3038607" cy="3038607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  <w:p w14:paraId="35D0862E" w14:textId="3C5DA8CF" w:rsidR="00A60CCC" w:rsidRDefault="005A27C4" w:rsidP="00BA619B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5A27C4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>Trauma exposure is socially patterned, not random</w:t>
                              </w:r>
                              <w:r w:rsidRPr="005A27C4">
                                <w:rPr>
                                  <w:color w:val="FFFFFF" w:themeColor="background1"/>
                                </w:rPr>
                                <w:br/>
                                <w:t>– Koenen et al. (2017) show higher prevalence in conflict zones, displaced populations and low-income communities</w:t>
                              </w:r>
                              <w:r w:rsidRPr="005A27C4">
                                <w:rPr>
                                  <w:color w:val="FFFFFF" w:themeColor="background1"/>
                                </w:rPr>
                                <w:br/>
                                <w:t xml:space="preserve">→ Suggests PTSD reflects structural inequality as </w:t>
                              </w:r>
                              <w:r w:rsidR="00A60CCC">
                                <w:rPr>
                                  <w:color w:val="FFFFFF" w:themeColor="background1"/>
                                </w:rPr>
                                <w:t>much as individual vulnerability.</w:t>
                              </w:r>
                            </w:p>
                            <w:p w14:paraId="3F5EE66A" w14:textId="79B0C877" w:rsidR="008B1018" w:rsidRDefault="008B1018" w:rsidP="00BA619B">
                              <w:pPr>
                                <w:rPr>
                                  <w:color w:val="FFFFFF" w:themeColor="background1"/>
                                </w:rPr>
                              </w:pPr>
                              <w:r w:rsidRPr="008B1018"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  <w:t>Strengthen early intervention and prevention strategies in high-risk populations</w:t>
                              </w:r>
                              <w:r w:rsidRPr="008B1018">
                                <w:rPr>
                                  <w:color w:val="FFFFFF" w:themeColor="background1"/>
                                </w:rPr>
                                <w:br/>
                                <w:t>– Early trauma support for refugees, survivors of violence and conflict-affected communities</w:t>
                              </w:r>
                              <w:r>
                                <w:rPr>
                                  <w:color w:val="FFFFFF" w:themeColor="background1"/>
                                </w:rPr>
                                <w:t>.</w:t>
                              </w:r>
                              <w:r w:rsidRPr="008B1018">
                                <w:rPr>
                                  <w:color w:val="FFFFFF" w:themeColor="background1"/>
                                </w:rPr>
                                <w:t xml:space="preserve"> (WHO, 2019).</w:t>
                              </w:r>
                            </w:p>
                            <w:p w14:paraId="0BBEFF31" w14:textId="77777777" w:rsidR="00A60CCC" w:rsidRDefault="00A60CCC" w:rsidP="00BA619B">
                              <w:pPr>
                                <w:rPr>
                                  <w:color w:val="FFFFFF" w:themeColor="background1"/>
                                </w:rPr>
                              </w:pPr>
                            </w:p>
                            <w:p w14:paraId="0F3102AD" w14:textId="13561120" w:rsidR="005A27C4" w:rsidRDefault="005A27C4" w:rsidP="00A60CCC">
                              <w:pPr>
                                <w:jc w:val="center"/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182880" rIns="109728" bIns="22860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4" name="Text Box 204"/>
                        <wps:cNvSpPr txBox="1"/>
                        <wps:spPr>
                          <a:xfrm>
                            <a:off x="0" y="231820"/>
                            <a:ext cx="1828800" cy="685800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7914DFA" w14:textId="6C2AD45B" w:rsidR="00331EFB" w:rsidRDefault="00A60CCC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549E39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549E39" w:themeColor="accent1"/>
                                  <w:sz w:val="28"/>
                                  <w:szCs w:val="28"/>
                                </w:rPr>
                                <w:t>CRITICAL PERSPECTIVE</w:t>
                              </w:r>
                              <w:r w:rsidR="00EC2836"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549E39" w:themeColor="accent1"/>
                                  <w:sz w:val="28"/>
                                  <w:szCs w:val="28"/>
                                </w:rPr>
                                <w:t xml:space="preserve"> and Recommendations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91440" numCol="1" spcCol="0" rtlCol="0" fromWordArt="0" anchor="ctr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30800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oel="http://schemas.microsoft.com/office/2019/extlst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>
              <v:group w14:anchorId="0DBEFBBB" id="Group 207" o:spid="_x0000_s1030" style="position:absolute;margin-left:92.8pt;margin-top:0;width:2in;height:705pt;z-index:-251661312;mso-width-percent:308;mso-wrap-distance-left:18pt;mso-wrap-distance-right:18pt;mso-position-horizontal:right;mso-position-horizontal-relative:margin;mso-position-vertical:top;mso-position-vertical-relative:margin;mso-width-percent:308;mso-width-relative:margin;mso-height-relative:margin" coordsize="18288,8953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">
                <v:rect id="Rectangle 202" o:spid="_x0000_s1031" style="position:absolute;width:18288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" fillcolor="#549e39 [3204]" stroked="f" strokeweight="1.52778mm">
                  <v:stroke linestyle="thickThin"/>
                </v:rect>
                <v:rect id="Rectangle 203" o:spid="_x0000_s1032" style="position:absolute;top:9563;width:18288;height:799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" fillcolor="#549e39 [3204]" stroked="f" strokeweight="1.52778mm">
                  <v:stroke linestyle="thickThin"/>
                  <v:textbox inset=",14.4pt,8.64pt,18pt">
                    <w:txbxContent>
                      <w:p w14:paraId="3D3CA859" w14:textId="524C75B4" w:rsidR="00BA619B" w:rsidRPr="00BB40B0" w:rsidRDefault="00A60CCC" w:rsidP="00BA619B">
                        <w:pPr>
                          <w:rPr>
                            <w:b/>
                            <w:bCs/>
                            <w:color w:val="FFFFFF" w:themeColor="background1"/>
                            <w:lang w:val="en-GB"/>
                          </w:rPr>
                        </w:pPr>
                        <w:r w:rsidRPr="00BB40B0">
                          <w:rPr>
                            <w:b/>
                            <w:smallCaps/>
                            <w:color w:val="FFFFFF" w:themeColor="background1"/>
                            <w:sz w:val="28"/>
                            <w:szCs w:val="24"/>
                            <w:lang w:val="en-GB"/>
                          </w:rPr>
                          <w:t>Diagnostic systems do</w:t>
                        </w:r>
                        <w:r w:rsidR="00BA34BE">
                          <w:rPr>
                            <w:b/>
                            <w:smallCaps/>
                            <w:color w:val="FFFFFF" w:themeColor="background1"/>
                            <w:sz w:val="28"/>
                            <w:szCs w:val="24"/>
                            <w:lang w:val="en-GB"/>
                          </w:rPr>
                          <w:t xml:space="preserve"> not simply describe disorders. </w:t>
                        </w:r>
                        <w:r w:rsidRPr="00BB40B0">
                          <w:rPr>
                            <w:b/>
                            <w:smallCaps/>
                            <w:color w:val="FFFFFF" w:themeColor="background1"/>
                            <w:sz w:val="28"/>
                            <w:szCs w:val="24"/>
                            <w:lang w:val="en-GB"/>
                          </w:rPr>
                          <w:t xml:space="preserve"> they shape who receives care, funding, and legitimacy</w:t>
                        </w:r>
                      </w:p>
                      <w:p w14:paraId="5B1332DA" w14:textId="77777777" w:rsidR="00BA619B" w:rsidRPr="00BA619B" w:rsidRDefault="00BA619B" w:rsidP="00BA619B">
                        <w:pPr>
                          <w:numPr>
                            <w:ilvl w:val="0"/>
                            <w:numId w:val="14"/>
                          </w:numPr>
                          <w:rPr>
                            <w:color w:val="FFFFFF" w:themeColor="background1"/>
                            <w:lang w:val="en-GB"/>
                          </w:rPr>
                        </w:pPr>
                        <w:r w:rsidRPr="00BA619B">
                          <w:rPr>
                            <w:color w:val="FFFFFF" w:themeColor="background1"/>
                            <w:lang w:val="en-GB"/>
                          </w:rPr>
                          <w:t xml:space="preserve">Manualised protocols improve </w:t>
                        </w:r>
                        <w:proofErr w:type="gramStart"/>
                        <w:r w:rsidRPr="00BA619B">
                          <w:rPr>
                            <w:color w:val="FFFFFF" w:themeColor="background1"/>
                            <w:lang w:val="en-GB"/>
                          </w:rPr>
                          <w:t>fidelity</w:t>
                        </w:r>
                        <w:proofErr w:type="gramEnd"/>
                        <w:r w:rsidRPr="00BA619B">
                          <w:rPr>
                            <w:color w:val="FFFFFF" w:themeColor="background1"/>
                            <w:lang w:val="en-GB"/>
                          </w:rPr>
                          <w:t xml:space="preserve"> but risk reduced individualisation (Lewis et al., 2020).</w:t>
                        </w:r>
                      </w:p>
                      <w:p w14:paraId="0A92AAD8" w14:textId="77777777" w:rsidR="00BA619B" w:rsidRPr="00BA619B" w:rsidRDefault="00BA619B" w:rsidP="00BA619B">
                        <w:pPr>
                          <w:numPr>
                            <w:ilvl w:val="0"/>
                            <w:numId w:val="14"/>
                          </w:numPr>
                          <w:rPr>
                            <w:color w:val="FFFFFF" w:themeColor="background1"/>
                            <w:lang w:val="en-GB"/>
                          </w:rPr>
                        </w:pPr>
                        <w:r w:rsidRPr="00BA619B">
                          <w:rPr>
                            <w:color w:val="FFFFFF" w:themeColor="background1"/>
                            <w:lang w:val="en-GB"/>
                          </w:rPr>
                          <w:t>Strong efficacy ≠ equitable access (Stubley, Chipp and Buszewicz, 2025).</w:t>
                        </w:r>
                      </w:p>
                      <w:p w14:paraId="37B0C52F" w14:textId="77777777" w:rsidR="00BA619B" w:rsidRPr="00BA619B" w:rsidRDefault="00BA619B" w:rsidP="00BA619B">
                        <w:pPr>
                          <w:numPr>
                            <w:ilvl w:val="0"/>
                            <w:numId w:val="14"/>
                          </w:numPr>
                          <w:rPr>
                            <w:color w:val="FFFFFF" w:themeColor="background1"/>
                            <w:lang w:val="en-GB"/>
                          </w:rPr>
                        </w:pPr>
                        <w:r w:rsidRPr="00BA619B">
                          <w:rPr>
                            <w:color w:val="FFFFFF" w:themeColor="background1"/>
                            <w:lang w:val="en-GB"/>
                          </w:rPr>
                          <w:t>Practice remains individual-focused; structural determinants under-addressed (Stubley, Chipp and Buszewicz, 2025).</w:t>
                        </w:r>
                      </w:p>
                      <w:p w14:paraId="705EA56B" w14:textId="3ABA452A" w:rsidR="00331EFB" w:rsidRDefault="005A27C4" w:rsidP="00BA619B">
                        <w:pPr>
                          <w:rPr>
                            <w:color w:val="FFFFFF" w:themeColor="background1"/>
                          </w:rPr>
                        </w:pPr>
                        <w:r>
                          <w:t xml:space="preserve">              </w:t>
                        </w:r>
                        <w:r w:rsidR="00BA619B" w:rsidRPr="00BA619B">
                          <w:rPr>
                            <w:noProof/>
                            <w:lang w:val="en-IN" w:eastAsia="en-IN"/>
                          </w:rPr>
                          <w:drawing>
                            <wp:inline distT="0" distB="0" distL="0" distR="0" wp14:anchorId="1D059FF5" wp14:editId="4E041166">
                              <wp:extent cx="3032911" cy="3032911"/>
                              <wp:effectExtent l="0" t="0" r="0" b="0"/>
                              <wp:docPr id="1393237389" name="Picture 1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1190063365" name=""/>
                                      <pic:cNvPicPr/>
                                    </pic:nvPicPr>
                                    <pic:blipFill>
                                      <a:blip r:embed="rId12"/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3038607" cy="3038607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  <w:p w14:paraId="35D0862E" w14:textId="3C5DA8CF" w:rsidR="00A60CCC" w:rsidRDefault="005A27C4" w:rsidP="00BA619B">
                        <w:pPr>
                          <w:rPr>
                            <w:color w:val="FFFFFF" w:themeColor="background1"/>
                          </w:rPr>
                        </w:pPr>
                        <w:r w:rsidRPr="005A27C4">
                          <w:rPr>
                            <w:b/>
                            <w:bCs/>
                            <w:color w:val="FFFFFF" w:themeColor="background1"/>
                          </w:rPr>
                          <w:t>Trauma exposure is socially patterned, not random</w:t>
                        </w:r>
                        <w:r w:rsidRPr="005A27C4">
                          <w:rPr>
                            <w:color w:val="FFFFFF" w:themeColor="background1"/>
                          </w:rPr>
                          <w:br/>
                          <w:t>– Koenen et al. (2017) show higher prevalence in conflict zones, displaced populations and low-income communities</w:t>
                        </w:r>
                        <w:r w:rsidRPr="005A27C4">
                          <w:rPr>
                            <w:color w:val="FFFFFF" w:themeColor="background1"/>
                          </w:rPr>
                          <w:br/>
                          <w:t xml:space="preserve">→ Suggests PTSD reflects structural inequality as </w:t>
                        </w:r>
                        <w:r w:rsidR="00A60CCC">
                          <w:rPr>
                            <w:color w:val="FFFFFF" w:themeColor="background1"/>
                          </w:rPr>
                          <w:t>much as individual vulnerability.</w:t>
                        </w:r>
                      </w:p>
                      <w:p w14:paraId="3F5EE66A" w14:textId="79B0C877" w:rsidR="008B1018" w:rsidRDefault="008B1018" w:rsidP="00BA619B">
                        <w:pPr>
                          <w:rPr>
                            <w:color w:val="FFFFFF" w:themeColor="background1"/>
                          </w:rPr>
                        </w:pPr>
                        <w:r w:rsidRPr="008B1018">
                          <w:rPr>
                            <w:b/>
                            <w:bCs/>
                            <w:color w:val="FFFFFF" w:themeColor="background1"/>
                          </w:rPr>
                          <w:t>Strengthen early intervention and prevention strategies in high-risk populations</w:t>
                        </w:r>
                        <w:r w:rsidRPr="008B1018">
                          <w:rPr>
                            <w:color w:val="FFFFFF" w:themeColor="background1"/>
                          </w:rPr>
                          <w:br/>
                          <w:t>– Early trauma support for refugees, survivors of violence and conflict-affected communities</w:t>
                        </w:r>
                        <w:r>
                          <w:rPr>
                            <w:color w:val="FFFFFF" w:themeColor="background1"/>
                          </w:rPr>
                          <w:t>.</w:t>
                        </w:r>
                        <w:r w:rsidRPr="008B1018">
                          <w:rPr>
                            <w:color w:val="FFFFFF" w:themeColor="background1"/>
                          </w:rPr>
                          <w:t xml:space="preserve"> (WHO, 2019).</w:t>
                        </w:r>
                      </w:p>
                      <w:p w14:paraId="0BBEFF31" w14:textId="77777777" w:rsidR="00A60CCC" w:rsidRDefault="00A60CCC" w:rsidP="00BA619B">
                        <w:pPr>
                          <w:rPr>
                            <w:color w:val="FFFFFF" w:themeColor="background1"/>
                          </w:rPr>
                        </w:pPr>
                      </w:p>
                      <w:p w14:paraId="0F3102AD" w14:textId="13561120" w:rsidR="005A27C4" w:rsidRDefault="005A27C4" w:rsidP="00A60CCC">
                        <w:pPr>
                          <w:jc w:val="center"/>
                          <w:rPr>
                            <w:color w:val="FFFFFF" w:themeColor="background1"/>
                          </w:rPr>
                        </w:pPr>
                      </w:p>
                    </w:txbxContent>
                  </v:textbox>
                </v:rect>
                <v:shape id="Text Box 204" o:spid="_x0000_s1033" type="#_x0000_t202" style="position:absolute;top:2318;width:18288;height:68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" fillcolor="white [3212]" stroked="f" strokeweight=".5pt">
                  <v:textbox style="mso-fit-shape-to-text:t" inset=",7.2pt,,7.2pt">
                    <w:txbxContent>
                      <w:p w14:paraId="77914DFA" w14:textId="6C2AD45B" w:rsidR="00331EFB" w:rsidRDefault="00A60CCC">
                        <w:pPr>
                          <w:pStyle w:val="NoSpacing"/>
                          <w:jc w:val="center"/>
                          <w:rPr>
                            <w:rFonts w:asciiTheme="majorHAnsi" w:eastAsiaTheme="majorEastAsia" w:hAnsiTheme="majorHAnsi" w:cstheme="majorBidi"/>
                            <w:caps/>
                            <w:color w:val="549E39" w:themeColor="accent1"/>
                            <w:sz w:val="28"/>
                            <w:szCs w:val="28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aps/>
                            <w:color w:val="549E39" w:themeColor="accent1"/>
                            <w:sz w:val="28"/>
                            <w:szCs w:val="28"/>
                          </w:rPr>
                          <w:t>CRITICAL PERSPECTIVE</w:t>
                        </w:r>
                        <w:r w:rsidR="00EC2836">
                          <w:rPr>
                            <w:rFonts w:asciiTheme="majorHAnsi" w:eastAsiaTheme="majorEastAsia" w:hAnsiTheme="majorHAnsi" w:cstheme="majorBidi"/>
                            <w:caps/>
                            <w:color w:val="549E39" w:themeColor="accent1"/>
                            <w:sz w:val="28"/>
                            <w:szCs w:val="28"/>
                          </w:rPr>
                          <w:t xml:space="preserve"> and Recommendations</w:t>
                        </w: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</w:p>
    <w:p w14:paraId="48653CE2" w14:textId="194E3BB1" w:rsidR="00331EFB" w:rsidRDefault="00331EFB"/>
    <w:p w14:paraId="44B3B3DC" w14:textId="40D043E2" w:rsidR="00331EFB" w:rsidRDefault="00331EFB"/>
    <w:p w14:paraId="6F8C9419" w14:textId="7063CA22" w:rsidR="00331EFB" w:rsidRDefault="00331EFB"/>
    <w:p w14:paraId="34DB33E9" w14:textId="2B86BE9F" w:rsidR="00331EFB" w:rsidRDefault="00331EFB"/>
    <w:p w14:paraId="704E9404" w14:textId="44C6C4B1" w:rsidR="00331EFB" w:rsidRDefault="00331EFB">
      <w:r>
        <w:rPr>
          <w:noProof/>
          <w:lang w:val="en-IN" w:eastAsia="en-IN"/>
        </w:rPr>
        <mc:AlternateContent>
          <mc:Choice Requires="wpg">
            <w:drawing>
              <wp:anchor distT="0" distB="0" distL="228600" distR="228600" simplePos="0" relativeHeight="251653632" behindDoc="0" locked="0" layoutInCell="1" allowOverlap="1" wp14:anchorId="18749E2F" wp14:editId="4CE5296B">
                <wp:simplePos x="0" y="0"/>
                <mc:AlternateContent>
                  <mc:Choice Requires="wp14">
                    <wp:positionH relativeFrom="page">
                      <wp14:pctPosHOffset>4000</wp14:pctPosHOffset>
                    </wp:positionH>
                  </mc:Choice>
                  <mc:Fallback>
                    <wp:positionH relativeFrom="page">
                      <wp:posOffset>604520</wp:posOffset>
                    </wp:positionH>
                  </mc:Fallback>
                </mc:AlternateContent>
                <wp:positionV relativeFrom="page">
                  <wp:align>center</wp:align>
                </wp:positionV>
                <wp:extent cx="2518410" cy="9052560"/>
                <wp:effectExtent l="0" t="0" r="6985" b="7620"/>
                <wp:wrapSquare wrapText="bothSides"/>
                <wp:docPr id="50" name="Group 3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18410" cy="9052560"/>
                          <a:chOff x="0" y="0"/>
                          <a:chExt cx="2571750" cy="8229600"/>
                        </a:xfrm>
                      </wpg:grpSpPr>
                      <wps:wsp>
                        <wps:cNvPr id="51" name="Text Box 51"/>
                        <wps:cNvSpPr txBox="1"/>
                        <wps:spPr>
                          <a:xfrm>
                            <a:off x="190500" y="0"/>
                            <a:ext cx="2381250" cy="8229600"/>
                          </a:xfrm>
                          <a:prstGeom prst="rect">
                            <a:avLst/>
                          </a:prstGeom>
                          <a:gradFill>
                            <a:gsLst>
                              <a:gs pos="0">
                                <a:schemeClr val="lt2">
                                  <a:tint val="90000"/>
                                  <a:satMod val="92000"/>
                                  <a:lumMod val="120000"/>
                                </a:schemeClr>
                              </a:gs>
                              <a:gs pos="100000">
                                <a:schemeClr val="lt2">
                                  <a:shade val="98000"/>
                                  <a:satMod val="120000"/>
                                  <a:lumMod val="98000"/>
                                </a:schemeClr>
                              </a:gs>
                            </a:gsLst>
                            <a:path path="circle">
                              <a:fillToRect l="50000" t="50000" r="100000" b="100000"/>
                            </a:path>
                          </a:gradFill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1003">
                            <a:schemeClr val="lt2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06B03405" w14:textId="01F17816" w:rsidR="00331EFB" w:rsidRPr="005A27C4" w:rsidRDefault="00331EFB" w:rsidP="00331EFB">
                              <w:pPr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</w:pPr>
                              <w:r w:rsidRPr="005A27C4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Classified in ICD-11 (World Health Organization, 2019)</w:t>
                              </w:r>
                              <w:r w:rsidR="00912D31" w:rsidRPr="00912D31">
                                <w:rPr>
                                  <w:noProof/>
                                </w:rPr>
                                <w:t xml:space="preserve"> </w:t>
                              </w:r>
                            </w:p>
                            <w:p w14:paraId="10035595" w14:textId="7EFB2C9F" w:rsidR="00331EFB" w:rsidRPr="005A27C4" w:rsidRDefault="005A27C4" w:rsidP="005A27C4">
                              <w:pPr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</w:pPr>
                              <w:r w:rsidRPr="005A27C4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  <w:sym w:font="Wingdings" w:char="F0E0"/>
                              </w:r>
                              <w:r w:rsidR="00331EFB" w:rsidRPr="005A27C4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  <w:t>Arises after exposure to traumatic events</w:t>
                              </w:r>
                            </w:p>
                            <w:p w14:paraId="6AF6DF76" w14:textId="602BE6FC" w:rsidR="00331EFB" w:rsidRPr="00C066D1" w:rsidRDefault="00331EFB" w:rsidP="00331EFB">
                              <w:pPr>
                                <w:rPr>
                                  <w:b/>
                                  <w:bCs/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</w:pPr>
                              <w:r w:rsidRPr="00C066D1">
                                <w:rPr>
                                  <w:b/>
                                  <w:bCs/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  <w:t>Core ICD-11 clusters:</w:t>
                              </w:r>
                            </w:p>
                            <w:p w14:paraId="1BE7A3C3" w14:textId="77777777" w:rsidR="00331EFB" w:rsidRPr="00331EFB" w:rsidRDefault="00331EFB" w:rsidP="00331EFB">
                              <w:pPr>
                                <w:numPr>
                                  <w:ilvl w:val="0"/>
                                  <w:numId w:val="10"/>
                                </w:numPr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  <w:t>Re-experiencing</w:t>
                              </w:r>
                            </w:p>
                            <w:p w14:paraId="208226EA" w14:textId="1C183024" w:rsidR="00331EFB" w:rsidRPr="00331EFB" w:rsidRDefault="00331EFB" w:rsidP="00331EFB">
                              <w:pPr>
                                <w:numPr>
                                  <w:ilvl w:val="0"/>
                                  <w:numId w:val="10"/>
                                </w:numPr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  <w:t>Avoidance</w:t>
                              </w:r>
                              <w:r w:rsidR="00912D31" w:rsidRPr="00912D31">
                                <w:rPr>
                                  <w:noProof/>
                                </w:rPr>
                                <w:t xml:space="preserve"> </w:t>
                              </w:r>
                            </w:p>
                            <w:p w14:paraId="3C1BA5E4" w14:textId="77777777" w:rsidR="00331EFB" w:rsidRPr="005A27C4" w:rsidRDefault="00331EFB" w:rsidP="00331EFB">
                              <w:pPr>
                                <w:numPr>
                                  <w:ilvl w:val="0"/>
                                  <w:numId w:val="10"/>
                                </w:numPr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4"/>
                                  <w:szCs w:val="24"/>
                                  <w:lang w:val="en-GB"/>
                                </w:rPr>
                                <w:t>Persistent threat</w:t>
                              </w:r>
                            </w:p>
                            <w:p w14:paraId="11835EBD" w14:textId="3ED664F5" w:rsidR="00331EFB" w:rsidRPr="008B1018" w:rsidRDefault="00331EFB" w:rsidP="008B1018">
                              <w:pPr>
                                <w:pStyle w:val="Heading1"/>
                                <w:rPr>
                                  <w:sz w:val="24"/>
                                  <w:szCs w:val="24"/>
                                  <w:lang w:val="en-GB"/>
                                </w:rPr>
                              </w:pPr>
                              <w:r w:rsidRPr="008B1018">
                                <w:rPr>
                                  <w:sz w:val="24"/>
                                  <w:szCs w:val="24"/>
                                  <w:lang w:val="en-GB"/>
                                </w:rPr>
                                <w:t>A. Development of PTSD as a Diagnosis</w:t>
                              </w:r>
                              <w:r w:rsidR="008B1018" w:rsidRPr="008B1018">
                                <w:rPr>
                                  <w:sz w:val="24"/>
                                  <w:szCs w:val="24"/>
                                  <w:lang w:val="en-GB"/>
                                </w:rPr>
                                <w:t xml:space="preserve"> </w:t>
                              </w:r>
                            </w:p>
                            <w:p w14:paraId="5786DC6D" w14:textId="77777777" w:rsidR="00BA619B" w:rsidRPr="00BA619B" w:rsidRDefault="00BA619B" w:rsidP="00BA619B">
                              <w:pPr>
                                <w:numPr>
                                  <w:ilvl w:val="0"/>
                                  <w:numId w:val="15"/>
                                </w:num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BA619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Managed in institutional/military settings (“shell shock”) (Young, 1995).</w:t>
                              </w:r>
                            </w:p>
                            <w:p w14:paraId="6BC317B0" w14:textId="43CA4A97" w:rsidR="00BA619B" w:rsidRPr="00BA619B" w:rsidRDefault="00BA619B" w:rsidP="00BA619B">
                              <w:pPr>
                                <w:numPr>
                                  <w:ilvl w:val="0"/>
                                  <w:numId w:val="15"/>
                                </w:num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BA619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 xml:space="preserve">Rest, </w:t>
                              </w:r>
                              <w:r w:rsidR="00BB40B0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 xml:space="preserve">sedation, </w:t>
                              </w:r>
                              <w:r w:rsidR="00DB2BA3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discipline:</w:t>
                              </w:r>
                              <w:r w:rsidRPr="00BA619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 xml:space="preserve"> not structured psychotherapy (Young, 1995).</w:t>
                              </w:r>
                            </w:p>
                            <w:p w14:paraId="37807EA2" w14:textId="6C99B8AC" w:rsidR="00BA619B" w:rsidRPr="00331EFB" w:rsidRDefault="00BA619B" w:rsidP="00331EFB">
                              <w:pPr>
                                <w:numPr>
                                  <w:ilvl w:val="0"/>
                                  <w:numId w:val="15"/>
                                </w:num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BA619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Trauma framed as moral weakness rather than psychiatric injury (Young, 1995).</w:t>
                              </w:r>
                            </w:p>
                            <w:p w14:paraId="1D0878C2" w14:textId="77777777" w:rsidR="00331EFB" w:rsidRPr="00331EFB" w:rsidRDefault="00331EFB" w:rsidP="00331EFB">
                              <w:pPr>
                                <w:numPr>
                                  <w:ilvl w:val="0"/>
                                  <w:numId w:val="11"/>
                                </w:num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 xml:space="preserve">Formal inclusion in </w:t>
                              </w:r>
                              <w:r w:rsidRPr="00331EFB">
                                <w:rPr>
                                  <w:b/>
                                  <w:bC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Diagnostic and Statistical Manual of Mental Disorders (DSM-III, 1980)</w:t>
                              </w:r>
                            </w:p>
                            <w:p w14:paraId="14846696" w14:textId="4DDFF1BB" w:rsidR="00BA619B" w:rsidRPr="00331EFB" w:rsidRDefault="00331EFB" w:rsidP="00BA619B">
                              <w:pPr>
                                <w:numPr>
                                  <w:ilvl w:val="0"/>
                                  <w:numId w:val="11"/>
                                </w:num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Now classified in ICD-11</w:t>
                              </w:r>
                            </w:p>
                            <w:p w14:paraId="45CAF269" w14:textId="77777777" w:rsidR="00331EFB" w:rsidRPr="00331EFB" w:rsidRDefault="00331EFB" w:rsidP="00331EFB">
                              <w:pPr>
                                <w:rPr>
                                  <w:b/>
                                  <w:bC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b/>
                                  <w:bC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Critical Point:</w:t>
                              </w:r>
                            </w:p>
                            <w:p w14:paraId="15C27559" w14:textId="77777777" w:rsidR="00331EFB" w:rsidRPr="00331EFB" w:rsidRDefault="00331EFB" w:rsidP="00331EFB">
                              <w:pPr>
                                <w:numPr>
                                  <w:ilvl w:val="0"/>
                                  <w:numId w:val="12"/>
                                </w:num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Diagnosis influenced by political pressure (e.g., Vietnam veterans)</w:t>
                              </w:r>
                            </w:p>
                            <w:p w14:paraId="601C8A95" w14:textId="77777777" w:rsidR="00331EFB" w:rsidRPr="00331EFB" w:rsidRDefault="00331EFB" w:rsidP="00331EFB">
                              <w:pPr>
                                <w:numPr>
                                  <w:ilvl w:val="0"/>
                                  <w:numId w:val="12"/>
                                </w:num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Shows classification systems are socially shaped, not purely scientific</w:t>
                              </w:r>
                            </w:p>
                            <w:p w14:paraId="34392389" w14:textId="4E9F1FF3" w:rsidR="00BB40B0" w:rsidRDefault="003B2A9E" w:rsidP="00BB40B0">
                              <w:pPr>
                                <w:pStyle w:val="Heading2"/>
                              </w:pPr>
                              <w:r>
                                <w:t>B. ICD-11 vs DSM-5 (</w:t>
                              </w:r>
                              <w:r w:rsidR="00331EFB">
                                <w:t xml:space="preserve"> Comparison Table)</w:t>
                              </w:r>
                              <w:r w:rsidR="008B1018">
                                <w:t xml:space="preserve"> </w:t>
                              </w:r>
                            </w:p>
                            <w:p w14:paraId="3A71C5EA" w14:textId="1EC4433B" w:rsidR="00331EFB" w:rsidRDefault="00331EFB" w:rsidP="00BB40B0">
                              <w:pPr>
                                <w:pStyle w:val="Heading2"/>
                                <w:rPr>
                                  <w:rStyle w:val="whitespace-normal"/>
                                </w:rPr>
                              </w:pPr>
                              <w:r>
                                <w:rPr>
                                  <w:rStyle w:val="whitespace-normal"/>
                                </w:rPr>
                                <w:t>Diagnostic and Statistical Manual of Mental Disorder</w:t>
                              </w:r>
                            </w:p>
                            <w:p w14:paraId="3289913A" w14:textId="77777777" w:rsidR="00DB2BA3" w:rsidRPr="00DB2BA3" w:rsidRDefault="00DB2BA3" w:rsidP="00DB2BA3"/>
                            <w:tbl>
                              <w:tblPr>
                                <w:tblW w:w="0" w:type="auto"/>
                                <w:tblCellSpacing w:w="15" w:type="dxa"/>
                                <w:tblInd w:w="1217" w:type="dxa"/>
                                <w:tblBorders>
                                  <w:top w:val="single" w:sz="4" w:space="0" w:color="auto"/>
                                  <w:left w:val="single" w:sz="4" w:space="0" w:color="auto"/>
                                  <w:bottom w:val="single" w:sz="4" w:space="0" w:color="auto"/>
                                  <w:right w:val="single" w:sz="4" w:space="0" w:color="auto"/>
                                </w:tblBorders>
                                <w:tblCellMar>
                                  <w:top w:w="15" w:type="dxa"/>
                                  <w:left w:w="15" w:type="dxa"/>
                                  <w:bottom w:w="15" w:type="dxa"/>
                                  <w:right w:w="15" w:type="dxa"/>
                                </w:tblCellMar>
                                <w:tblLook w:val="04A0" w:firstRow="1" w:lastRow="0" w:firstColumn="1" w:lastColumn="0" w:noHBand="0" w:noVBand="1"/>
                              </w:tblPr>
                              <w:tblGrid>
                                <w:gridCol w:w="1660"/>
                                <w:gridCol w:w="2443"/>
                              </w:tblGrid>
                              <w:tr w:rsidR="00331EFB" w:rsidRPr="00331EFB" w14:paraId="25A19E5D" w14:textId="77777777" w:rsidTr="003B2A9E">
                                <w:trPr>
                                  <w:tblHeader/>
                                  <w:tblCellSpacing w:w="15" w:type="dxa"/>
                                </w:trPr>
                                <w:tc>
                                  <w:tcPr>
                                    <w:tcW w:w="0" w:type="auto"/>
                                    <w:shd w:val="clear" w:color="auto" w:fill="auto"/>
                                    <w:vAlign w:val="center"/>
                                    <w:hideMark/>
                                  </w:tcPr>
                                  <w:p w14:paraId="3613B57B" w14:textId="77777777" w:rsidR="00331EFB" w:rsidRPr="00331EFB" w:rsidRDefault="00331EFB" w:rsidP="00331EFB">
                                    <w:pPr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331EFB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ICD-11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shd w:val="clear" w:color="auto" w:fill="auto"/>
                                    <w:vAlign w:val="center"/>
                                    <w:hideMark/>
                                  </w:tcPr>
                                  <w:p w14:paraId="2D25FE82" w14:textId="77777777" w:rsidR="00331EFB" w:rsidRPr="00331EFB" w:rsidRDefault="00331EFB" w:rsidP="00331EFB">
                                    <w:pPr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331EFB">
                                      <w:rPr>
                                        <w:b/>
                                        <w:bCs/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DSM-5</w:t>
                                    </w:r>
                                  </w:p>
                                </w:tc>
                              </w:tr>
                              <w:tr w:rsidR="00331EFB" w:rsidRPr="00331EFB" w14:paraId="7F9B53DA" w14:textId="77777777" w:rsidTr="003B2A9E">
                                <w:trPr>
                                  <w:tblCellSpacing w:w="15" w:type="dxa"/>
                                </w:trPr>
                                <w:tc>
                                  <w:tcPr>
                                    <w:tcW w:w="0" w:type="auto"/>
                                    <w:shd w:val="clear" w:color="auto" w:fill="auto"/>
                                    <w:vAlign w:val="center"/>
                                    <w:hideMark/>
                                  </w:tcPr>
                                  <w:p w14:paraId="44452728" w14:textId="77777777" w:rsidR="00331EFB" w:rsidRPr="00331EFB" w:rsidRDefault="00331EFB" w:rsidP="00331EFB">
                                    <w:pP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331EF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3 core clusters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shd w:val="clear" w:color="auto" w:fill="auto"/>
                                    <w:vAlign w:val="center"/>
                                    <w:hideMark/>
                                  </w:tcPr>
                                  <w:p w14:paraId="2BFC0D6A" w14:textId="77777777" w:rsidR="00331EFB" w:rsidRPr="00331EFB" w:rsidRDefault="00331EFB" w:rsidP="00331EFB">
                                    <w:pP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331EF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4 clusters</w:t>
                                    </w:r>
                                  </w:p>
                                </w:tc>
                              </w:tr>
                              <w:tr w:rsidR="00331EFB" w:rsidRPr="00331EFB" w14:paraId="6A01E392" w14:textId="77777777" w:rsidTr="003B2A9E">
                                <w:trPr>
                                  <w:tblCellSpacing w:w="15" w:type="dxa"/>
                                </w:trPr>
                                <w:tc>
                                  <w:tcPr>
                                    <w:tcW w:w="0" w:type="auto"/>
                                    <w:shd w:val="clear" w:color="auto" w:fill="auto"/>
                                    <w:vAlign w:val="center"/>
                                    <w:hideMark/>
                                  </w:tcPr>
                                  <w:p w14:paraId="04ECC2D1" w14:textId="77777777" w:rsidR="00331EFB" w:rsidRPr="00331EFB" w:rsidRDefault="00331EFB" w:rsidP="00331EFB">
                                    <w:pP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331EF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Narrower criteria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shd w:val="clear" w:color="auto" w:fill="auto"/>
                                    <w:vAlign w:val="center"/>
                                    <w:hideMark/>
                                  </w:tcPr>
                                  <w:p w14:paraId="09FA7FB4" w14:textId="77777777" w:rsidR="00331EFB" w:rsidRPr="00331EFB" w:rsidRDefault="00331EFB" w:rsidP="00331EFB">
                                    <w:pP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331EF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Broader criteria</w:t>
                                    </w:r>
                                  </w:p>
                                </w:tc>
                              </w:tr>
                              <w:tr w:rsidR="00331EFB" w:rsidRPr="00331EFB" w14:paraId="71FC2043" w14:textId="77777777" w:rsidTr="003B2A9E">
                                <w:trPr>
                                  <w:tblCellSpacing w:w="15" w:type="dxa"/>
                                </w:trPr>
                                <w:tc>
                                  <w:tcPr>
                                    <w:tcW w:w="0" w:type="auto"/>
                                    <w:shd w:val="clear" w:color="auto" w:fill="auto"/>
                                    <w:vAlign w:val="center"/>
                                    <w:hideMark/>
                                  </w:tcPr>
                                  <w:p w14:paraId="6584474E" w14:textId="77777777" w:rsidR="00331EFB" w:rsidRPr="00331EFB" w:rsidRDefault="00331EFB" w:rsidP="00331EFB">
                                    <w:pP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331EF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Includes CPTSD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shd w:val="clear" w:color="auto" w:fill="auto"/>
                                    <w:vAlign w:val="center"/>
                                    <w:hideMark/>
                                  </w:tcPr>
                                  <w:p w14:paraId="1EB0716D" w14:textId="77777777" w:rsidR="00331EFB" w:rsidRPr="00331EFB" w:rsidRDefault="00331EFB" w:rsidP="00331EFB">
                                    <w:pP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331EF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No separate CPTSD diagnosis</w:t>
                                    </w:r>
                                  </w:p>
                                </w:tc>
                              </w:tr>
                              <w:tr w:rsidR="00331EFB" w:rsidRPr="00331EFB" w14:paraId="5791DD5D" w14:textId="77777777" w:rsidTr="003B2A9E">
                                <w:trPr>
                                  <w:tblCellSpacing w:w="15" w:type="dxa"/>
                                </w:trPr>
                                <w:tc>
                                  <w:tcPr>
                                    <w:tcW w:w="0" w:type="auto"/>
                                    <w:shd w:val="clear" w:color="auto" w:fill="auto"/>
                                    <w:vAlign w:val="center"/>
                                    <w:hideMark/>
                                  </w:tcPr>
                                  <w:p w14:paraId="706E96FC" w14:textId="77777777" w:rsidR="00331EFB" w:rsidRPr="00331EFB" w:rsidRDefault="00331EFB" w:rsidP="00331EFB">
                                    <w:pP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331EF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Focus on specificity</w:t>
                                    </w:r>
                                  </w:p>
                                </w:tc>
                                <w:tc>
                                  <w:tcPr>
                                    <w:tcW w:w="0" w:type="auto"/>
                                    <w:shd w:val="clear" w:color="auto" w:fill="auto"/>
                                    <w:vAlign w:val="center"/>
                                    <w:hideMark/>
                                  </w:tcPr>
                                  <w:p w14:paraId="5DA32A12" w14:textId="77777777" w:rsidR="00331EFB" w:rsidRPr="00331EFB" w:rsidRDefault="00331EFB" w:rsidP="00331EFB">
                                    <w:pP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</w:pPr>
                                    <w:r w:rsidRPr="00331EF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  <w:lang w:val="en-GB"/>
                                      </w:rPr>
                                      <w:t>Greater comorbidity</w:t>
                                    </w:r>
                                  </w:p>
                                </w:tc>
                              </w:tr>
                            </w:tbl>
                            <w:p w14:paraId="75F646E1" w14:textId="77777777" w:rsidR="00331EFB" w:rsidRDefault="00331EFB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</w:p>
                            <w:p w14:paraId="476C8832" w14:textId="07ABDE90" w:rsidR="00331EFB" w:rsidRPr="00331EFB" w:rsidRDefault="000C465E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Danzi et al., 2024: ICD stronger model for disaster exposed youth</w:t>
                              </w:r>
                            </w:p>
                            <w:p w14:paraId="455984B4" w14:textId="24AA3009" w:rsidR="00331EFB" w:rsidRDefault="00331EFB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182880" tIns="914400" rIns="182880" bIns="18288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2" name="Rectangle 3"/>
                        <wps:cNvSpPr/>
                        <wps:spPr>
                          <a:xfrm>
                            <a:off x="0" y="0"/>
                            <a:ext cx="190500" cy="8229600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53" name="Pentagon 4"/>
                        <wps:cNvSpPr/>
                        <wps:spPr>
                          <a:xfrm>
                            <a:off x="0" y="323850"/>
                            <a:ext cx="2466504" cy="384809"/>
                          </a:xfrm>
                          <a:prstGeom prst="homePlate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68DC043" w14:textId="12426D9D" w:rsidR="00331EFB" w:rsidRPr="005A27C4" w:rsidRDefault="00331EFB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FFFFFF" w:themeColor="background1"/>
                                  <w:sz w:val="26"/>
                                  <w:szCs w:val="26"/>
                                </w:rPr>
                              </w:pPr>
                              <w:r w:rsidRPr="005A27C4"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olor w:val="FFFFFF" w:themeColor="background1"/>
                                  <w:sz w:val="26"/>
                                  <w:szCs w:val="26"/>
                                </w:rPr>
                                <w:t>Introduction</w:t>
                              </w:r>
                            </w:p>
                          </w:txbxContent>
                        </wps:txbx>
                        <wps:bodyPr rot="0" spcFirstLastPara="0" vert="horz" wrap="square" lIns="365760" tIns="0" rIns="182880" bIns="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33000</wp14:pctWidth>
                </wp14:sizeRelH>
                <wp14:sizeRelV relativeFrom="page">
                  <wp14:pctHeight>95000</wp14:pctHeight>
                </wp14:sizeRelV>
              </wp:anchor>
            </w:drawing>
          </mc:Choice>
          <mc:Fallback>
            <w:pict>
              <v:group w14:anchorId="18749E2F" id="Group 36" o:spid="_x0000_s1034" style="position:absolute;margin-left:0;margin-top:0;width:198.3pt;height:712.8pt;z-index:251653632;mso-width-percent:330;mso-height-percent:950;mso-left-percent:40;mso-wrap-distance-left:18pt;mso-wrap-distance-right:18pt;mso-position-horizontal-relative:page;mso-position-vertical:center;mso-position-vertical-relative:page;mso-width-percent:330;mso-height-percent:950;mso-left-percent:40" coordsize="25717,822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">
                <v:shape id="Text Box 51" o:spid="_x0000_s1035" type="#_x0000_t202" style="position:absolute;left:1905;width:23812;height:8229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" fillcolor="#e5e1d5 [2899]" stroked="f" strokeweight=".5pt">
                  <v:fill color2="#dfd9ca [3139]" rotate="t" focusposition=".5,.5" focussize="-.5,-.5" focus="100%" type="gradientRadial"/>
                  <v:textbox inset="14.4pt,1in,14.4pt,14.4pt">
                    <w:txbxContent>
                      <w:p w14:paraId="06B03405" w14:textId="01F17816" w:rsidR="00331EFB" w:rsidRPr="005A27C4" w:rsidRDefault="00331EFB" w:rsidP="00331EFB">
                        <w:pPr>
                          <w:rPr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</w:pPr>
                        <w:r w:rsidRPr="005A27C4">
                          <w:rPr>
                            <w:color w:val="595959" w:themeColor="text1" w:themeTint="A6"/>
                            <w:sz w:val="24"/>
                            <w:szCs w:val="24"/>
                          </w:rPr>
                          <w:t>Classified in ICD-11 (World Health Organization, 2019)</w:t>
                        </w:r>
                        <w:r w:rsidR="00912D31" w:rsidRPr="00912D31">
                          <w:rPr>
                            <w:noProof/>
                          </w:rPr>
                          <w:t xml:space="preserve"> </w:t>
                        </w:r>
                      </w:p>
                      <w:p w14:paraId="10035595" w14:textId="7EFB2C9F" w:rsidR="00331EFB" w:rsidRPr="005A27C4" w:rsidRDefault="005A27C4" w:rsidP="005A27C4">
                        <w:pPr>
                          <w:rPr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</w:pPr>
                        <w:r w:rsidRPr="005A27C4">
                          <w:rPr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  <w:sym w:font="Wingdings" w:char="F0E0"/>
                        </w:r>
                        <w:r w:rsidR="00331EFB" w:rsidRPr="005A27C4">
                          <w:rPr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  <w:t>Arises after exposure to traumatic events</w:t>
                        </w:r>
                      </w:p>
                      <w:p w14:paraId="6AF6DF76" w14:textId="602BE6FC" w:rsidR="00331EFB" w:rsidRPr="00C066D1" w:rsidRDefault="00331EFB" w:rsidP="00331EFB">
                        <w:pPr>
                          <w:rPr>
                            <w:b/>
                            <w:bCs/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</w:pPr>
                        <w:r w:rsidRPr="00C066D1">
                          <w:rPr>
                            <w:b/>
                            <w:bCs/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  <w:t>Core ICD-11 clusters:</w:t>
                        </w:r>
                      </w:p>
                      <w:p w14:paraId="1BE7A3C3" w14:textId="77777777" w:rsidR="00331EFB" w:rsidRPr="00331EFB" w:rsidRDefault="00331EFB" w:rsidP="00331EFB">
                        <w:pPr>
                          <w:numPr>
                            <w:ilvl w:val="0"/>
                            <w:numId w:val="10"/>
                          </w:numPr>
                          <w:rPr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</w:pPr>
                        <w:r w:rsidRPr="00331EFB">
                          <w:rPr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  <w:t>Re-experiencing</w:t>
                        </w:r>
                      </w:p>
                      <w:p w14:paraId="208226EA" w14:textId="1C183024" w:rsidR="00331EFB" w:rsidRPr="00331EFB" w:rsidRDefault="00331EFB" w:rsidP="00331EFB">
                        <w:pPr>
                          <w:numPr>
                            <w:ilvl w:val="0"/>
                            <w:numId w:val="10"/>
                          </w:numPr>
                          <w:rPr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</w:pPr>
                        <w:r w:rsidRPr="00331EFB">
                          <w:rPr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  <w:t>Avoidance</w:t>
                        </w:r>
                        <w:r w:rsidR="00912D31" w:rsidRPr="00912D31">
                          <w:rPr>
                            <w:noProof/>
                          </w:rPr>
                          <w:t xml:space="preserve"> </w:t>
                        </w:r>
                      </w:p>
                      <w:p w14:paraId="3C1BA5E4" w14:textId="77777777" w:rsidR="00331EFB" w:rsidRPr="005A27C4" w:rsidRDefault="00331EFB" w:rsidP="00331EFB">
                        <w:pPr>
                          <w:numPr>
                            <w:ilvl w:val="0"/>
                            <w:numId w:val="10"/>
                          </w:numPr>
                          <w:rPr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</w:pPr>
                        <w:r w:rsidRPr="00331EFB">
                          <w:rPr>
                            <w:color w:val="595959" w:themeColor="text1" w:themeTint="A6"/>
                            <w:sz w:val="24"/>
                            <w:szCs w:val="24"/>
                            <w:lang w:val="en-GB"/>
                          </w:rPr>
                          <w:t>Persistent threat</w:t>
                        </w:r>
                      </w:p>
                      <w:p w14:paraId="11835EBD" w14:textId="3ED664F5" w:rsidR="00331EFB" w:rsidRPr="008B1018" w:rsidRDefault="00331EFB" w:rsidP="008B1018">
                        <w:pPr>
                          <w:pStyle w:val="Heading1"/>
                          <w:rPr>
                            <w:sz w:val="24"/>
                            <w:szCs w:val="24"/>
                            <w:lang w:val="en-GB"/>
                          </w:rPr>
                        </w:pPr>
                        <w:r w:rsidRPr="008B1018">
                          <w:rPr>
                            <w:sz w:val="24"/>
                            <w:szCs w:val="24"/>
                            <w:lang w:val="en-GB"/>
                          </w:rPr>
                          <w:t>A. Development of PTSD as a Diagnosis</w:t>
                        </w:r>
                        <w:r w:rsidR="008B1018" w:rsidRPr="008B1018">
                          <w:rPr>
                            <w:sz w:val="24"/>
                            <w:szCs w:val="24"/>
                            <w:lang w:val="en-GB"/>
                          </w:rPr>
                          <w:t xml:space="preserve"> </w:t>
                        </w:r>
                      </w:p>
                      <w:p w14:paraId="5786DC6D" w14:textId="77777777" w:rsidR="00BA619B" w:rsidRPr="00BA619B" w:rsidRDefault="00BA619B" w:rsidP="00BA619B">
                        <w:pPr>
                          <w:numPr>
                            <w:ilvl w:val="0"/>
                            <w:numId w:val="15"/>
                          </w:numPr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</w:pPr>
                        <w:r w:rsidRPr="00BA619B"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>Managed in institutional/military settings (“shell shock”) (Young, 1995).</w:t>
                        </w:r>
                      </w:p>
                      <w:p w14:paraId="6BC317B0" w14:textId="43CA4A97" w:rsidR="00BA619B" w:rsidRPr="00BA619B" w:rsidRDefault="00BA619B" w:rsidP="00BA619B">
                        <w:pPr>
                          <w:numPr>
                            <w:ilvl w:val="0"/>
                            <w:numId w:val="15"/>
                          </w:numPr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</w:pPr>
                        <w:r w:rsidRPr="00BA619B"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 xml:space="preserve">Rest, </w:t>
                        </w:r>
                        <w:r w:rsidR="00BB40B0"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 xml:space="preserve">sedation, </w:t>
                        </w:r>
                        <w:r w:rsidR="00DB2BA3"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>discipline:</w:t>
                        </w:r>
                        <w:r w:rsidRPr="00BA619B"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 xml:space="preserve"> not structured psychotherapy (Young, 1995).</w:t>
                        </w:r>
                      </w:p>
                      <w:p w14:paraId="37807EA2" w14:textId="6C99B8AC" w:rsidR="00BA619B" w:rsidRPr="00331EFB" w:rsidRDefault="00BA619B" w:rsidP="00331EFB">
                        <w:pPr>
                          <w:numPr>
                            <w:ilvl w:val="0"/>
                            <w:numId w:val="15"/>
                          </w:numPr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</w:pPr>
                        <w:r w:rsidRPr="00BA619B"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>Trauma framed as moral weakness rather than psychiatric injury (Young, 1995).</w:t>
                        </w:r>
                      </w:p>
                      <w:p w14:paraId="1D0878C2" w14:textId="77777777" w:rsidR="00331EFB" w:rsidRPr="00331EFB" w:rsidRDefault="00331EFB" w:rsidP="00331EFB">
                        <w:pPr>
                          <w:numPr>
                            <w:ilvl w:val="0"/>
                            <w:numId w:val="11"/>
                          </w:numPr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</w:pPr>
                        <w:r w:rsidRPr="00331EFB"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 xml:space="preserve">Formal inclusion in </w:t>
                        </w:r>
                        <w:r w:rsidRPr="00331EFB">
                          <w:rPr>
                            <w:b/>
                            <w:bCs/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>Diagnostic and Statistical Manual of Mental Disorders (DSM-III, 1980)</w:t>
                        </w:r>
                      </w:p>
                      <w:p w14:paraId="14846696" w14:textId="4DDFF1BB" w:rsidR="00BA619B" w:rsidRPr="00331EFB" w:rsidRDefault="00331EFB" w:rsidP="00BA619B">
                        <w:pPr>
                          <w:numPr>
                            <w:ilvl w:val="0"/>
                            <w:numId w:val="11"/>
                          </w:numPr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</w:pPr>
                        <w:r w:rsidRPr="00331EFB"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>Now classified in ICD-11</w:t>
                        </w:r>
                      </w:p>
                      <w:p w14:paraId="45CAF269" w14:textId="77777777" w:rsidR="00331EFB" w:rsidRPr="00331EFB" w:rsidRDefault="00331EFB" w:rsidP="00331EFB">
                        <w:pPr>
                          <w:rPr>
                            <w:b/>
                            <w:bCs/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</w:pPr>
                        <w:r w:rsidRPr="00331EFB">
                          <w:rPr>
                            <w:b/>
                            <w:bCs/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>Critical Point:</w:t>
                        </w:r>
                      </w:p>
                      <w:p w14:paraId="15C27559" w14:textId="77777777" w:rsidR="00331EFB" w:rsidRPr="00331EFB" w:rsidRDefault="00331EFB" w:rsidP="00331EFB">
                        <w:pPr>
                          <w:numPr>
                            <w:ilvl w:val="0"/>
                            <w:numId w:val="12"/>
                          </w:numPr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</w:pPr>
                        <w:r w:rsidRPr="00331EFB"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>Diagnosis influenced by political pressure (e.g., Vietnam veterans)</w:t>
                        </w:r>
                      </w:p>
                      <w:p w14:paraId="601C8A95" w14:textId="77777777" w:rsidR="00331EFB" w:rsidRPr="00331EFB" w:rsidRDefault="00331EFB" w:rsidP="00331EFB">
                        <w:pPr>
                          <w:numPr>
                            <w:ilvl w:val="0"/>
                            <w:numId w:val="12"/>
                          </w:numPr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</w:pPr>
                        <w:r w:rsidRPr="00331EFB"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>Shows classification systems are socially shaped, not purely scientific</w:t>
                        </w:r>
                      </w:p>
                      <w:p w14:paraId="34392389" w14:textId="4E9F1FF3" w:rsidR="00BB40B0" w:rsidRDefault="003B2A9E" w:rsidP="00BB40B0">
                        <w:pPr>
                          <w:pStyle w:val="Heading2"/>
                        </w:pPr>
                        <w:r>
                          <w:t>B. ICD-11 vs DSM-5 (</w:t>
                        </w:r>
                        <w:r w:rsidR="00331EFB">
                          <w:t xml:space="preserve"> Comparison Table)</w:t>
                        </w:r>
                        <w:r w:rsidR="008B1018">
                          <w:t xml:space="preserve"> </w:t>
                        </w:r>
                      </w:p>
                      <w:p w14:paraId="3A71C5EA" w14:textId="1EC4433B" w:rsidR="00331EFB" w:rsidRDefault="00331EFB" w:rsidP="00BB40B0">
                        <w:pPr>
                          <w:pStyle w:val="Heading2"/>
                          <w:rPr>
                            <w:rStyle w:val="whitespace-normal"/>
                          </w:rPr>
                        </w:pPr>
                        <w:r>
                          <w:rPr>
                            <w:rStyle w:val="whitespace-normal"/>
                          </w:rPr>
                          <w:t>Diagnostic and Statistical Manual of Mental Disorder</w:t>
                        </w:r>
                      </w:p>
                      <w:p w14:paraId="3289913A" w14:textId="77777777" w:rsidR="00DB2BA3" w:rsidRPr="00DB2BA3" w:rsidRDefault="00DB2BA3" w:rsidP="00DB2BA3"/>
                      <w:tbl>
                        <w:tblPr>
                          <w:tblW w:w="0" w:type="auto"/>
                          <w:tblCellSpacing w:w="15" w:type="dxa"/>
                          <w:tblInd w:w="1217" w:type="dxa"/>
                          <w:tblBorders>
                            <w:top w:val="single" w:sz="4" w:space="0" w:color="auto"/>
                            <w:left w:val="single" w:sz="4" w:space="0" w:color="auto"/>
                            <w:bottom w:val="single" w:sz="4" w:space="0" w:color="auto"/>
                            <w:right w:val="single" w:sz="4" w:space="0" w:color="auto"/>
                          </w:tblBorders>
                          <w:tblCellMar>
                            <w:top w:w="15" w:type="dxa"/>
                            <w:left w:w="15" w:type="dxa"/>
                            <w:bottom w:w="15" w:type="dxa"/>
                            <w:right w:w="15" w:type="dxa"/>
                          </w:tblCellMar>
                          <w:tblLook w:val="04A0" w:firstRow="1" w:lastRow="0" w:firstColumn="1" w:lastColumn="0" w:noHBand="0" w:noVBand="1"/>
                        </w:tblPr>
                        <w:tblGrid>
                          <w:gridCol w:w="1660"/>
                          <w:gridCol w:w="2443"/>
                        </w:tblGrid>
                        <w:tr w:rsidR="00331EFB" w:rsidRPr="00331EFB" w14:paraId="25A19E5D" w14:textId="77777777" w:rsidTr="003B2A9E">
                          <w:trPr>
                            <w:tblHeader/>
                            <w:tblCellSpacing w:w="15" w:type="dxa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vAlign w:val="center"/>
                              <w:hideMark/>
                            </w:tcPr>
                            <w:p w14:paraId="3613B57B" w14:textId="77777777" w:rsidR="00331EFB" w:rsidRPr="00331EFB" w:rsidRDefault="00331EFB" w:rsidP="00331EFB">
                              <w:pPr>
                                <w:rPr>
                                  <w:b/>
                                  <w:bC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b/>
                                  <w:bC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ICD-11</w:t>
                              </w:r>
                            </w:p>
                          </w:tc>
                          <w:tc>
                            <w:tcPr>
                              <w:tcW w:w="0" w:type="auto"/>
                              <w:shd w:val="clear" w:color="auto" w:fill="auto"/>
                              <w:vAlign w:val="center"/>
                              <w:hideMark/>
                            </w:tcPr>
                            <w:p w14:paraId="2D25FE82" w14:textId="77777777" w:rsidR="00331EFB" w:rsidRPr="00331EFB" w:rsidRDefault="00331EFB" w:rsidP="00331EFB">
                              <w:pPr>
                                <w:rPr>
                                  <w:b/>
                                  <w:bC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b/>
                                  <w:bCs/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DSM-5</w:t>
                              </w:r>
                            </w:p>
                          </w:tc>
                        </w:tr>
                        <w:tr w:rsidR="00331EFB" w:rsidRPr="00331EFB" w14:paraId="7F9B53DA" w14:textId="77777777" w:rsidTr="003B2A9E">
                          <w:trPr>
                            <w:tblCellSpacing w:w="15" w:type="dxa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vAlign w:val="center"/>
                              <w:hideMark/>
                            </w:tcPr>
                            <w:p w14:paraId="44452728" w14:textId="77777777" w:rsidR="00331EFB" w:rsidRPr="00331EFB" w:rsidRDefault="00331EFB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3 core clusters</w:t>
                              </w:r>
                            </w:p>
                          </w:tc>
                          <w:tc>
                            <w:tcPr>
                              <w:tcW w:w="0" w:type="auto"/>
                              <w:shd w:val="clear" w:color="auto" w:fill="auto"/>
                              <w:vAlign w:val="center"/>
                              <w:hideMark/>
                            </w:tcPr>
                            <w:p w14:paraId="2BFC0D6A" w14:textId="77777777" w:rsidR="00331EFB" w:rsidRPr="00331EFB" w:rsidRDefault="00331EFB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4 clusters</w:t>
                              </w:r>
                            </w:p>
                          </w:tc>
                        </w:tr>
                        <w:tr w:rsidR="00331EFB" w:rsidRPr="00331EFB" w14:paraId="6A01E392" w14:textId="77777777" w:rsidTr="003B2A9E">
                          <w:trPr>
                            <w:tblCellSpacing w:w="15" w:type="dxa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vAlign w:val="center"/>
                              <w:hideMark/>
                            </w:tcPr>
                            <w:p w14:paraId="04ECC2D1" w14:textId="77777777" w:rsidR="00331EFB" w:rsidRPr="00331EFB" w:rsidRDefault="00331EFB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Narrower criteria</w:t>
                              </w:r>
                            </w:p>
                          </w:tc>
                          <w:tc>
                            <w:tcPr>
                              <w:tcW w:w="0" w:type="auto"/>
                              <w:shd w:val="clear" w:color="auto" w:fill="auto"/>
                              <w:vAlign w:val="center"/>
                              <w:hideMark/>
                            </w:tcPr>
                            <w:p w14:paraId="09FA7FB4" w14:textId="77777777" w:rsidR="00331EFB" w:rsidRPr="00331EFB" w:rsidRDefault="00331EFB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Broader criteria</w:t>
                              </w:r>
                            </w:p>
                          </w:tc>
                        </w:tr>
                        <w:tr w:rsidR="00331EFB" w:rsidRPr="00331EFB" w14:paraId="71FC2043" w14:textId="77777777" w:rsidTr="003B2A9E">
                          <w:trPr>
                            <w:tblCellSpacing w:w="15" w:type="dxa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vAlign w:val="center"/>
                              <w:hideMark/>
                            </w:tcPr>
                            <w:p w14:paraId="6584474E" w14:textId="77777777" w:rsidR="00331EFB" w:rsidRPr="00331EFB" w:rsidRDefault="00331EFB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Includes CPTSD</w:t>
                              </w:r>
                            </w:p>
                          </w:tc>
                          <w:tc>
                            <w:tcPr>
                              <w:tcW w:w="0" w:type="auto"/>
                              <w:shd w:val="clear" w:color="auto" w:fill="auto"/>
                              <w:vAlign w:val="center"/>
                              <w:hideMark/>
                            </w:tcPr>
                            <w:p w14:paraId="1EB0716D" w14:textId="77777777" w:rsidR="00331EFB" w:rsidRPr="00331EFB" w:rsidRDefault="00331EFB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No separate CPTSD diagnosis</w:t>
                              </w:r>
                            </w:p>
                          </w:tc>
                        </w:tr>
                        <w:tr w:rsidR="00331EFB" w:rsidRPr="00331EFB" w14:paraId="5791DD5D" w14:textId="77777777" w:rsidTr="003B2A9E">
                          <w:trPr>
                            <w:tblCellSpacing w:w="15" w:type="dxa"/>
                          </w:trPr>
                          <w:tc>
                            <w:tcPr>
                              <w:tcW w:w="0" w:type="auto"/>
                              <w:shd w:val="clear" w:color="auto" w:fill="auto"/>
                              <w:vAlign w:val="center"/>
                              <w:hideMark/>
                            </w:tcPr>
                            <w:p w14:paraId="706E96FC" w14:textId="77777777" w:rsidR="00331EFB" w:rsidRPr="00331EFB" w:rsidRDefault="00331EFB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Focus on specificity</w:t>
                              </w:r>
                            </w:p>
                          </w:tc>
                          <w:tc>
                            <w:tcPr>
                              <w:tcW w:w="0" w:type="auto"/>
                              <w:shd w:val="clear" w:color="auto" w:fill="auto"/>
                              <w:vAlign w:val="center"/>
                              <w:hideMark/>
                            </w:tcPr>
                            <w:p w14:paraId="5DA32A12" w14:textId="77777777" w:rsidR="00331EFB" w:rsidRPr="00331EFB" w:rsidRDefault="00331EFB" w:rsidP="00331EFB">
                              <w:pP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</w:pPr>
                              <w:r w:rsidRPr="00331EF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  <w:lang w:val="en-GB"/>
                                </w:rPr>
                                <w:t>Greater comorbidity</w:t>
                              </w:r>
                            </w:p>
                          </w:tc>
                        </w:tr>
                      </w:tbl>
                      <w:p w14:paraId="75F646E1" w14:textId="77777777" w:rsidR="00331EFB" w:rsidRDefault="00331EFB" w:rsidP="00331EFB">
                        <w:pPr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</w:pPr>
                      </w:p>
                      <w:p w14:paraId="476C8832" w14:textId="07ABDE90" w:rsidR="00331EFB" w:rsidRPr="00331EFB" w:rsidRDefault="000C465E" w:rsidP="00331EFB">
                        <w:pPr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</w:pPr>
                        <w:r>
                          <w:rPr>
                            <w:color w:val="595959" w:themeColor="text1" w:themeTint="A6"/>
                            <w:sz w:val="20"/>
                            <w:szCs w:val="20"/>
                            <w:lang w:val="en-GB"/>
                          </w:rPr>
                          <w:t>Danzi et al., 2024: ICD stronger model for disaster exposed youth</w:t>
                        </w:r>
                      </w:p>
                      <w:p w14:paraId="455984B4" w14:textId="24AA3009" w:rsidR="00331EFB" w:rsidRDefault="00331EFB" w:rsidP="00331EFB">
                        <w:pPr>
                          <w:rPr>
                            <w:color w:val="595959" w:themeColor="text1" w:themeTint="A6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v:rect id="Rectangle 3" o:spid="_x0000_s1036" style="position:absolute;width:1905;height:8229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" fillcolor="#455f51 [3215]" stroked="f" strokeweight="1.52778mm">
                  <v:stroke linestyle="thickThin"/>
                </v:rect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37" type="#_x0000_t15" style="position:absolute;top:3238;width:24665;height:384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" adj="19915" fillcolor="#549e39 [3204]" stroked="f" strokeweight="1.52778mm">
                  <v:stroke linestyle="thickThin"/>
                  <v:textbox inset="28.8pt,0,14.4pt,0">
                    <w:txbxContent>
                      <w:p w14:paraId="668DC043" w14:textId="12426D9D" w:rsidR="00331EFB" w:rsidRPr="005A27C4" w:rsidRDefault="00331EFB">
                        <w:pPr>
                          <w:pStyle w:val="NoSpacing"/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olor w:val="FFFFFF" w:themeColor="background1"/>
                            <w:sz w:val="26"/>
                            <w:szCs w:val="26"/>
                          </w:rPr>
                        </w:pPr>
                        <w:r w:rsidRPr="005A27C4">
                          <w:rPr>
                            <w:rFonts w:asciiTheme="majorHAnsi" w:eastAsiaTheme="majorEastAsia" w:hAnsiTheme="majorHAnsi" w:cstheme="majorBidi"/>
                            <w:b/>
                            <w:bCs/>
                            <w:color w:val="FFFFFF" w:themeColor="background1"/>
                            <w:sz w:val="26"/>
                            <w:szCs w:val="26"/>
                          </w:rPr>
                          <w:t>Introduction</w:t>
                        </w: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</w:p>
    <w:p w14:paraId="6AE2A38E" w14:textId="77777777" w:rsidR="009776F0" w:rsidRDefault="009776F0"/>
    <w:p w14:paraId="3EF0B706" w14:textId="49A5582A" w:rsidR="009776F0" w:rsidRDefault="009776F0" w:rsidP="00331EFB">
      <w:pPr>
        <w:pStyle w:val="Heading2"/>
      </w:pPr>
    </w:p>
    <w:p w14:paraId="33AA3972" w14:textId="77777777" w:rsidR="009776F0" w:rsidRDefault="009776F0"/>
    <w:p w14:paraId="6FC60418" w14:textId="550D5D95" w:rsidR="00BB40B0" w:rsidRDefault="00BB40B0">
      <w:r>
        <w:br w:type="page"/>
      </w:r>
    </w:p>
    <w:p w14:paraId="265266A5" w14:textId="66436D70" w:rsidR="009776F0" w:rsidRDefault="00C066D1">
      <w:r>
        <w:lastRenderedPageBreak/>
        <w:t>REFERENCE</w:t>
      </w:r>
      <w:r w:rsidR="00A12492">
        <w:t>:</w:t>
      </w:r>
    </w:p>
    <w:p w14:paraId="69B95305" w14:textId="77777777" w:rsidR="007E3140" w:rsidRPr="00C066D1" w:rsidRDefault="007E3140" w:rsidP="00C066D1">
      <w:pPr>
        <w:pStyle w:val="NormalWeb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Brewin, C.R., Cloitre, M., Chow, A.Y. and Maercker, A., 2024. Disorders specifically associated with stress.</w:t>
      </w:r>
    </w:p>
    <w:p w14:paraId="6E847547" w14:textId="77777777" w:rsidR="007E3140" w:rsidRPr="00C066D1" w:rsidRDefault="007E3140" w:rsidP="00C066D1">
      <w:pPr>
        <w:pStyle w:val="NormalWeb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Hyland, P., Brewin, C.R., Cloitre, M., Karatzias, T. and Shevlin, M., 2024. Responding to concerns related to the measurement of ICD-11 complex posttraumatic stress disorder using the International Trauma Questionnaire. </w:t>
      </w:r>
      <w:r w:rsidRPr="00C066D1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Child Abuse &amp; Neglect</w:t>
      </w: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C066D1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147</w:t>
      </w: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, p.106563.</w:t>
      </w:r>
    </w:p>
    <w:p w14:paraId="3AABE41E" w14:textId="348507AE" w:rsidR="007E3140" w:rsidRPr="00C066D1" w:rsidRDefault="007E3140" w:rsidP="00C066D1">
      <w:pPr>
        <w:pStyle w:val="NormalWeb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Birkeland, M.S., Bones, L.O., Guren, G.O. and Jensen, T.K., 2025. Comparison of posttraumatic stress disorder (PTSD) in DSM-5 and ICD-11 in children and adolescents: rates of probable PTSD, diagnostic agreement, and comorbidity. </w:t>
      </w:r>
      <w:r w:rsidRPr="00C066D1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European Journal of Psychotraumatology</w:t>
      </w: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C066D1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16</w:t>
      </w: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(1), p.2568339.</w:t>
      </w:r>
    </w:p>
    <w:p w14:paraId="32345049" w14:textId="05B2E29A" w:rsidR="00A12492" w:rsidRPr="00C066D1" w:rsidRDefault="00A12492" w:rsidP="00C066D1">
      <w:pPr>
        <w:pStyle w:val="NormalWeb"/>
        <w:jc w:val="both"/>
        <w:rPr>
          <w:rFonts w:ascii="Arial" w:hAnsi="Arial" w:cs="Arial"/>
          <w:sz w:val="22"/>
          <w:szCs w:val="22"/>
        </w:rPr>
      </w:pPr>
      <w:r w:rsidRPr="00C066D1">
        <w:rPr>
          <w:rFonts w:ascii="Arial" w:hAnsi="Arial" w:cs="Arial"/>
          <w:sz w:val="22"/>
          <w:szCs w:val="22"/>
        </w:rPr>
        <w:t xml:space="preserve">Garabiles, M.R., Hall, B.J. and colleagues (2023) ‘Comparing DSM-5 and ICD-11 PTSD factor structures in trauma-exposed populations’, </w:t>
      </w:r>
      <w:r w:rsidRPr="00C066D1">
        <w:rPr>
          <w:rStyle w:val="Emphasis"/>
          <w:rFonts w:ascii="Arial" w:hAnsi="Arial" w:cs="Arial"/>
          <w:sz w:val="22"/>
          <w:szCs w:val="22"/>
        </w:rPr>
        <w:t>Journal of Psychiatric Research</w:t>
      </w:r>
      <w:r w:rsidRPr="00C066D1">
        <w:rPr>
          <w:rFonts w:ascii="Arial" w:hAnsi="Arial" w:cs="Arial"/>
          <w:sz w:val="22"/>
          <w:szCs w:val="22"/>
        </w:rPr>
        <w:t>, 158, pp. 1–9.</w:t>
      </w:r>
    </w:p>
    <w:p w14:paraId="1BF8D92A" w14:textId="77777777" w:rsidR="00A12492" w:rsidRPr="00C066D1" w:rsidRDefault="00A12492" w:rsidP="00C066D1">
      <w:pPr>
        <w:pStyle w:val="NormalWeb"/>
        <w:jc w:val="both"/>
        <w:rPr>
          <w:rFonts w:ascii="Arial" w:hAnsi="Arial" w:cs="Arial"/>
          <w:sz w:val="22"/>
          <w:szCs w:val="22"/>
        </w:rPr>
      </w:pPr>
      <w:r w:rsidRPr="00C066D1">
        <w:rPr>
          <w:rFonts w:ascii="Arial" w:hAnsi="Arial" w:cs="Arial"/>
          <w:sz w:val="22"/>
          <w:szCs w:val="22"/>
        </w:rPr>
        <w:t xml:space="preserve">Hoskins, M., Pearce, J., Bethell, A., Dankova, L., Barbui, C., Tol, W.A., van Ommeren, M., de Jong, J., Seedat, S., Chen, H. and Bisson, J.I. (2015) ‘Pharmacotherapy for post-traumatic stress disorder: systematic review and meta-analysis’, </w:t>
      </w:r>
      <w:r w:rsidRPr="00C066D1">
        <w:rPr>
          <w:rStyle w:val="Emphasis"/>
          <w:rFonts w:ascii="Arial" w:hAnsi="Arial" w:cs="Arial"/>
          <w:sz w:val="22"/>
          <w:szCs w:val="22"/>
        </w:rPr>
        <w:t>British Journal of Psychiatry</w:t>
      </w:r>
      <w:r w:rsidRPr="00C066D1">
        <w:rPr>
          <w:rFonts w:ascii="Arial" w:hAnsi="Arial" w:cs="Arial"/>
          <w:sz w:val="22"/>
          <w:szCs w:val="22"/>
        </w:rPr>
        <w:t>, 206(2), pp. 93–100.</w:t>
      </w:r>
    </w:p>
    <w:p w14:paraId="34AFCF2A" w14:textId="77777777" w:rsidR="00A12492" w:rsidRPr="00C066D1" w:rsidRDefault="00A12492" w:rsidP="00C066D1">
      <w:pPr>
        <w:pStyle w:val="NormalWeb"/>
        <w:jc w:val="both"/>
        <w:rPr>
          <w:rFonts w:ascii="Arial" w:hAnsi="Arial" w:cs="Arial"/>
          <w:sz w:val="22"/>
          <w:szCs w:val="22"/>
        </w:rPr>
      </w:pPr>
      <w:r w:rsidRPr="00C066D1">
        <w:rPr>
          <w:rFonts w:ascii="Arial" w:hAnsi="Arial" w:cs="Arial"/>
          <w:sz w:val="22"/>
          <w:szCs w:val="22"/>
        </w:rPr>
        <w:t xml:space="preserve">Koenen, K.C., Ratanatharathorn, A., Ng, L., McLaughlin, K.A., Bromet, E.J., Stein, D.J., Karam, E.G., Meron Ruscio, A., Benjet, C., Scott, K. and Kessler, R.C. (2017) ‘Posttraumatic stress disorder in the World Mental Health Surveys’, </w:t>
      </w:r>
      <w:r w:rsidRPr="00C066D1">
        <w:rPr>
          <w:rStyle w:val="Emphasis"/>
          <w:rFonts w:ascii="Arial" w:hAnsi="Arial" w:cs="Arial"/>
          <w:sz w:val="22"/>
          <w:szCs w:val="22"/>
        </w:rPr>
        <w:t>Psychological Medicine</w:t>
      </w:r>
      <w:r w:rsidRPr="00C066D1">
        <w:rPr>
          <w:rFonts w:ascii="Arial" w:hAnsi="Arial" w:cs="Arial"/>
          <w:sz w:val="22"/>
          <w:szCs w:val="22"/>
        </w:rPr>
        <w:t>, 47(13), pp. 2260–2274.</w:t>
      </w:r>
    </w:p>
    <w:p w14:paraId="38D4EA88" w14:textId="77777777" w:rsidR="00C066D1" w:rsidRPr="00C066D1" w:rsidRDefault="00C066D1" w:rsidP="00C066D1">
      <w:pPr>
        <w:pStyle w:val="NormalWeb"/>
        <w:jc w:val="both"/>
        <w:rPr>
          <w:rFonts w:ascii="Arial" w:hAnsi="Arial" w:cs="Arial"/>
          <w:sz w:val="22"/>
          <w:szCs w:val="22"/>
          <w:lang w:val="en-US"/>
        </w:rPr>
      </w:pPr>
      <w:r w:rsidRPr="00C066D1">
        <w:rPr>
          <w:rFonts w:ascii="Arial" w:hAnsi="Arial" w:cs="Arial"/>
          <w:sz w:val="22"/>
          <w:szCs w:val="22"/>
          <w:lang w:val="en-US"/>
        </w:rPr>
        <w:t>Lewis, C., Roberts, N.P., Andrew, M., Starling, E. and Bisson, J.I., 2020. Psychological therapies for post-traumatic stress disorder in adults: Systematic review and meta-analysis. </w:t>
      </w:r>
      <w:r w:rsidRPr="00C066D1">
        <w:rPr>
          <w:rFonts w:ascii="Arial" w:hAnsi="Arial" w:cs="Arial"/>
          <w:i/>
          <w:iCs/>
          <w:sz w:val="22"/>
          <w:szCs w:val="22"/>
          <w:lang w:val="en-US"/>
        </w:rPr>
        <w:t>European journal of psychotraumatology</w:t>
      </w:r>
      <w:r w:rsidRPr="00C066D1">
        <w:rPr>
          <w:rFonts w:ascii="Arial" w:hAnsi="Arial" w:cs="Arial"/>
          <w:sz w:val="22"/>
          <w:szCs w:val="22"/>
          <w:lang w:val="en-US"/>
        </w:rPr>
        <w:t>, </w:t>
      </w:r>
      <w:r w:rsidRPr="00C066D1">
        <w:rPr>
          <w:rFonts w:ascii="Arial" w:hAnsi="Arial" w:cs="Arial"/>
          <w:i/>
          <w:iCs/>
          <w:sz w:val="22"/>
          <w:szCs w:val="22"/>
          <w:lang w:val="en-US"/>
        </w:rPr>
        <w:t>11</w:t>
      </w:r>
      <w:r w:rsidRPr="00C066D1">
        <w:rPr>
          <w:rFonts w:ascii="Arial" w:hAnsi="Arial" w:cs="Arial"/>
          <w:sz w:val="22"/>
          <w:szCs w:val="22"/>
          <w:lang w:val="en-US"/>
        </w:rPr>
        <w:t>(1), p.1729633.</w:t>
      </w:r>
    </w:p>
    <w:p w14:paraId="57CF37E5" w14:textId="43FF6BBC" w:rsidR="007E3140" w:rsidRPr="00C066D1" w:rsidRDefault="007E3140" w:rsidP="00C066D1">
      <w:pPr>
        <w:pStyle w:val="NormalWeb"/>
        <w:jc w:val="both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Casingcasing, M.L., Winship, G., Segarra, N., Beach, S. and Rennick-Egglestone, S., 2025. How is trauma-informed care conceptualised in UK mental health services? Systematic scoping review protocol. </w:t>
      </w:r>
      <w:r w:rsidRPr="00C066D1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NIHR Open Research</w:t>
      </w: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C066D1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5</w:t>
      </w: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, p.47.</w:t>
      </w:r>
    </w:p>
    <w:p w14:paraId="509A8618" w14:textId="77777777" w:rsidR="00C066D1" w:rsidRPr="00C066D1" w:rsidRDefault="00C066D1" w:rsidP="00C066D1">
      <w:pPr>
        <w:pStyle w:val="NormalWeb"/>
        <w:jc w:val="both"/>
        <w:rPr>
          <w:rFonts w:ascii="Arial" w:hAnsi="Arial" w:cs="Arial"/>
          <w:sz w:val="22"/>
          <w:szCs w:val="22"/>
          <w:lang w:val="en-US"/>
        </w:rPr>
      </w:pPr>
      <w:r w:rsidRPr="00C066D1">
        <w:rPr>
          <w:rFonts w:ascii="Arial" w:hAnsi="Arial" w:cs="Arial"/>
          <w:sz w:val="22"/>
          <w:szCs w:val="22"/>
          <w:lang w:val="en-US"/>
        </w:rPr>
        <w:t>Summerfield, D., 2001. The invention of post-traumatic stress disorder and the social usefulness of a psychiatric category. </w:t>
      </w:r>
      <w:r w:rsidRPr="00C066D1">
        <w:rPr>
          <w:rFonts w:ascii="Arial" w:hAnsi="Arial" w:cs="Arial"/>
          <w:i/>
          <w:iCs/>
          <w:sz w:val="22"/>
          <w:szCs w:val="22"/>
          <w:lang w:val="en-US"/>
        </w:rPr>
        <w:t>Bmj</w:t>
      </w:r>
      <w:r w:rsidRPr="00C066D1">
        <w:rPr>
          <w:rFonts w:ascii="Arial" w:hAnsi="Arial" w:cs="Arial"/>
          <w:sz w:val="22"/>
          <w:szCs w:val="22"/>
          <w:lang w:val="en-US"/>
        </w:rPr>
        <w:t>, </w:t>
      </w:r>
      <w:r w:rsidRPr="00C066D1">
        <w:rPr>
          <w:rFonts w:ascii="Arial" w:hAnsi="Arial" w:cs="Arial"/>
          <w:i/>
          <w:iCs/>
          <w:sz w:val="22"/>
          <w:szCs w:val="22"/>
          <w:lang w:val="en-US"/>
        </w:rPr>
        <w:t>322</w:t>
      </w:r>
      <w:r w:rsidRPr="00C066D1">
        <w:rPr>
          <w:rFonts w:ascii="Arial" w:hAnsi="Arial" w:cs="Arial"/>
          <w:sz w:val="22"/>
          <w:szCs w:val="22"/>
          <w:lang w:val="en-US"/>
        </w:rPr>
        <w:t>(7278), pp.95-98.</w:t>
      </w:r>
    </w:p>
    <w:p w14:paraId="433D7DAC" w14:textId="373A3F48" w:rsidR="00A12492" w:rsidRPr="00C066D1" w:rsidRDefault="00A12492" w:rsidP="00C066D1">
      <w:pPr>
        <w:pStyle w:val="NormalWeb"/>
        <w:jc w:val="both"/>
        <w:rPr>
          <w:rFonts w:ascii="Arial" w:hAnsi="Arial" w:cs="Arial"/>
          <w:sz w:val="22"/>
          <w:szCs w:val="22"/>
        </w:rPr>
      </w:pPr>
      <w:r w:rsidRPr="00C066D1">
        <w:rPr>
          <w:rFonts w:ascii="Arial" w:hAnsi="Arial" w:cs="Arial"/>
          <w:sz w:val="22"/>
          <w:szCs w:val="22"/>
        </w:rPr>
        <w:t xml:space="preserve">World Health Organization (2019) </w:t>
      </w:r>
      <w:r w:rsidRPr="00C066D1">
        <w:rPr>
          <w:rStyle w:val="Emphasis"/>
          <w:rFonts w:ascii="Arial" w:hAnsi="Arial" w:cs="Arial"/>
          <w:sz w:val="22"/>
          <w:szCs w:val="22"/>
        </w:rPr>
        <w:t>International classification of diseases for mortality and morbidity statistics (11th Revision)</w:t>
      </w:r>
      <w:r w:rsidRPr="00C066D1">
        <w:rPr>
          <w:rFonts w:ascii="Arial" w:hAnsi="Arial" w:cs="Arial"/>
          <w:sz w:val="22"/>
          <w:szCs w:val="22"/>
        </w:rPr>
        <w:t>. Geneva: WHO.</w:t>
      </w:r>
    </w:p>
    <w:p w14:paraId="290B18C3" w14:textId="2462004D" w:rsidR="00A12492" w:rsidRDefault="00A12492" w:rsidP="00C066D1">
      <w:pPr>
        <w:pStyle w:val="NormalWeb"/>
        <w:jc w:val="both"/>
        <w:rPr>
          <w:rFonts w:ascii="Arial" w:hAnsi="Arial" w:cs="Arial"/>
          <w:sz w:val="22"/>
          <w:szCs w:val="22"/>
        </w:rPr>
      </w:pPr>
      <w:r w:rsidRPr="00C066D1">
        <w:rPr>
          <w:rFonts w:ascii="Arial" w:hAnsi="Arial" w:cs="Arial"/>
          <w:sz w:val="22"/>
          <w:szCs w:val="22"/>
        </w:rPr>
        <w:t xml:space="preserve">Young, A. (1995) </w:t>
      </w:r>
      <w:r w:rsidRPr="00C066D1">
        <w:rPr>
          <w:rStyle w:val="Emphasis"/>
          <w:rFonts w:ascii="Arial" w:hAnsi="Arial" w:cs="Arial"/>
          <w:sz w:val="22"/>
          <w:szCs w:val="22"/>
        </w:rPr>
        <w:t>The Harmony of Illusions: Inventing Post-Traumatic Stress Disorder</w:t>
      </w:r>
      <w:r w:rsidRPr="00C066D1">
        <w:rPr>
          <w:rFonts w:ascii="Arial" w:hAnsi="Arial" w:cs="Arial"/>
          <w:sz w:val="22"/>
          <w:szCs w:val="22"/>
        </w:rPr>
        <w:t>. Princeton: Princeton University Press.</w:t>
      </w:r>
    </w:p>
    <w:p w14:paraId="023507F8" w14:textId="287C76EC" w:rsidR="0086414C" w:rsidRPr="00C066D1" w:rsidRDefault="0086414C" w:rsidP="00C066D1">
      <w:pPr>
        <w:pStyle w:val="NormalWeb"/>
        <w:jc w:val="both"/>
        <w:rPr>
          <w:rFonts w:ascii="Arial" w:hAnsi="Arial" w:cs="Arial"/>
          <w:sz w:val="22"/>
          <w:szCs w:val="22"/>
        </w:rPr>
      </w:pPr>
      <w:r w:rsidRPr="0086414C">
        <w:rPr>
          <w:rFonts w:ascii="Arial" w:hAnsi="Arial" w:cs="Arial"/>
          <w:sz w:val="22"/>
          <w:szCs w:val="22"/>
          <w:lang w:val="en-US"/>
        </w:rPr>
        <w:t>Spence, J., Titov, N., Dear, B.F., Johnston, L., Solley, K., Lorian, C., Wootton, B., Zou, J. and Schwenke, G., 2011. Randomized controlled trial of Internet</w:t>
      </w:r>
      <w:r w:rsidRPr="0086414C">
        <w:rPr>
          <w:rFonts w:ascii="Cambria Math" w:hAnsi="Cambria Math" w:cs="Cambria Math"/>
          <w:sz w:val="22"/>
          <w:szCs w:val="22"/>
          <w:lang w:val="en-US"/>
        </w:rPr>
        <w:t>‐</w:t>
      </w:r>
      <w:r w:rsidRPr="0086414C">
        <w:rPr>
          <w:rFonts w:ascii="Arial" w:hAnsi="Arial" w:cs="Arial"/>
          <w:sz w:val="22"/>
          <w:szCs w:val="22"/>
          <w:lang w:val="en-US"/>
        </w:rPr>
        <w:t>delivered cognitive behavioral therapy for posttraumatic stress disorder. </w:t>
      </w:r>
      <w:r w:rsidRPr="0086414C">
        <w:rPr>
          <w:rFonts w:ascii="Arial" w:hAnsi="Arial" w:cs="Arial"/>
          <w:i/>
          <w:iCs/>
          <w:sz w:val="22"/>
          <w:szCs w:val="22"/>
          <w:lang w:val="en-US"/>
        </w:rPr>
        <w:t>Depression and anxiety</w:t>
      </w:r>
      <w:r w:rsidRPr="0086414C">
        <w:rPr>
          <w:rFonts w:ascii="Arial" w:hAnsi="Arial" w:cs="Arial"/>
          <w:sz w:val="22"/>
          <w:szCs w:val="22"/>
          <w:lang w:val="en-US"/>
        </w:rPr>
        <w:t>, </w:t>
      </w:r>
      <w:r w:rsidRPr="0086414C">
        <w:rPr>
          <w:rFonts w:ascii="Arial" w:hAnsi="Arial" w:cs="Arial"/>
          <w:i/>
          <w:iCs/>
          <w:sz w:val="22"/>
          <w:szCs w:val="22"/>
          <w:lang w:val="en-US"/>
        </w:rPr>
        <w:t>28</w:t>
      </w:r>
      <w:r w:rsidRPr="0086414C">
        <w:rPr>
          <w:rFonts w:ascii="Arial" w:hAnsi="Arial" w:cs="Arial"/>
          <w:sz w:val="22"/>
          <w:szCs w:val="22"/>
          <w:lang w:val="en-US"/>
        </w:rPr>
        <w:t>(7), pp.541-550.</w:t>
      </w:r>
    </w:p>
    <w:p w14:paraId="5EB24564" w14:textId="47CB590D" w:rsidR="00BA34BE" w:rsidRPr="00C066D1" w:rsidRDefault="00BA34BE" w:rsidP="00C066D1">
      <w:pPr>
        <w:pStyle w:val="NormalWeb"/>
        <w:jc w:val="both"/>
        <w:rPr>
          <w:rFonts w:ascii="Arial" w:hAnsi="Arial" w:cs="Arial"/>
          <w:sz w:val="22"/>
          <w:szCs w:val="22"/>
        </w:rPr>
      </w:pP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Stubley, J., Chipp, B. and Buszewicz, M., 2025. Diagnosis and management of complex post-traumatic stress disorder (C-PTSD). </w:t>
      </w:r>
      <w:r w:rsidRPr="00C066D1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bmj</w:t>
      </w: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C066D1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388</w:t>
      </w:r>
      <w:r w:rsidRPr="00C066D1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009F9368" w14:textId="5F24260E" w:rsidR="009776F0" w:rsidRPr="00BB40B0" w:rsidRDefault="009776F0" w:rsidP="00BB40B0">
      <w:pPr>
        <w:tabs>
          <w:tab w:val="left" w:pos="9687"/>
        </w:tabs>
      </w:pPr>
      <w:bookmarkStart w:id="0" w:name="_GoBack"/>
      <w:bookmarkEnd w:id="0"/>
    </w:p>
    <w:sectPr w:rsidR="009776F0" w:rsidRPr="00BB40B0" w:rsidSect="00331EFB">
      <w:pgSz w:w="23811" w:h="16838" w:orient="landscape" w:code="8"/>
      <w:pgMar w:top="1800" w:right="1440" w:bottom="180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CF49287" w14:textId="77777777" w:rsidR="00CF2F2F" w:rsidRDefault="00CF2F2F" w:rsidP="00BA619B">
      <w:pPr>
        <w:spacing w:after="0" w:line="240" w:lineRule="auto"/>
      </w:pPr>
      <w:r>
        <w:separator/>
      </w:r>
    </w:p>
  </w:endnote>
  <w:endnote w:type="continuationSeparator" w:id="0">
    <w:p w14:paraId="14022F11" w14:textId="77777777" w:rsidR="00CF2F2F" w:rsidRDefault="00CF2F2F" w:rsidP="00BA61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61C63AA" w14:textId="77777777" w:rsidR="00CF2F2F" w:rsidRDefault="00CF2F2F" w:rsidP="00BA619B">
      <w:pPr>
        <w:spacing w:after="0" w:line="240" w:lineRule="auto"/>
      </w:pPr>
      <w:r>
        <w:separator/>
      </w:r>
    </w:p>
  </w:footnote>
  <w:footnote w:type="continuationSeparator" w:id="0">
    <w:p w14:paraId="174F7AEB" w14:textId="77777777" w:rsidR="00CF2F2F" w:rsidRDefault="00CF2F2F" w:rsidP="00BA619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9" w15:restartNumberingAfterBreak="0">
    <w:nsid w:val="019601DD"/>
    <w:multiLevelType w:val="multilevel"/>
    <w:tmpl w:val="55E0F1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0B6005D5"/>
    <w:multiLevelType w:val="multilevel"/>
    <w:tmpl w:val="B38477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B2F1BBF"/>
    <w:multiLevelType w:val="multilevel"/>
    <w:tmpl w:val="692073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C6C4027"/>
    <w:multiLevelType w:val="hybridMultilevel"/>
    <w:tmpl w:val="06C6199C"/>
    <w:lvl w:ilvl="0" w:tplc="1E0AC708">
      <w:start w:val="1"/>
      <w:numFmt w:val="bullet"/>
      <w:lvlText w:val="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C8625FB"/>
    <w:multiLevelType w:val="hybridMultilevel"/>
    <w:tmpl w:val="11F2B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6C94BE6"/>
    <w:multiLevelType w:val="multilevel"/>
    <w:tmpl w:val="FB64F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E202B14"/>
    <w:multiLevelType w:val="multilevel"/>
    <w:tmpl w:val="CC30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CF76558"/>
    <w:multiLevelType w:val="multilevel"/>
    <w:tmpl w:val="51D265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EF37C4F"/>
    <w:multiLevelType w:val="hybridMultilevel"/>
    <w:tmpl w:val="84BA4C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  <w:num w:numId="10">
    <w:abstractNumId w:val="10"/>
  </w:num>
  <w:num w:numId="11">
    <w:abstractNumId w:val="11"/>
  </w:num>
  <w:num w:numId="12">
    <w:abstractNumId w:val="16"/>
  </w:num>
  <w:num w:numId="13">
    <w:abstractNumId w:val="15"/>
  </w:num>
  <w:num w:numId="14">
    <w:abstractNumId w:val="9"/>
  </w:num>
  <w:num w:numId="15">
    <w:abstractNumId w:val="14"/>
  </w:num>
  <w:num w:numId="16">
    <w:abstractNumId w:val="12"/>
  </w:num>
  <w:num w:numId="17">
    <w:abstractNumId w:val="17"/>
  </w:num>
  <w:num w:numId="1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47730"/>
    <w:rsid w:val="00034616"/>
    <w:rsid w:val="0006063C"/>
    <w:rsid w:val="00094AFB"/>
    <w:rsid w:val="000C465E"/>
    <w:rsid w:val="0015074B"/>
    <w:rsid w:val="0016654C"/>
    <w:rsid w:val="0029639D"/>
    <w:rsid w:val="002B4740"/>
    <w:rsid w:val="00326F90"/>
    <w:rsid w:val="00331EFB"/>
    <w:rsid w:val="00340B1C"/>
    <w:rsid w:val="00365649"/>
    <w:rsid w:val="003B2A9E"/>
    <w:rsid w:val="003C51D7"/>
    <w:rsid w:val="00402C8B"/>
    <w:rsid w:val="004978CE"/>
    <w:rsid w:val="005A27C4"/>
    <w:rsid w:val="00631DF9"/>
    <w:rsid w:val="00727F93"/>
    <w:rsid w:val="007E3140"/>
    <w:rsid w:val="0086414C"/>
    <w:rsid w:val="008B1018"/>
    <w:rsid w:val="00912D31"/>
    <w:rsid w:val="009776F0"/>
    <w:rsid w:val="00A12492"/>
    <w:rsid w:val="00A60CCC"/>
    <w:rsid w:val="00AA1D8D"/>
    <w:rsid w:val="00AF4328"/>
    <w:rsid w:val="00B47730"/>
    <w:rsid w:val="00BA34BE"/>
    <w:rsid w:val="00BA619B"/>
    <w:rsid w:val="00BB40B0"/>
    <w:rsid w:val="00C0108D"/>
    <w:rsid w:val="00C066D1"/>
    <w:rsid w:val="00CB0664"/>
    <w:rsid w:val="00CF2F2F"/>
    <w:rsid w:val="00D92626"/>
    <w:rsid w:val="00DB2BA3"/>
    <w:rsid w:val="00DF1598"/>
    <w:rsid w:val="00EC2836"/>
    <w:rsid w:val="00FC693F"/>
    <w:rsid w:val="00FF1E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9B4147F"/>
  <w14:defaultImageDpi w14:val="300"/>
  <w15:docId w15:val="{0F9B5238-9A32-4FEC-B31B-EBE57444E7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E762A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549E39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549E39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549E39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94E1C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94E1C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549E39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link w:val="NoSpacingChar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E762A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549E39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549E39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549E39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33473C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33473C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549E39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549E39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549E39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94E1C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94E1C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549E39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549E39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549E39" w:themeColor="accent1"/>
      </w:pBdr>
      <w:spacing w:before="200" w:after="280"/>
      <w:ind w:left="936" w:right="936"/>
    </w:pPr>
    <w:rPr>
      <w:b/>
      <w:bCs/>
      <w:i/>
      <w:iCs/>
      <w:color w:val="549E39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549E39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549E39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8AB833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8AB833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E762A" w:themeColor="accent1" w:themeShade="BF"/>
    </w:rPr>
    <w:tblPr>
      <w:tblStyleRowBandSize w:val="1"/>
      <w:tblStyleColBandSize w:val="1"/>
      <w:tblBorders>
        <w:top w:val="single" w:sz="8" w:space="0" w:color="549E39" w:themeColor="accent1"/>
        <w:bottom w:val="single" w:sz="8" w:space="0" w:color="549E39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49E39" w:themeColor="accent1"/>
          <w:left w:val="nil"/>
          <w:bottom w:val="single" w:sz="8" w:space="0" w:color="549E39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49E39" w:themeColor="accent1"/>
          <w:left w:val="nil"/>
          <w:bottom w:val="single" w:sz="8" w:space="0" w:color="549E39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BC9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BC9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668926" w:themeColor="accent2" w:themeShade="BF"/>
    </w:rPr>
    <w:tblPr>
      <w:tblStyleRowBandSize w:val="1"/>
      <w:tblStyleColBandSize w:val="1"/>
      <w:tblBorders>
        <w:top w:val="single" w:sz="8" w:space="0" w:color="8AB833" w:themeColor="accent2"/>
        <w:bottom w:val="single" w:sz="8" w:space="0" w:color="8AB833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AB833" w:themeColor="accent2"/>
          <w:left w:val="nil"/>
          <w:bottom w:val="single" w:sz="8" w:space="0" w:color="8AB833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AB833" w:themeColor="accent2"/>
          <w:left w:val="nil"/>
          <w:bottom w:val="single" w:sz="8" w:space="0" w:color="8AB833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2F0C9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2F0C9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939F27" w:themeColor="accent3" w:themeShade="BF"/>
    </w:rPr>
    <w:tblPr>
      <w:tblStyleRowBandSize w:val="1"/>
      <w:tblStyleColBandSize w:val="1"/>
      <w:tblBorders>
        <w:top w:val="single" w:sz="8" w:space="0" w:color="C0CF3A" w:themeColor="accent3"/>
        <w:bottom w:val="single" w:sz="8" w:space="0" w:color="C0CF3A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CF3A" w:themeColor="accent3"/>
          <w:left w:val="nil"/>
          <w:bottom w:val="single" w:sz="8" w:space="0" w:color="C0CF3A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CF3A" w:themeColor="accent3"/>
          <w:left w:val="nil"/>
          <w:bottom w:val="single" w:sz="8" w:space="0" w:color="C0CF3A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F3CE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F3CE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017057" w:themeColor="accent4" w:themeShade="BF"/>
    </w:rPr>
    <w:tblPr>
      <w:tblStyleRowBandSize w:val="1"/>
      <w:tblStyleColBandSize w:val="1"/>
      <w:tblBorders>
        <w:top w:val="single" w:sz="8" w:space="0" w:color="029676" w:themeColor="accent4"/>
        <w:bottom w:val="single" w:sz="8" w:space="0" w:color="029676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29676" w:themeColor="accent4"/>
          <w:left w:val="nil"/>
          <w:bottom w:val="single" w:sz="8" w:space="0" w:color="029676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29676" w:themeColor="accent4"/>
          <w:left w:val="nil"/>
          <w:bottom w:val="single" w:sz="8" w:space="0" w:color="029676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7FDEA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A7FDEA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B98" w:themeColor="accent5" w:themeShade="BF"/>
    </w:rPr>
    <w:tblPr>
      <w:tblStyleRowBandSize w:val="1"/>
      <w:tblStyleColBandSize w:val="1"/>
      <w:tblBorders>
        <w:top w:val="single" w:sz="8" w:space="0" w:color="4AB5C4" w:themeColor="accent5"/>
        <w:bottom w:val="single" w:sz="8" w:space="0" w:color="4AB5C4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AB5C4" w:themeColor="accent5"/>
          <w:left w:val="nil"/>
          <w:bottom w:val="single" w:sz="8" w:space="0" w:color="4AB5C4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AB5C4" w:themeColor="accent5"/>
          <w:left w:val="nil"/>
          <w:bottom w:val="single" w:sz="8" w:space="0" w:color="4AB5C4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CF0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CF0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066684" w:themeColor="accent6" w:themeShade="BF"/>
    </w:rPr>
    <w:tblPr>
      <w:tblStyleRowBandSize w:val="1"/>
      <w:tblStyleColBandSize w:val="1"/>
      <w:tblBorders>
        <w:top w:val="single" w:sz="8" w:space="0" w:color="0989B1" w:themeColor="accent6"/>
        <w:bottom w:val="single" w:sz="8" w:space="0" w:color="0989B1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989B1" w:themeColor="accent6"/>
          <w:left w:val="nil"/>
          <w:bottom w:val="single" w:sz="8" w:space="0" w:color="0989B1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989B1" w:themeColor="accent6"/>
          <w:left w:val="nil"/>
          <w:bottom w:val="single" w:sz="8" w:space="0" w:color="0989B1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E9FB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2E9FB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549E39" w:themeColor="accent1"/>
        <w:left w:val="single" w:sz="8" w:space="0" w:color="549E39" w:themeColor="accent1"/>
        <w:bottom w:val="single" w:sz="8" w:space="0" w:color="549E39" w:themeColor="accent1"/>
        <w:right w:val="single" w:sz="8" w:space="0" w:color="549E39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49E3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49E39" w:themeColor="accent1"/>
          <w:left w:val="single" w:sz="8" w:space="0" w:color="549E39" w:themeColor="accent1"/>
          <w:bottom w:val="single" w:sz="8" w:space="0" w:color="549E39" w:themeColor="accent1"/>
          <w:right w:val="single" w:sz="8" w:space="0" w:color="549E3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49E39" w:themeColor="accent1"/>
          <w:left w:val="single" w:sz="8" w:space="0" w:color="549E39" w:themeColor="accent1"/>
          <w:bottom w:val="single" w:sz="8" w:space="0" w:color="549E39" w:themeColor="accent1"/>
          <w:right w:val="single" w:sz="8" w:space="0" w:color="549E39" w:themeColor="accent1"/>
        </w:tcBorders>
      </w:tcPr>
    </w:tblStylePr>
    <w:tblStylePr w:type="band1Horz">
      <w:tblPr/>
      <w:tcPr>
        <w:tcBorders>
          <w:top w:val="single" w:sz="8" w:space="0" w:color="549E39" w:themeColor="accent1"/>
          <w:left w:val="single" w:sz="8" w:space="0" w:color="549E39" w:themeColor="accent1"/>
          <w:bottom w:val="single" w:sz="8" w:space="0" w:color="549E39" w:themeColor="accent1"/>
          <w:right w:val="single" w:sz="8" w:space="0" w:color="549E39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AB833" w:themeColor="accent2"/>
        <w:left w:val="single" w:sz="8" w:space="0" w:color="8AB833" w:themeColor="accent2"/>
        <w:bottom w:val="single" w:sz="8" w:space="0" w:color="8AB833" w:themeColor="accent2"/>
        <w:right w:val="single" w:sz="8" w:space="0" w:color="8AB833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AB83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AB833" w:themeColor="accent2"/>
          <w:left w:val="single" w:sz="8" w:space="0" w:color="8AB833" w:themeColor="accent2"/>
          <w:bottom w:val="single" w:sz="8" w:space="0" w:color="8AB833" w:themeColor="accent2"/>
          <w:right w:val="single" w:sz="8" w:space="0" w:color="8AB833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AB833" w:themeColor="accent2"/>
          <w:left w:val="single" w:sz="8" w:space="0" w:color="8AB833" w:themeColor="accent2"/>
          <w:bottom w:val="single" w:sz="8" w:space="0" w:color="8AB833" w:themeColor="accent2"/>
          <w:right w:val="single" w:sz="8" w:space="0" w:color="8AB833" w:themeColor="accent2"/>
        </w:tcBorders>
      </w:tcPr>
    </w:tblStylePr>
    <w:tblStylePr w:type="band1Horz">
      <w:tblPr/>
      <w:tcPr>
        <w:tcBorders>
          <w:top w:val="single" w:sz="8" w:space="0" w:color="8AB833" w:themeColor="accent2"/>
          <w:left w:val="single" w:sz="8" w:space="0" w:color="8AB833" w:themeColor="accent2"/>
          <w:bottom w:val="single" w:sz="8" w:space="0" w:color="8AB833" w:themeColor="accent2"/>
          <w:right w:val="single" w:sz="8" w:space="0" w:color="8AB833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CF3A" w:themeColor="accent3"/>
        <w:left w:val="single" w:sz="8" w:space="0" w:color="C0CF3A" w:themeColor="accent3"/>
        <w:bottom w:val="single" w:sz="8" w:space="0" w:color="C0CF3A" w:themeColor="accent3"/>
        <w:right w:val="single" w:sz="8" w:space="0" w:color="C0CF3A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CF3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CF3A" w:themeColor="accent3"/>
          <w:left w:val="single" w:sz="8" w:space="0" w:color="C0CF3A" w:themeColor="accent3"/>
          <w:bottom w:val="single" w:sz="8" w:space="0" w:color="C0CF3A" w:themeColor="accent3"/>
          <w:right w:val="single" w:sz="8" w:space="0" w:color="C0CF3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CF3A" w:themeColor="accent3"/>
          <w:left w:val="single" w:sz="8" w:space="0" w:color="C0CF3A" w:themeColor="accent3"/>
          <w:bottom w:val="single" w:sz="8" w:space="0" w:color="C0CF3A" w:themeColor="accent3"/>
          <w:right w:val="single" w:sz="8" w:space="0" w:color="C0CF3A" w:themeColor="accent3"/>
        </w:tcBorders>
      </w:tcPr>
    </w:tblStylePr>
    <w:tblStylePr w:type="band1Horz">
      <w:tblPr/>
      <w:tcPr>
        <w:tcBorders>
          <w:top w:val="single" w:sz="8" w:space="0" w:color="C0CF3A" w:themeColor="accent3"/>
          <w:left w:val="single" w:sz="8" w:space="0" w:color="C0CF3A" w:themeColor="accent3"/>
          <w:bottom w:val="single" w:sz="8" w:space="0" w:color="C0CF3A" w:themeColor="accent3"/>
          <w:right w:val="single" w:sz="8" w:space="0" w:color="C0CF3A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29676" w:themeColor="accent4"/>
        <w:left w:val="single" w:sz="8" w:space="0" w:color="029676" w:themeColor="accent4"/>
        <w:bottom w:val="single" w:sz="8" w:space="0" w:color="029676" w:themeColor="accent4"/>
        <w:right w:val="single" w:sz="8" w:space="0" w:color="029676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29676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29676" w:themeColor="accent4"/>
          <w:left w:val="single" w:sz="8" w:space="0" w:color="029676" w:themeColor="accent4"/>
          <w:bottom w:val="single" w:sz="8" w:space="0" w:color="029676" w:themeColor="accent4"/>
          <w:right w:val="single" w:sz="8" w:space="0" w:color="029676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29676" w:themeColor="accent4"/>
          <w:left w:val="single" w:sz="8" w:space="0" w:color="029676" w:themeColor="accent4"/>
          <w:bottom w:val="single" w:sz="8" w:space="0" w:color="029676" w:themeColor="accent4"/>
          <w:right w:val="single" w:sz="8" w:space="0" w:color="029676" w:themeColor="accent4"/>
        </w:tcBorders>
      </w:tcPr>
    </w:tblStylePr>
    <w:tblStylePr w:type="band1Horz">
      <w:tblPr/>
      <w:tcPr>
        <w:tcBorders>
          <w:top w:val="single" w:sz="8" w:space="0" w:color="029676" w:themeColor="accent4"/>
          <w:left w:val="single" w:sz="8" w:space="0" w:color="029676" w:themeColor="accent4"/>
          <w:bottom w:val="single" w:sz="8" w:space="0" w:color="029676" w:themeColor="accent4"/>
          <w:right w:val="single" w:sz="8" w:space="0" w:color="029676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AB5C4" w:themeColor="accent5"/>
        <w:left w:val="single" w:sz="8" w:space="0" w:color="4AB5C4" w:themeColor="accent5"/>
        <w:bottom w:val="single" w:sz="8" w:space="0" w:color="4AB5C4" w:themeColor="accent5"/>
        <w:right w:val="single" w:sz="8" w:space="0" w:color="4AB5C4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AB5C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AB5C4" w:themeColor="accent5"/>
          <w:left w:val="single" w:sz="8" w:space="0" w:color="4AB5C4" w:themeColor="accent5"/>
          <w:bottom w:val="single" w:sz="8" w:space="0" w:color="4AB5C4" w:themeColor="accent5"/>
          <w:right w:val="single" w:sz="8" w:space="0" w:color="4AB5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AB5C4" w:themeColor="accent5"/>
          <w:left w:val="single" w:sz="8" w:space="0" w:color="4AB5C4" w:themeColor="accent5"/>
          <w:bottom w:val="single" w:sz="8" w:space="0" w:color="4AB5C4" w:themeColor="accent5"/>
          <w:right w:val="single" w:sz="8" w:space="0" w:color="4AB5C4" w:themeColor="accent5"/>
        </w:tcBorders>
      </w:tcPr>
    </w:tblStylePr>
    <w:tblStylePr w:type="band1Horz">
      <w:tblPr/>
      <w:tcPr>
        <w:tcBorders>
          <w:top w:val="single" w:sz="8" w:space="0" w:color="4AB5C4" w:themeColor="accent5"/>
          <w:left w:val="single" w:sz="8" w:space="0" w:color="4AB5C4" w:themeColor="accent5"/>
          <w:bottom w:val="single" w:sz="8" w:space="0" w:color="4AB5C4" w:themeColor="accent5"/>
          <w:right w:val="single" w:sz="8" w:space="0" w:color="4AB5C4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989B1" w:themeColor="accent6"/>
        <w:left w:val="single" w:sz="8" w:space="0" w:color="0989B1" w:themeColor="accent6"/>
        <w:bottom w:val="single" w:sz="8" w:space="0" w:color="0989B1" w:themeColor="accent6"/>
        <w:right w:val="single" w:sz="8" w:space="0" w:color="0989B1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989B1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989B1" w:themeColor="accent6"/>
          <w:left w:val="single" w:sz="8" w:space="0" w:color="0989B1" w:themeColor="accent6"/>
          <w:bottom w:val="single" w:sz="8" w:space="0" w:color="0989B1" w:themeColor="accent6"/>
          <w:right w:val="single" w:sz="8" w:space="0" w:color="0989B1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989B1" w:themeColor="accent6"/>
          <w:left w:val="single" w:sz="8" w:space="0" w:color="0989B1" w:themeColor="accent6"/>
          <w:bottom w:val="single" w:sz="8" w:space="0" w:color="0989B1" w:themeColor="accent6"/>
          <w:right w:val="single" w:sz="8" w:space="0" w:color="0989B1" w:themeColor="accent6"/>
        </w:tcBorders>
      </w:tcPr>
    </w:tblStylePr>
    <w:tblStylePr w:type="band1Horz">
      <w:tblPr/>
      <w:tcPr>
        <w:tcBorders>
          <w:top w:val="single" w:sz="8" w:space="0" w:color="0989B1" w:themeColor="accent6"/>
          <w:left w:val="single" w:sz="8" w:space="0" w:color="0989B1" w:themeColor="accent6"/>
          <w:bottom w:val="single" w:sz="8" w:space="0" w:color="0989B1" w:themeColor="accent6"/>
          <w:right w:val="single" w:sz="8" w:space="0" w:color="0989B1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549E39" w:themeColor="accent1"/>
        <w:left w:val="single" w:sz="8" w:space="0" w:color="549E39" w:themeColor="accent1"/>
        <w:bottom w:val="single" w:sz="8" w:space="0" w:color="549E39" w:themeColor="accent1"/>
        <w:right w:val="single" w:sz="8" w:space="0" w:color="549E39" w:themeColor="accent1"/>
        <w:insideH w:val="single" w:sz="8" w:space="0" w:color="549E39" w:themeColor="accent1"/>
        <w:insideV w:val="single" w:sz="8" w:space="0" w:color="549E39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49E39" w:themeColor="accent1"/>
          <w:left w:val="single" w:sz="8" w:space="0" w:color="549E39" w:themeColor="accent1"/>
          <w:bottom w:val="single" w:sz="18" w:space="0" w:color="549E39" w:themeColor="accent1"/>
          <w:right w:val="single" w:sz="8" w:space="0" w:color="549E39" w:themeColor="accent1"/>
          <w:insideH w:val="nil"/>
          <w:insideV w:val="single" w:sz="8" w:space="0" w:color="549E39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49E39" w:themeColor="accent1"/>
          <w:left w:val="single" w:sz="8" w:space="0" w:color="549E39" w:themeColor="accent1"/>
          <w:bottom w:val="single" w:sz="8" w:space="0" w:color="549E39" w:themeColor="accent1"/>
          <w:right w:val="single" w:sz="8" w:space="0" w:color="549E39" w:themeColor="accent1"/>
          <w:insideH w:val="nil"/>
          <w:insideV w:val="single" w:sz="8" w:space="0" w:color="549E39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49E39" w:themeColor="accent1"/>
          <w:left w:val="single" w:sz="8" w:space="0" w:color="549E39" w:themeColor="accent1"/>
          <w:bottom w:val="single" w:sz="8" w:space="0" w:color="549E39" w:themeColor="accent1"/>
          <w:right w:val="single" w:sz="8" w:space="0" w:color="549E39" w:themeColor="accent1"/>
        </w:tcBorders>
      </w:tcPr>
    </w:tblStylePr>
    <w:tblStylePr w:type="band1Vert">
      <w:tblPr/>
      <w:tcPr>
        <w:tcBorders>
          <w:top w:val="single" w:sz="8" w:space="0" w:color="549E39" w:themeColor="accent1"/>
          <w:left w:val="single" w:sz="8" w:space="0" w:color="549E39" w:themeColor="accent1"/>
          <w:bottom w:val="single" w:sz="8" w:space="0" w:color="549E39" w:themeColor="accent1"/>
          <w:right w:val="single" w:sz="8" w:space="0" w:color="549E39" w:themeColor="accent1"/>
        </w:tcBorders>
        <w:shd w:val="clear" w:color="auto" w:fill="D2EBC9" w:themeFill="accent1" w:themeFillTint="3F"/>
      </w:tcPr>
    </w:tblStylePr>
    <w:tblStylePr w:type="band1Horz">
      <w:tblPr/>
      <w:tcPr>
        <w:tcBorders>
          <w:top w:val="single" w:sz="8" w:space="0" w:color="549E39" w:themeColor="accent1"/>
          <w:left w:val="single" w:sz="8" w:space="0" w:color="549E39" w:themeColor="accent1"/>
          <w:bottom w:val="single" w:sz="8" w:space="0" w:color="549E39" w:themeColor="accent1"/>
          <w:right w:val="single" w:sz="8" w:space="0" w:color="549E39" w:themeColor="accent1"/>
          <w:insideV w:val="single" w:sz="8" w:space="0" w:color="549E39" w:themeColor="accent1"/>
        </w:tcBorders>
        <w:shd w:val="clear" w:color="auto" w:fill="D2EBC9" w:themeFill="accent1" w:themeFillTint="3F"/>
      </w:tcPr>
    </w:tblStylePr>
    <w:tblStylePr w:type="band2Horz">
      <w:tblPr/>
      <w:tcPr>
        <w:tcBorders>
          <w:top w:val="single" w:sz="8" w:space="0" w:color="549E39" w:themeColor="accent1"/>
          <w:left w:val="single" w:sz="8" w:space="0" w:color="549E39" w:themeColor="accent1"/>
          <w:bottom w:val="single" w:sz="8" w:space="0" w:color="549E39" w:themeColor="accent1"/>
          <w:right w:val="single" w:sz="8" w:space="0" w:color="549E39" w:themeColor="accent1"/>
          <w:insideV w:val="single" w:sz="8" w:space="0" w:color="549E39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AB833" w:themeColor="accent2"/>
        <w:left w:val="single" w:sz="8" w:space="0" w:color="8AB833" w:themeColor="accent2"/>
        <w:bottom w:val="single" w:sz="8" w:space="0" w:color="8AB833" w:themeColor="accent2"/>
        <w:right w:val="single" w:sz="8" w:space="0" w:color="8AB833" w:themeColor="accent2"/>
        <w:insideH w:val="single" w:sz="8" w:space="0" w:color="8AB833" w:themeColor="accent2"/>
        <w:insideV w:val="single" w:sz="8" w:space="0" w:color="8AB833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AB833" w:themeColor="accent2"/>
          <w:left w:val="single" w:sz="8" w:space="0" w:color="8AB833" w:themeColor="accent2"/>
          <w:bottom w:val="single" w:sz="18" w:space="0" w:color="8AB833" w:themeColor="accent2"/>
          <w:right w:val="single" w:sz="8" w:space="0" w:color="8AB833" w:themeColor="accent2"/>
          <w:insideH w:val="nil"/>
          <w:insideV w:val="single" w:sz="8" w:space="0" w:color="8AB833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AB833" w:themeColor="accent2"/>
          <w:left w:val="single" w:sz="8" w:space="0" w:color="8AB833" w:themeColor="accent2"/>
          <w:bottom w:val="single" w:sz="8" w:space="0" w:color="8AB833" w:themeColor="accent2"/>
          <w:right w:val="single" w:sz="8" w:space="0" w:color="8AB833" w:themeColor="accent2"/>
          <w:insideH w:val="nil"/>
          <w:insideV w:val="single" w:sz="8" w:space="0" w:color="8AB833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AB833" w:themeColor="accent2"/>
          <w:left w:val="single" w:sz="8" w:space="0" w:color="8AB833" w:themeColor="accent2"/>
          <w:bottom w:val="single" w:sz="8" w:space="0" w:color="8AB833" w:themeColor="accent2"/>
          <w:right w:val="single" w:sz="8" w:space="0" w:color="8AB833" w:themeColor="accent2"/>
        </w:tcBorders>
      </w:tcPr>
    </w:tblStylePr>
    <w:tblStylePr w:type="band1Vert">
      <w:tblPr/>
      <w:tcPr>
        <w:tcBorders>
          <w:top w:val="single" w:sz="8" w:space="0" w:color="8AB833" w:themeColor="accent2"/>
          <w:left w:val="single" w:sz="8" w:space="0" w:color="8AB833" w:themeColor="accent2"/>
          <w:bottom w:val="single" w:sz="8" w:space="0" w:color="8AB833" w:themeColor="accent2"/>
          <w:right w:val="single" w:sz="8" w:space="0" w:color="8AB833" w:themeColor="accent2"/>
        </w:tcBorders>
        <w:shd w:val="clear" w:color="auto" w:fill="E2F0C9" w:themeFill="accent2" w:themeFillTint="3F"/>
      </w:tcPr>
    </w:tblStylePr>
    <w:tblStylePr w:type="band1Horz">
      <w:tblPr/>
      <w:tcPr>
        <w:tcBorders>
          <w:top w:val="single" w:sz="8" w:space="0" w:color="8AB833" w:themeColor="accent2"/>
          <w:left w:val="single" w:sz="8" w:space="0" w:color="8AB833" w:themeColor="accent2"/>
          <w:bottom w:val="single" w:sz="8" w:space="0" w:color="8AB833" w:themeColor="accent2"/>
          <w:right w:val="single" w:sz="8" w:space="0" w:color="8AB833" w:themeColor="accent2"/>
          <w:insideV w:val="single" w:sz="8" w:space="0" w:color="8AB833" w:themeColor="accent2"/>
        </w:tcBorders>
        <w:shd w:val="clear" w:color="auto" w:fill="E2F0C9" w:themeFill="accent2" w:themeFillTint="3F"/>
      </w:tcPr>
    </w:tblStylePr>
    <w:tblStylePr w:type="band2Horz">
      <w:tblPr/>
      <w:tcPr>
        <w:tcBorders>
          <w:top w:val="single" w:sz="8" w:space="0" w:color="8AB833" w:themeColor="accent2"/>
          <w:left w:val="single" w:sz="8" w:space="0" w:color="8AB833" w:themeColor="accent2"/>
          <w:bottom w:val="single" w:sz="8" w:space="0" w:color="8AB833" w:themeColor="accent2"/>
          <w:right w:val="single" w:sz="8" w:space="0" w:color="8AB833" w:themeColor="accent2"/>
          <w:insideV w:val="single" w:sz="8" w:space="0" w:color="8AB833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CF3A" w:themeColor="accent3"/>
        <w:left w:val="single" w:sz="8" w:space="0" w:color="C0CF3A" w:themeColor="accent3"/>
        <w:bottom w:val="single" w:sz="8" w:space="0" w:color="C0CF3A" w:themeColor="accent3"/>
        <w:right w:val="single" w:sz="8" w:space="0" w:color="C0CF3A" w:themeColor="accent3"/>
        <w:insideH w:val="single" w:sz="8" w:space="0" w:color="C0CF3A" w:themeColor="accent3"/>
        <w:insideV w:val="single" w:sz="8" w:space="0" w:color="C0CF3A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CF3A" w:themeColor="accent3"/>
          <w:left w:val="single" w:sz="8" w:space="0" w:color="C0CF3A" w:themeColor="accent3"/>
          <w:bottom w:val="single" w:sz="18" w:space="0" w:color="C0CF3A" w:themeColor="accent3"/>
          <w:right w:val="single" w:sz="8" w:space="0" w:color="C0CF3A" w:themeColor="accent3"/>
          <w:insideH w:val="nil"/>
          <w:insideV w:val="single" w:sz="8" w:space="0" w:color="C0CF3A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CF3A" w:themeColor="accent3"/>
          <w:left w:val="single" w:sz="8" w:space="0" w:color="C0CF3A" w:themeColor="accent3"/>
          <w:bottom w:val="single" w:sz="8" w:space="0" w:color="C0CF3A" w:themeColor="accent3"/>
          <w:right w:val="single" w:sz="8" w:space="0" w:color="C0CF3A" w:themeColor="accent3"/>
          <w:insideH w:val="nil"/>
          <w:insideV w:val="single" w:sz="8" w:space="0" w:color="C0CF3A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CF3A" w:themeColor="accent3"/>
          <w:left w:val="single" w:sz="8" w:space="0" w:color="C0CF3A" w:themeColor="accent3"/>
          <w:bottom w:val="single" w:sz="8" w:space="0" w:color="C0CF3A" w:themeColor="accent3"/>
          <w:right w:val="single" w:sz="8" w:space="0" w:color="C0CF3A" w:themeColor="accent3"/>
        </w:tcBorders>
      </w:tcPr>
    </w:tblStylePr>
    <w:tblStylePr w:type="band1Vert">
      <w:tblPr/>
      <w:tcPr>
        <w:tcBorders>
          <w:top w:val="single" w:sz="8" w:space="0" w:color="C0CF3A" w:themeColor="accent3"/>
          <w:left w:val="single" w:sz="8" w:space="0" w:color="C0CF3A" w:themeColor="accent3"/>
          <w:bottom w:val="single" w:sz="8" w:space="0" w:color="C0CF3A" w:themeColor="accent3"/>
          <w:right w:val="single" w:sz="8" w:space="0" w:color="C0CF3A" w:themeColor="accent3"/>
        </w:tcBorders>
        <w:shd w:val="clear" w:color="auto" w:fill="EFF3CE" w:themeFill="accent3" w:themeFillTint="3F"/>
      </w:tcPr>
    </w:tblStylePr>
    <w:tblStylePr w:type="band1Horz">
      <w:tblPr/>
      <w:tcPr>
        <w:tcBorders>
          <w:top w:val="single" w:sz="8" w:space="0" w:color="C0CF3A" w:themeColor="accent3"/>
          <w:left w:val="single" w:sz="8" w:space="0" w:color="C0CF3A" w:themeColor="accent3"/>
          <w:bottom w:val="single" w:sz="8" w:space="0" w:color="C0CF3A" w:themeColor="accent3"/>
          <w:right w:val="single" w:sz="8" w:space="0" w:color="C0CF3A" w:themeColor="accent3"/>
          <w:insideV w:val="single" w:sz="8" w:space="0" w:color="C0CF3A" w:themeColor="accent3"/>
        </w:tcBorders>
        <w:shd w:val="clear" w:color="auto" w:fill="EFF3CE" w:themeFill="accent3" w:themeFillTint="3F"/>
      </w:tcPr>
    </w:tblStylePr>
    <w:tblStylePr w:type="band2Horz">
      <w:tblPr/>
      <w:tcPr>
        <w:tcBorders>
          <w:top w:val="single" w:sz="8" w:space="0" w:color="C0CF3A" w:themeColor="accent3"/>
          <w:left w:val="single" w:sz="8" w:space="0" w:color="C0CF3A" w:themeColor="accent3"/>
          <w:bottom w:val="single" w:sz="8" w:space="0" w:color="C0CF3A" w:themeColor="accent3"/>
          <w:right w:val="single" w:sz="8" w:space="0" w:color="C0CF3A" w:themeColor="accent3"/>
          <w:insideV w:val="single" w:sz="8" w:space="0" w:color="C0CF3A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29676" w:themeColor="accent4"/>
        <w:left w:val="single" w:sz="8" w:space="0" w:color="029676" w:themeColor="accent4"/>
        <w:bottom w:val="single" w:sz="8" w:space="0" w:color="029676" w:themeColor="accent4"/>
        <w:right w:val="single" w:sz="8" w:space="0" w:color="029676" w:themeColor="accent4"/>
        <w:insideH w:val="single" w:sz="8" w:space="0" w:color="029676" w:themeColor="accent4"/>
        <w:insideV w:val="single" w:sz="8" w:space="0" w:color="029676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29676" w:themeColor="accent4"/>
          <w:left w:val="single" w:sz="8" w:space="0" w:color="029676" w:themeColor="accent4"/>
          <w:bottom w:val="single" w:sz="18" w:space="0" w:color="029676" w:themeColor="accent4"/>
          <w:right w:val="single" w:sz="8" w:space="0" w:color="029676" w:themeColor="accent4"/>
          <w:insideH w:val="nil"/>
          <w:insideV w:val="single" w:sz="8" w:space="0" w:color="029676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29676" w:themeColor="accent4"/>
          <w:left w:val="single" w:sz="8" w:space="0" w:color="029676" w:themeColor="accent4"/>
          <w:bottom w:val="single" w:sz="8" w:space="0" w:color="029676" w:themeColor="accent4"/>
          <w:right w:val="single" w:sz="8" w:space="0" w:color="029676" w:themeColor="accent4"/>
          <w:insideH w:val="nil"/>
          <w:insideV w:val="single" w:sz="8" w:space="0" w:color="029676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29676" w:themeColor="accent4"/>
          <w:left w:val="single" w:sz="8" w:space="0" w:color="029676" w:themeColor="accent4"/>
          <w:bottom w:val="single" w:sz="8" w:space="0" w:color="029676" w:themeColor="accent4"/>
          <w:right w:val="single" w:sz="8" w:space="0" w:color="029676" w:themeColor="accent4"/>
        </w:tcBorders>
      </w:tcPr>
    </w:tblStylePr>
    <w:tblStylePr w:type="band1Vert">
      <w:tblPr/>
      <w:tcPr>
        <w:tcBorders>
          <w:top w:val="single" w:sz="8" w:space="0" w:color="029676" w:themeColor="accent4"/>
          <w:left w:val="single" w:sz="8" w:space="0" w:color="029676" w:themeColor="accent4"/>
          <w:bottom w:val="single" w:sz="8" w:space="0" w:color="029676" w:themeColor="accent4"/>
          <w:right w:val="single" w:sz="8" w:space="0" w:color="029676" w:themeColor="accent4"/>
        </w:tcBorders>
        <w:shd w:val="clear" w:color="auto" w:fill="A7FDEA" w:themeFill="accent4" w:themeFillTint="3F"/>
      </w:tcPr>
    </w:tblStylePr>
    <w:tblStylePr w:type="band1Horz">
      <w:tblPr/>
      <w:tcPr>
        <w:tcBorders>
          <w:top w:val="single" w:sz="8" w:space="0" w:color="029676" w:themeColor="accent4"/>
          <w:left w:val="single" w:sz="8" w:space="0" w:color="029676" w:themeColor="accent4"/>
          <w:bottom w:val="single" w:sz="8" w:space="0" w:color="029676" w:themeColor="accent4"/>
          <w:right w:val="single" w:sz="8" w:space="0" w:color="029676" w:themeColor="accent4"/>
          <w:insideV w:val="single" w:sz="8" w:space="0" w:color="029676" w:themeColor="accent4"/>
        </w:tcBorders>
        <w:shd w:val="clear" w:color="auto" w:fill="A7FDEA" w:themeFill="accent4" w:themeFillTint="3F"/>
      </w:tcPr>
    </w:tblStylePr>
    <w:tblStylePr w:type="band2Horz">
      <w:tblPr/>
      <w:tcPr>
        <w:tcBorders>
          <w:top w:val="single" w:sz="8" w:space="0" w:color="029676" w:themeColor="accent4"/>
          <w:left w:val="single" w:sz="8" w:space="0" w:color="029676" w:themeColor="accent4"/>
          <w:bottom w:val="single" w:sz="8" w:space="0" w:color="029676" w:themeColor="accent4"/>
          <w:right w:val="single" w:sz="8" w:space="0" w:color="029676" w:themeColor="accent4"/>
          <w:insideV w:val="single" w:sz="8" w:space="0" w:color="029676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AB5C4" w:themeColor="accent5"/>
        <w:left w:val="single" w:sz="8" w:space="0" w:color="4AB5C4" w:themeColor="accent5"/>
        <w:bottom w:val="single" w:sz="8" w:space="0" w:color="4AB5C4" w:themeColor="accent5"/>
        <w:right w:val="single" w:sz="8" w:space="0" w:color="4AB5C4" w:themeColor="accent5"/>
        <w:insideH w:val="single" w:sz="8" w:space="0" w:color="4AB5C4" w:themeColor="accent5"/>
        <w:insideV w:val="single" w:sz="8" w:space="0" w:color="4AB5C4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AB5C4" w:themeColor="accent5"/>
          <w:left w:val="single" w:sz="8" w:space="0" w:color="4AB5C4" w:themeColor="accent5"/>
          <w:bottom w:val="single" w:sz="18" w:space="0" w:color="4AB5C4" w:themeColor="accent5"/>
          <w:right w:val="single" w:sz="8" w:space="0" w:color="4AB5C4" w:themeColor="accent5"/>
          <w:insideH w:val="nil"/>
          <w:insideV w:val="single" w:sz="8" w:space="0" w:color="4AB5C4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AB5C4" w:themeColor="accent5"/>
          <w:left w:val="single" w:sz="8" w:space="0" w:color="4AB5C4" w:themeColor="accent5"/>
          <w:bottom w:val="single" w:sz="8" w:space="0" w:color="4AB5C4" w:themeColor="accent5"/>
          <w:right w:val="single" w:sz="8" w:space="0" w:color="4AB5C4" w:themeColor="accent5"/>
          <w:insideH w:val="nil"/>
          <w:insideV w:val="single" w:sz="8" w:space="0" w:color="4AB5C4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AB5C4" w:themeColor="accent5"/>
          <w:left w:val="single" w:sz="8" w:space="0" w:color="4AB5C4" w:themeColor="accent5"/>
          <w:bottom w:val="single" w:sz="8" w:space="0" w:color="4AB5C4" w:themeColor="accent5"/>
          <w:right w:val="single" w:sz="8" w:space="0" w:color="4AB5C4" w:themeColor="accent5"/>
        </w:tcBorders>
      </w:tcPr>
    </w:tblStylePr>
    <w:tblStylePr w:type="band1Vert">
      <w:tblPr/>
      <w:tcPr>
        <w:tcBorders>
          <w:top w:val="single" w:sz="8" w:space="0" w:color="4AB5C4" w:themeColor="accent5"/>
          <w:left w:val="single" w:sz="8" w:space="0" w:color="4AB5C4" w:themeColor="accent5"/>
          <w:bottom w:val="single" w:sz="8" w:space="0" w:color="4AB5C4" w:themeColor="accent5"/>
          <w:right w:val="single" w:sz="8" w:space="0" w:color="4AB5C4" w:themeColor="accent5"/>
        </w:tcBorders>
        <w:shd w:val="clear" w:color="auto" w:fill="D2ECF0" w:themeFill="accent5" w:themeFillTint="3F"/>
      </w:tcPr>
    </w:tblStylePr>
    <w:tblStylePr w:type="band1Horz">
      <w:tblPr/>
      <w:tcPr>
        <w:tcBorders>
          <w:top w:val="single" w:sz="8" w:space="0" w:color="4AB5C4" w:themeColor="accent5"/>
          <w:left w:val="single" w:sz="8" w:space="0" w:color="4AB5C4" w:themeColor="accent5"/>
          <w:bottom w:val="single" w:sz="8" w:space="0" w:color="4AB5C4" w:themeColor="accent5"/>
          <w:right w:val="single" w:sz="8" w:space="0" w:color="4AB5C4" w:themeColor="accent5"/>
          <w:insideV w:val="single" w:sz="8" w:space="0" w:color="4AB5C4" w:themeColor="accent5"/>
        </w:tcBorders>
        <w:shd w:val="clear" w:color="auto" w:fill="D2ECF0" w:themeFill="accent5" w:themeFillTint="3F"/>
      </w:tcPr>
    </w:tblStylePr>
    <w:tblStylePr w:type="band2Horz">
      <w:tblPr/>
      <w:tcPr>
        <w:tcBorders>
          <w:top w:val="single" w:sz="8" w:space="0" w:color="4AB5C4" w:themeColor="accent5"/>
          <w:left w:val="single" w:sz="8" w:space="0" w:color="4AB5C4" w:themeColor="accent5"/>
          <w:bottom w:val="single" w:sz="8" w:space="0" w:color="4AB5C4" w:themeColor="accent5"/>
          <w:right w:val="single" w:sz="8" w:space="0" w:color="4AB5C4" w:themeColor="accent5"/>
          <w:insideV w:val="single" w:sz="8" w:space="0" w:color="4AB5C4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989B1" w:themeColor="accent6"/>
        <w:left w:val="single" w:sz="8" w:space="0" w:color="0989B1" w:themeColor="accent6"/>
        <w:bottom w:val="single" w:sz="8" w:space="0" w:color="0989B1" w:themeColor="accent6"/>
        <w:right w:val="single" w:sz="8" w:space="0" w:color="0989B1" w:themeColor="accent6"/>
        <w:insideH w:val="single" w:sz="8" w:space="0" w:color="0989B1" w:themeColor="accent6"/>
        <w:insideV w:val="single" w:sz="8" w:space="0" w:color="0989B1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989B1" w:themeColor="accent6"/>
          <w:left w:val="single" w:sz="8" w:space="0" w:color="0989B1" w:themeColor="accent6"/>
          <w:bottom w:val="single" w:sz="18" w:space="0" w:color="0989B1" w:themeColor="accent6"/>
          <w:right w:val="single" w:sz="8" w:space="0" w:color="0989B1" w:themeColor="accent6"/>
          <w:insideH w:val="nil"/>
          <w:insideV w:val="single" w:sz="8" w:space="0" w:color="0989B1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989B1" w:themeColor="accent6"/>
          <w:left w:val="single" w:sz="8" w:space="0" w:color="0989B1" w:themeColor="accent6"/>
          <w:bottom w:val="single" w:sz="8" w:space="0" w:color="0989B1" w:themeColor="accent6"/>
          <w:right w:val="single" w:sz="8" w:space="0" w:color="0989B1" w:themeColor="accent6"/>
          <w:insideH w:val="nil"/>
          <w:insideV w:val="single" w:sz="8" w:space="0" w:color="0989B1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989B1" w:themeColor="accent6"/>
          <w:left w:val="single" w:sz="8" w:space="0" w:color="0989B1" w:themeColor="accent6"/>
          <w:bottom w:val="single" w:sz="8" w:space="0" w:color="0989B1" w:themeColor="accent6"/>
          <w:right w:val="single" w:sz="8" w:space="0" w:color="0989B1" w:themeColor="accent6"/>
        </w:tcBorders>
      </w:tcPr>
    </w:tblStylePr>
    <w:tblStylePr w:type="band1Vert">
      <w:tblPr/>
      <w:tcPr>
        <w:tcBorders>
          <w:top w:val="single" w:sz="8" w:space="0" w:color="0989B1" w:themeColor="accent6"/>
          <w:left w:val="single" w:sz="8" w:space="0" w:color="0989B1" w:themeColor="accent6"/>
          <w:bottom w:val="single" w:sz="8" w:space="0" w:color="0989B1" w:themeColor="accent6"/>
          <w:right w:val="single" w:sz="8" w:space="0" w:color="0989B1" w:themeColor="accent6"/>
        </w:tcBorders>
        <w:shd w:val="clear" w:color="auto" w:fill="B2E9FB" w:themeFill="accent6" w:themeFillTint="3F"/>
      </w:tcPr>
    </w:tblStylePr>
    <w:tblStylePr w:type="band1Horz">
      <w:tblPr/>
      <w:tcPr>
        <w:tcBorders>
          <w:top w:val="single" w:sz="8" w:space="0" w:color="0989B1" w:themeColor="accent6"/>
          <w:left w:val="single" w:sz="8" w:space="0" w:color="0989B1" w:themeColor="accent6"/>
          <w:bottom w:val="single" w:sz="8" w:space="0" w:color="0989B1" w:themeColor="accent6"/>
          <w:right w:val="single" w:sz="8" w:space="0" w:color="0989B1" w:themeColor="accent6"/>
          <w:insideV w:val="single" w:sz="8" w:space="0" w:color="0989B1" w:themeColor="accent6"/>
        </w:tcBorders>
        <w:shd w:val="clear" w:color="auto" w:fill="B2E9FB" w:themeFill="accent6" w:themeFillTint="3F"/>
      </w:tcPr>
    </w:tblStylePr>
    <w:tblStylePr w:type="band2Horz">
      <w:tblPr/>
      <w:tcPr>
        <w:tcBorders>
          <w:top w:val="single" w:sz="8" w:space="0" w:color="0989B1" w:themeColor="accent6"/>
          <w:left w:val="single" w:sz="8" w:space="0" w:color="0989B1" w:themeColor="accent6"/>
          <w:bottom w:val="single" w:sz="8" w:space="0" w:color="0989B1" w:themeColor="accent6"/>
          <w:right w:val="single" w:sz="8" w:space="0" w:color="0989B1" w:themeColor="accent6"/>
          <w:insideV w:val="single" w:sz="8" w:space="0" w:color="0989B1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45C" w:themeColor="accent1" w:themeTint="BF"/>
        <w:left w:val="single" w:sz="8" w:space="0" w:color="78C45C" w:themeColor="accent1" w:themeTint="BF"/>
        <w:bottom w:val="single" w:sz="8" w:space="0" w:color="78C45C" w:themeColor="accent1" w:themeTint="BF"/>
        <w:right w:val="single" w:sz="8" w:space="0" w:color="78C45C" w:themeColor="accent1" w:themeTint="BF"/>
        <w:insideH w:val="single" w:sz="8" w:space="0" w:color="78C45C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45C" w:themeColor="accent1" w:themeTint="BF"/>
          <w:left w:val="single" w:sz="8" w:space="0" w:color="78C45C" w:themeColor="accent1" w:themeTint="BF"/>
          <w:bottom w:val="single" w:sz="8" w:space="0" w:color="78C45C" w:themeColor="accent1" w:themeTint="BF"/>
          <w:right w:val="single" w:sz="8" w:space="0" w:color="78C45C" w:themeColor="accent1" w:themeTint="BF"/>
          <w:insideH w:val="nil"/>
          <w:insideV w:val="nil"/>
        </w:tcBorders>
        <w:shd w:val="clear" w:color="auto" w:fill="549E39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45C" w:themeColor="accent1" w:themeTint="BF"/>
          <w:left w:val="single" w:sz="8" w:space="0" w:color="78C45C" w:themeColor="accent1" w:themeTint="BF"/>
          <w:bottom w:val="single" w:sz="8" w:space="0" w:color="78C45C" w:themeColor="accent1" w:themeTint="BF"/>
          <w:right w:val="single" w:sz="8" w:space="0" w:color="78C45C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BC9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BC9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A9D25D" w:themeColor="accent2" w:themeTint="BF"/>
        <w:left w:val="single" w:sz="8" w:space="0" w:color="A9D25D" w:themeColor="accent2" w:themeTint="BF"/>
        <w:bottom w:val="single" w:sz="8" w:space="0" w:color="A9D25D" w:themeColor="accent2" w:themeTint="BF"/>
        <w:right w:val="single" w:sz="8" w:space="0" w:color="A9D25D" w:themeColor="accent2" w:themeTint="BF"/>
        <w:insideH w:val="single" w:sz="8" w:space="0" w:color="A9D25D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A9D25D" w:themeColor="accent2" w:themeTint="BF"/>
          <w:left w:val="single" w:sz="8" w:space="0" w:color="A9D25D" w:themeColor="accent2" w:themeTint="BF"/>
          <w:bottom w:val="single" w:sz="8" w:space="0" w:color="A9D25D" w:themeColor="accent2" w:themeTint="BF"/>
          <w:right w:val="single" w:sz="8" w:space="0" w:color="A9D25D" w:themeColor="accent2" w:themeTint="BF"/>
          <w:insideH w:val="nil"/>
          <w:insideV w:val="nil"/>
        </w:tcBorders>
        <w:shd w:val="clear" w:color="auto" w:fill="8AB833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9D25D" w:themeColor="accent2" w:themeTint="BF"/>
          <w:left w:val="single" w:sz="8" w:space="0" w:color="A9D25D" w:themeColor="accent2" w:themeTint="BF"/>
          <w:bottom w:val="single" w:sz="8" w:space="0" w:color="A9D25D" w:themeColor="accent2" w:themeTint="BF"/>
          <w:right w:val="single" w:sz="8" w:space="0" w:color="A9D25D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F0C9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2F0C9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DB6B" w:themeColor="accent3" w:themeTint="BF"/>
        <w:left w:val="single" w:sz="8" w:space="0" w:color="CFDB6B" w:themeColor="accent3" w:themeTint="BF"/>
        <w:bottom w:val="single" w:sz="8" w:space="0" w:color="CFDB6B" w:themeColor="accent3" w:themeTint="BF"/>
        <w:right w:val="single" w:sz="8" w:space="0" w:color="CFDB6B" w:themeColor="accent3" w:themeTint="BF"/>
        <w:insideH w:val="single" w:sz="8" w:space="0" w:color="CFDB6B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DB6B" w:themeColor="accent3" w:themeTint="BF"/>
          <w:left w:val="single" w:sz="8" w:space="0" w:color="CFDB6B" w:themeColor="accent3" w:themeTint="BF"/>
          <w:bottom w:val="single" w:sz="8" w:space="0" w:color="CFDB6B" w:themeColor="accent3" w:themeTint="BF"/>
          <w:right w:val="single" w:sz="8" w:space="0" w:color="CFDB6B" w:themeColor="accent3" w:themeTint="BF"/>
          <w:insideH w:val="nil"/>
          <w:insideV w:val="nil"/>
        </w:tcBorders>
        <w:shd w:val="clear" w:color="auto" w:fill="C0CF3A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DB6B" w:themeColor="accent3" w:themeTint="BF"/>
          <w:left w:val="single" w:sz="8" w:space="0" w:color="CFDB6B" w:themeColor="accent3" w:themeTint="BF"/>
          <w:bottom w:val="single" w:sz="8" w:space="0" w:color="CFDB6B" w:themeColor="accent3" w:themeTint="BF"/>
          <w:right w:val="single" w:sz="8" w:space="0" w:color="CFDB6B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F3CE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F3CE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3EEBA" w:themeColor="accent4" w:themeTint="BF"/>
        <w:left w:val="single" w:sz="8" w:space="0" w:color="03EEBA" w:themeColor="accent4" w:themeTint="BF"/>
        <w:bottom w:val="single" w:sz="8" w:space="0" w:color="03EEBA" w:themeColor="accent4" w:themeTint="BF"/>
        <w:right w:val="single" w:sz="8" w:space="0" w:color="03EEBA" w:themeColor="accent4" w:themeTint="BF"/>
        <w:insideH w:val="single" w:sz="8" w:space="0" w:color="03EEBA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3EEBA" w:themeColor="accent4" w:themeTint="BF"/>
          <w:left w:val="single" w:sz="8" w:space="0" w:color="03EEBA" w:themeColor="accent4" w:themeTint="BF"/>
          <w:bottom w:val="single" w:sz="8" w:space="0" w:color="03EEBA" w:themeColor="accent4" w:themeTint="BF"/>
          <w:right w:val="single" w:sz="8" w:space="0" w:color="03EEBA" w:themeColor="accent4" w:themeTint="BF"/>
          <w:insideH w:val="nil"/>
          <w:insideV w:val="nil"/>
        </w:tcBorders>
        <w:shd w:val="clear" w:color="auto" w:fill="029676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3EEBA" w:themeColor="accent4" w:themeTint="BF"/>
          <w:left w:val="single" w:sz="8" w:space="0" w:color="03EEBA" w:themeColor="accent4" w:themeTint="BF"/>
          <w:bottom w:val="single" w:sz="8" w:space="0" w:color="03EEBA" w:themeColor="accent4" w:themeTint="BF"/>
          <w:right w:val="single" w:sz="8" w:space="0" w:color="03EEBA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FDEA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A7FDEA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7C7D2" w:themeColor="accent5" w:themeTint="BF"/>
        <w:left w:val="single" w:sz="8" w:space="0" w:color="77C7D2" w:themeColor="accent5" w:themeTint="BF"/>
        <w:bottom w:val="single" w:sz="8" w:space="0" w:color="77C7D2" w:themeColor="accent5" w:themeTint="BF"/>
        <w:right w:val="single" w:sz="8" w:space="0" w:color="77C7D2" w:themeColor="accent5" w:themeTint="BF"/>
        <w:insideH w:val="single" w:sz="8" w:space="0" w:color="77C7D2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7C7D2" w:themeColor="accent5" w:themeTint="BF"/>
          <w:left w:val="single" w:sz="8" w:space="0" w:color="77C7D2" w:themeColor="accent5" w:themeTint="BF"/>
          <w:bottom w:val="single" w:sz="8" w:space="0" w:color="77C7D2" w:themeColor="accent5" w:themeTint="BF"/>
          <w:right w:val="single" w:sz="8" w:space="0" w:color="77C7D2" w:themeColor="accent5" w:themeTint="BF"/>
          <w:insideH w:val="nil"/>
          <w:insideV w:val="nil"/>
        </w:tcBorders>
        <w:shd w:val="clear" w:color="auto" w:fill="4AB5C4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7C7D2" w:themeColor="accent5" w:themeTint="BF"/>
          <w:left w:val="single" w:sz="8" w:space="0" w:color="77C7D2" w:themeColor="accent5" w:themeTint="BF"/>
          <w:bottom w:val="single" w:sz="8" w:space="0" w:color="77C7D2" w:themeColor="accent5" w:themeTint="BF"/>
          <w:right w:val="single" w:sz="8" w:space="0" w:color="77C7D2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CF0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CF0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17BEF3" w:themeColor="accent6" w:themeTint="BF"/>
        <w:left w:val="single" w:sz="8" w:space="0" w:color="17BEF3" w:themeColor="accent6" w:themeTint="BF"/>
        <w:bottom w:val="single" w:sz="8" w:space="0" w:color="17BEF3" w:themeColor="accent6" w:themeTint="BF"/>
        <w:right w:val="single" w:sz="8" w:space="0" w:color="17BEF3" w:themeColor="accent6" w:themeTint="BF"/>
        <w:insideH w:val="single" w:sz="8" w:space="0" w:color="17BEF3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17BEF3" w:themeColor="accent6" w:themeTint="BF"/>
          <w:left w:val="single" w:sz="8" w:space="0" w:color="17BEF3" w:themeColor="accent6" w:themeTint="BF"/>
          <w:bottom w:val="single" w:sz="8" w:space="0" w:color="17BEF3" w:themeColor="accent6" w:themeTint="BF"/>
          <w:right w:val="single" w:sz="8" w:space="0" w:color="17BEF3" w:themeColor="accent6" w:themeTint="BF"/>
          <w:insideH w:val="nil"/>
          <w:insideV w:val="nil"/>
        </w:tcBorders>
        <w:shd w:val="clear" w:color="auto" w:fill="0989B1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7BEF3" w:themeColor="accent6" w:themeTint="BF"/>
          <w:left w:val="single" w:sz="8" w:space="0" w:color="17BEF3" w:themeColor="accent6" w:themeTint="BF"/>
          <w:bottom w:val="single" w:sz="8" w:space="0" w:color="17BEF3" w:themeColor="accent6" w:themeTint="BF"/>
          <w:right w:val="single" w:sz="8" w:space="0" w:color="17BEF3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2E9FB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2E9FB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49E39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49E39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49E39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AB833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AB833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AB833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CF3A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CF3A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CF3A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29676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29676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29676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AB5C4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AB5C4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AB5C4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989B1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989B1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989B1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455F51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549E39" w:themeColor="accent1"/>
        <w:bottom w:val="single" w:sz="8" w:space="0" w:color="549E39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49E39" w:themeColor="accent1"/>
        </w:tcBorders>
      </w:tcPr>
    </w:tblStylePr>
    <w:tblStylePr w:type="lastRow">
      <w:rPr>
        <w:b/>
        <w:bCs/>
        <w:color w:val="455F51" w:themeColor="text2"/>
      </w:rPr>
      <w:tblPr/>
      <w:tcPr>
        <w:tcBorders>
          <w:top w:val="single" w:sz="8" w:space="0" w:color="549E39" w:themeColor="accent1"/>
          <w:bottom w:val="single" w:sz="8" w:space="0" w:color="549E39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49E39" w:themeColor="accent1"/>
          <w:bottom w:val="single" w:sz="8" w:space="0" w:color="549E39" w:themeColor="accent1"/>
        </w:tcBorders>
      </w:tcPr>
    </w:tblStylePr>
    <w:tblStylePr w:type="band1Vert">
      <w:tblPr/>
      <w:tcPr>
        <w:shd w:val="clear" w:color="auto" w:fill="D2EBC9" w:themeFill="accent1" w:themeFillTint="3F"/>
      </w:tcPr>
    </w:tblStylePr>
    <w:tblStylePr w:type="band1Horz">
      <w:tblPr/>
      <w:tcPr>
        <w:shd w:val="clear" w:color="auto" w:fill="D2EBC9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AB833" w:themeColor="accent2"/>
        <w:bottom w:val="single" w:sz="8" w:space="0" w:color="8AB833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AB833" w:themeColor="accent2"/>
        </w:tcBorders>
      </w:tcPr>
    </w:tblStylePr>
    <w:tblStylePr w:type="lastRow">
      <w:rPr>
        <w:b/>
        <w:bCs/>
        <w:color w:val="455F51" w:themeColor="text2"/>
      </w:rPr>
      <w:tblPr/>
      <w:tcPr>
        <w:tcBorders>
          <w:top w:val="single" w:sz="8" w:space="0" w:color="8AB833" w:themeColor="accent2"/>
          <w:bottom w:val="single" w:sz="8" w:space="0" w:color="8AB833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AB833" w:themeColor="accent2"/>
          <w:bottom w:val="single" w:sz="8" w:space="0" w:color="8AB833" w:themeColor="accent2"/>
        </w:tcBorders>
      </w:tcPr>
    </w:tblStylePr>
    <w:tblStylePr w:type="band1Vert">
      <w:tblPr/>
      <w:tcPr>
        <w:shd w:val="clear" w:color="auto" w:fill="E2F0C9" w:themeFill="accent2" w:themeFillTint="3F"/>
      </w:tcPr>
    </w:tblStylePr>
    <w:tblStylePr w:type="band1Horz">
      <w:tblPr/>
      <w:tcPr>
        <w:shd w:val="clear" w:color="auto" w:fill="E2F0C9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CF3A" w:themeColor="accent3"/>
        <w:bottom w:val="single" w:sz="8" w:space="0" w:color="C0CF3A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CF3A" w:themeColor="accent3"/>
        </w:tcBorders>
      </w:tcPr>
    </w:tblStylePr>
    <w:tblStylePr w:type="lastRow">
      <w:rPr>
        <w:b/>
        <w:bCs/>
        <w:color w:val="455F51" w:themeColor="text2"/>
      </w:rPr>
      <w:tblPr/>
      <w:tcPr>
        <w:tcBorders>
          <w:top w:val="single" w:sz="8" w:space="0" w:color="C0CF3A" w:themeColor="accent3"/>
          <w:bottom w:val="single" w:sz="8" w:space="0" w:color="C0CF3A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CF3A" w:themeColor="accent3"/>
          <w:bottom w:val="single" w:sz="8" w:space="0" w:color="C0CF3A" w:themeColor="accent3"/>
        </w:tcBorders>
      </w:tcPr>
    </w:tblStylePr>
    <w:tblStylePr w:type="band1Vert">
      <w:tblPr/>
      <w:tcPr>
        <w:shd w:val="clear" w:color="auto" w:fill="EFF3CE" w:themeFill="accent3" w:themeFillTint="3F"/>
      </w:tcPr>
    </w:tblStylePr>
    <w:tblStylePr w:type="band1Horz">
      <w:tblPr/>
      <w:tcPr>
        <w:shd w:val="clear" w:color="auto" w:fill="EFF3CE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29676" w:themeColor="accent4"/>
        <w:bottom w:val="single" w:sz="8" w:space="0" w:color="029676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29676" w:themeColor="accent4"/>
        </w:tcBorders>
      </w:tcPr>
    </w:tblStylePr>
    <w:tblStylePr w:type="lastRow">
      <w:rPr>
        <w:b/>
        <w:bCs/>
        <w:color w:val="455F51" w:themeColor="text2"/>
      </w:rPr>
      <w:tblPr/>
      <w:tcPr>
        <w:tcBorders>
          <w:top w:val="single" w:sz="8" w:space="0" w:color="029676" w:themeColor="accent4"/>
          <w:bottom w:val="single" w:sz="8" w:space="0" w:color="029676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29676" w:themeColor="accent4"/>
          <w:bottom w:val="single" w:sz="8" w:space="0" w:color="029676" w:themeColor="accent4"/>
        </w:tcBorders>
      </w:tcPr>
    </w:tblStylePr>
    <w:tblStylePr w:type="band1Vert">
      <w:tblPr/>
      <w:tcPr>
        <w:shd w:val="clear" w:color="auto" w:fill="A7FDEA" w:themeFill="accent4" w:themeFillTint="3F"/>
      </w:tcPr>
    </w:tblStylePr>
    <w:tblStylePr w:type="band1Horz">
      <w:tblPr/>
      <w:tcPr>
        <w:shd w:val="clear" w:color="auto" w:fill="A7FDEA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AB5C4" w:themeColor="accent5"/>
        <w:bottom w:val="single" w:sz="8" w:space="0" w:color="4AB5C4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AB5C4" w:themeColor="accent5"/>
        </w:tcBorders>
      </w:tcPr>
    </w:tblStylePr>
    <w:tblStylePr w:type="lastRow">
      <w:rPr>
        <w:b/>
        <w:bCs/>
        <w:color w:val="455F51" w:themeColor="text2"/>
      </w:rPr>
      <w:tblPr/>
      <w:tcPr>
        <w:tcBorders>
          <w:top w:val="single" w:sz="8" w:space="0" w:color="4AB5C4" w:themeColor="accent5"/>
          <w:bottom w:val="single" w:sz="8" w:space="0" w:color="4AB5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AB5C4" w:themeColor="accent5"/>
          <w:bottom w:val="single" w:sz="8" w:space="0" w:color="4AB5C4" w:themeColor="accent5"/>
        </w:tcBorders>
      </w:tcPr>
    </w:tblStylePr>
    <w:tblStylePr w:type="band1Vert">
      <w:tblPr/>
      <w:tcPr>
        <w:shd w:val="clear" w:color="auto" w:fill="D2ECF0" w:themeFill="accent5" w:themeFillTint="3F"/>
      </w:tcPr>
    </w:tblStylePr>
    <w:tblStylePr w:type="band1Horz">
      <w:tblPr/>
      <w:tcPr>
        <w:shd w:val="clear" w:color="auto" w:fill="D2ECF0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989B1" w:themeColor="accent6"/>
        <w:bottom w:val="single" w:sz="8" w:space="0" w:color="0989B1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989B1" w:themeColor="accent6"/>
        </w:tcBorders>
      </w:tcPr>
    </w:tblStylePr>
    <w:tblStylePr w:type="lastRow">
      <w:rPr>
        <w:b/>
        <w:bCs/>
        <w:color w:val="455F51" w:themeColor="text2"/>
      </w:rPr>
      <w:tblPr/>
      <w:tcPr>
        <w:tcBorders>
          <w:top w:val="single" w:sz="8" w:space="0" w:color="0989B1" w:themeColor="accent6"/>
          <w:bottom w:val="single" w:sz="8" w:space="0" w:color="0989B1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989B1" w:themeColor="accent6"/>
          <w:bottom w:val="single" w:sz="8" w:space="0" w:color="0989B1" w:themeColor="accent6"/>
        </w:tcBorders>
      </w:tcPr>
    </w:tblStylePr>
    <w:tblStylePr w:type="band1Vert">
      <w:tblPr/>
      <w:tcPr>
        <w:shd w:val="clear" w:color="auto" w:fill="B2E9FB" w:themeFill="accent6" w:themeFillTint="3F"/>
      </w:tcPr>
    </w:tblStylePr>
    <w:tblStylePr w:type="band1Horz">
      <w:tblPr/>
      <w:tcPr>
        <w:shd w:val="clear" w:color="auto" w:fill="B2E9FB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49E39" w:themeColor="accent1"/>
        <w:left w:val="single" w:sz="8" w:space="0" w:color="549E39" w:themeColor="accent1"/>
        <w:bottom w:val="single" w:sz="8" w:space="0" w:color="549E39" w:themeColor="accent1"/>
        <w:right w:val="single" w:sz="8" w:space="0" w:color="549E39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49E39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549E39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49E39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49E39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BC9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BC9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AB833" w:themeColor="accent2"/>
        <w:left w:val="single" w:sz="8" w:space="0" w:color="8AB833" w:themeColor="accent2"/>
        <w:bottom w:val="single" w:sz="8" w:space="0" w:color="8AB833" w:themeColor="accent2"/>
        <w:right w:val="single" w:sz="8" w:space="0" w:color="8AB833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AB83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AB833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AB833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AB833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2F0C9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2F0C9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CF3A" w:themeColor="accent3"/>
        <w:left w:val="single" w:sz="8" w:space="0" w:color="C0CF3A" w:themeColor="accent3"/>
        <w:bottom w:val="single" w:sz="8" w:space="0" w:color="C0CF3A" w:themeColor="accent3"/>
        <w:right w:val="single" w:sz="8" w:space="0" w:color="C0CF3A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CF3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CF3A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CF3A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CF3A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F3CE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F3CE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29676" w:themeColor="accent4"/>
        <w:left w:val="single" w:sz="8" w:space="0" w:color="029676" w:themeColor="accent4"/>
        <w:bottom w:val="single" w:sz="8" w:space="0" w:color="029676" w:themeColor="accent4"/>
        <w:right w:val="single" w:sz="8" w:space="0" w:color="029676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29676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29676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29676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29676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A7FDEA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A7FDEA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AB5C4" w:themeColor="accent5"/>
        <w:left w:val="single" w:sz="8" w:space="0" w:color="4AB5C4" w:themeColor="accent5"/>
        <w:bottom w:val="single" w:sz="8" w:space="0" w:color="4AB5C4" w:themeColor="accent5"/>
        <w:right w:val="single" w:sz="8" w:space="0" w:color="4AB5C4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AB5C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AB5C4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AB5C4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AB5C4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CF0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CF0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989B1" w:themeColor="accent6"/>
        <w:left w:val="single" w:sz="8" w:space="0" w:color="0989B1" w:themeColor="accent6"/>
        <w:bottom w:val="single" w:sz="8" w:space="0" w:color="0989B1" w:themeColor="accent6"/>
        <w:right w:val="single" w:sz="8" w:space="0" w:color="0989B1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989B1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989B1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989B1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989B1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E9FB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E9FB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45C" w:themeColor="accent1" w:themeTint="BF"/>
        <w:left w:val="single" w:sz="8" w:space="0" w:color="78C45C" w:themeColor="accent1" w:themeTint="BF"/>
        <w:bottom w:val="single" w:sz="8" w:space="0" w:color="78C45C" w:themeColor="accent1" w:themeTint="BF"/>
        <w:right w:val="single" w:sz="8" w:space="0" w:color="78C45C" w:themeColor="accent1" w:themeTint="BF"/>
        <w:insideH w:val="single" w:sz="8" w:space="0" w:color="78C45C" w:themeColor="accent1" w:themeTint="BF"/>
        <w:insideV w:val="single" w:sz="8" w:space="0" w:color="78C45C" w:themeColor="accent1" w:themeTint="BF"/>
      </w:tblBorders>
    </w:tblPr>
    <w:tcPr>
      <w:shd w:val="clear" w:color="auto" w:fill="D2EBC9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45C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893" w:themeFill="accent1" w:themeFillTint="7F"/>
      </w:tcPr>
    </w:tblStylePr>
    <w:tblStylePr w:type="band1Horz">
      <w:tblPr/>
      <w:tcPr>
        <w:shd w:val="clear" w:color="auto" w:fill="A5D893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A9D25D" w:themeColor="accent2" w:themeTint="BF"/>
        <w:left w:val="single" w:sz="8" w:space="0" w:color="A9D25D" w:themeColor="accent2" w:themeTint="BF"/>
        <w:bottom w:val="single" w:sz="8" w:space="0" w:color="A9D25D" w:themeColor="accent2" w:themeTint="BF"/>
        <w:right w:val="single" w:sz="8" w:space="0" w:color="A9D25D" w:themeColor="accent2" w:themeTint="BF"/>
        <w:insideH w:val="single" w:sz="8" w:space="0" w:color="A9D25D" w:themeColor="accent2" w:themeTint="BF"/>
        <w:insideV w:val="single" w:sz="8" w:space="0" w:color="A9D25D" w:themeColor="accent2" w:themeTint="BF"/>
      </w:tblBorders>
    </w:tblPr>
    <w:tcPr>
      <w:shd w:val="clear" w:color="auto" w:fill="E2F0C9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A9D25D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6E193" w:themeFill="accent2" w:themeFillTint="7F"/>
      </w:tcPr>
    </w:tblStylePr>
    <w:tblStylePr w:type="band1Horz">
      <w:tblPr/>
      <w:tcPr>
        <w:shd w:val="clear" w:color="auto" w:fill="C6E193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DB6B" w:themeColor="accent3" w:themeTint="BF"/>
        <w:left w:val="single" w:sz="8" w:space="0" w:color="CFDB6B" w:themeColor="accent3" w:themeTint="BF"/>
        <w:bottom w:val="single" w:sz="8" w:space="0" w:color="CFDB6B" w:themeColor="accent3" w:themeTint="BF"/>
        <w:right w:val="single" w:sz="8" w:space="0" w:color="CFDB6B" w:themeColor="accent3" w:themeTint="BF"/>
        <w:insideH w:val="single" w:sz="8" w:space="0" w:color="CFDB6B" w:themeColor="accent3" w:themeTint="BF"/>
        <w:insideV w:val="single" w:sz="8" w:space="0" w:color="CFDB6B" w:themeColor="accent3" w:themeTint="BF"/>
      </w:tblBorders>
    </w:tblPr>
    <w:tcPr>
      <w:shd w:val="clear" w:color="auto" w:fill="EFF3CE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DB6B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79C" w:themeFill="accent3" w:themeFillTint="7F"/>
      </w:tcPr>
    </w:tblStylePr>
    <w:tblStylePr w:type="band1Horz">
      <w:tblPr/>
      <w:tcPr>
        <w:shd w:val="clear" w:color="auto" w:fill="DFE79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3EEBA" w:themeColor="accent4" w:themeTint="BF"/>
        <w:left w:val="single" w:sz="8" w:space="0" w:color="03EEBA" w:themeColor="accent4" w:themeTint="BF"/>
        <w:bottom w:val="single" w:sz="8" w:space="0" w:color="03EEBA" w:themeColor="accent4" w:themeTint="BF"/>
        <w:right w:val="single" w:sz="8" w:space="0" w:color="03EEBA" w:themeColor="accent4" w:themeTint="BF"/>
        <w:insideH w:val="single" w:sz="8" w:space="0" w:color="03EEBA" w:themeColor="accent4" w:themeTint="BF"/>
        <w:insideV w:val="single" w:sz="8" w:space="0" w:color="03EEBA" w:themeColor="accent4" w:themeTint="BF"/>
      </w:tblBorders>
    </w:tblPr>
    <w:tcPr>
      <w:shd w:val="clear" w:color="auto" w:fill="A7FDEA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3EEBA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4FFCD6" w:themeFill="accent4" w:themeFillTint="7F"/>
      </w:tcPr>
    </w:tblStylePr>
    <w:tblStylePr w:type="band1Horz">
      <w:tblPr/>
      <w:tcPr>
        <w:shd w:val="clear" w:color="auto" w:fill="4FFCD6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7C7D2" w:themeColor="accent5" w:themeTint="BF"/>
        <w:left w:val="single" w:sz="8" w:space="0" w:color="77C7D2" w:themeColor="accent5" w:themeTint="BF"/>
        <w:bottom w:val="single" w:sz="8" w:space="0" w:color="77C7D2" w:themeColor="accent5" w:themeTint="BF"/>
        <w:right w:val="single" w:sz="8" w:space="0" w:color="77C7D2" w:themeColor="accent5" w:themeTint="BF"/>
        <w:insideH w:val="single" w:sz="8" w:space="0" w:color="77C7D2" w:themeColor="accent5" w:themeTint="BF"/>
        <w:insideV w:val="single" w:sz="8" w:space="0" w:color="77C7D2" w:themeColor="accent5" w:themeTint="BF"/>
      </w:tblBorders>
    </w:tblPr>
    <w:tcPr>
      <w:shd w:val="clear" w:color="auto" w:fill="D2ECF0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7C7D2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4DAE1" w:themeFill="accent5" w:themeFillTint="7F"/>
      </w:tcPr>
    </w:tblStylePr>
    <w:tblStylePr w:type="band1Horz">
      <w:tblPr/>
      <w:tcPr>
        <w:shd w:val="clear" w:color="auto" w:fill="A4DAE1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17BEF3" w:themeColor="accent6" w:themeTint="BF"/>
        <w:left w:val="single" w:sz="8" w:space="0" w:color="17BEF3" w:themeColor="accent6" w:themeTint="BF"/>
        <w:bottom w:val="single" w:sz="8" w:space="0" w:color="17BEF3" w:themeColor="accent6" w:themeTint="BF"/>
        <w:right w:val="single" w:sz="8" w:space="0" w:color="17BEF3" w:themeColor="accent6" w:themeTint="BF"/>
        <w:insideH w:val="single" w:sz="8" w:space="0" w:color="17BEF3" w:themeColor="accent6" w:themeTint="BF"/>
        <w:insideV w:val="single" w:sz="8" w:space="0" w:color="17BEF3" w:themeColor="accent6" w:themeTint="BF"/>
      </w:tblBorders>
    </w:tblPr>
    <w:tcPr>
      <w:shd w:val="clear" w:color="auto" w:fill="B2E9FB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17BEF3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5D4F7" w:themeFill="accent6" w:themeFillTint="7F"/>
      </w:tcPr>
    </w:tblStylePr>
    <w:tblStylePr w:type="band1Horz">
      <w:tblPr/>
      <w:tcPr>
        <w:shd w:val="clear" w:color="auto" w:fill="65D4F7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49E39" w:themeColor="accent1"/>
        <w:left w:val="single" w:sz="8" w:space="0" w:color="549E39" w:themeColor="accent1"/>
        <w:bottom w:val="single" w:sz="8" w:space="0" w:color="549E39" w:themeColor="accent1"/>
        <w:right w:val="single" w:sz="8" w:space="0" w:color="549E39" w:themeColor="accent1"/>
        <w:insideH w:val="single" w:sz="8" w:space="0" w:color="549E39" w:themeColor="accent1"/>
        <w:insideV w:val="single" w:sz="8" w:space="0" w:color="549E39" w:themeColor="accent1"/>
      </w:tblBorders>
    </w:tblPr>
    <w:tcPr>
      <w:shd w:val="clear" w:color="auto" w:fill="D2EBC9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7E9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FD3" w:themeFill="accent1" w:themeFillTint="33"/>
      </w:tcPr>
    </w:tblStylePr>
    <w:tblStylePr w:type="band1Vert">
      <w:tblPr/>
      <w:tcPr>
        <w:shd w:val="clear" w:color="auto" w:fill="A5D893" w:themeFill="accent1" w:themeFillTint="7F"/>
      </w:tcPr>
    </w:tblStylePr>
    <w:tblStylePr w:type="band1Horz">
      <w:tblPr/>
      <w:tcPr>
        <w:tcBorders>
          <w:insideH w:val="single" w:sz="6" w:space="0" w:color="549E39" w:themeColor="accent1"/>
          <w:insideV w:val="single" w:sz="6" w:space="0" w:color="549E39" w:themeColor="accent1"/>
        </w:tcBorders>
        <w:shd w:val="clear" w:color="auto" w:fill="A5D89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AB833" w:themeColor="accent2"/>
        <w:left w:val="single" w:sz="8" w:space="0" w:color="8AB833" w:themeColor="accent2"/>
        <w:bottom w:val="single" w:sz="8" w:space="0" w:color="8AB833" w:themeColor="accent2"/>
        <w:right w:val="single" w:sz="8" w:space="0" w:color="8AB833" w:themeColor="accent2"/>
        <w:insideH w:val="single" w:sz="8" w:space="0" w:color="8AB833" w:themeColor="accent2"/>
        <w:insideV w:val="single" w:sz="8" w:space="0" w:color="8AB833" w:themeColor="accent2"/>
      </w:tblBorders>
    </w:tblPr>
    <w:tcPr>
      <w:shd w:val="clear" w:color="auto" w:fill="E2F0C9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3F9E9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F3D3" w:themeFill="accent2" w:themeFillTint="33"/>
      </w:tcPr>
    </w:tblStylePr>
    <w:tblStylePr w:type="band1Vert">
      <w:tblPr/>
      <w:tcPr>
        <w:shd w:val="clear" w:color="auto" w:fill="C6E193" w:themeFill="accent2" w:themeFillTint="7F"/>
      </w:tcPr>
    </w:tblStylePr>
    <w:tblStylePr w:type="band1Horz">
      <w:tblPr/>
      <w:tcPr>
        <w:tcBorders>
          <w:insideH w:val="single" w:sz="6" w:space="0" w:color="8AB833" w:themeColor="accent2"/>
          <w:insideV w:val="single" w:sz="6" w:space="0" w:color="8AB833" w:themeColor="accent2"/>
        </w:tcBorders>
        <w:shd w:val="clear" w:color="auto" w:fill="C6E193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CF3A" w:themeColor="accent3"/>
        <w:left w:val="single" w:sz="8" w:space="0" w:color="C0CF3A" w:themeColor="accent3"/>
        <w:bottom w:val="single" w:sz="8" w:space="0" w:color="C0CF3A" w:themeColor="accent3"/>
        <w:right w:val="single" w:sz="8" w:space="0" w:color="C0CF3A" w:themeColor="accent3"/>
        <w:insideH w:val="single" w:sz="8" w:space="0" w:color="C0CF3A" w:themeColor="accent3"/>
        <w:insideV w:val="single" w:sz="8" w:space="0" w:color="C0CF3A" w:themeColor="accent3"/>
      </w:tblBorders>
    </w:tblPr>
    <w:tcPr>
      <w:shd w:val="clear" w:color="auto" w:fill="EFF3CE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8FAEB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F5D7" w:themeFill="accent3" w:themeFillTint="33"/>
      </w:tcPr>
    </w:tblStylePr>
    <w:tblStylePr w:type="band1Vert">
      <w:tblPr/>
      <w:tcPr>
        <w:shd w:val="clear" w:color="auto" w:fill="DFE79C" w:themeFill="accent3" w:themeFillTint="7F"/>
      </w:tcPr>
    </w:tblStylePr>
    <w:tblStylePr w:type="band1Horz">
      <w:tblPr/>
      <w:tcPr>
        <w:tcBorders>
          <w:insideH w:val="single" w:sz="6" w:space="0" w:color="C0CF3A" w:themeColor="accent3"/>
          <w:insideV w:val="single" w:sz="6" w:space="0" w:color="C0CF3A" w:themeColor="accent3"/>
        </w:tcBorders>
        <w:shd w:val="clear" w:color="auto" w:fill="DFE79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29676" w:themeColor="accent4"/>
        <w:left w:val="single" w:sz="8" w:space="0" w:color="029676" w:themeColor="accent4"/>
        <w:bottom w:val="single" w:sz="8" w:space="0" w:color="029676" w:themeColor="accent4"/>
        <w:right w:val="single" w:sz="8" w:space="0" w:color="029676" w:themeColor="accent4"/>
        <w:insideH w:val="single" w:sz="8" w:space="0" w:color="029676" w:themeColor="accent4"/>
        <w:insideV w:val="single" w:sz="8" w:space="0" w:color="029676" w:themeColor="accent4"/>
      </w:tblBorders>
    </w:tblPr>
    <w:tcPr>
      <w:shd w:val="clear" w:color="auto" w:fill="A7FDEA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DCFEF7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8FEEE" w:themeFill="accent4" w:themeFillTint="33"/>
      </w:tcPr>
    </w:tblStylePr>
    <w:tblStylePr w:type="band1Vert">
      <w:tblPr/>
      <w:tcPr>
        <w:shd w:val="clear" w:color="auto" w:fill="4FFCD6" w:themeFill="accent4" w:themeFillTint="7F"/>
      </w:tcPr>
    </w:tblStylePr>
    <w:tblStylePr w:type="band1Horz">
      <w:tblPr/>
      <w:tcPr>
        <w:tcBorders>
          <w:insideH w:val="single" w:sz="6" w:space="0" w:color="029676" w:themeColor="accent4"/>
          <w:insideV w:val="single" w:sz="6" w:space="0" w:color="029676" w:themeColor="accent4"/>
        </w:tcBorders>
        <w:shd w:val="clear" w:color="auto" w:fill="4FFCD6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AB5C4" w:themeColor="accent5"/>
        <w:left w:val="single" w:sz="8" w:space="0" w:color="4AB5C4" w:themeColor="accent5"/>
        <w:bottom w:val="single" w:sz="8" w:space="0" w:color="4AB5C4" w:themeColor="accent5"/>
        <w:right w:val="single" w:sz="8" w:space="0" w:color="4AB5C4" w:themeColor="accent5"/>
        <w:insideH w:val="single" w:sz="8" w:space="0" w:color="4AB5C4" w:themeColor="accent5"/>
        <w:insideV w:val="single" w:sz="8" w:space="0" w:color="4AB5C4" w:themeColor="accent5"/>
      </w:tblBorders>
    </w:tblPr>
    <w:tcPr>
      <w:shd w:val="clear" w:color="auto" w:fill="D2ECF0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7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F0F3" w:themeFill="accent5" w:themeFillTint="33"/>
      </w:tcPr>
    </w:tblStylePr>
    <w:tblStylePr w:type="band1Vert">
      <w:tblPr/>
      <w:tcPr>
        <w:shd w:val="clear" w:color="auto" w:fill="A4DAE1" w:themeFill="accent5" w:themeFillTint="7F"/>
      </w:tcPr>
    </w:tblStylePr>
    <w:tblStylePr w:type="band1Horz">
      <w:tblPr/>
      <w:tcPr>
        <w:tcBorders>
          <w:insideH w:val="single" w:sz="6" w:space="0" w:color="4AB5C4" w:themeColor="accent5"/>
          <w:insideV w:val="single" w:sz="6" w:space="0" w:color="4AB5C4" w:themeColor="accent5"/>
        </w:tcBorders>
        <w:shd w:val="clear" w:color="auto" w:fill="A4DAE1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989B1" w:themeColor="accent6"/>
        <w:left w:val="single" w:sz="8" w:space="0" w:color="0989B1" w:themeColor="accent6"/>
        <w:bottom w:val="single" w:sz="8" w:space="0" w:color="0989B1" w:themeColor="accent6"/>
        <w:right w:val="single" w:sz="8" w:space="0" w:color="0989B1" w:themeColor="accent6"/>
        <w:insideH w:val="single" w:sz="8" w:space="0" w:color="0989B1" w:themeColor="accent6"/>
        <w:insideV w:val="single" w:sz="8" w:space="0" w:color="0989B1" w:themeColor="accent6"/>
      </w:tblBorders>
    </w:tblPr>
    <w:tcPr>
      <w:shd w:val="clear" w:color="auto" w:fill="B2E9FB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0F6F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1EDFC" w:themeFill="accent6" w:themeFillTint="33"/>
      </w:tcPr>
    </w:tblStylePr>
    <w:tblStylePr w:type="band1Vert">
      <w:tblPr/>
      <w:tcPr>
        <w:shd w:val="clear" w:color="auto" w:fill="65D4F7" w:themeFill="accent6" w:themeFillTint="7F"/>
      </w:tcPr>
    </w:tblStylePr>
    <w:tblStylePr w:type="band1Horz">
      <w:tblPr/>
      <w:tcPr>
        <w:tcBorders>
          <w:insideH w:val="single" w:sz="6" w:space="0" w:color="0989B1" w:themeColor="accent6"/>
          <w:insideV w:val="single" w:sz="6" w:space="0" w:color="0989B1" w:themeColor="accent6"/>
        </w:tcBorders>
        <w:shd w:val="clear" w:color="auto" w:fill="65D4F7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BC9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49E39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49E39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49E39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49E39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89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893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2F0C9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AB833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AB833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AB833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AB833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6E193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6E193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F3CE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CF3A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CF3A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CF3A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CF3A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E79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E79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A7FDEA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29676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29676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29676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29676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4FFCD6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4FFCD6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CF0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AB5C4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AB5C4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AB5C4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AB5C4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4DAE1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4DAE1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2E9FB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989B1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989B1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989B1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989B1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5D4F7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5D4F7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549E39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94E1C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E762A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E762A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E762A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E762A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AB833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45B19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68926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68926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8926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68926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CF3A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16919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39F2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39F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39F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39F27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29676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14A3A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17057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17057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17057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17057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AB5C4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15C6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B9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B9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B9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B98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989B1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44357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66684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66684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66684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66684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AB833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AB83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AB833" w:themeColor="accent2"/>
        <w:left w:val="single" w:sz="4" w:space="0" w:color="549E39" w:themeColor="accent1"/>
        <w:bottom w:val="single" w:sz="4" w:space="0" w:color="549E39" w:themeColor="accent1"/>
        <w:right w:val="single" w:sz="4" w:space="0" w:color="549E39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7E9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AB83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25E22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25E22" w:themeColor="accent1" w:themeShade="99"/>
          <w:insideV w:val="nil"/>
        </w:tcBorders>
        <w:shd w:val="clear" w:color="auto" w:fill="325E22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25E22" w:themeFill="accent1" w:themeFillShade="99"/>
      </w:tcPr>
    </w:tblStylePr>
    <w:tblStylePr w:type="band1Vert">
      <w:tblPr/>
      <w:tcPr>
        <w:shd w:val="clear" w:color="auto" w:fill="B7DFA8" w:themeFill="accent1" w:themeFillTint="66"/>
      </w:tcPr>
    </w:tblStylePr>
    <w:tblStylePr w:type="band1Horz">
      <w:tblPr/>
      <w:tcPr>
        <w:shd w:val="clear" w:color="auto" w:fill="A5D89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AB833" w:themeColor="accent2"/>
        <w:left w:val="single" w:sz="4" w:space="0" w:color="8AB833" w:themeColor="accent2"/>
        <w:bottom w:val="single" w:sz="4" w:space="0" w:color="8AB833" w:themeColor="accent2"/>
        <w:right w:val="single" w:sz="4" w:space="0" w:color="8AB833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3F9E9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AB833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26E1E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26E1E" w:themeColor="accent2" w:themeShade="99"/>
          <w:insideV w:val="nil"/>
        </w:tcBorders>
        <w:shd w:val="clear" w:color="auto" w:fill="526E1E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6E1E" w:themeFill="accent2" w:themeFillShade="99"/>
      </w:tcPr>
    </w:tblStylePr>
    <w:tblStylePr w:type="band1Vert">
      <w:tblPr/>
      <w:tcPr>
        <w:shd w:val="clear" w:color="auto" w:fill="D1E7A8" w:themeFill="accent2" w:themeFillTint="66"/>
      </w:tcPr>
    </w:tblStylePr>
    <w:tblStylePr w:type="band1Horz">
      <w:tblPr/>
      <w:tcPr>
        <w:shd w:val="clear" w:color="auto" w:fill="C6E193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29676" w:themeColor="accent4"/>
        <w:left w:val="single" w:sz="4" w:space="0" w:color="C0CF3A" w:themeColor="accent3"/>
        <w:bottom w:val="single" w:sz="4" w:space="0" w:color="C0CF3A" w:themeColor="accent3"/>
        <w:right w:val="single" w:sz="4" w:space="0" w:color="C0CF3A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FAEB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29676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57F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57F1F" w:themeColor="accent3" w:themeShade="99"/>
          <w:insideV w:val="nil"/>
        </w:tcBorders>
        <w:shd w:val="clear" w:color="auto" w:fill="757F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57F1F" w:themeFill="accent3" w:themeFillShade="99"/>
      </w:tcPr>
    </w:tblStylePr>
    <w:tblStylePr w:type="band1Vert">
      <w:tblPr/>
      <w:tcPr>
        <w:shd w:val="clear" w:color="auto" w:fill="E5EBB0" w:themeFill="accent3" w:themeFillTint="66"/>
      </w:tcPr>
    </w:tblStylePr>
    <w:tblStylePr w:type="band1Horz">
      <w:tblPr/>
      <w:tcPr>
        <w:shd w:val="clear" w:color="auto" w:fill="DFE79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CF3A" w:themeColor="accent3"/>
        <w:left w:val="single" w:sz="4" w:space="0" w:color="029676" w:themeColor="accent4"/>
        <w:bottom w:val="single" w:sz="4" w:space="0" w:color="029676" w:themeColor="accent4"/>
        <w:right w:val="single" w:sz="4" w:space="0" w:color="029676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CFEF7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CF3A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15946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15946" w:themeColor="accent4" w:themeShade="99"/>
          <w:insideV w:val="nil"/>
        </w:tcBorders>
        <w:shd w:val="clear" w:color="auto" w:fill="015946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15946" w:themeFill="accent4" w:themeFillShade="99"/>
      </w:tcPr>
    </w:tblStylePr>
    <w:tblStylePr w:type="band1Vert">
      <w:tblPr/>
      <w:tcPr>
        <w:shd w:val="clear" w:color="auto" w:fill="71FDDE" w:themeFill="accent4" w:themeFillTint="66"/>
      </w:tcPr>
    </w:tblStylePr>
    <w:tblStylePr w:type="band1Horz">
      <w:tblPr/>
      <w:tcPr>
        <w:shd w:val="clear" w:color="auto" w:fill="4FFCD6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0989B1" w:themeColor="accent6"/>
        <w:left w:val="single" w:sz="4" w:space="0" w:color="4AB5C4" w:themeColor="accent5"/>
        <w:bottom w:val="single" w:sz="4" w:space="0" w:color="4AB5C4" w:themeColor="accent5"/>
        <w:right w:val="single" w:sz="4" w:space="0" w:color="4AB5C4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7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989B1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86F7A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86F7A" w:themeColor="accent5" w:themeShade="99"/>
          <w:insideV w:val="nil"/>
        </w:tcBorders>
        <w:shd w:val="clear" w:color="auto" w:fill="286F7A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86F7A" w:themeFill="accent5" w:themeFillShade="99"/>
      </w:tcPr>
    </w:tblStylePr>
    <w:tblStylePr w:type="band1Vert">
      <w:tblPr/>
      <w:tcPr>
        <w:shd w:val="clear" w:color="auto" w:fill="B6E1E7" w:themeFill="accent5" w:themeFillTint="66"/>
      </w:tcPr>
    </w:tblStylePr>
    <w:tblStylePr w:type="band1Horz">
      <w:tblPr/>
      <w:tcPr>
        <w:shd w:val="clear" w:color="auto" w:fill="A4DAE1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AB5C4" w:themeColor="accent5"/>
        <w:left w:val="single" w:sz="4" w:space="0" w:color="0989B1" w:themeColor="accent6"/>
        <w:bottom w:val="single" w:sz="4" w:space="0" w:color="0989B1" w:themeColor="accent6"/>
        <w:right w:val="single" w:sz="4" w:space="0" w:color="0989B1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0F6F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AB5C4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55169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55169" w:themeColor="accent6" w:themeShade="99"/>
          <w:insideV w:val="nil"/>
        </w:tcBorders>
        <w:shd w:val="clear" w:color="auto" w:fill="055169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55169" w:themeFill="accent6" w:themeFillShade="99"/>
      </w:tcPr>
    </w:tblStylePr>
    <w:tblStylePr w:type="band1Vert">
      <w:tblPr/>
      <w:tcPr>
        <w:shd w:val="clear" w:color="auto" w:fill="83DCF8" w:themeFill="accent6" w:themeFillTint="66"/>
      </w:tcPr>
    </w:tblStylePr>
    <w:tblStylePr w:type="band1Horz">
      <w:tblPr/>
      <w:tcPr>
        <w:shd w:val="clear" w:color="auto" w:fill="65D4F7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E9329" w:themeFill="accent2" w:themeFillShade="CC"/>
      </w:tcPr>
    </w:tblStylePr>
    <w:tblStylePr w:type="lastRow">
      <w:rPr>
        <w:b/>
        <w:bCs/>
        <w:color w:val="6E9329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7E9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E9329" w:themeFill="accent2" w:themeFillShade="CC"/>
      </w:tcPr>
    </w:tblStylePr>
    <w:tblStylePr w:type="lastRow">
      <w:rPr>
        <w:b/>
        <w:bCs/>
        <w:color w:val="6E9329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BC9" w:themeFill="accent1" w:themeFillTint="3F"/>
      </w:tcPr>
    </w:tblStylePr>
    <w:tblStylePr w:type="band1Horz">
      <w:tblPr/>
      <w:tcPr>
        <w:shd w:val="clear" w:color="auto" w:fill="DAEFD3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3F9E9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E9329" w:themeFill="accent2" w:themeFillShade="CC"/>
      </w:tcPr>
    </w:tblStylePr>
    <w:tblStylePr w:type="lastRow">
      <w:rPr>
        <w:b/>
        <w:bCs/>
        <w:color w:val="6E9329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F0C9" w:themeFill="accent2" w:themeFillTint="3F"/>
      </w:tcPr>
    </w:tblStylePr>
    <w:tblStylePr w:type="band1Horz">
      <w:tblPr/>
      <w:tcPr>
        <w:shd w:val="clear" w:color="auto" w:fill="E8F3D3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FAEB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1775D" w:themeFill="accent4" w:themeFillShade="CC"/>
      </w:tcPr>
    </w:tblStylePr>
    <w:tblStylePr w:type="lastRow">
      <w:rPr>
        <w:b/>
        <w:bCs/>
        <w:color w:val="01775D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F3CE" w:themeFill="accent3" w:themeFillTint="3F"/>
      </w:tcPr>
    </w:tblStylePr>
    <w:tblStylePr w:type="band1Horz">
      <w:tblPr/>
      <w:tcPr>
        <w:shd w:val="clear" w:color="auto" w:fill="F2F5D7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DCFEF7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DAA29" w:themeFill="accent3" w:themeFillShade="CC"/>
      </w:tcPr>
    </w:tblStylePr>
    <w:tblStylePr w:type="lastRow">
      <w:rPr>
        <w:b/>
        <w:bCs/>
        <w:color w:val="9DAA29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7FDEA" w:themeFill="accent4" w:themeFillTint="3F"/>
      </w:tcPr>
    </w:tblStylePr>
    <w:tblStylePr w:type="band1Horz">
      <w:tblPr/>
      <w:tcPr>
        <w:shd w:val="clear" w:color="auto" w:fill="B8FEEE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7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76D8D" w:themeFill="accent6" w:themeFillShade="CC"/>
      </w:tcPr>
    </w:tblStylePr>
    <w:tblStylePr w:type="lastRow">
      <w:rPr>
        <w:b/>
        <w:bCs/>
        <w:color w:val="076D8D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CF0" w:themeFill="accent5" w:themeFillTint="3F"/>
      </w:tcPr>
    </w:tblStylePr>
    <w:tblStylePr w:type="band1Horz">
      <w:tblPr/>
      <w:tcPr>
        <w:shd w:val="clear" w:color="auto" w:fill="DAF0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0F6F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595A2" w:themeFill="accent5" w:themeFillShade="CC"/>
      </w:tcPr>
    </w:tblStylePr>
    <w:tblStylePr w:type="lastRow">
      <w:rPr>
        <w:b/>
        <w:bCs/>
        <w:color w:val="3595A2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E9FB" w:themeFill="accent6" w:themeFillTint="3F"/>
      </w:tcPr>
    </w:tblStylePr>
    <w:tblStylePr w:type="band1Horz">
      <w:tblPr/>
      <w:tcPr>
        <w:shd w:val="clear" w:color="auto" w:fill="C1EDFC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FD3" w:themeFill="accent1" w:themeFillTint="33"/>
    </w:tcPr>
    <w:tblStylePr w:type="firstRow">
      <w:rPr>
        <w:b/>
        <w:bCs/>
      </w:rPr>
      <w:tblPr/>
      <w:tcPr>
        <w:shd w:val="clear" w:color="auto" w:fill="B7DFA8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7DFA8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E762A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E762A" w:themeFill="accent1" w:themeFillShade="BF"/>
      </w:tcPr>
    </w:tblStylePr>
    <w:tblStylePr w:type="band1Vert">
      <w:tblPr/>
      <w:tcPr>
        <w:shd w:val="clear" w:color="auto" w:fill="A5D893" w:themeFill="accent1" w:themeFillTint="7F"/>
      </w:tcPr>
    </w:tblStylePr>
    <w:tblStylePr w:type="band1Horz">
      <w:tblPr/>
      <w:tcPr>
        <w:shd w:val="clear" w:color="auto" w:fill="A5D893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8F3D3" w:themeFill="accent2" w:themeFillTint="33"/>
    </w:tcPr>
    <w:tblStylePr w:type="firstRow">
      <w:rPr>
        <w:b/>
        <w:bCs/>
      </w:rPr>
      <w:tblPr/>
      <w:tcPr>
        <w:shd w:val="clear" w:color="auto" w:fill="D1E7A8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1E7A8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668926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668926" w:themeFill="accent2" w:themeFillShade="BF"/>
      </w:tcPr>
    </w:tblStylePr>
    <w:tblStylePr w:type="band1Vert">
      <w:tblPr/>
      <w:tcPr>
        <w:shd w:val="clear" w:color="auto" w:fill="C6E193" w:themeFill="accent2" w:themeFillTint="7F"/>
      </w:tcPr>
    </w:tblStylePr>
    <w:tblStylePr w:type="band1Horz">
      <w:tblPr/>
      <w:tcPr>
        <w:shd w:val="clear" w:color="auto" w:fill="C6E193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F5D7" w:themeFill="accent3" w:themeFillTint="33"/>
    </w:tcPr>
    <w:tblStylePr w:type="firstRow">
      <w:rPr>
        <w:b/>
        <w:bCs/>
      </w:rPr>
      <w:tblPr/>
      <w:tcPr>
        <w:shd w:val="clear" w:color="auto" w:fill="E5EBB0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EBB0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939F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939F27" w:themeFill="accent3" w:themeFillShade="BF"/>
      </w:tcPr>
    </w:tblStylePr>
    <w:tblStylePr w:type="band1Vert">
      <w:tblPr/>
      <w:tcPr>
        <w:shd w:val="clear" w:color="auto" w:fill="DFE79C" w:themeFill="accent3" w:themeFillTint="7F"/>
      </w:tcPr>
    </w:tblStylePr>
    <w:tblStylePr w:type="band1Horz">
      <w:tblPr/>
      <w:tcPr>
        <w:shd w:val="clear" w:color="auto" w:fill="DFE79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B8FEEE" w:themeFill="accent4" w:themeFillTint="33"/>
    </w:tcPr>
    <w:tblStylePr w:type="firstRow">
      <w:rPr>
        <w:b/>
        <w:bCs/>
      </w:rPr>
      <w:tblPr/>
      <w:tcPr>
        <w:shd w:val="clear" w:color="auto" w:fill="71FDDE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71FDDE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017057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017057" w:themeFill="accent4" w:themeFillShade="BF"/>
      </w:tcPr>
    </w:tblStylePr>
    <w:tblStylePr w:type="band1Vert">
      <w:tblPr/>
      <w:tcPr>
        <w:shd w:val="clear" w:color="auto" w:fill="4FFCD6" w:themeFill="accent4" w:themeFillTint="7F"/>
      </w:tcPr>
    </w:tblStylePr>
    <w:tblStylePr w:type="band1Horz">
      <w:tblPr/>
      <w:tcPr>
        <w:shd w:val="clear" w:color="auto" w:fill="4FFCD6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F0F3" w:themeFill="accent5" w:themeFillTint="33"/>
    </w:tcPr>
    <w:tblStylePr w:type="firstRow">
      <w:rPr>
        <w:b/>
        <w:bCs/>
      </w:rPr>
      <w:tblPr/>
      <w:tcPr>
        <w:shd w:val="clear" w:color="auto" w:fill="B6E1E7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E1E7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B9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B98" w:themeFill="accent5" w:themeFillShade="BF"/>
      </w:tcPr>
    </w:tblStylePr>
    <w:tblStylePr w:type="band1Vert">
      <w:tblPr/>
      <w:tcPr>
        <w:shd w:val="clear" w:color="auto" w:fill="A4DAE1" w:themeFill="accent5" w:themeFillTint="7F"/>
      </w:tcPr>
    </w:tblStylePr>
    <w:tblStylePr w:type="band1Horz">
      <w:tblPr/>
      <w:tcPr>
        <w:shd w:val="clear" w:color="auto" w:fill="A4DAE1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1EDFC" w:themeFill="accent6" w:themeFillTint="33"/>
    </w:tcPr>
    <w:tblStylePr w:type="firstRow">
      <w:rPr>
        <w:b/>
        <w:bCs/>
      </w:rPr>
      <w:tblPr/>
      <w:tcPr>
        <w:shd w:val="clear" w:color="auto" w:fill="83DCF8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3DCF8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066684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066684" w:themeFill="accent6" w:themeFillShade="BF"/>
      </w:tcPr>
    </w:tblStylePr>
    <w:tblStylePr w:type="band1Vert">
      <w:tblPr/>
      <w:tcPr>
        <w:shd w:val="clear" w:color="auto" w:fill="65D4F7" w:themeFill="accent6" w:themeFillTint="7F"/>
      </w:tcPr>
    </w:tblStylePr>
    <w:tblStylePr w:type="band1Horz">
      <w:tblPr/>
      <w:tcPr>
        <w:shd w:val="clear" w:color="auto" w:fill="65D4F7" w:themeFill="accent6" w:themeFillTint="7F"/>
      </w:tcPr>
    </w:tblStylePr>
  </w:style>
  <w:style w:type="character" w:customStyle="1" w:styleId="NoSpacingChar">
    <w:name w:val="No Spacing Char"/>
    <w:basedOn w:val="DefaultParagraphFont"/>
    <w:link w:val="NoSpacing"/>
    <w:uiPriority w:val="1"/>
    <w:rsid w:val="00331EFB"/>
  </w:style>
  <w:style w:type="paragraph" w:styleId="NormalWeb">
    <w:name w:val="Normal (Web)"/>
    <w:basedOn w:val="Normal"/>
    <w:uiPriority w:val="99"/>
    <w:unhideWhenUsed/>
    <w:rsid w:val="00331EF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whitespace-normal">
    <w:name w:val="whitespace-normal"/>
    <w:basedOn w:val="DefaultParagraphFont"/>
    <w:rsid w:val="00331EFB"/>
  </w:style>
  <w:style w:type="character" w:styleId="CommentReference">
    <w:name w:val="annotation reference"/>
    <w:basedOn w:val="DefaultParagraphFont"/>
    <w:uiPriority w:val="99"/>
    <w:semiHidden/>
    <w:unhideWhenUsed/>
    <w:rsid w:val="00BB40B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B40B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B40B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B40B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B40B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B40B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B40B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277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0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 2007 - 2010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Glossy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satMod val="180000"/>
              </a:schemeClr>
            </a:gs>
            <a:gs pos="65000">
              <a:schemeClr val="phClr">
                <a:tint val="32000"/>
                <a:satMod val="250000"/>
              </a:schemeClr>
            </a:gs>
            <a:gs pos="100000">
              <a:schemeClr val="phClr">
                <a:tint val="23000"/>
                <a:satMod val="300000"/>
              </a:schemeClr>
            </a:gs>
          </a:gsLst>
          <a:lin ang="16200000" scaled="0"/>
        </a:gradFill>
        <a:gradFill rotWithShape="1">
          <a:gsLst>
            <a:gs pos="0">
              <a:schemeClr val="phClr">
                <a:shade val="15000"/>
                <a:satMod val="180000"/>
              </a:schemeClr>
            </a:gs>
            <a:gs pos="50000">
              <a:schemeClr val="phClr">
                <a:shade val="45000"/>
                <a:satMod val="170000"/>
              </a:schemeClr>
            </a:gs>
            <a:gs pos="70000">
              <a:schemeClr val="phClr">
                <a:tint val="99000"/>
                <a:shade val="65000"/>
                <a:satMod val="155000"/>
              </a:schemeClr>
            </a:gs>
            <a:gs pos="100000">
              <a:schemeClr val="phClr">
                <a:tint val="95500"/>
                <a:shade val="100000"/>
                <a:satMod val="155000"/>
              </a:schemeClr>
            </a:gs>
          </a:gsLst>
          <a:lin ang="16200000" scaled="0"/>
        </a:gradFill>
      </a:fillStyleLst>
      <a:lnStyleLst>
        <a:ln w="12700" cap="flat" cmpd="sng" algn="ctr">
          <a:solidFill>
            <a:schemeClr val="phClr">
              <a:tint val="95000"/>
              <a:shade val="95000"/>
              <a:satMod val="120000"/>
            </a:schemeClr>
          </a:solidFill>
          <a:prstDash val="solid"/>
        </a:ln>
        <a:ln w="55000" cap="flat" cmpd="thickThin" algn="ctr">
          <a:solidFill>
            <a:schemeClr val="phClr">
              <a:tint val="90000"/>
              <a:satMod val="130000"/>
            </a:schemeClr>
          </a:solidFill>
          <a:prstDash val="solid"/>
        </a:ln>
        <a:ln w="508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63500" dist="38100" dir="5400000" rotWithShape="0">
              <a:srgbClr val="000000">
                <a:alpha val="45000"/>
              </a:srgbClr>
            </a:outerShdw>
          </a:effectLst>
          <a:scene3d>
            <a:camera prst="orthographicFront">
              <a:rot lat="0" lon="0" rev="0"/>
            </a:camera>
            <a:lightRig rig="glow" dir="t">
              <a:rot lat="0" lon="0" rev="6360000"/>
            </a:lightRig>
          </a:scene3d>
          <a:sp3d contourW="1000" prstMaterial="flat">
            <a:bevelT w="95250" h="101600"/>
            <a:contourClr>
              <a:schemeClr val="phClr">
                <a:satMod val="300000"/>
              </a:schemeClr>
            </a:contourClr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123AC647-8755-451B-AD0F-E3E84FC016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437</Words>
  <Characters>2496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2928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Abhineet John</cp:lastModifiedBy>
  <cp:revision>2</cp:revision>
  <dcterms:created xsi:type="dcterms:W3CDTF">2026-03-05T18:35:00Z</dcterms:created>
  <dcterms:modified xsi:type="dcterms:W3CDTF">2026-03-05T18:35:00Z</dcterms:modified>
  <cp:category/>
</cp:coreProperties>
</file>