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C5ACE" w14:textId="77777777" w:rsidR="00EE4B18" w:rsidRDefault="00EE4B18">
      <w:pPr>
        <w:spacing w:line="360" w:lineRule="auto"/>
        <w:jc w:val="center"/>
        <w:rPr>
          <w:rFonts w:ascii="Times New Roman" w:eastAsia="Times New Roman" w:hAnsi="Times New Roman" w:cs="Times New Roman"/>
          <w:b/>
          <w:bCs/>
          <w:sz w:val="28"/>
          <w:szCs w:val="28"/>
        </w:rPr>
      </w:pPr>
    </w:p>
    <w:p w14:paraId="3284656E" w14:textId="77777777" w:rsidR="00EE4B18" w:rsidRDefault="00EE4B18">
      <w:pPr>
        <w:spacing w:line="360" w:lineRule="auto"/>
        <w:jc w:val="center"/>
        <w:rPr>
          <w:rFonts w:ascii="Times New Roman" w:eastAsia="Times New Roman" w:hAnsi="Times New Roman" w:cs="Times New Roman"/>
          <w:b/>
          <w:bCs/>
          <w:sz w:val="28"/>
          <w:szCs w:val="28"/>
        </w:rPr>
      </w:pPr>
    </w:p>
    <w:p w14:paraId="1C340993" w14:textId="76867CFF" w:rsidR="00EE4B18" w:rsidRDefault="00EE4B18">
      <w:pPr>
        <w:spacing w:line="360" w:lineRule="auto"/>
        <w:jc w:val="center"/>
        <w:rPr>
          <w:rFonts w:ascii="Times New Roman" w:eastAsia="Times New Roman" w:hAnsi="Times New Roman" w:cs="Times New Roman"/>
          <w:b/>
          <w:bCs/>
          <w:sz w:val="28"/>
          <w:szCs w:val="28"/>
        </w:rPr>
      </w:pPr>
      <w:r w:rsidRPr="00EE4B18">
        <w:rPr>
          <w:rFonts w:ascii="Times New Roman" w:eastAsia="Times New Roman" w:hAnsi="Times New Roman" w:cs="Times New Roman"/>
          <w:b/>
          <w:bCs/>
          <w:noProof/>
          <w:sz w:val="28"/>
          <w:szCs w:val="28"/>
        </w:rPr>
        <w:drawing>
          <wp:inline distT="0" distB="0" distL="0" distR="0" wp14:anchorId="207644A4" wp14:editId="057F868E">
            <wp:extent cx="2685475" cy="1158240"/>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94583" cy="1162168"/>
                    </a:xfrm>
                    <a:prstGeom prst="rect">
                      <a:avLst/>
                    </a:prstGeom>
                  </pic:spPr>
                </pic:pic>
              </a:graphicData>
            </a:graphic>
          </wp:inline>
        </w:drawing>
      </w:r>
    </w:p>
    <w:p w14:paraId="1360135D" w14:textId="77777777" w:rsidR="00EE4B18" w:rsidRDefault="00EE4B18">
      <w:pPr>
        <w:spacing w:line="360" w:lineRule="auto"/>
        <w:jc w:val="center"/>
        <w:rPr>
          <w:rFonts w:ascii="Times New Roman" w:eastAsia="Times New Roman" w:hAnsi="Times New Roman" w:cs="Times New Roman"/>
          <w:b/>
          <w:bCs/>
          <w:sz w:val="28"/>
          <w:szCs w:val="28"/>
        </w:rPr>
      </w:pPr>
    </w:p>
    <w:p w14:paraId="67D38AC9" w14:textId="77777777" w:rsidR="00EE4B18" w:rsidRDefault="00EE4B18">
      <w:pPr>
        <w:spacing w:line="360" w:lineRule="auto"/>
        <w:jc w:val="center"/>
        <w:rPr>
          <w:rFonts w:ascii="Times New Roman" w:eastAsia="Times New Roman" w:hAnsi="Times New Roman" w:cs="Times New Roman"/>
          <w:b/>
          <w:bCs/>
          <w:sz w:val="28"/>
          <w:szCs w:val="28"/>
        </w:rPr>
      </w:pPr>
    </w:p>
    <w:p w14:paraId="2EF1D85C" w14:textId="7777777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Programme: Master of Business Administration</w:t>
      </w:r>
    </w:p>
    <w:p w14:paraId="0F061D70" w14:textId="7777777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Human Capital Management</w:t>
      </w:r>
    </w:p>
    <w:p w14:paraId="78A415A5" w14:textId="7E2F510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code: LCMB7023</w:t>
      </w:r>
    </w:p>
    <w:p w14:paraId="77AE92BB" w14:textId="75844152" w:rsidR="00AA7508" w:rsidRDefault="00AA7508">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Name : </w:t>
      </w:r>
      <w:r w:rsidRPr="00AA7508">
        <w:rPr>
          <w:rFonts w:ascii="Times New Roman" w:eastAsia="Times New Roman" w:hAnsi="Times New Roman" w:cs="Times New Roman"/>
          <w:b/>
          <w:bCs/>
          <w:sz w:val="28"/>
          <w:szCs w:val="28"/>
        </w:rPr>
        <w:t>YASH PAWAR</w:t>
      </w:r>
    </w:p>
    <w:p w14:paraId="1CDB66B6" w14:textId="430C7180" w:rsidR="00AA7508" w:rsidRDefault="00AA7508">
      <w:pPr>
        <w:spacing w:line="360" w:lineRule="auto"/>
        <w:jc w:val="center"/>
        <w:rPr>
          <w:rFonts w:ascii="Times New Roman" w:eastAsia="Times New Roman" w:hAnsi="Times New Roman" w:cs="Times New Roman"/>
          <w:b/>
          <w:bCs/>
          <w:sz w:val="28"/>
          <w:szCs w:val="28"/>
        </w:rPr>
      </w:pPr>
      <w:r w:rsidRPr="00AA7508">
        <w:rPr>
          <w:rFonts w:ascii="Times New Roman" w:eastAsia="Times New Roman" w:hAnsi="Times New Roman" w:cs="Times New Roman"/>
          <w:b/>
          <w:bCs/>
          <w:sz w:val="28"/>
          <w:szCs w:val="28"/>
        </w:rPr>
        <w:t>Student ID: 2543471</w:t>
      </w:r>
    </w:p>
    <w:p w14:paraId="3741BCD6" w14:textId="7746826B" w:rsidR="004232F5" w:rsidRDefault="004232F5">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Lecturer’s name: Shahrukh IRFAN</w:t>
      </w:r>
    </w:p>
    <w:p w14:paraId="77898563" w14:textId="77777777" w:rsidR="004232F5" w:rsidRPr="00AA7508" w:rsidRDefault="004232F5">
      <w:pPr>
        <w:spacing w:line="360" w:lineRule="auto"/>
        <w:jc w:val="center"/>
        <w:rPr>
          <w:rFonts w:ascii="Times New Roman" w:eastAsia="Times New Roman" w:hAnsi="Times New Roman" w:cs="Times New Roman"/>
          <w:b/>
          <w:bCs/>
          <w:sz w:val="28"/>
          <w:szCs w:val="28"/>
        </w:rPr>
      </w:pPr>
    </w:p>
    <w:p w14:paraId="5F68CC01" w14:textId="4F6B2539" w:rsidR="00AA7508" w:rsidRDefault="00AA750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C7FE0DC" w14:textId="6707063A" w:rsidR="00AA7508" w:rsidRDefault="004232F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 </w:t>
      </w:r>
    </w:p>
    <w:p w14:paraId="596120AC" w14:textId="77777777" w:rsidR="00AA7508" w:rsidRDefault="00AA7508">
      <w:pPr>
        <w:spacing w:line="360" w:lineRule="auto"/>
        <w:jc w:val="center"/>
        <w:rPr>
          <w:rFonts w:ascii="Times New Roman" w:eastAsia="Times New Roman" w:hAnsi="Times New Roman" w:cs="Times New Roman"/>
          <w:b/>
          <w:bCs/>
          <w:sz w:val="24"/>
          <w:szCs w:val="24"/>
        </w:rPr>
      </w:pPr>
    </w:p>
    <w:p w14:paraId="49DF517A" w14:textId="1AD102E5" w:rsidR="00B166C6" w:rsidRDefault="002D0CBF">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w:t>
      </w:r>
    </w:p>
    <w:sdt>
      <w:sdtPr>
        <w:id w:val="1921399751"/>
        <w:docPartObj>
          <w:docPartGallery w:val="Table of Contents"/>
          <w:docPartUnique/>
        </w:docPartObj>
      </w:sdtPr>
      <w:sdtContent>
        <w:p w14:paraId="17459CF3" w14:textId="3091B83D"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r>
            <w:fldChar w:fldCharType="begin"/>
          </w:r>
          <w:r>
            <w:instrText xml:space="preserve"> TOC \h \u \z \t "Heading 1,1,Heading 2,2,Heading 3,3,Heading 4,4,Heading 5,5,Heading 6,6,"</w:instrText>
          </w:r>
          <w:r>
            <w:fldChar w:fldCharType="separate"/>
          </w:r>
          <w:hyperlink w:anchor="_heading=h.31xstprpnjgy">
            <w:r>
              <w:rPr>
                <w:rFonts w:ascii="Times New Roman" w:eastAsia="Times New Roman" w:hAnsi="Times New Roman" w:cs="Times New Roman"/>
                <w:b/>
                <w:bCs/>
                <w:noProof/>
                <w:color w:val="000000"/>
                <w:sz w:val="24"/>
                <w:szCs w:val="24"/>
              </w:rPr>
              <w:t>Introduction</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_heading=h.31xstprpnjgy \h </w:instrText>
          </w:r>
          <w:r>
            <w:rPr>
              <w:noProof/>
            </w:rPr>
          </w:r>
          <w:r>
            <w:rPr>
              <w:noProof/>
            </w:rPr>
            <w:fldChar w:fldCharType="separate"/>
          </w:r>
          <w:r w:rsidR="00607A55">
            <w:rPr>
              <w:noProof/>
            </w:rPr>
            <w:t>3</w:t>
          </w:r>
          <w:r>
            <w:rPr>
              <w:noProof/>
            </w:rPr>
            <w:fldChar w:fldCharType="end"/>
          </w:r>
        </w:p>
        <w:p w14:paraId="64A2D1C5" w14:textId="31FA5276"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nvkoqr723bwc">
            <w:r>
              <w:rPr>
                <w:rFonts w:ascii="Times New Roman" w:eastAsia="Times New Roman" w:hAnsi="Times New Roman" w:cs="Times New Roman"/>
                <w:b/>
                <w:bCs/>
                <w:noProof/>
                <w:color w:val="000000"/>
                <w:sz w:val="24"/>
                <w:szCs w:val="24"/>
              </w:rPr>
              <w:t>TASK A: Socialisation, Identity and Business Activism</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_heading=h.nvkoqr723bwc \h </w:instrText>
          </w:r>
          <w:r>
            <w:rPr>
              <w:noProof/>
            </w:rPr>
          </w:r>
          <w:r>
            <w:rPr>
              <w:noProof/>
            </w:rPr>
            <w:fldChar w:fldCharType="separate"/>
          </w:r>
          <w:r w:rsidR="00607A55">
            <w:rPr>
              <w:noProof/>
            </w:rPr>
            <w:t>3</w:t>
          </w:r>
          <w:r>
            <w:rPr>
              <w:noProof/>
            </w:rPr>
            <w:fldChar w:fldCharType="end"/>
          </w:r>
        </w:p>
        <w:p w14:paraId="555654F2" w14:textId="36DA230F"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glch7aiip2y9">
            <w:r>
              <w:rPr>
                <w:rFonts w:ascii="Times New Roman" w:eastAsia="Times New Roman" w:hAnsi="Times New Roman" w:cs="Times New Roman"/>
                <w:noProof/>
                <w:color w:val="000000"/>
                <w:sz w:val="24"/>
                <w:szCs w:val="24"/>
              </w:rPr>
              <w:t>Creating a Strategic Socialisation System</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_heading=h.glch7aiip2y9 \h </w:instrText>
          </w:r>
          <w:r>
            <w:rPr>
              <w:noProof/>
            </w:rPr>
          </w:r>
          <w:r>
            <w:rPr>
              <w:noProof/>
            </w:rPr>
            <w:fldChar w:fldCharType="separate"/>
          </w:r>
          <w:r w:rsidR="00607A55">
            <w:rPr>
              <w:noProof/>
            </w:rPr>
            <w:t>3</w:t>
          </w:r>
          <w:r>
            <w:rPr>
              <w:noProof/>
            </w:rPr>
            <w:fldChar w:fldCharType="end"/>
          </w:r>
        </w:p>
        <w:p w14:paraId="6C05B4B5" w14:textId="6389A50A"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r0vxjsm4xwx">
            <w:r>
              <w:rPr>
                <w:rFonts w:ascii="Times New Roman" w:eastAsia="Times New Roman" w:hAnsi="Times New Roman" w:cs="Times New Roman"/>
                <w:noProof/>
                <w:color w:val="000000"/>
                <w:sz w:val="24"/>
                <w:szCs w:val="24"/>
              </w:rPr>
              <w:t>Evaluating traditional onboarding versus strategic organisational socialisation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_heading=h.yr0vxjsm4xwx \h </w:instrText>
          </w:r>
          <w:r>
            <w:rPr>
              <w:noProof/>
            </w:rPr>
          </w:r>
          <w:r>
            <w:rPr>
              <w:noProof/>
            </w:rPr>
            <w:fldChar w:fldCharType="separate"/>
          </w:r>
          <w:r w:rsidR="00607A55">
            <w:rPr>
              <w:noProof/>
            </w:rPr>
            <w:t>3</w:t>
          </w:r>
          <w:r>
            <w:rPr>
              <w:noProof/>
            </w:rPr>
            <w:fldChar w:fldCharType="end"/>
          </w:r>
        </w:p>
        <w:p w14:paraId="31F27A11" w14:textId="76D8574A"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a6489zuqjfd7">
            <w:r>
              <w:rPr>
                <w:rFonts w:ascii="Times New Roman" w:eastAsia="Times New Roman" w:hAnsi="Times New Roman" w:cs="Times New Roman"/>
                <w:noProof/>
                <w:color w:val="000000"/>
                <w:sz w:val="24"/>
                <w:szCs w:val="24"/>
              </w:rPr>
              <w:t>Designing the Socialisation Framework</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_heading=h.a6489zuqjfd7 \h </w:instrText>
          </w:r>
          <w:r>
            <w:rPr>
              <w:noProof/>
            </w:rPr>
          </w:r>
          <w:r>
            <w:rPr>
              <w:noProof/>
            </w:rPr>
            <w:fldChar w:fldCharType="separate"/>
          </w:r>
          <w:r w:rsidR="00607A55">
            <w:rPr>
              <w:noProof/>
            </w:rPr>
            <w:t>5</w:t>
          </w:r>
          <w:r>
            <w:rPr>
              <w:noProof/>
            </w:rPr>
            <w:fldChar w:fldCharType="end"/>
          </w:r>
        </w:p>
        <w:p w14:paraId="3E41B0D2" w14:textId="788839C5"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se9jamhdx6kc">
            <w:r>
              <w:rPr>
                <w:rFonts w:ascii="Times New Roman" w:eastAsia="Times New Roman" w:hAnsi="Times New Roman" w:cs="Times New Roman"/>
                <w:noProof/>
                <w:color w:val="000000"/>
                <w:sz w:val="24"/>
                <w:szCs w:val="24"/>
              </w:rPr>
              <w:t>Cultivating Committed Organisational Citizens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_heading=h.se9jamhdx6kc \h </w:instrText>
          </w:r>
          <w:r>
            <w:rPr>
              <w:noProof/>
            </w:rPr>
          </w:r>
          <w:r>
            <w:rPr>
              <w:noProof/>
            </w:rPr>
            <w:fldChar w:fldCharType="separate"/>
          </w:r>
          <w:r w:rsidR="00607A55">
            <w:rPr>
              <w:noProof/>
            </w:rPr>
            <w:t>6</w:t>
          </w:r>
          <w:r>
            <w:rPr>
              <w:noProof/>
            </w:rPr>
            <w:fldChar w:fldCharType="end"/>
          </w:r>
        </w:p>
        <w:p w14:paraId="79294F89" w14:textId="02E925F9"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bfc292barhfl">
            <w:r>
              <w:rPr>
                <w:rFonts w:ascii="Times New Roman" w:eastAsia="Times New Roman" w:hAnsi="Times New Roman" w:cs="Times New Roman"/>
                <w:b/>
                <w:bCs/>
                <w:noProof/>
                <w:color w:val="000000"/>
                <w:sz w:val="24"/>
                <w:szCs w:val="24"/>
              </w:rPr>
              <w:t>TASK B: Job Design</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_heading=h.bfc292barhfl \h </w:instrText>
          </w:r>
          <w:r>
            <w:rPr>
              <w:noProof/>
            </w:rPr>
          </w:r>
          <w:r>
            <w:rPr>
              <w:noProof/>
            </w:rPr>
            <w:fldChar w:fldCharType="separate"/>
          </w:r>
          <w:r w:rsidR="00607A55">
            <w:rPr>
              <w:noProof/>
            </w:rPr>
            <w:t>7</w:t>
          </w:r>
          <w:r>
            <w:rPr>
              <w:noProof/>
            </w:rPr>
            <w:fldChar w:fldCharType="end"/>
          </w:r>
        </w:p>
        <w:p w14:paraId="40DD4683" w14:textId="6DB3E06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805l3nbvgywx">
            <w:r>
              <w:rPr>
                <w:rFonts w:ascii="Times New Roman" w:eastAsia="Times New Roman" w:hAnsi="Times New Roman" w:cs="Times New Roman"/>
                <w:noProof/>
                <w:color w:val="000000"/>
                <w:sz w:val="24"/>
                <w:szCs w:val="24"/>
              </w:rPr>
              <w:t>Designing an Innovative Job Design Strategy</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_heading=h.805l3nbvgywx \h </w:instrText>
          </w:r>
          <w:r>
            <w:rPr>
              <w:noProof/>
            </w:rPr>
          </w:r>
          <w:r>
            <w:rPr>
              <w:noProof/>
            </w:rPr>
            <w:fldChar w:fldCharType="separate"/>
          </w:r>
          <w:r w:rsidR="00607A55">
            <w:rPr>
              <w:noProof/>
            </w:rPr>
            <w:t>8</w:t>
          </w:r>
          <w:r>
            <w:rPr>
              <w:noProof/>
            </w:rPr>
            <w:fldChar w:fldCharType="end"/>
          </w:r>
        </w:p>
        <w:p w14:paraId="03E6E04B" w14:textId="4FE66E2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9fd3a1agcs7x">
            <w:r>
              <w:rPr>
                <w:rFonts w:ascii="Times New Roman" w:eastAsia="Times New Roman" w:hAnsi="Times New Roman" w:cs="Times New Roman"/>
                <w:noProof/>
                <w:color w:val="000000"/>
                <w:sz w:val="24"/>
                <w:szCs w:val="24"/>
              </w:rPr>
              <w:t>Redesigning Work Around Meaningful Contribution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_heading=h.9fd3a1agcs7x \h </w:instrText>
          </w:r>
          <w:r>
            <w:rPr>
              <w:noProof/>
            </w:rPr>
          </w:r>
          <w:r>
            <w:rPr>
              <w:noProof/>
            </w:rPr>
            <w:fldChar w:fldCharType="separate"/>
          </w:r>
          <w:r w:rsidR="00607A55">
            <w:rPr>
              <w:noProof/>
            </w:rPr>
            <w:t>8</w:t>
          </w:r>
          <w:r>
            <w:rPr>
              <w:noProof/>
            </w:rPr>
            <w:fldChar w:fldCharType="end"/>
          </w:r>
        </w:p>
        <w:p w14:paraId="4B374269" w14:textId="3E649B02"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8c358uahdwa">
            <w:r>
              <w:rPr>
                <w:rFonts w:ascii="Times New Roman" w:eastAsia="Times New Roman" w:hAnsi="Times New Roman" w:cs="Times New Roman"/>
                <w:noProof/>
                <w:color w:val="000000"/>
                <w:sz w:val="24"/>
                <w:szCs w:val="24"/>
              </w:rPr>
              <w:t>Encouraging Employee-Led Job Crafting</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_heading=h.y8c358uahdwa \h </w:instrText>
          </w:r>
          <w:r>
            <w:rPr>
              <w:noProof/>
            </w:rPr>
          </w:r>
          <w:r>
            <w:rPr>
              <w:noProof/>
            </w:rPr>
            <w:fldChar w:fldCharType="separate"/>
          </w:r>
          <w:r w:rsidR="00607A55">
            <w:rPr>
              <w:noProof/>
            </w:rPr>
            <w:t>9</w:t>
          </w:r>
          <w:r>
            <w:rPr>
              <w:noProof/>
            </w:rPr>
            <w:fldChar w:fldCharType="end"/>
          </w:r>
        </w:p>
        <w:p w14:paraId="21FB9395" w14:textId="4CBD590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1lu0tjqgts">
            <w:r>
              <w:rPr>
                <w:rFonts w:ascii="Times New Roman" w:eastAsia="Times New Roman" w:hAnsi="Times New Roman" w:cs="Times New Roman"/>
                <w:noProof/>
                <w:color w:val="000000"/>
                <w:sz w:val="24"/>
                <w:szCs w:val="24"/>
              </w:rPr>
              <w:t>Supporting Innovation through a Skills-Based Architecture</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_heading=h.y1lu0tjqgts \h </w:instrText>
          </w:r>
          <w:r>
            <w:rPr>
              <w:noProof/>
            </w:rPr>
          </w:r>
          <w:r>
            <w:rPr>
              <w:noProof/>
            </w:rPr>
            <w:fldChar w:fldCharType="separate"/>
          </w:r>
          <w:r w:rsidR="00607A55">
            <w:rPr>
              <w:noProof/>
            </w:rPr>
            <w:t>9</w:t>
          </w:r>
          <w:r>
            <w:rPr>
              <w:noProof/>
            </w:rPr>
            <w:fldChar w:fldCharType="end"/>
          </w:r>
        </w:p>
        <w:p w14:paraId="4B598203" w14:textId="095FFF45"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xxgpr249f1f">
            <w:r>
              <w:rPr>
                <w:rFonts w:ascii="Times New Roman" w:eastAsia="Times New Roman" w:hAnsi="Times New Roman" w:cs="Times New Roman"/>
                <w:noProof/>
                <w:color w:val="000000"/>
                <w:sz w:val="24"/>
                <w:szCs w:val="24"/>
              </w:rPr>
              <w:t>Stimulating Intrinsic Motivation and Innovation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_heading=h.xxgpr249f1f \h </w:instrText>
          </w:r>
          <w:r>
            <w:rPr>
              <w:noProof/>
            </w:rPr>
          </w:r>
          <w:r>
            <w:rPr>
              <w:noProof/>
            </w:rPr>
            <w:fldChar w:fldCharType="separate"/>
          </w:r>
          <w:r w:rsidR="00607A55">
            <w:rPr>
              <w:noProof/>
            </w:rPr>
            <w:t>10</w:t>
          </w:r>
          <w:r>
            <w:rPr>
              <w:noProof/>
            </w:rPr>
            <w:fldChar w:fldCharType="end"/>
          </w:r>
        </w:p>
        <w:p w14:paraId="43DD807C" w14:textId="5BE3508D"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efc6nbr8xr6r">
            <w:r>
              <w:rPr>
                <w:rFonts w:ascii="Times New Roman" w:eastAsia="Times New Roman" w:hAnsi="Times New Roman" w:cs="Times New Roman"/>
                <w:b/>
                <w:bCs/>
                <w:noProof/>
                <w:color w:val="000000"/>
                <w:sz w:val="24"/>
                <w:szCs w:val="24"/>
              </w:rPr>
              <w:t>TASK C: Reflective Report using Kolb’s Reflective Model</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_heading=h.efc6nbr8xr6r \h </w:instrText>
          </w:r>
          <w:r>
            <w:rPr>
              <w:noProof/>
            </w:rPr>
          </w:r>
          <w:r>
            <w:rPr>
              <w:noProof/>
            </w:rPr>
            <w:fldChar w:fldCharType="separate"/>
          </w:r>
          <w:r w:rsidR="00607A55">
            <w:rPr>
              <w:noProof/>
            </w:rPr>
            <w:t>11</w:t>
          </w:r>
          <w:r>
            <w:rPr>
              <w:noProof/>
            </w:rPr>
            <w:fldChar w:fldCharType="end"/>
          </w:r>
        </w:p>
        <w:p w14:paraId="2396F542" w14:textId="2E159E3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l6u0r9t0nxfr">
            <w:r>
              <w:rPr>
                <w:rFonts w:ascii="Times New Roman" w:eastAsia="Times New Roman" w:hAnsi="Times New Roman" w:cs="Times New Roman"/>
                <w:noProof/>
                <w:color w:val="000000"/>
                <w:sz w:val="24"/>
                <w:szCs w:val="24"/>
              </w:rPr>
              <w:t>Concrete Experience</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_heading=h.l6u0r9t0nxfr \h </w:instrText>
          </w:r>
          <w:r>
            <w:rPr>
              <w:noProof/>
            </w:rPr>
          </w:r>
          <w:r>
            <w:rPr>
              <w:noProof/>
            </w:rPr>
            <w:fldChar w:fldCharType="separate"/>
          </w:r>
          <w:r w:rsidR="00607A55">
            <w:rPr>
              <w:noProof/>
            </w:rPr>
            <w:t>12</w:t>
          </w:r>
          <w:r>
            <w:rPr>
              <w:noProof/>
            </w:rPr>
            <w:fldChar w:fldCharType="end"/>
          </w:r>
        </w:p>
        <w:p w14:paraId="714BA124" w14:textId="2C9C3B1E"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55k09rmhc2k9">
            <w:r>
              <w:rPr>
                <w:rFonts w:ascii="Times New Roman" w:eastAsia="Times New Roman" w:hAnsi="Times New Roman" w:cs="Times New Roman"/>
                <w:noProof/>
                <w:color w:val="000000"/>
                <w:sz w:val="24"/>
                <w:szCs w:val="24"/>
              </w:rPr>
              <w:t>Reflective Observation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_heading=h.55k09rmhc2k9 \h </w:instrText>
          </w:r>
          <w:r>
            <w:rPr>
              <w:noProof/>
            </w:rPr>
          </w:r>
          <w:r>
            <w:rPr>
              <w:noProof/>
            </w:rPr>
            <w:fldChar w:fldCharType="separate"/>
          </w:r>
          <w:r w:rsidR="00607A55">
            <w:rPr>
              <w:noProof/>
            </w:rPr>
            <w:t>12</w:t>
          </w:r>
          <w:r>
            <w:rPr>
              <w:noProof/>
            </w:rPr>
            <w:fldChar w:fldCharType="end"/>
          </w:r>
        </w:p>
        <w:p w14:paraId="7D71DCCF" w14:textId="6507A31E"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w35llrs1i2y7">
            <w:r>
              <w:rPr>
                <w:rFonts w:ascii="Times New Roman" w:eastAsia="Times New Roman" w:hAnsi="Times New Roman" w:cs="Times New Roman"/>
                <w:noProof/>
                <w:color w:val="000000"/>
                <w:sz w:val="24"/>
                <w:szCs w:val="24"/>
              </w:rPr>
              <w:t>Abstract Conceptualisation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_heading=h.w35llrs1i2y7 \h </w:instrText>
          </w:r>
          <w:r>
            <w:rPr>
              <w:noProof/>
            </w:rPr>
          </w:r>
          <w:r>
            <w:rPr>
              <w:noProof/>
            </w:rPr>
            <w:fldChar w:fldCharType="separate"/>
          </w:r>
          <w:r w:rsidR="00607A55">
            <w:rPr>
              <w:noProof/>
            </w:rPr>
            <w:t>12</w:t>
          </w:r>
          <w:r>
            <w:rPr>
              <w:noProof/>
            </w:rPr>
            <w:fldChar w:fldCharType="end"/>
          </w:r>
        </w:p>
        <w:p w14:paraId="1430DF6C" w14:textId="194BE6BC"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62hf3qmzrnxd">
            <w:r>
              <w:rPr>
                <w:rFonts w:ascii="Times New Roman" w:eastAsia="Times New Roman" w:hAnsi="Times New Roman" w:cs="Times New Roman"/>
                <w:noProof/>
                <w:color w:val="000000"/>
                <w:sz w:val="24"/>
                <w:szCs w:val="24"/>
              </w:rPr>
              <w:t>Active Experimentation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_heading=h.62hf3qmzrnxd \h </w:instrText>
          </w:r>
          <w:r>
            <w:rPr>
              <w:noProof/>
            </w:rPr>
          </w:r>
          <w:r>
            <w:rPr>
              <w:noProof/>
            </w:rPr>
            <w:fldChar w:fldCharType="separate"/>
          </w:r>
          <w:r w:rsidR="00607A55">
            <w:rPr>
              <w:noProof/>
            </w:rPr>
            <w:t>12</w:t>
          </w:r>
          <w:r>
            <w:rPr>
              <w:noProof/>
            </w:rPr>
            <w:fldChar w:fldCharType="end"/>
          </w:r>
        </w:p>
        <w:p w14:paraId="31F7ED34" w14:textId="0C34F791" w:rsidR="00B166C6" w:rsidRDefault="002D0CBF">
          <w:pPr>
            <w:widowControl w:val="0"/>
            <w:tabs>
              <w:tab w:val="right" w:pos="9025"/>
            </w:tabs>
            <w:spacing w:before="60" w:after="0" w:line="360" w:lineRule="auto"/>
            <w:rPr>
              <w:rFonts w:ascii="Times New Roman" w:eastAsia="Times New Roman" w:hAnsi="Times New Roman" w:cs="Times New Roman"/>
              <w:b/>
              <w:bCs/>
              <w:color w:val="000000"/>
              <w:sz w:val="24"/>
              <w:szCs w:val="24"/>
            </w:rPr>
          </w:pPr>
          <w:hyperlink w:anchor="_heading=h.xjy40hp1i8ag">
            <w:r>
              <w:rPr>
                <w:rFonts w:ascii="Times New Roman" w:eastAsia="Times New Roman" w:hAnsi="Times New Roman" w:cs="Times New Roman"/>
                <w:b/>
                <w:bCs/>
                <w:noProof/>
                <w:color w:val="000000"/>
                <w:sz w:val="24"/>
                <w:szCs w:val="24"/>
              </w:rPr>
              <w:t>References</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_heading=h.xjy40hp1i8ag \h </w:instrText>
          </w:r>
          <w:r>
            <w:rPr>
              <w:noProof/>
            </w:rPr>
          </w:r>
          <w:r>
            <w:rPr>
              <w:noProof/>
            </w:rPr>
            <w:fldChar w:fldCharType="separate"/>
          </w:r>
          <w:r w:rsidR="00607A55">
            <w:rPr>
              <w:noProof/>
            </w:rPr>
            <w:t>14</w:t>
          </w:r>
          <w:r>
            <w:rPr>
              <w:noProof/>
            </w:rPr>
            <w:fldChar w:fldCharType="end"/>
          </w:r>
          <w:r>
            <w:fldChar w:fldCharType="end"/>
          </w:r>
        </w:p>
      </w:sdtContent>
    </w:sdt>
    <w:p w14:paraId="0F53BBDC" w14:textId="77777777" w:rsidR="00B166C6" w:rsidRDefault="002D0CBF">
      <w:pPr>
        <w:spacing w:line="360" w:lineRule="auto"/>
        <w:jc w:val="center"/>
        <w:rPr>
          <w:rFonts w:ascii="Times New Roman" w:eastAsia="Times New Roman" w:hAnsi="Times New Roman" w:cs="Times New Roman"/>
          <w:sz w:val="24"/>
          <w:szCs w:val="24"/>
        </w:rPr>
      </w:pPr>
      <w:r>
        <w:br w:type="page"/>
      </w:r>
    </w:p>
    <w:p w14:paraId="1A5AA3D7" w14:textId="77777777" w:rsidR="00B166C6" w:rsidRDefault="002D0CBF" w:rsidP="008C01B8">
      <w:pPr>
        <w:pStyle w:val="Heading1"/>
        <w:keepNext w:val="0"/>
        <w:keepLines w:val="0"/>
        <w:ind w:left="0"/>
      </w:pPr>
      <w:bookmarkStart w:id="0" w:name="_heading=h.31xstprpnjgy" w:colFirst="0" w:colLast="0"/>
      <w:bookmarkEnd w:id="0"/>
      <w:r>
        <w:lastRenderedPageBreak/>
        <w:t>Introduction</w:t>
      </w:r>
    </w:p>
    <w:p w14:paraId="224C3C6F"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Urban Mobility’s rapid international expansion has created human capital challenges that threaten organisational performance and strategic renewal. An integrated socialisation system can enhance organisational commitment, fast-track employee adaptation, enhance engagement, and develop ethical, innovative professionals who can drive sustainable organisational competitiveness. </w:t>
      </w:r>
    </w:p>
    <w:p w14:paraId="61B7332E" w14:textId="77777777" w:rsidR="00B166C6" w:rsidRDefault="002D0CBF">
      <w:pPr>
        <w:pStyle w:val="Heading1"/>
        <w:keepNext w:val="0"/>
        <w:keepLines w:val="0"/>
        <w:ind w:left="0"/>
        <w:jc w:val="both"/>
      </w:pPr>
      <w:bookmarkStart w:id="1" w:name="_heading=h.nvkoqr723bwc" w:colFirst="0" w:colLast="0"/>
      <w:bookmarkEnd w:id="1"/>
      <w:r>
        <w:t>TASK A: Socialisation, Identity and Business Activism</w:t>
      </w:r>
    </w:p>
    <w:p w14:paraId="4C336924" w14:textId="77777777" w:rsidR="00B166C6" w:rsidRDefault="002D0CBF">
      <w:pPr>
        <w:pStyle w:val="Heading2"/>
        <w:keepNext w:val="0"/>
        <w:keepLines w:val="0"/>
        <w:jc w:val="both"/>
      </w:pPr>
      <w:bookmarkStart w:id="2" w:name="_heading=h.glch7aiip2y9" w:colFirst="0" w:colLast="0"/>
      <w:bookmarkEnd w:id="2"/>
      <w:r>
        <w:t>Creating a Strategic Socialisation System</w:t>
      </w:r>
    </w:p>
    <w:p w14:paraId="6B556676"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Rapid global growth of Helios Urban Mobility has resulted in uneven staffing experiences, disrupting engagement and productivity and retention. The long start-up phase and high turnover rates of graduates indicate that conventional onboarding does not support strategic goals any longer (Kim, 2023). In turn, this implies that Helios needs to have an integrated socialisation system that grows employee capability, organisational identity and commitment of stakeholders on a continuous basis, converting new hires into committed organisational citizens. </w:t>
      </w:r>
    </w:p>
    <w:p w14:paraId="4648BBA5" w14:textId="77777777" w:rsidR="00B166C6" w:rsidRDefault="002D0CBF">
      <w:pPr>
        <w:pStyle w:val="Heading2"/>
        <w:keepNext w:val="0"/>
        <w:keepLines w:val="0"/>
        <w:jc w:val="both"/>
      </w:pPr>
      <w:bookmarkStart w:id="3" w:name="_heading=h.yr0vxjsm4xwx" w:colFirst="0" w:colLast="0"/>
      <w:bookmarkEnd w:id="3"/>
      <w:r>
        <w:t>Evaluating traditional onboarding versus strategic organisational socialisation</w:t>
      </w:r>
    </w:p>
    <w:p w14:paraId="6F538FA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onboarding mainly presents the organisational policies, compliance obligations and initial job duties to the employees over the course of the first weeks of employment. Though this method lessens confusion in administration, it often builds up emotional dedication or collective organisational principles. As a result, employees are usually aware of their functions without the perception of how their efforts contribute to organisational strategy (Morandini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In the case of Helios, this fact limits the extended adjustment processes since technical competence is formed outside the organisational integration. 69% of the millennial workforce will stay longer when organisations offer outstanding onboarding experiences (Peck, 2024). It is which is a demonstration of the strategic value of thorough socialisation.</w:t>
      </w:r>
    </w:p>
    <w:p w14:paraId="73BB6E15"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034E5B7" wp14:editId="385D8AF4">
            <wp:extent cx="3442151" cy="2728913"/>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42151" cy="2728913"/>
                    </a:xfrm>
                    <a:prstGeom prst="rect">
                      <a:avLst/>
                    </a:prstGeom>
                    <a:ln w="25400">
                      <a:solidFill>
                        <a:srgbClr val="000000"/>
                      </a:solidFill>
                      <a:prstDash val="solid"/>
                    </a:ln>
                  </pic:spPr>
                </pic:pic>
              </a:graphicData>
            </a:graphic>
          </wp:inline>
        </w:drawing>
      </w:r>
    </w:p>
    <w:p w14:paraId="787B093F"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Traditional Onboarding</w:t>
      </w:r>
    </w:p>
    <w:p w14:paraId="231EAC33"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(Kapolas, 2024) </w:t>
      </w:r>
    </w:p>
    <w:p w14:paraId="6AC0F32C"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organisational socialisation is a developmental process which involves the internalisation of organisational norms, behaviours and expectations in the long run by employees. Van Maanen and Schein state that such institutionalised socialisation strategies include collective learning, formal mentoring and sequential development (Houle</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2024). Hence, role models promote decreased ambiguity and normative behaviour change. These strategies, when applied in the London, Berlin and Singapore operations of Helios, would enhance cultural uniformity despite geographical non-uniformity. This would enable the employees to gain both technical capability and organisational knowledge over time, increasing productivity more quickly as well as reducing uncertainty. Productivity goes down by an average of 10% in organisations that lack structured socialisation (De Smet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w:t>
      </w:r>
    </w:p>
    <w:p w14:paraId="073DC63D"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7A874A6" wp14:editId="61EFA5F6">
            <wp:extent cx="4101327" cy="2161209"/>
            <wp:effectExtent l="38100" t="38100" r="33020" b="2984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03737" cy="2162479"/>
                    </a:xfrm>
                    <a:prstGeom prst="rect">
                      <a:avLst/>
                    </a:prstGeom>
                    <a:ln w="25400">
                      <a:solidFill>
                        <a:srgbClr val="000000"/>
                      </a:solidFill>
                      <a:prstDash val="solid"/>
                    </a:ln>
                  </pic:spPr>
                </pic:pic>
              </a:graphicData>
            </a:graphic>
          </wp:inline>
        </w:drawing>
      </w:r>
    </w:p>
    <w:p w14:paraId="67EAD12C"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Organisational socialisation</w:t>
      </w:r>
    </w:p>
    <w:p w14:paraId="36677BF9"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(Aranibar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
    <w:p w14:paraId="3B0BC40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Factors such as a positive psychological contract between employees and employers will also be important in promoting effective socialisation (Aranibar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Potential employees formulate expectations about career prospects, treatment by their managers and the organisation about equity before they enter employment. Where such expectations are not met, there will be a drop in commitment and turnover intentions. CIPD Good Work Index points out that it seems that only approximately 49% of employees are very enthusiastic at the workplace (CIPD, 2024). It is which should be addressed with the requirement to meet expectations related to employment. Helios thus needs open communication, regular developmental feedback, and realistic career deliberations during the first year of employment.</w:t>
      </w:r>
    </w:p>
    <w:p w14:paraId="4D6BAF02"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2F1F37" wp14:editId="4ECD7186">
            <wp:extent cx="4767263" cy="1932246"/>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767263" cy="1932246"/>
                    </a:xfrm>
                    <a:prstGeom prst="rect">
                      <a:avLst/>
                    </a:prstGeom>
                    <a:ln w="25400">
                      <a:solidFill>
                        <a:srgbClr val="000000"/>
                      </a:solidFill>
                      <a:prstDash val="solid"/>
                    </a:ln>
                  </pic:spPr>
                </pic:pic>
              </a:graphicData>
            </a:graphic>
          </wp:inline>
        </w:drawing>
      </w:r>
    </w:p>
    <w:p w14:paraId="3725CC99"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Positive psychological contract</w:t>
      </w:r>
    </w:p>
    <w:p w14:paraId="4026E080"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
    <w:p w14:paraId="2E7F5CF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Mainly as the evolution of organisational identity is an ongoing process based on interaction rather than isolated incidents of induction. Personal values are matched with organisational purpose, and this leads employees to become committed organisational citizens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This is because Helios develops sustainable urban mobility solutions, and socialisation should strengthen the role of the employees in environmental innovation and value to the people. </w:t>
      </w:r>
    </w:p>
    <w:p w14:paraId="671DB6EF" w14:textId="77777777" w:rsidR="00B166C6" w:rsidRDefault="002D0CBF">
      <w:pPr>
        <w:pStyle w:val="Heading2"/>
        <w:keepNext w:val="0"/>
        <w:keepLines w:val="0"/>
        <w:jc w:val="both"/>
      </w:pPr>
      <w:bookmarkStart w:id="4" w:name="_heading=h.a6489zuqjfd7" w:colFirst="0" w:colLast="0"/>
      <w:bookmarkEnd w:id="4"/>
      <w:r>
        <w:t>Designing the Socialisation Framework</w:t>
      </w:r>
    </w:p>
    <w:p w14:paraId="79FFD4CC"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Pre-boarding</w:t>
      </w:r>
    </w:p>
    <w:p w14:paraId="66939E7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socialisation process must start as soon as the employment is accepted, with a well-organised pre-boarding programme. Organisational values, sustainability mission, AI innovation strategy and anticipated behavioural standards should be introduced by Helios. New entrants will be best oriented in the organisational culture through virtual meetings with the managers and assigned mentors to define realistic expectations (Esha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Early </w:t>
      </w:r>
      <w:r>
        <w:rPr>
          <w:rFonts w:ascii="Times New Roman" w:eastAsia="Times New Roman" w:hAnsi="Times New Roman" w:cs="Times New Roman"/>
          <w:sz w:val="24"/>
          <w:szCs w:val="24"/>
        </w:rPr>
        <w:lastRenderedPageBreak/>
        <w:t xml:space="preserve">engagement decreases uncertainties, builds stronger psychological contracts and increases smoother integration into the organisation. </w:t>
      </w:r>
    </w:p>
    <w:p w14:paraId="48339EA3"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First 90 Days</w:t>
      </w:r>
    </w:p>
    <w:p w14:paraId="7F59B7C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accomplished in the first ninety days should be an experiential incorporation of technical education with ongoing social interchange by cross-functional project rotations, mentoring association, routine developmental reviews and joint explicit innovation workshops throughout London, Berlin and Singapore. Such a progressive method allows employees to gradually gain technical competence as well as build organisational relationships (Poláková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Thus, understanding and confidence in their job and hence, speed up the adjustment process and commitment to the organisation. </w:t>
      </w:r>
    </w:p>
    <w:p w14:paraId="2FEBD144"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Year 1 Integration</w:t>
      </w:r>
    </w:p>
    <w:p w14:paraId="04C7E94F"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first year, the socialisation should be strengthened by means of shadowing of leaders, a sustainability program, challenging innovation and individual career development planning. Constant learning will help employees stay active longer than during initial onboarding and will help enhance organisational identification and commitment (Rani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Employing employees to participate in strategic mobility projects will keep employees professionally developing, as it strengthens their contribution to attaining the sustainable business of Helios. </w:t>
      </w:r>
    </w:p>
    <w:p w14:paraId="044E39BE" w14:textId="77777777" w:rsidR="00B166C6" w:rsidRDefault="002D0CBF">
      <w:pPr>
        <w:pStyle w:val="Heading2"/>
        <w:keepNext w:val="0"/>
        <w:keepLines w:val="0"/>
        <w:jc w:val="both"/>
      </w:pPr>
      <w:bookmarkStart w:id="5" w:name="_heading=h.se9jamhdx6kc" w:colFirst="0" w:colLast="0"/>
      <w:bookmarkEnd w:id="5"/>
      <w:r>
        <w:t xml:space="preserve">Cultivating Committed Organisational Citizens </w:t>
      </w:r>
    </w:p>
    <w:p w14:paraId="4809F0C9"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Organisational Identification</w:t>
      </w:r>
    </w:p>
    <w:p w14:paraId="406722C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is advised to enhance organisational identification by aligning the short-term duties of the employees with its mission of providing AI-based sustainable urban mobility solutions. Shared values should be reinforced by executive storytelling, cross-location mentoring and a recognition programme, as well as motivate employees to perceive organisational success as personal success. Characteristics of identity construction theory propose that organisational attachment is built in the process of constant interaction as opposed to secluded activities of induction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Highly organisationally identified employees are more likely to exhibit organisational citizenship behaviours, enhancing collaboration, engagement and retention in the long run. </w:t>
      </w:r>
    </w:p>
    <w:p w14:paraId="4FAE7C12"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Ethical Professionalism</w:t>
      </w:r>
    </w:p>
    <w:p w14:paraId="73DA8C76"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professionalism should be embedded throughout Helios' socialisation process by integrating responsible AI governance, data privacy, sustainability and ethical decision-making into technical training. To make sure that innovation meets societal trust and regulatory </w:t>
      </w:r>
      <w:r>
        <w:rPr>
          <w:rFonts w:ascii="Times New Roman" w:eastAsia="Times New Roman" w:hAnsi="Times New Roman" w:cs="Times New Roman"/>
          <w:sz w:val="24"/>
          <w:szCs w:val="24"/>
        </w:rPr>
        <w:lastRenderedPageBreak/>
        <w:t xml:space="preserve">standards, scenario-based learning may assist the staff in learning to implement ethical principles when developing smart mobility technologies (Burton, 2026). This proactive strategy goes beyond compliance to responsible professional practice. Consumers would want organisations that exhibit ethical business practice, and ethics is both a social responsibility and a competitive advantage. </w:t>
      </w:r>
    </w:p>
    <w:p w14:paraId="224B877A"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Business Activist Mindset</w:t>
      </w:r>
    </w:p>
    <w:p w14:paraId="4699097E" w14:textId="77777777" w:rsidR="00B166C6" w:rsidRDefault="002D0CB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A88F4ED" wp14:editId="3328FA5F">
            <wp:extent cx="4953000" cy="311467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953000" cy="3114675"/>
                    </a:xfrm>
                    <a:prstGeom prst="rect">
                      <a:avLst/>
                    </a:prstGeom>
                    <a:ln w="25400">
                      <a:solidFill>
                        <a:srgbClr val="000000"/>
                      </a:solidFill>
                      <a:prstDash val="solid"/>
                    </a:ln>
                  </pic:spPr>
                </pic:pic>
              </a:graphicData>
            </a:graphic>
          </wp:inline>
        </w:drawing>
      </w:r>
    </w:p>
    <w:p w14:paraId="780E0D1F" w14:textId="719DE0C1"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Ulrich’s evolution</w:t>
      </w:r>
      <w:r w:rsidR="00AB70DF">
        <w:rPr>
          <w:rFonts w:ascii="Times New Roman" w:eastAsia="Times New Roman" w:hAnsi="Times New Roman" w:cs="Times New Roman"/>
          <w:b/>
          <w:bCs/>
          <w:sz w:val="24"/>
          <w:szCs w:val="24"/>
        </w:rPr>
        <w:t xml:space="preserve"> model</w:t>
      </w:r>
    </w:p>
    <w:p w14:paraId="4E1A631C"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(Somu and Jayavel, 2024) </w:t>
      </w:r>
    </w:p>
    <w:p w14:paraId="655904F5"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ought to develop a business activist mindset wherein the employees are motivated to produce customer, community and environmental value in addition to financial performance. Along with HR Business Partner development, reflecting Ulrich’s evolution and the idea of stakeholder capitalism, the employees are expected to take part in the sustainability partnerships. These initiatives enable the employees to be strategic members, not just technical members. Intentional organisations are more likely to have their employees remain (Dowling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This indicates that business activism contributes to the renewal of strategies and sustainable performance in organisations. </w:t>
      </w:r>
    </w:p>
    <w:p w14:paraId="74E54364" w14:textId="77777777" w:rsidR="00EE4B18" w:rsidRDefault="00EE4B18">
      <w:pPr>
        <w:rPr>
          <w:rFonts w:ascii="Times New Roman" w:eastAsia="Times New Roman" w:hAnsi="Times New Roman" w:cs="Times New Roman"/>
          <w:b/>
          <w:bCs/>
          <w:sz w:val="24"/>
          <w:szCs w:val="24"/>
        </w:rPr>
      </w:pPr>
      <w:bookmarkStart w:id="6" w:name="_heading=h.bfc292barhfl" w:colFirst="0" w:colLast="0"/>
      <w:bookmarkEnd w:id="6"/>
      <w:r>
        <w:br w:type="page"/>
      </w:r>
    </w:p>
    <w:p w14:paraId="23201867" w14:textId="0859B79A" w:rsidR="00B166C6" w:rsidRDefault="002D0CBF" w:rsidP="00EE4B18">
      <w:pPr>
        <w:pStyle w:val="Heading1"/>
        <w:keepNext w:val="0"/>
        <w:keepLines w:val="0"/>
        <w:ind w:left="0"/>
        <w:jc w:val="both"/>
      </w:pPr>
      <w:r>
        <w:lastRenderedPageBreak/>
        <w:t xml:space="preserve">TASK B: Job Design </w:t>
      </w:r>
    </w:p>
    <w:p w14:paraId="2154E264" w14:textId="77777777" w:rsidR="00B166C6" w:rsidRDefault="002D0CBF">
      <w:pPr>
        <w:pStyle w:val="Heading2"/>
        <w:keepNext w:val="0"/>
        <w:keepLines w:val="0"/>
      </w:pPr>
      <w:bookmarkStart w:id="7" w:name="_heading=h.805l3nbvgywx" w:colFirst="0" w:colLast="0"/>
      <w:bookmarkEnd w:id="7"/>
      <w:r>
        <w:t>Designing an Innovative Job Design Strategy</w:t>
      </w:r>
    </w:p>
    <w:p w14:paraId="507DC7EE"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job design strategy most advantageous to Helios Urban Mobility involves reducing declining engagement, long waiting times and excessive rates of graduate loss and facilitating constant innovation. Traditional job design, which is very responsibility-based with narrowly defined duties, is inappropriate in an organisation which is technology-oriented and is located in dynamic international markets. In their place, Helios ought to follow an integrated approach to job design that includes a combination of an enriched work design approach, employee job crafting and a skills-based framework. </w:t>
      </w:r>
    </w:p>
    <w:p w14:paraId="046BD8BF" w14:textId="77777777" w:rsidR="00B166C6" w:rsidRDefault="002D0CBF">
      <w:pPr>
        <w:pStyle w:val="Heading2"/>
        <w:keepNext w:val="0"/>
        <w:keepLines w:val="0"/>
      </w:pPr>
      <w:bookmarkStart w:id="8" w:name="_heading=h.9fd3a1agcs7x" w:colFirst="0" w:colLast="0"/>
      <w:bookmarkEnd w:id="8"/>
      <w:r>
        <w:t>Redesigning Work Around Meaningful Contribution</w:t>
      </w:r>
    </w:p>
    <w:p w14:paraId="3866BE5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foundation of Helios’ strategy should involve redesigning jobs to create meaningful, autonomous and challenging work experiences. Using the Job Characteristics Model allows jobs to have more skill variety, task identity, task significance, autonomy and feedback (Cotič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Instead of allocating employees to isolated technical abilities, AI employees, computer programmers and network researchers are expected to engage across whole project life stages, among them the idea production and execution. Presbitero et al. (2025)  73% of employees who perceive meaningful work demonstrate higher engagement. It is a constructive example of how enriched work roles enhance motivation and commitment to our organisation.</w:t>
      </w:r>
    </w:p>
    <w:p w14:paraId="58A1478E"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619D2EC" wp14:editId="67BD7B5A">
            <wp:extent cx="4357688" cy="261316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357688" cy="2613165"/>
                    </a:xfrm>
                    <a:prstGeom prst="rect">
                      <a:avLst/>
                    </a:prstGeom>
                    <a:ln w="25400">
                      <a:solidFill>
                        <a:srgbClr val="000000"/>
                      </a:solidFill>
                      <a:prstDash val="solid"/>
                    </a:ln>
                  </pic:spPr>
                </pic:pic>
              </a:graphicData>
            </a:graphic>
          </wp:inline>
        </w:drawing>
      </w:r>
    </w:p>
    <w:p w14:paraId="3E42E9A7"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Workplace engagement</w:t>
      </w:r>
    </w:p>
    <w:p w14:paraId="280A880E"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(Albrecht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p w14:paraId="37125981"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should also become autonomous, as it is based on innovation, based on the ability of employees to use their professional judgement and creativity in problem-solving. It is recommended that managers have their strategic objectives but provide the project teams with </w:t>
      </w:r>
      <w:r>
        <w:rPr>
          <w:rFonts w:ascii="Times New Roman" w:eastAsia="Times New Roman" w:hAnsi="Times New Roman" w:cs="Times New Roman"/>
          <w:sz w:val="24"/>
          <w:szCs w:val="24"/>
        </w:rPr>
        <w:lastRenderedPageBreak/>
        <w:t xml:space="preserve">the freedom to choose methods, test possible solutions, and manage workflow (Albrecht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As stakeholders, employees should be able to know how individual contributions contribute to sustainable urban mobility outcomes through continuous feedback given by project leaders, clients and digital performance dashboards. Organisations enhancing employee performance through regular developmental feedback tend to benefit their employees by boosting feedback as a basic motivational tool. </w:t>
      </w:r>
    </w:p>
    <w:p w14:paraId="56006A3A" w14:textId="77777777" w:rsidR="00B166C6" w:rsidRDefault="002D0CBF">
      <w:pPr>
        <w:pStyle w:val="Heading2"/>
        <w:keepNext w:val="0"/>
        <w:keepLines w:val="0"/>
      </w:pPr>
      <w:bookmarkStart w:id="9" w:name="_heading=h.y8c358uahdwa" w:colFirst="0" w:colLast="0"/>
      <w:bookmarkEnd w:id="9"/>
      <w:r>
        <w:t>Encouraging Employee-Led Job Crafting</w:t>
      </w:r>
    </w:p>
    <w:p w14:paraId="68F80E08"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Alongside organisational job redesign, Helios should encourage employees to proactively shape selected aspects of their work through job crafting. The tasks, the relationships of collaboration and professional objectives could be adapted and oriented towards personal strengths. Thus allowing the employees to remain aligned with organisational priorities (Kim and Jung, 2022). </w:t>
      </w:r>
    </w:p>
    <w:p w14:paraId="0F3F3661"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3220CE" wp14:editId="7D217B5D">
            <wp:extent cx="3305175" cy="27813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22425" t="6195" r="19934" b="7670"/>
                    <a:stretch>
                      <a:fillRect/>
                    </a:stretch>
                  </pic:blipFill>
                  <pic:spPr>
                    <a:xfrm>
                      <a:off x="0" y="0"/>
                      <a:ext cx="3305175" cy="2781300"/>
                    </a:xfrm>
                    <a:prstGeom prst="rect">
                      <a:avLst/>
                    </a:prstGeom>
                    <a:ln w="25400">
                      <a:solidFill>
                        <a:srgbClr val="000000"/>
                      </a:solidFill>
                      <a:prstDash val="solid"/>
                    </a:ln>
                  </pic:spPr>
                </pic:pic>
              </a:graphicData>
            </a:graphic>
          </wp:inline>
        </w:drawing>
      </w:r>
    </w:p>
    <w:p w14:paraId="0715E92E"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Job Crafting</w:t>
      </w:r>
    </w:p>
    <w:p w14:paraId="6E9F3731"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(Verlinden, 2026) </w:t>
      </w:r>
    </w:p>
    <w:p w14:paraId="6D15367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engineer who is keen on sustainability analytics would be engaged with environmental optimisation projects. Research demonstrates that employees with job crafting experience have greater work engagement which is greater (Verlinden, 2026). Since higher levels of ownership enhance intrinsic motivation, learning and organisational commitment. However another employee would be engaged with cross-functional innovation projects to enhance leadership capability (Tigre, 2024). </w:t>
      </w:r>
    </w:p>
    <w:p w14:paraId="61D6F075" w14:textId="77777777" w:rsidR="00B166C6" w:rsidRDefault="002D0CBF">
      <w:pPr>
        <w:pStyle w:val="Heading2"/>
        <w:keepNext w:val="0"/>
        <w:keepLines w:val="0"/>
        <w:jc w:val="both"/>
      </w:pPr>
      <w:bookmarkStart w:id="10" w:name="_heading=h.y1lu0tjqgts" w:colFirst="0" w:colLast="0"/>
      <w:bookmarkEnd w:id="10"/>
      <w:r>
        <w:t>Supporting Innovation through a Skills-Based Architecture</w:t>
      </w:r>
    </w:p>
    <w:p w14:paraId="0DD39D23"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Helios needs to supplement enriched job design with a skills-based structure underpinned by an internal talent marketplace. Instead of defining employees using the conventional job title, the organisation ought to determine the transferable technical, analytical and leadership skills (Ahmad and Alqaarni, 2023). The align employees to short-term projects, innovations and overseas assignments. This method yields the ability of talent to flow where there is the highest priority in the organisation, together with the diversification of the abilities of employees in the various business functions. 39% of the major skill base of workers will have transformed by the year 2030 (World Economic Forum, 2025). This is an indication that a flexible, skills-oriented approach to workforces is critical. An internal talent marketplace would enable the London, Berlin and Singapore employees to avail project opportunities which would be in line with their capabilities and career goals. Organisations that have an internal talent market will cut down external hiring needs, enhance workforce flexibility and also preserve organisational wisdom (Hoichuk and Lyubomudrova, 2024). Data scientists and infrastructure analysts would be able to temporarily work in multidisciplinary teams. This mobility expands organisational knowledge and enhances teamwork and facilitates innovation through the integration of a wide range of skills. </w:t>
      </w:r>
    </w:p>
    <w:p w14:paraId="0A3FF905" w14:textId="77777777" w:rsidR="00B166C6" w:rsidRDefault="002D0CBF">
      <w:pPr>
        <w:pStyle w:val="Heading2"/>
        <w:keepNext w:val="0"/>
        <w:keepLines w:val="0"/>
        <w:jc w:val="both"/>
      </w:pPr>
      <w:bookmarkStart w:id="11" w:name="_heading=h.xxgpr249f1f" w:colFirst="0" w:colLast="0"/>
      <w:bookmarkEnd w:id="11"/>
      <w:r>
        <w:t>Stimulating Intrinsic Motivation and Innovation</w:t>
      </w:r>
    </w:p>
    <w:p w14:paraId="5340FC39"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Intrinsic motivation will be triggered by the proposed job design as employees will have more autonomy, feel competent, have meaning and be constantly learning (Gagné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Enriched roles give meaningful responsibilities, job crafting gives personal ownership and visible career opportunities beyond the traditional promotion pathways. Combined, the practice fulfils the psychological needs of employees and instils a commitment to the mission of Helios of providing sustainable urban mobility solutions. Intrinsic motivating strength fuels organisational profitability. Gallup (2021) reports that highly engaged employees achieve 23% greater profitability, ty showing the strategic work design value.</w:t>
      </w:r>
    </w:p>
    <w:p w14:paraId="7F18F484"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8869ACC" wp14:editId="2EED28E7">
            <wp:extent cx="4567238" cy="2245488"/>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6146" t="13979" r="4319" b="6921"/>
                    <a:stretch>
                      <a:fillRect/>
                    </a:stretch>
                  </pic:blipFill>
                  <pic:spPr>
                    <a:xfrm>
                      <a:off x="0" y="0"/>
                      <a:ext cx="4567238" cy="2245488"/>
                    </a:xfrm>
                    <a:prstGeom prst="rect">
                      <a:avLst/>
                    </a:prstGeom>
                    <a:ln w="25400">
                      <a:solidFill>
                        <a:srgbClr val="000000"/>
                      </a:solidFill>
                      <a:prstDash val="solid"/>
                    </a:ln>
                  </pic:spPr>
                </pic:pic>
              </a:graphicData>
            </a:graphic>
          </wp:inline>
        </w:drawing>
      </w:r>
    </w:p>
    <w:p w14:paraId="7B6955AC"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Motivation</w:t>
      </w:r>
    </w:p>
    <w:p w14:paraId="1308B314"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(Nickerson, 2025) </w:t>
      </w:r>
    </w:p>
    <w:p w14:paraId="4FCAC907"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natural result of innovation also emerges as employees work routinely across functional lines and acquire greater capabilities and put novel insights to bear on non-standard urban mobility issues. Cross-functional initiatives, temporary workloads and continuous feedback promote trial and error and diminish knowledge silos that tend to hamper creativity. Their motivation is to find solutions, and they see how their work contributes to the broader customers, communities and environmental sustainability (Nickerson, 2025). Strong collaborative cultures bring organisations closer to higher organisational performance by about five times, which is why the strategic association between collaborative job design and ongoing innovation is strong.</w:t>
      </w:r>
    </w:p>
    <w:p w14:paraId="318EE550"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job design, as well as employee job crafting and a skills-based architecture, can form a flexible human capital system that can tackle the engagement, retention and innovation issues faced by Helios at the same time. Instead of perceiving jobs as set posts, employees turn into malleable players whose skills develop with the organisation's strategy. As a result, Helios will be able to shorten adjustment time, enhance intrinsic motivation, boost graduate retention and maintain long-term innovation in the ever-evolving context of the smart mobility industry. </w:t>
      </w:r>
    </w:p>
    <w:p w14:paraId="6484F65B" w14:textId="77777777" w:rsidR="00D6589A" w:rsidRDefault="00D6589A">
      <w:pPr>
        <w:rPr>
          <w:rFonts w:ascii="Times New Roman" w:eastAsia="Times New Roman" w:hAnsi="Times New Roman" w:cs="Times New Roman"/>
          <w:b/>
          <w:bCs/>
          <w:sz w:val="24"/>
          <w:szCs w:val="24"/>
        </w:rPr>
      </w:pPr>
      <w:bookmarkStart w:id="12" w:name="_heading=h.efc6nbr8xr6r" w:colFirst="0" w:colLast="0"/>
      <w:bookmarkEnd w:id="12"/>
      <w:r>
        <w:br w:type="page"/>
      </w:r>
    </w:p>
    <w:p w14:paraId="52000ABF" w14:textId="5ED6764B" w:rsidR="00B166C6" w:rsidRDefault="002D0CBF" w:rsidP="00D6589A">
      <w:pPr>
        <w:pStyle w:val="Heading1"/>
        <w:keepNext w:val="0"/>
        <w:keepLines w:val="0"/>
        <w:ind w:left="0"/>
        <w:jc w:val="both"/>
      </w:pPr>
      <w:r>
        <w:lastRenderedPageBreak/>
        <w:t>TASK C: Reflective Report using Kolb’s Reflective Model</w:t>
      </w:r>
    </w:p>
    <w:p w14:paraId="66A935AC" w14:textId="77777777" w:rsidR="00B166C6" w:rsidRDefault="002D0CBF">
      <w:pPr>
        <w:pStyle w:val="Heading2"/>
        <w:keepNext w:val="0"/>
        <w:keepLines w:val="0"/>
      </w:pPr>
      <w:bookmarkStart w:id="13" w:name="_heading=h.l6u0r9t0nxfr" w:colFirst="0" w:colLast="0"/>
      <w:bookmarkEnd w:id="13"/>
      <w:r>
        <w:t>Concrete Experience</w:t>
      </w:r>
    </w:p>
    <w:p w14:paraId="047D0418"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completion of this module reinforced in me the notion that AI is changing strategic human resource management through enhancements in workforce planning, recruitment and people analytics. Studying such organisational issues as the one faced by Helios Urban Mobility, I realised that working with data about employees, AI can quickly analyse it and formulate a workforce trend and provide evidence-based recommendations. 63% believe that AI is going to change the way business is conducted, making the need to invest in responsible AI technologies all the more critical (Deloitte, 2023). However, I also understood that there are often ethical, cultural and interpersonal factors that may influence HR decision-making and that cannot be entirely described by algorithms. </w:t>
      </w:r>
    </w:p>
    <w:p w14:paraId="4B12C2D1" w14:textId="77777777" w:rsidR="00B166C6" w:rsidRDefault="002D0CBF">
      <w:pPr>
        <w:pStyle w:val="Heading2"/>
        <w:keepNext w:val="0"/>
        <w:keepLines w:val="0"/>
      </w:pPr>
      <w:bookmarkStart w:id="14" w:name="_heading=h.55k09rmhc2k9" w:colFirst="0" w:colLast="0"/>
      <w:bookmarkEnd w:id="14"/>
      <w:r>
        <w:t>Reflective Observation</w:t>
      </w:r>
    </w:p>
    <w:p w14:paraId="29C8AB50"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this learning experience, I recognise that excessive dependence on AI could weaken critical thinking and professional judgement. AI-generated recommendations can be biased, based on false assumptions or miss organisational specifics. As a result, I will apply AI as a decision-support tool but not as a decision-maker by aligning outputs with organisational goals, stakeholder expectations and principles. Using AI-based insights and human judgements will facilitate more balanced decisions on HRs whilst remaining accountable (Cheong, 2024). HR professionals use AI to assist people management decisions, and the necessity to introduce responsible human management is on the rise. </w:t>
      </w:r>
    </w:p>
    <w:p w14:paraId="1260D84F" w14:textId="77777777" w:rsidR="00B166C6" w:rsidRDefault="002D0CBF">
      <w:pPr>
        <w:pStyle w:val="Heading2"/>
        <w:keepNext w:val="0"/>
        <w:keepLines w:val="0"/>
      </w:pPr>
      <w:bookmarkStart w:id="15" w:name="_heading=h.w35llrs1i2y7" w:colFirst="0" w:colLast="0"/>
      <w:bookmarkEnd w:id="15"/>
      <w:r>
        <w:t>Abstract Conceptualisation</w:t>
      </w:r>
    </w:p>
    <w:p w14:paraId="285703AD"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reinforced that future HR professionals require technical competence alongside strategic and ethical capability. To enhance my future employability, I will focus on becoming more data literate to extract meaning from workforce analytics, acquire skills in AI-enhanced HR practices, and enhance my skills of strategic influencing to convey evidence-based recommendations to senior leaders. Employees are going to need much reskilling due to technological change, proving the need for constant development of the profession (Li, 2022). Moreover, enhanced awareness of global mobility will facilitate my ability to deal with culturally diverse workforces that operate within global settings. </w:t>
      </w:r>
    </w:p>
    <w:p w14:paraId="2D34C76F" w14:textId="77777777" w:rsidR="00B166C6" w:rsidRDefault="002D0CBF">
      <w:pPr>
        <w:pStyle w:val="Heading2"/>
        <w:keepNext w:val="0"/>
        <w:keepLines w:val="0"/>
      </w:pPr>
      <w:bookmarkStart w:id="16" w:name="_heading=h.62hf3qmzrnxd" w:colFirst="0" w:colLast="0"/>
      <w:bookmarkEnd w:id="16"/>
      <w:r>
        <w:t>Active Experimentation</w:t>
      </w:r>
    </w:p>
    <w:p w14:paraId="5CD3C105"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enhance my future career preparedness, I will also undertake professional courses in HR analytics and AI applications, practice using data visualisation tools and often compare the outcomes generated by AI applications to academic evidence and organisational context whilst making a recommendation. I would also be involved in cross-cultural undertakings, participate </w:t>
      </w:r>
      <w:r>
        <w:rPr>
          <w:rFonts w:ascii="Times New Roman" w:eastAsia="Times New Roman" w:hAnsi="Times New Roman" w:cs="Times New Roman"/>
          <w:sz w:val="24"/>
          <w:szCs w:val="24"/>
        </w:rPr>
        <w:lastRenderedPageBreak/>
        <w:t xml:space="preserve">in professional networking activities and mentorship in order to enhance strategic communication and worldwide business comprehension. By staying self-reflective and learning, I will make sure that AI is used to improve and not to be the replacement of critical human judgement so that I can grow as an accountable and strategically productive HR professional. </w:t>
      </w:r>
    </w:p>
    <w:p w14:paraId="42A0B289"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29EE03D1"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human capital architecture can help Helios Urban Mobility to turn workforce issues into sustainable competitive advantage. Embarking on strategic socialisation, innovative job design and responsible AI-assisted capability building enhances commitment among employees, nimbleness and ongoing innovation within the organisation, ensuring the organisation is positioned for long-term strategic renewal and value creation for stakeholders. </w:t>
      </w:r>
    </w:p>
    <w:p w14:paraId="2B153ECC" w14:textId="77777777" w:rsidR="00B166C6" w:rsidRDefault="002D0CBF">
      <w:pPr>
        <w:spacing w:after="0" w:line="360" w:lineRule="auto"/>
        <w:jc w:val="both"/>
        <w:rPr>
          <w:rFonts w:ascii="Times New Roman" w:eastAsia="Times New Roman" w:hAnsi="Times New Roman" w:cs="Times New Roman"/>
          <w:sz w:val="24"/>
          <w:szCs w:val="24"/>
        </w:rPr>
      </w:pPr>
      <w:r>
        <w:br w:type="page"/>
      </w:r>
    </w:p>
    <w:p w14:paraId="6916D1BA" w14:textId="77777777" w:rsidR="00B166C6" w:rsidRDefault="002D0CBF">
      <w:pPr>
        <w:pStyle w:val="Heading1"/>
        <w:jc w:val="both"/>
      </w:pPr>
      <w:bookmarkStart w:id="17" w:name="_heading=h.xjy40hp1i8ag" w:colFirst="0" w:colLast="0"/>
      <w:bookmarkEnd w:id="17"/>
      <w:r>
        <w:lastRenderedPageBreak/>
        <w:t>References</w:t>
      </w:r>
    </w:p>
    <w:p w14:paraId="2B78C09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S. and Alqaarni, S. (2023). Job Analysis in Organizations: Transition From Traditional to Strategic. </w:t>
      </w:r>
      <w:r>
        <w:rPr>
          <w:rFonts w:ascii="Times New Roman" w:eastAsia="Times New Roman" w:hAnsi="Times New Roman" w:cs="Times New Roman"/>
          <w:i/>
          <w:iCs/>
          <w:sz w:val="24"/>
          <w:szCs w:val="24"/>
        </w:rPr>
        <w:t>International Journal of Professional Business Review: Int. J. Prof.Bus. Rev.</w:t>
      </w:r>
      <w:r>
        <w:rPr>
          <w:rFonts w:ascii="Times New Roman" w:eastAsia="Times New Roman" w:hAnsi="Times New Roman" w:cs="Times New Roman"/>
          <w:sz w:val="24"/>
          <w:szCs w:val="24"/>
        </w:rPr>
        <w:t xml:space="preserve">, [online] 8(5), p.6. Available at: </w:t>
      </w:r>
      <w:hyperlink r:id="rId15">
        <w:r>
          <w:rPr>
            <w:rFonts w:ascii="Times New Roman" w:eastAsia="Times New Roman" w:hAnsi="Times New Roman" w:cs="Times New Roman"/>
            <w:color w:val="1155CC"/>
            <w:sz w:val="24"/>
            <w:szCs w:val="24"/>
            <w:u w:val="single"/>
          </w:rPr>
          <w:t>https://dialnet.unirioja.es/servlet/articulo?codigo=8984847</w:t>
        </w:r>
      </w:hyperlink>
      <w:r>
        <w:rPr>
          <w:rFonts w:ascii="Times New Roman" w:eastAsia="Times New Roman" w:hAnsi="Times New Roman" w:cs="Times New Roman"/>
          <w:sz w:val="24"/>
          <w:szCs w:val="24"/>
        </w:rPr>
        <w:t xml:space="preserve">  [Accessed 9 July 2026].</w:t>
      </w:r>
    </w:p>
    <w:p w14:paraId="52800EA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Albrecht, S.L., Green, C.R. and Marty, A. (2021). Meaningful work, job resources, and employee engagement.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13(7), p.4045. doi:</w:t>
      </w:r>
      <w:hyperlink r:id="rId16">
        <w:r>
          <w:rPr>
            <w:rFonts w:ascii="Times New Roman" w:eastAsia="Times New Roman" w:hAnsi="Times New Roman" w:cs="Times New Roman"/>
            <w:color w:val="1155CC"/>
            <w:sz w:val="24"/>
            <w:szCs w:val="24"/>
            <w:u w:val="single"/>
          </w:rPr>
          <w:t>https://www.mdpi.com/2071-1050/13/7/4045</w:t>
        </w:r>
      </w:hyperlink>
      <w:r>
        <w:rPr>
          <w:rFonts w:ascii="Times New Roman" w:eastAsia="Times New Roman" w:hAnsi="Times New Roman" w:cs="Times New Roman"/>
          <w:sz w:val="24"/>
          <w:szCs w:val="24"/>
        </w:rPr>
        <w:t xml:space="preserve">. </w:t>
      </w:r>
    </w:p>
    <w:p w14:paraId="15C0162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Aranibar, M.F., Baez-Lopez, Y., Limon-Romero, J., Ramírez-Barón, M.C., García Rivera, B.R., Ortega-Pérez Tejada, M. and Hernández Bejarano, J. (2022). The Impact of Social Benefits on Work Commitment and Organizational Socialization in the Manufacturing Industry.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[online] 14(17), p.10807. doi:</w:t>
      </w:r>
      <w:hyperlink r:id="rId17">
        <w:r>
          <w:rPr>
            <w:rFonts w:ascii="Times New Roman" w:eastAsia="Times New Roman" w:hAnsi="Times New Roman" w:cs="Times New Roman"/>
            <w:color w:val="1155CC"/>
            <w:sz w:val="24"/>
            <w:szCs w:val="24"/>
            <w:u w:val="single"/>
          </w:rPr>
          <w:t>https://www.mdpi.com/2071-1050/14/17/10807</w:t>
        </w:r>
      </w:hyperlink>
      <w:r>
        <w:rPr>
          <w:rFonts w:ascii="Times New Roman" w:eastAsia="Times New Roman" w:hAnsi="Times New Roman" w:cs="Times New Roman"/>
          <w:sz w:val="24"/>
          <w:szCs w:val="24"/>
        </w:rPr>
        <w:t xml:space="preserve">. </w:t>
      </w:r>
    </w:p>
    <w:p w14:paraId="051EDA6C"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Burton, S. (2026). Designing Trustworthy Futures: Research Priorities for Human-Centered, Connected, and Autonomous Mobility. </w:t>
      </w:r>
      <w:r>
        <w:rPr>
          <w:rFonts w:ascii="Times New Roman" w:eastAsia="Times New Roman" w:hAnsi="Times New Roman" w:cs="Times New Roman"/>
          <w:i/>
          <w:iCs/>
          <w:sz w:val="24"/>
          <w:szCs w:val="24"/>
        </w:rPr>
        <w:t>Civil Engineering</w:t>
      </w:r>
      <w:r>
        <w:rPr>
          <w:rFonts w:ascii="Times New Roman" w:eastAsia="Times New Roman" w:hAnsi="Times New Roman" w:cs="Times New Roman"/>
          <w:sz w:val="24"/>
          <w:szCs w:val="24"/>
        </w:rPr>
        <w:t>, [online] 2(3). doi:</w:t>
      </w:r>
      <w:hyperlink r:id="rId18">
        <w:r>
          <w:rPr>
            <w:rFonts w:ascii="Times New Roman" w:eastAsia="Times New Roman" w:hAnsi="Times New Roman" w:cs="Times New Roman"/>
            <w:color w:val="1155CC"/>
            <w:sz w:val="24"/>
            <w:szCs w:val="24"/>
            <w:u w:val="single"/>
          </w:rPr>
          <w:t>https://www.intechopen.com/chapters/1235870</w:t>
        </w:r>
      </w:hyperlink>
      <w:r>
        <w:rPr>
          <w:rFonts w:ascii="Times New Roman" w:eastAsia="Times New Roman" w:hAnsi="Times New Roman" w:cs="Times New Roman"/>
          <w:sz w:val="24"/>
          <w:szCs w:val="24"/>
        </w:rPr>
        <w:t xml:space="preserve">. </w:t>
      </w:r>
    </w:p>
    <w:p w14:paraId="0BAE0534"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Cheong, B.C. (2024). Transparency and accountability in AI systems: Safeguarding wellbeing in the age of algorithmic decision-making. </w:t>
      </w:r>
      <w:r>
        <w:rPr>
          <w:rFonts w:ascii="Times New Roman" w:eastAsia="Times New Roman" w:hAnsi="Times New Roman" w:cs="Times New Roman"/>
          <w:i/>
          <w:iCs/>
          <w:sz w:val="24"/>
          <w:szCs w:val="24"/>
        </w:rPr>
        <w:t>Frontiers in Human Dynamics</w:t>
      </w:r>
      <w:r>
        <w:rPr>
          <w:rFonts w:ascii="Times New Roman" w:eastAsia="Times New Roman" w:hAnsi="Times New Roman" w:cs="Times New Roman"/>
          <w:sz w:val="24"/>
          <w:szCs w:val="24"/>
        </w:rPr>
        <w:t>, [online] 6(3). doi:</w:t>
      </w:r>
      <w:hyperlink r:id="rId19">
        <w:r>
          <w:rPr>
            <w:rFonts w:ascii="Times New Roman" w:eastAsia="Times New Roman" w:hAnsi="Times New Roman" w:cs="Times New Roman"/>
            <w:color w:val="1155CC"/>
            <w:sz w:val="24"/>
            <w:szCs w:val="24"/>
            <w:u w:val="single"/>
          </w:rPr>
          <w:t>https://www.frontiersin.org/journals/human-dynamics/articles/10.3389/fhumd.2024.1421273/full</w:t>
        </w:r>
      </w:hyperlink>
      <w:r>
        <w:rPr>
          <w:rFonts w:ascii="Times New Roman" w:eastAsia="Times New Roman" w:hAnsi="Times New Roman" w:cs="Times New Roman"/>
          <w:sz w:val="24"/>
          <w:szCs w:val="24"/>
        </w:rPr>
        <w:t xml:space="preserve">. </w:t>
      </w:r>
    </w:p>
    <w:p w14:paraId="2E0A569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(2024). </w:t>
      </w:r>
      <w:r>
        <w:rPr>
          <w:rFonts w:ascii="Times New Roman" w:eastAsia="Times New Roman" w:hAnsi="Times New Roman" w:cs="Times New Roman"/>
          <w:i/>
          <w:iCs/>
          <w:sz w:val="24"/>
          <w:szCs w:val="24"/>
        </w:rPr>
        <w:t>CIPD Good Work Index 2024</w:t>
      </w:r>
      <w:r>
        <w:rPr>
          <w:rFonts w:ascii="Times New Roman" w:eastAsia="Times New Roman" w:hAnsi="Times New Roman" w:cs="Times New Roman"/>
          <w:sz w:val="24"/>
          <w:szCs w:val="24"/>
        </w:rPr>
        <w:t xml:space="preserve">. [online] Available at: </w:t>
      </w:r>
      <w:hyperlink r:id="rId20">
        <w:r>
          <w:rPr>
            <w:rFonts w:ascii="Times New Roman" w:eastAsia="Times New Roman" w:hAnsi="Times New Roman" w:cs="Times New Roman"/>
            <w:color w:val="1155CC"/>
            <w:sz w:val="24"/>
            <w:szCs w:val="24"/>
            <w:u w:val="single"/>
          </w:rPr>
          <w:t>https://www.cipd.org/globalassets/media/knowledge/knowledge-hub/reports/2024-pdfs/8625-good-work-index-2024-survey-report-1-web.pdf</w:t>
        </w:r>
      </w:hyperlink>
      <w:r>
        <w:rPr>
          <w:rFonts w:ascii="Times New Roman" w:eastAsia="Times New Roman" w:hAnsi="Times New Roman" w:cs="Times New Roman"/>
          <w:sz w:val="24"/>
          <w:szCs w:val="24"/>
        </w:rPr>
        <w:t xml:space="preserve">  [Accessed 9 July 2026].</w:t>
      </w:r>
    </w:p>
    <w:p w14:paraId="5DA78E6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Cotič, L.P., Man, M.M.K., Soga, L.R., Konstantopoulou, A. and Lodorfos, G. (2025). Job Characteristics for Work Engagement: Autonomy, Feedback, Skill Variety, Task Identity, and Task Significance. </w:t>
      </w:r>
      <w:r>
        <w:rPr>
          <w:rFonts w:ascii="Times New Roman" w:eastAsia="Times New Roman" w:hAnsi="Times New Roman" w:cs="Times New Roman"/>
          <w:i/>
          <w:iCs/>
          <w:sz w:val="24"/>
          <w:szCs w:val="24"/>
        </w:rPr>
        <w:t>Global Business and Organizational Excellence</w:t>
      </w:r>
      <w:r>
        <w:rPr>
          <w:rFonts w:ascii="Times New Roman" w:eastAsia="Times New Roman" w:hAnsi="Times New Roman" w:cs="Times New Roman"/>
          <w:sz w:val="24"/>
          <w:szCs w:val="24"/>
        </w:rPr>
        <w:t>, 2(3). doi:</w:t>
      </w:r>
      <w:hyperlink r:id="rId21">
        <w:r>
          <w:rPr>
            <w:rFonts w:ascii="Times New Roman" w:eastAsia="Times New Roman" w:hAnsi="Times New Roman" w:cs="Times New Roman"/>
            <w:color w:val="1155CC"/>
            <w:sz w:val="24"/>
            <w:szCs w:val="24"/>
            <w:u w:val="single"/>
          </w:rPr>
          <w:t>https://onlinelibrary.wiley.com/doi/abs/10.1002/joe.22295</w:t>
        </w:r>
      </w:hyperlink>
      <w:r>
        <w:rPr>
          <w:rFonts w:ascii="Times New Roman" w:eastAsia="Times New Roman" w:hAnsi="Times New Roman" w:cs="Times New Roman"/>
          <w:sz w:val="24"/>
          <w:szCs w:val="24"/>
        </w:rPr>
        <w:t xml:space="preserve">. </w:t>
      </w:r>
    </w:p>
    <w:p w14:paraId="000EF93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Smet, A., Mugayar-Baldocchi, M., Reich, A. and Schaninger, B. (2023). </w:t>
      </w:r>
      <w:r>
        <w:rPr>
          <w:rFonts w:ascii="Times New Roman" w:eastAsia="Times New Roman" w:hAnsi="Times New Roman" w:cs="Times New Roman"/>
          <w:i/>
          <w:iCs/>
          <w:sz w:val="24"/>
          <w:szCs w:val="24"/>
        </w:rPr>
        <w:t>How companies can improve workplace productivity | McKinsey</w:t>
      </w:r>
      <w:r>
        <w:rPr>
          <w:rFonts w:ascii="Times New Roman" w:eastAsia="Times New Roman" w:hAnsi="Times New Roman" w:cs="Times New Roman"/>
          <w:sz w:val="24"/>
          <w:szCs w:val="24"/>
        </w:rPr>
        <w:t xml:space="preserve">. [online] Www.mckinsey.com. Available at: </w:t>
      </w:r>
      <w:hyperlink r:id="rId22">
        <w:r>
          <w:rPr>
            <w:rFonts w:ascii="Times New Roman" w:eastAsia="Times New Roman" w:hAnsi="Times New Roman" w:cs="Times New Roman"/>
            <w:color w:val="1155CC"/>
            <w:sz w:val="24"/>
            <w:szCs w:val="24"/>
            <w:u w:val="single"/>
          </w:rPr>
          <w:t>https://www.mckinsey.com/capabilities/people-and-organizational-performance/our-insights/some-employees-are-destroying-value-others-are-building-it-do-you-know-the-difference</w:t>
        </w:r>
      </w:hyperlink>
      <w:r>
        <w:rPr>
          <w:rFonts w:ascii="Times New Roman" w:eastAsia="Times New Roman" w:hAnsi="Times New Roman" w:cs="Times New Roman"/>
          <w:sz w:val="24"/>
          <w:szCs w:val="24"/>
        </w:rPr>
        <w:t xml:space="preserve">  [Accessed 9 July 2026].</w:t>
      </w:r>
    </w:p>
    <w:p w14:paraId="597A4BE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 (2023). </w:t>
      </w:r>
      <w:r>
        <w:rPr>
          <w:rFonts w:ascii="Times New Roman" w:eastAsia="Times New Roman" w:hAnsi="Times New Roman" w:cs="Times New Roman"/>
          <w:i/>
          <w:iCs/>
          <w:sz w:val="24"/>
          <w:szCs w:val="24"/>
        </w:rPr>
        <w:t>AI study: Over 60 per cent use Artificial Intelligence at work – almost half of all employees are worried about losing their jobs</w:t>
      </w:r>
      <w:r>
        <w:rPr>
          <w:rFonts w:ascii="Times New Roman" w:eastAsia="Times New Roman" w:hAnsi="Times New Roman" w:cs="Times New Roman"/>
          <w:sz w:val="24"/>
          <w:szCs w:val="24"/>
        </w:rPr>
        <w:t xml:space="preserve">. [online] Deloitte Switzerland. Available at: </w:t>
      </w:r>
      <w:hyperlink r:id="rId23">
        <w:r>
          <w:rPr>
            <w:rFonts w:ascii="Times New Roman" w:eastAsia="Times New Roman" w:hAnsi="Times New Roman" w:cs="Times New Roman"/>
            <w:color w:val="1155CC"/>
            <w:sz w:val="24"/>
            <w:szCs w:val="24"/>
            <w:u w:val="single"/>
          </w:rPr>
          <w:t>https://www.deloitte.com/ch/en/about/press-room/ai-study-almost-half-of-all-employees-are-worried-about-losing-their-jobs.html</w:t>
        </w:r>
      </w:hyperlink>
      <w:r>
        <w:rPr>
          <w:rFonts w:ascii="Times New Roman" w:eastAsia="Times New Roman" w:hAnsi="Times New Roman" w:cs="Times New Roman"/>
          <w:sz w:val="24"/>
          <w:szCs w:val="24"/>
        </w:rPr>
        <w:t xml:space="preserve">  [Accessed 8 July 2026].</w:t>
      </w:r>
    </w:p>
    <w:p w14:paraId="43BEAFDD"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Dowling, B., Goldstein, D., Park, M. and Price, H. (2022). </w:t>
      </w:r>
      <w:r>
        <w:rPr>
          <w:rFonts w:ascii="Times New Roman" w:eastAsia="Times New Roman" w:hAnsi="Times New Roman" w:cs="Times New Roman"/>
          <w:i/>
          <w:iCs/>
          <w:sz w:val="24"/>
          <w:szCs w:val="24"/>
        </w:rPr>
        <w:t>New research details what empowered employees love about hybrid work models and the risks to diversity, equity, and inclusion if managers get the evolving flexible workplace wrong. Hybrid work: Making it fit with your diversity, equity, and inclusion strategy</w:t>
      </w:r>
      <w:r>
        <w:rPr>
          <w:rFonts w:ascii="Times New Roman" w:eastAsia="Times New Roman" w:hAnsi="Times New Roman" w:cs="Times New Roman"/>
          <w:sz w:val="24"/>
          <w:szCs w:val="24"/>
        </w:rPr>
        <w:t xml:space="preserve">. [online] Available at: </w:t>
      </w:r>
      <w:hyperlink r:id="rId24">
        <w:r>
          <w:rPr>
            <w:rFonts w:ascii="Times New Roman" w:eastAsia="Times New Roman" w:hAnsi="Times New Roman" w:cs="Times New Roman"/>
            <w:color w:val="1155CC"/>
            <w:sz w:val="24"/>
            <w:szCs w:val="24"/>
            <w:u w:val="single"/>
          </w:rPr>
          <w:t>https://membership.culturalinfusion.com/wp-content/uploads/2023/08/2022-Hybrid-work_-Making-it-fit-with-your-diversity-equity-and-inclusion-strategy.pdf</w:t>
        </w:r>
      </w:hyperlink>
      <w:r>
        <w:rPr>
          <w:rFonts w:ascii="Times New Roman" w:eastAsia="Times New Roman" w:hAnsi="Times New Roman" w:cs="Times New Roman"/>
          <w:sz w:val="24"/>
          <w:szCs w:val="24"/>
        </w:rPr>
        <w:t xml:space="preserve">  [Accessed 7 July 2026].</w:t>
      </w:r>
    </w:p>
    <w:p w14:paraId="056D9BB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Esha, Z.T., Hafiz, N. and Islam, Md.A. (2023). Influence of Working from Home Culture on the Effectiveness of Virtual Onboarding of New Employees. </w:t>
      </w:r>
      <w:r>
        <w:rPr>
          <w:rFonts w:ascii="Times New Roman" w:eastAsia="Times New Roman" w:hAnsi="Times New Roman" w:cs="Times New Roman"/>
          <w:i/>
          <w:iCs/>
          <w:sz w:val="24"/>
          <w:szCs w:val="24"/>
        </w:rPr>
        <w:t>Society &amp; Sustainability</w:t>
      </w:r>
      <w:r>
        <w:rPr>
          <w:rFonts w:ascii="Times New Roman" w:eastAsia="Times New Roman" w:hAnsi="Times New Roman" w:cs="Times New Roman"/>
          <w:sz w:val="24"/>
          <w:szCs w:val="24"/>
        </w:rPr>
        <w:t>, 5(1), pp.43–53. doi:</w:t>
      </w:r>
      <w:hyperlink r:id="rId25">
        <w:r>
          <w:rPr>
            <w:rFonts w:ascii="Times New Roman" w:eastAsia="Times New Roman" w:hAnsi="Times New Roman" w:cs="Times New Roman"/>
            <w:color w:val="1155CC"/>
            <w:sz w:val="24"/>
            <w:szCs w:val="24"/>
            <w:u w:val="single"/>
          </w:rPr>
          <w:t>http://riiopenjournals.com/index.php/society_sustainability/article/view/535</w:t>
        </w:r>
      </w:hyperlink>
      <w:r>
        <w:rPr>
          <w:rFonts w:ascii="Times New Roman" w:eastAsia="Times New Roman" w:hAnsi="Times New Roman" w:cs="Times New Roman"/>
          <w:sz w:val="24"/>
          <w:szCs w:val="24"/>
        </w:rPr>
        <w:t xml:space="preserve">. </w:t>
      </w:r>
    </w:p>
    <w:p w14:paraId="58FA5FB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Gagné, M., Parker, S.K., Griffin, M.A., Dunlop, P.D., Knight, C., Klonek, F.E. and Parent-Rocheleau, X. (2022). Understanding and Shaping the Future of Work with self-determination Theory. </w:t>
      </w:r>
      <w:r>
        <w:rPr>
          <w:rFonts w:ascii="Times New Roman" w:eastAsia="Times New Roman" w:hAnsi="Times New Roman" w:cs="Times New Roman"/>
          <w:i/>
          <w:iCs/>
          <w:sz w:val="24"/>
          <w:szCs w:val="24"/>
        </w:rPr>
        <w:t>Nature Reviews Psychology</w:t>
      </w:r>
      <w:r>
        <w:rPr>
          <w:rFonts w:ascii="Times New Roman" w:eastAsia="Times New Roman" w:hAnsi="Times New Roman" w:cs="Times New Roman"/>
          <w:sz w:val="24"/>
          <w:szCs w:val="24"/>
        </w:rPr>
        <w:t>, 1(1), pp.378–392. doi:</w:t>
      </w:r>
      <w:hyperlink r:id="rId26">
        <w:r>
          <w:rPr>
            <w:rFonts w:ascii="Times New Roman" w:eastAsia="Times New Roman" w:hAnsi="Times New Roman" w:cs="Times New Roman"/>
            <w:color w:val="1155CC"/>
            <w:sz w:val="24"/>
            <w:szCs w:val="24"/>
            <w:u w:val="single"/>
          </w:rPr>
          <w:t>https://www.nature.com/articles/s44159-022-00056-w</w:t>
        </w:r>
      </w:hyperlink>
      <w:r>
        <w:rPr>
          <w:rFonts w:ascii="Times New Roman" w:eastAsia="Times New Roman" w:hAnsi="Times New Roman" w:cs="Times New Roman"/>
          <w:sz w:val="24"/>
          <w:szCs w:val="24"/>
        </w:rPr>
        <w:t xml:space="preserve">. </w:t>
      </w:r>
    </w:p>
    <w:p w14:paraId="1836D2D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Gallup Inc (2021). </w:t>
      </w:r>
      <w:r>
        <w:rPr>
          <w:rFonts w:ascii="Times New Roman" w:eastAsia="Times New Roman" w:hAnsi="Times New Roman" w:cs="Times New Roman"/>
          <w:i/>
          <w:iCs/>
          <w:sz w:val="24"/>
          <w:szCs w:val="24"/>
        </w:rPr>
        <w:t>Gallup’s Q12 Employee Engagement Survey - Gallup</w:t>
      </w:r>
      <w:r>
        <w:rPr>
          <w:rFonts w:ascii="Times New Roman" w:eastAsia="Times New Roman" w:hAnsi="Times New Roman" w:cs="Times New Roman"/>
          <w:sz w:val="24"/>
          <w:szCs w:val="24"/>
        </w:rPr>
        <w:t xml:space="preserve">. [online] Gallup.com. Available at: </w:t>
      </w:r>
      <w:hyperlink r:id="rId27">
        <w:r>
          <w:rPr>
            <w:rFonts w:ascii="Times New Roman" w:eastAsia="Times New Roman" w:hAnsi="Times New Roman" w:cs="Times New Roman"/>
            <w:color w:val="1155CC"/>
            <w:sz w:val="24"/>
            <w:szCs w:val="24"/>
            <w:u w:val="single"/>
          </w:rPr>
          <w:t>https://www.gallup.com/workplace/356063/gallup-q12-employee-engagement-survey.aspx</w:t>
        </w:r>
      </w:hyperlink>
      <w:r>
        <w:rPr>
          <w:rFonts w:ascii="Times New Roman" w:eastAsia="Times New Roman" w:hAnsi="Times New Roman" w:cs="Times New Roman"/>
          <w:sz w:val="24"/>
          <w:szCs w:val="24"/>
        </w:rPr>
        <w:t xml:space="preserve">  [Accessed 7 July 2026].</w:t>
      </w:r>
    </w:p>
    <w:p w14:paraId="0A43300A"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Hoichuk, V. and Lyubomudrova, N. (2024). THE IMPACT OF STRATEGIC HUMAN CAPITAL MANAGEMENT ON THE COMPETITIVENESS OF AN ENTERPRISE. </w:t>
      </w:r>
      <w:r>
        <w:rPr>
          <w:rFonts w:ascii="Times New Roman" w:eastAsia="Times New Roman" w:hAnsi="Times New Roman" w:cs="Times New Roman"/>
          <w:i/>
          <w:iCs/>
          <w:sz w:val="24"/>
          <w:szCs w:val="24"/>
        </w:rPr>
        <w:t>Three Seas Economic Journal</w:t>
      </w:r>
      <w:r>
        <w:rPr>
          <w:rFonts w:ascii="Times New Roman" w:eastAsia="Times New Roman" w:hAnsi="Times New Roman" w:cs="Times New Roman"/>
          <w:sz w:val="24"/>
          <w:szCs w:val="24"/>
        </w:rPr>
        <w:t>, 5(2), pp.1–6. doi:</w:t>
      </w:r>
      <w:hyperlink r:id="rId28">
        <w:r>
          <w:rPr>
            <w:rFonts w:ascii="Times New Roman" w:eastAsia="Times New Roman" w:hAnsi="Times New Roman" w:cs="Times New Roman"/>
            <w:color w:val="1155CC"/>
            <w:sz w:val="24"/>
            <w:szCs w:val="24"/>
            <w:u w:val="single"/>
          </w:rPr>
          <w:t>http://www.baltijapublishing.lv/index.php/threeseas/article/view/2470</w:t>
        </w:r>
      </w:hyperlink>
      <w:r>
        <w:rPr>
          <w:rFonts w:ascii="Times New Roman" w:eastAsia="Times New Roman" w:hAnsi="Times New Roman" w:cs="Times New Roman"/>
          <w:sz w:val="24"/>
          <w:szCs w:val="24"/>
        </w:rPr>
        <w:t xml:space="preserve">. </w:t>
      </w:r>
    </w:p>
    <w:p w14:paraId="4E96B05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Houle, S.A., Morin, A.J.S., Vandenberghe, C., Tóth‐Király, I. and Fernet, C. (2024). From employee socialization to co‐evolution: A lifespan multidisciplinary conceptualization. </w:t>
      </w:r>
      <w:r>
        <w:rPr>
          <w:rFonts w:ascii="Times New Roman" w:eastAsia="Times New Roman" w:hAnsi="Times New Roman" w:cs="Times New Roman"/>
          <w:i/>
          <w:iCs/>
          <w:sz w:val="24"/>
          <w:szCs w:val="24"/>
        </w:rPr>
        <w:lastRenderedPageBreak/>
        <w:t>Applied Psychology</w:t>
      </w:r>
      <w:r>
        <w:rPr>
          <w:rFonts w:ascii="Times New Roman" w:eastAsia="Times New Roman" w:hAnsi="Times New Roman" w:cs="Times New Roman"/>
          <w:sz w:val="24"/>
          <w:szCs w:val="24"/>
        </w:rPr>
        <w:t>, 74(1). doi:</w:t>
      </w:r>
      <w:hyperlink r:id="rId29">
        <w:r>
          <w:rPr>
            <w:rFonts w:ascii="Times New Roman" w:eastAsia="Times New Roman" w:hAnsi="Times New Roman" w:cs="Times New Roman"/>
            <w:color w:val="1155CC"/>
            <w:sz w:val="24"/>
            <w:szCs w:val="24"/>
            <w:u w:val="single"/>
          </w:rPr>
          <w:t>https://iaap-journals.onlinelibrary.wiley.com/doi/abs/10.1111/apps.12572</w:t>
        </w:r>
      </w:hyperlink>
      <w:r>
        <w:rPr>
          <w:rFonts w:ascii="Times New Roman" w:eastAsia="Times New Roman" w:hAnsi="Times New Roman" w:cs="Times New Roman"/>
          <w:sz w:val="24"/>
          <w:szCs w:val="24"/>
        </w:rPr>
        <w:t xml:space="preserve">. </w:t>
      </w:r>
    </w:p>
    <w:p w14:paraId="05F903F5"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J.L., Bowling, N.A. and Wu, D. (2025). Organizational Behavior in the Gig Economy: Contributions, Challenges, and New Directions. </w:t>
      </w:r>
      <w:r>
        <w:rPr>
          <w:rFonts w:ascii="Times New Roman" w:eastAsia="Times New Roman" w:hAnsi="Times New Roman" w:cs="Times New Roman"/>
          <w:i/>
          <w:iCs/>
          <w:sz w:val="24"/>
          <w:szCs w:val="24"/>
        </w:rPr>
        <w:t>Journal of Organizational Behavior</w:t>
      </w:r>
      <w:r>
        <w:rPr>
          <w:rFonts w:ascii="Times New Roman" w:eastAsia="Times New Roman" w:hAnsi="Times New Roman" w:cs="Times New Roman"/>
          <w:sz w:val="24"/>
          <w:szCs w:val="24"/>
        </w:rPr>
        <w:t>, 4(2). doi:</w:t>
      </w:r>
      <w:hyperlink r:id="rId30">
        <w:r>
          <w:rPr>
            <w:rFonts w:ascii="Times New Roman" w:eastAsia="Times New Roman" w:hAnsi="Times New Roman" w:cs="Times New Roman"/>
            <w:color w:val="1155CC"/>
            <w:sz w:val="24"/>
            <w:szCs w:val="24"/>
            <w:u w:val="single"/>
          </w:rPr>
          <w:t>https://onlinelibrary.wiley.com/doi/abs/10.1002/job.70001</w:t>
        </w:r>
      </w:hyperlink>
      <w:r>
        <w:rPr>
          <w:rFonts w:ascii="Times New Roman" w:eastAsia="Times New Roman" w:hAnsi="Times New Roman" w:cs="Times New Roman"/>
          <w:sz w:val="24"/>
          <w:szCs w:val="24"/>
        </w:rPr>
        <w:t xml:space="preserve">. </w:t>
      </w:r>
    </w:p>
    <w:p w14:paraId="3D198082"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Y., Liu, X., Kim, J. and Na, S. (2022). Effects of Idiosyncratic Deals, Psychological Contract, Job Satisfaction and Environmental Turbulence on Unethical Pro-Organizational Behavior.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14(23), p.15995. doi:</w:t>
      </w:r>
      <w:hyperlink r:id="rId31">
        <w:r>
          <w:rPr>
            <w:rFonts w:ascii="Times New Roman" w:eastAsia="Times New Roman" w:hAnsi="Times New Roman" w:cs="Times New Roman"/>
            <w:color w:val="1155CC"/>
            <w:sz w:val="24"/>
            <w:szCs w:val="24"/>
            <w:u w:val="single"/>
          </w:rPr>
          <w:t>https://www.mdpi.com/2071-1050/14/23/15995</w:t>
        </w:r>
      </w:hyperlink>
      <w:r>
        <w:rPr>
          <w:rFonts w:ascii="Times New Roman" w:eastAsia="Times New Roman" w:hAnsi="Times New Roman" w:cs="Times New Roman"/>
          <w:sz w:val="24"/>
          <w:szCs w:val="24"/>
        </w:rPr>
        <w:t xml:space="preserve">. </w:t>
      </w:r>
    </w:p>
    <w:p w14:paraId="1663BF0A"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Kapolas, C. (2024). </w:t>
      </w:r>
      <w:r>
        <w:rPr>
          <w:rFonts w:ascii="Times New Roman" w:eastAsia="Times New Roman" w:hAnsi="Times New Roman" w:cs="Times New Roman"/>
          <w:i/>
          <w:iCs/>
          <w:sz w:val="24"/>
          <w:szCs w:val="24"/>
        </w:rPr>
        <w:t>Digital Employee Onboarding: Advantages, Challenges, and Tools</w:t>
      </w:r>
      <w:r>
        <w:rPr>
          <w:rFonts w:ascii="Times New Roman" w:eastAsia="Times New Roman" w:hAnsi="Times New Roman" w:cs="Times New Roman"/>
          <w:sz w:val="24"/>
          <w:szCs w:val="24"/>
        </w:rPr>
        <w:t xml:space="preserve">. [online] Lifthcm.com. Available at: </w:t>
      </w:r>
      <w:hyperlink r:id="rId32">
        <w:r>
          <w:rPr>
            <w:rFonts w:ascii="Times New Roman" w:eastAsia="Times New Roman" w:hAnsi="Times New Roman" w:cs="Times New Roman"/>
            <w:color w:val="1155CC"/>
            <w:sz w:val="24"/>
            <w:szCs w:val="24"/>
            <w:u w:val="single"/>
          </w:rPr>
          <w:t>https://lifthcm.com/article/digital-employee-onboarding-advantages-challenges-tools</w:t>
        </w:r>
      </w:hyperlink>
      <w:r>
        <w:rPr>
          <w:rFonts w:ascii="Times New Roman" w:eastAsia="Times New Roman" w:hAnsi="Times New Roman" w:cs="Times New Roman"/>
          <w:sz w:val="24"/>
          <w:szCs w:val="24"/>
        </w:rPr>
        <w:t xml:space="preserve">   [Accessed 8 July 2026].</w:t>
      </w:r>
    </w:p>
    <w:p w14:paraId="0BA4A4D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J. and Jung, H.-S. (2022). The Effect of Employee Competency and Organizational Culture on Employees’ Perceived Stress for Better Workplace.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[online] 19(8), p.4428. Available at: </w:t>
      </w:r>
      <w:hyperlink r:id="rId33">
        <w:r>
          <w:rPr>
            <w:rFonts w:ascii="Times New Roman" w:eastAsia="Times New Roman" w:hAnsi="Times New Roman" w:cs="Times New Roman"/>
            <w:color w:val="1155CC"/>
            <w:sz w:val="24"/>
            <w:szCs w:val="24"/>
            <w:u w:val="single"/>
          </w:rPr>
          <w:t>https://pmc.ncbi.nlm.nih.gov/articles/PMC9032235/</w:t>
        </w:r>
      </w:hyperlink>
      <w:r>
        <w:rPr>
          <w:rFonts w:ascii="Times New Roman" w:eastAsia="Times New Roman" w:hAnsi="Times New Roman" w:cs="Times New Roman"/>
          <w:sz w:val="24"/>
          <w:szCs w:val="24"/>
        </w:rPr>
        <w:t xml:space="preserve"> </w:t>
      </w:r>
    </w:p>
    <w:p w14:paraId="4655C85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J.D. (2023). Startup Acquisitions as a Hiring Strategy: Turnover Differences Between Acquired and Regular Hires. </w:t>
      </w:r>
      <w:r>
        <w:rPr>
          <w:rFonts w:ascii="Times New Roman" w:eastAsia="Times New Roman" w:hAnsi="Times New Roman" w:cs="Times New Roman"/>
          <w:i/>
          <w:iCs/>
          <w:sz w:val="24"/>
          <w:szCs w:val="24"/>
        </w:rPr>
        <w:t>Strategy science</w:t>
      </w:r>
      <w:r>
        <w:rPr>
          <w:rFonts w:ascii="Times New Roman" w:eastAsia="Times New Roman" w:hAnsi="Times New Roman" w:cs="Times New Roman"/>
          <w:sz w:val="24"/>
          <w:szCs w:val="24"/>
        </w:rPr>
        <w:t>, 4(2). doi:</w:t>
      </w:r>
      <w:hyperlink r:id="rId34">
        <w:r>
          <w:rPr>
            <w:rFonts w:ascii="Times New Roman" w:eastAsia="Times New Roman" w:hAnsi="Times New Roman" w:cs="Times New Roman"/>
            <w:color w:val="1155CC"/>
            <w:sz w:val="24"/>
            <w:szCs w:val="24"/>
            <w:u w:val="single"/>
          </w:rPr>
          <w:t>https://pubsonline.informs.org/doi/abs/10.1287/stsc.2022.0026</w:t>
        </w:r>
      </w:hyperlink>
      <w:r>
        <w:rPr>
          <w:rFonts w:ascii="Times New Roman" w:eastAsia="Times New Roman" w:hAnsi="Times New Roman" w:cs="Times New Roman"/>
          <w:sz w:val="24"/>
          <w:szCs w:val="24"/>
        </w:rPr>
        <w:t xml:space="preserve">. </w:t>
      </w:r>
    </w:p>
    <w:p w14:paraId="63F49151"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L. (2022). Reskilling and Upskilling the future-ready Workforce for Industry 4.0 and beyond. </w:t>
      </w:r>
      <w:r>
        <w:rPr>
          <w:rFonts w:ascii="Times New Roman" w:eastAsia="Times New Roman" w:hAnsi="Times New Roman" w:cs="Times New Roman"/>
          <w:i/>
          <w:iCs/>
          <w:sz w:val="24"/>
          <w:szCs w:val="24"/>
        </w:rPr>
        <w:t>Information Systems Frontiers</w:t>
      </w:r>
      <w:r>
        <w:rPr>
          <w:rFonts w:ascii="Times New Roman" w:eastAsia="Times New Roman" w:hAnsi="Times New Roman" w:cs="Times New Roman"/>
          <w:sz w:val="24"/>
          <w:szCs w:val="24"/>
        </w:rPr>
        <w:t>, [online] 24(3), pp.1–16. doi:</w:t>
      </w:r>
      <w:hyperlink r:id="rId35">
        <w:r>
          <w:rPr>
            <w:rFonts w:ascii="Times New Roman" w:eastAsia="Times New Roman" w:hAnsi="Times New Roman" w:cs="Times New Roman"/>
            <w:color w:val="1155CC"/>
            <w:sz w:val="24"/>
            <w:szCs w:val="24"/>
            <w:u w:val="single"/>
          </w:rPr>
          <w:t>https://doi.org/10.1007/s10796-022-10308-y</w:t>
        </w:r>
      </w:hyperlink>
      <w:r>
        <w:rPr>
          <w:rFonts w:ascii="Times New Roman" w:eastAsia="Times New Roman" w:hAnsi="Times New Roman" w:cs="Times New Roman"/>
          <w:sz w:val="24"/>
          <w:szCs w:val="24"/>
        </w:rPr>
        <w:t xml:space="preserve">. </w:t>
      </w:r>
    </w:p>
    <w:p w14:paraId="3877C218"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Morandini, S., Fraboni, F., De Angelis, M., Puzzo, G., Giusino, D. and Pietrantoni, L. (2023). The Impact of Artificial Intelligence on Workers’ skills: Upskilling and Reskilling in Organisations. </w:t>
      </w:r>
      <w:r>
        <w:rPr>
          <w:rFonts w:ascii="Times New Roman" w:eastAsia="Times New Roman" w:hAnsi="Times New Roman" w:cs="Times New Roman"/>
          <w:i/>
          <w:iCs/>
          <w:sz w:val="24"/>
          <w:szCs w:val="24"/>
        </w:rPr>
        <w:t>Informing Science: The International Journal of an Emerging Transdiscipline</w:t>
      </w:r>
      <w:r>
        <w:rPr>
          <w:rFonts w:ascii="Times New Roman" w:eastAsia="Times New Roman" w:hAnsi="Times New Roman" w:cs="Times New Roman"/>
          <w:sz w:val="24"/>
          <w:szCs w:val="24"/>
        </w:rPr>
        <w:t>, 26(1), pp.39–68. doi:</w:t>
      </w:r>
      <w:hyperlink r:id="rId36">
        <w:r>
          <w:rPr>
            <w:rFonts w:ascii="Times New Roman" w:eastAsia="Times New Roman" w:hAnsi="Times New Roman" w:cs="Times New Roman"/>
            <w:color w:val="1155CC"/>
            <w:sz w:val="24"/>
            <w:szCs w:val="24"/>
            <w:u w:val="single"/>
          </w:rPr>
          <w:t>https://cris.unibo.it/handle/11585/917132</w:t>
        </w:r>
      </w:hyperlink>
      <w:r>
        <w:rPr>
          <w:rFonts w:ascii="Times New Roman" w:eastAsia="Times New Roman" w:hAnsi="Times New Roman" w:cs="Times New Roman"/>
          <w:sz w:val="24"/>
          <w:szCs w:val="24"/>
        </w:rPr>
        <w:t xml:space="preserve">. </w:t>
      </w:r>
    </w:p>
    <w:p w14:paraId="655DDB3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Nickerson, C. (2025). </w:t>
      </w:r>
      <w:r>
        <w:rPr>
          <w:rFonts w:ascii="Times New Roman" w:eastAsia="Times New Roman" w:hAnsi="Times New Roman" w:cs="Times New Roman"/>
          <w:i/>
          <w:iCs/>
          <w:sz w:val="24"/>
          <w:szCs w:val="24"/>
        </w:rPr>
        <w:t>Extrinsic vs. Intrinsic Motivation: What’s the Difference?</w:t>
      </w:r>
      <w:r>
        <w:rPr>
          <w:rFonts w:ascii="Times New Roman" w:eastAsia="Times New Roman" w:hAnsi="Times New Roman" w:cs="Times New Roman"/>
          <w:sz w:val="24"/>
          <w:szCs w:val="24"/>
        </w:rPr>
        <w:t xml:space="preserve"> [online] Simply Psychology. Available at: </w:t>
      </w:r>
      <w:hyperlink r:id="rId37">
        <w:r>
          <w:rPr>
            <w:rFonts w:ascii="Times New Roman" w:eastAsia="Times New Roman" w:hAnsi="Times New Roman" w:cs="Times New Roman"/>
            <w:color w:val="1155CC"/>
            <w:sz w:val="24"/>
            <w:szCs w:val="24"/>
            <w:u w:val="single"/>
          </w:rPr>
          <w:t>https://www.simplypsychology.org/differences-between-extrinsic-and-intrinsic-motivation.html</w:t>
        </w:r>
      </w:hyperlink>
      <w:r>
        <w:rPr>
          <w:rFonts w:ascii="Times New Roman" w:eastAsia="Times New Roman" w:hAnsi="Times New Roman" w:cs="Times New Roman"/>
          <w:sz w:val="24"/>
          <w:szCs w:val="24"/>
        </w:rPr>
        <w:t xml:space="preserve">  [Accessed 9 July 2026].</w:t>
      </w:r>
    </w:p>
    <w:p w14:paraId="5CB0F97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Peck, D. (2024). </w:t>
      </w:r>
      <w:r>
        <w:rPr>
          <w:rFonts w:ascii="Times New Roman" w:eastAsia="Times New Roman" w:hAnsi="Times New Roman" w:cs="Times New Roman"/>
          <w:i/>
          <w:iCs/>
          <w:sz w:val="24"/>
          <w:szCs w:val="24"/>
        </w:rPr>
        <w:t>Employee Onboarding Statistics: Top Trends &amp; Insights (2024) | Devlin Peck</w:t>
      </w:r>
      <w:r>
        <w:rPr>
          <w:rFonts w:ascii="Times New Roman" w:eastAsia="Times New Roman" w:hAnsi="Times New Roman" w:cs="Times New Roman"/>
          <w:sz w:val="24"/>
          <w:szCs w:val="24"/>
        </w:rPr>
        <w:t xml:space="preserve">. [online] Www.devlinpeck.com. Available at: </w:t>
      </w:r>
      <w:hyperlink r:id="rId38">
        <w:r>
          <w:rPr>
            <w:rFonts w:ascii="Times New Roman" w:eastAsia="Times New Roman" w:hAnsi="Times New Roman" w:cs="Times New Roman"/>
            <w:color w:val="1155CC"/>
            <w:sz w:val="24"/>
            <w:szCs w:val="24"/>
            <w:u w:val="single"/>
          </w:rPr>
          <w:t>https://www.devlinpeck.com/content/employee-onboarding-statistics</w:t>
        </w:r>
      </w:hyperlink>
      <w:r>
        <w:rPr>
          <w:rFonts w:ascii="Times New Roman" w:eastAsia="Times New Roman" w:hAnsi="Times New Roman" w:cs="Times New Roman"/>
          <w:sz w:val="24"/>
          <w:szCs w:val="24"/>
        </w:rPr>
        <w:t xml:space="preserve">  [Accessed 7 July 2026].</w:t>
      </w:r>
    </w:p>
    <w:p w14:paraId="0C604F6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Poláková, M., Suleimanová, J.H., Madzík, P., Copuš, L., Molnárová, I. and Polednová, J. (2023). Soft skills and their importance in the labour market under the conditions of industry 5.0. </w:t>
      </w:r>
      <w:r>
        <w:rPr>
          <w:rFonts w:ascii="Times New Roman" w:eastAsia="Times New Roman" w:hAnsi="Times New Roman" w:cs="Times New Roman"/>
          <w:i/>
          <w:iCs/>
          <w:sz w:val="24"/>
          <w:szCs w:val="24"/>
        </w:rPr>
        <w:t>Heliyon</w:t>
      </w:r>
      <w:r>
        <w:rPr>
          <w:rFonts w:ascii="Times New Roman" w:eastAsia="Times New Roman" w:hAnsi="Times New Roman" w:cs="Times New Roman"/>
          <w:sz w:val="24"/>
          <w:szCs w:val="24"/>
        </w:rPr>
        <w:t>, [online] 9(8). doi:</w:t>
      </w:r>
      <w:hyperlink r:id="rId39">
        <w:r>
          <w:rPr>
            <w:rFonts w:ascii="Times New Roman" w:eastAsia="Times New Roman" w:hAnsi="Times New Roman" w:cs="Times New Roman"/>
            <w:color w:val="1155CC"/>
            <w:sz w:val="24"/>
            <w:szCs w:val="24"/>
            <w:u w:val="single"/>
          </w:rPr>
          <w:t>https://doi.org/10.1016/j.heliyon.2023.e18670</w:t>
        </w:r>
      </w:hyperlink>
      <w:r>
        <w:rPr>
          <w:rFonts w:ascii="Times New Roman" w:eastAsia="Times New Roman" w:hAnsi="Times New Roman" w:cs="Times New Roman"/>
          <w:sz w:val="24"/>
          <w:szCs w:val="24"/>
        </w:rPr>
        <w:t xml:space="preserve">. </w:t>
      </w:r>
    </w:p>
    <w:p w14:paraId="65D3338D"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Presbitero, A., Fujimoto, Y. and Lim, W.M. (2025). Employee Engagement and Retention in Multicultural Work groups: The Interplay of Employee and Supervisory Cultural Intelligence.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xml:space="preserve">, [online] 186(3), p.115012. Available at: </w:t>
      </w:r>
      <w:hyperlink r:id="rId40">
        <w:r>
          <w:rPr>
            <w:rFonts w:ascii="Times New Roman" w:eastAsia="Times New Roman" w:hAnsi="Times New Roman" w:cs="Times New Roman"/>
            <w:color w:val="1155CC"/>
            <w:sz w:val="24"/>
            <w:szCs w:val="24"/>
            <w:u w:val="single"/>
          </w:rPr>
          <w:t>https://www.sciencedirect.com/science/article/pii/S0148296324005162</w:t>
        </w:r>
      </w:hyperlink>
      <w:r>
        <w:rPr>
          <w:rFonts w:ascii="Times New Roman" w:eastAsia="Times New Roman" w:hAnsi="Times New Roman" w:cs="Times New Roman"/>
          <w:sz w:val="24"/>
          <w:szCs w:val="24"/>
        </w:rPr>
        <w:t xml:space="preserve"> </w:t>
      </w:r>
    </w:p>
    <w:p w14:paraId="726DA234"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Rani, B.L., Praveen, R., Alex, S., Quadir Mohiuddin, M., Haralayya, B. and Chinthamu, N. (2024). </w:t>
      </w:r>
      <w:r>
        <w:rPr>
          <w:rFonts w:ascii="Times New Roman" w:eastAsia="Times New Roman" w:hAnsi="Times New Roman" w:cs="Times New Roman"/>
          <w:i/>
          <w:iCs/>
          <w:sz w:val="24"/>
          <w:szCs w:val="24"/>
        </w:rPr>
        <w:t>Accountancy Business and the Public Interest BENEFITS OF ON BOARDING AS AN APPROACH TO SUSTAINING HUMAN RESOURCES IN ORGANIZATIONS</w:t>
      </w:r>
      <w:r>
        <w:rPr>
          <w:rFonts w:ascii="Times New Roman" w:eastAsia="Times New Roman" w:hAnsi="Times New Roman" w:cs="Times New Roman"/>
          <w:sz w:val="24"/>
          <w:szCs w:val="24"/>
        </w:rPr>
        <w:t xml:space="preserve">. [online] Available at: </w:t>
      </w:r>
      <w:hyperlink r:id="rId41">
        <w:r>
          <w:rPr>
            <w:rFonts w:ascii="Times New Roman" w:eastAsia="Times New Roman" w:hAnsi="Times New Roman" w:cs="Times New Roman"/>
            <w:color w:val="1155CC"/>
            <w:sz w:val="24"/>
            <w:szCs w:val="24"/>
            <w:u w:val="single"/>
          </w:rPr>
          <w:t>https://abpi.uk/wp-content/uploads/2024/11/03AU2406.pdf</w:t>
        </w:r>
      </w:hyperlink>
      <w:r>
        <w:rPr>
          <w:rFonts w:ascii="Times New Roman" w:eastAsia="Times New Roman" w:hAnsi="Times New Roman" w:cs="Times New Roman"/>
          <w:sz w:val="24"/>
          <w:szCs w:val="24"/>
        </w:rPr>
        <w:t xml:space="preserve"> </w:t>
      </w:r>
    </w:p>
    <w:p w14:paraId="72F49A0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Somu, S. and Jayavel, J. (2024). THE PRACTICE OF ULRICH’S FOUR-ROLE MODEL OF HR EXECUTIVES: COMPARING EVIDENCE FROM HR AND NON-HR EXECUTIVES.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[online] pp.2277–7067. doi:</w:t>
      </w:r>
      <w:hyperlink r:id="rId42">
        <w:r>
          <w:rPr>
            <w:rFonts w:ascii="Times New Roman" w:eastAsia="Times New Roman" w:hAnsi="Times New Roman" w:cs="Times New Roman"/>
            <w:color w:val="1155CC"/>
            <w:sz w:val="24"/>
            <w:szCs w:val="24"/>
            <w:u w:val="single"/>
          </w:rPr>
          <w:t>https://www.researchgate.net/publication/380638688_THE_PRACTICE_OF_ULRICH’S_FOUR-ROLE_MODEL_OF_HR_EXECUTIVES_COMPARING_EVIDENCE_FROM_HR_AND_NON-HR_EXECUTIVES</w:t>
        </w:r>
      </w:hyperlink>
      <w:r>
        <w:rPr>
          <w:rFonts w:ascii="Times New Roman" w:eastAsia="Times New Roman" w:hAnsi="Times New Roman" w:cs="Times New Roman"/>
          <w:sz w:val="24"/>
          <w:szCs w:val="24"/>
        </w:rPr>
        <w:t xml:space="preserve">. </w:t>
      </w:r>
    </w:p>
    <w:p w14:paraId="2CC4EE9B"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Tigre, F.B. (2024). Forging Innovative Leadership: The Power of Agility, Diversity, and Risk-Taking Configurations. </w:t>
      </w:r>
      <w:r>
        <w:rPr>
          <w:rFonts w:ascii="Times New Roman" w:eastAsia="Times New Roman" w:hAnsi="Times New Roman" w:cs="Times New Roman"/>
          <w:i/>
          <w:iCs/>
          <w:sz w:val="24"/>
          <w:szCs w:val="24"/>
        </w:rPr>
        <w:t>Merits</w:t>
      </w:r>
      <w:r>
        <w:rPr>
          <w:rFonts w:ascii="Times New Roman" w:eastAsia="Times New Roman" w:hAnsi="Times New Roman" w:cs="Times New Roman"/>
          <w:sz w:val="24"/>
          <w:szCs w:val="24"/>
        </w:rPr>
        <w:t>, [online] 4(3), pp.224–237. doi:</w:t>
      </w:r>
      <w:hyperlink r:id="rId43">
        <w:r>
          <w:rPr>
            <w:rFonts w:ascii="Times New Roman" w:eastAsia="Times New Roman" w:hAnsi="Times New Roman" w:cs="Times New Roman"/>
            <w:color w:val="1155CC"/>
            <w:sz w:val="24"/>
            <w:szCs w:val="24"/>
            <w:u w:val="single"/>
          </w:rPr>
          <w:t>https://www.mdpi.com/2673-8104/4/3/16</w:t>
        </w:r>
      </w:hyperlink>
      <w:r>
        <w:rPr>
          <w:rFonts w:ascii="Times New Roman" w:eastAsia="Times New Roman" w:hAnsi="Times New Roman" w:cs="Times New Roman"/>
          <w:sz w:val="24"/>
          <w:szCs w:val="24"/>
        </w:rPr>
        <w:t xml:space="preserve">. </w:t>
      </w:r>
    </w:p>
    <w:p w14:paraId="1A028CD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Verlinden, N. (2026). </w:t>
      </w:r>
      <w:r>
        <w:rPr>
          <w:rFonts w:ascii="Times New Roman" w:eastAsia="Times New Roman" w:hAnsi="Times New Roman" w:cs="Times New Roman"/>
          <w:i/>
          <w:iCs/>
          <w:sz w:val="24"/>
          <w:szCs w:val="24"/>
        </w:rPr>
        <w:t>Job Crafting: What HR Professionals Need to Know</w:t>
      </w:r>
      <w:r>
        <w:rPr>
          <w:rFonts w:ascii="Times New Roman" w:eastAsia="Times New Roman" w:hAnsi="Times New Roman" w:cs="Times New Roman"/>
          <w:sz w:val="24"/>
          <w:szCs w:val="24"/>
        </w:rPr>
        <w:t xml:space="preserve">. [online] AIHR. Available at: </w:t>
      </w:r>
      <w:hyperlink r:id="rId44">
        <w:r>
          <w:rPr>
            <w:rFonts w:ascii="Times New Roman" w:eastAsia="Times New Roman" w:hAnsi="Times New Roman" w:cs="Times New Roman"/>
            <w:color w:val="1155CC"/>
            <w:sz w:val="24"/>
            <w:szCs w:val="24"/>
            <w:u w:val="single"/>
          </w:rPr>
          <w:t>https://www.aihr.com/blog/job-crafting/</w:t>
        </w:r>
      </w:hyperlink>
      <w:r>
        <w:rPr>
          <w:rFonts w:ascii="Times New Roman" w:eastAsia="Times New Roman" w:hAnsi="Times New Roman" w:cs="Times New Roman"/>
          <w:sz w:val="24"/>
          <w:szCs w:val="24"/>
        </w:rPr>
        <w:t xml:space="preserve">  [Accessed 8 July 2026].</w:t>
      </w:r>
    </w:p>
    <w:p w14:paraId="6EE220D1"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Economic Forum (2025). </w:t>
      </w:r>
      <w:r>
        <w:rPr>
          <w:rFonts w:ascii="Times New Roman" w:eastAsia="Times New Roman" w:hAnsi="Times New Roman" w:cs="Times New Roman"/>
          <w:i/>
          <w:iCs/>
          <w:sz w:val="24"/>
          <w:szCs w:val="24"/>
        </w:rPr>
        <w:t>The Future of Jobs Report 2025</w:t>
      </w:r>
      <w:r>
        <w:rPr>
          <w:rFonts w:ascii="Times New Roman" w:eastAsia="Times New Roman" w:hAnsi="Times New Roman" w:cs="Times New Roman"/>
          <w:sz w:val="24"/>
          <w:szCs w:val="24"/>
        </w:rPr>
        <w:t xml:space="preserve">. [online] World Economic Forum. Available at: </w:t>
      </w:r>
      <w:hyperlink r:id="rId45">
        <w:r>
          <w:rPr>
            <w:rFonts w:ascii="Times New Roman" w:eastAsia="Times New Roman" w:hAnsi="Times New Roman" w:cs="Times New Roman"/>
            <w:color w:val="1155CC"/>
            <w:sz w:val="24"/>
            <w:szCs w:val="24"/>
            <w:u w:val="single"/>
          </w:rPr>
          <w:t>https://www.weforum.org/publications/the-future-of-jobs-report-2025/in-full/3-skills-outlook/</w:t>
        </w:r>
      </w:hyperlink>
      <w:r>
        <w:rPr>
          <w:rFonts w:ascii="Times New Roman" w:eastAsia="Times New Roman" w:hAnsi="Times New Roman" w:cs="Times New Roman"/>
          <w:sz w:val="24"/>
          <w:szCs w:val="24"/>
        </w:rPr>
        <w:t xml:space="preserve">  [Accessed 9 July 2026].</w:t>
      </w:r>
    </w:p>
    <w:p w14:paraId="7411F6C5" w14:textId="77777777" w:rsidR="00B166C6" w:rsidRDefault="00B166C6">
      <w:pPr>
        <w:spacing w:after="0" w:line="360" w:lineRule="auto"/>
        <w:jc w:val="both"/>
        <w:rPr>
          <w:rFonts w:ascii="Times New Roman" w:eastAsia="Times New Roman" w:hAnsi="Times New Roman" w:cs="Times New Roman"/>
          <w:sz w:val="24"/>
          <w:szCs w:val="24"/>
        </w:rPr>
      </w:pPr>
    </w:p>
    <w:sectPr w:rsidR="00B166C6" w:rsidSect="008C01B8">
      <w:headerReference w:type="default" r:id="rId46"/>
      <w:footerReference w:type="default" r:id="rId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866C6" w14:textId="77777777" w:rsidR="00037C4C" w:rsidRDefault="00037C4C">
      <w:pPr>
        <w:spacing w:after="0" w:line="240" w:lineRule="auto"/>
      </w:pPr>
      <w:r>
        <w:separator/>
      </w:r>
    </w:p>
  </w:endnote>
  <w:endnote w:type="continuationSeparator" w:id="0">
    <w:p w14:paraId="02D6F61C" w14:textId="77777777" w:rsidR="00037C4C" w:rsidRDefault="0003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BAB9CD46-F436-49CF-9AC3-871436597948}"/>
    <w:embedItalic r:id="rId2" w:fontKey="{CEB14C3E-2A64-4D08-9AEC-C44F9869264D}"/>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E121C13B-FD56-4903-971E-2FDCF6E4BF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B32CF" w14:textId="77777777" w:rsidR="00B166C6" w:rsidRDefault="002D0CBF">
    <w:pPr>
      <w:jc w:val="right"/>
    </w:pPr>
    <w:r>
      <w:fldChar w:fldCharType="begin"/>
    </w:r>
    <w:r>
      <w:instrText>PAGE</w:instrText>
    </w:r>
    <w:r>
      <w:fldChar w:fldCharType="separate"/>
    </w:r>
    <w:r w:rsidR="00AB70DF">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284F8" w14:textId="77777777" w:rsidR="00037C4C" w:rsidRDefault="00037C4C">
      <w:pPr>
        <w:spacing w:after="0" w:line="240" w:lineRule="auto"/>
      </w:pPr>
      <w:r>
        <w:separator/>
      </w:r>
    </w:p>
  </w:footnote>
  <w:footnote w:type="continuationSeparator" w:id="0">
    <w:p w14:paraId="1675F4C7" w14:textId="77777777" w:rsidR="00037C4C" w:rsidRDefault="00037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407E4" w14:textId="77777777" w:rsidR="00B166C6" w:rsidRDefault="00B166C6">
    <w:pPr>
      <w:pBdr>
        <w:top w:val="nil"/>
        <w:left w:val="nil"/>
        <w:bottom w:val="nil"/>
        <w:right w:val="nil"/>
        <w:between w:val="nil"/>
      </w:pBdr>
      <w:tabs>
        <w:tab w:val="center" w:pos="4513"/>
        <w:tab w:val="right" w:pos="9026"/>
      </w:tabs>
      <w:spacing w:after="0" w:line="240" w:lineRule="auto"/>
      <w:jc w:val="right"/>
      <w:rPr>
        <w:color w:val="000000"/>
      </w:rPr>
    </w:pPr>
  </w:p>
  <w:p w14:paraId="508F7897" w14:textId="77777777" w:rsidR="00B166C6" w:rsidRDefault="00B166C6">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6C6"/>
    <w:rsid w:val="00037C4C"/>
    <w:rsid w:val="000A7D32"/>
    <w:rsid w:val="002D0CBF"/>
    <w:rsid w:val="004232F5"/>
    <w:rsid w:val="005218AB"/>
    <w:rsid w:val="00581727"/>
    <w:rsid w:val="00607A55"/>
    <w:rsid w:val="00661327"/>
    <w:rsid w:val="006F2770"/>
    <w:rsid w:val="0072552D"/>
    <w:rsid w:val="0076136C"/>
    <w:rsid w:val="007F1C5F"/>
    <w:rsid w:val="008C01B8"/>
    <w:rsid w:val="00A671CC"/>
    <w:rsid w:val="00AA7508"/>
    <w:rsid w:val="00AB70DF"/>
    <w:rsid w:val="00B166C6"/>
    <w:rsid w:val="00D6589A"/>
    <w:rsid w:val="00EE4B1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AA9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line="360" w:lineRule="auto"/>
      <w:ind w:left="360"/>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after="0" w:line="36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after="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6F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770"/>
  </w:style>
  <w:style w:type="paragraph" w:styleId="Footer">
    <w:name w:val="footer"/>
    <w:basedOn w:val="Normal"/>
    <w:link w:val="FooterChar"/>
    <w:uiPriority w:val="99"/>
    <w:unhideWhenUsed/>
    <w:rsid w:val="006F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7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intechopen.com/chapters/1235870" TargetMode="External"/><Relationship Id="rId26" Type="http://schemas.openxmlformats.org/officeDocument/2006/relationships/hyperlink" Target="https://www.nature.com/articles/s44159-022-00056-w" TargetMode="External"/><Relationship Id="rId39" Type="http://schemas.openxmlformats.org/officeDocument/2006/relationships/hyperlink" Target="https://doi.org/10.1016/j.heliyon.2023.e18670" TargetMode="External"/><Relationship Id="rId21" Type="http://schemas.openxmlformats.org/officeDocument/2006/relationships/hyperlink" Target="https://onlinelibrary.wiley.com/doi/abs/10.1002/joe.22295" TargetMode="External"/><Relationship Id="rId34" Type="http://schemas.openxmlformats.org/officeDocument/2006/relationships/hyperlink" Target="https://pubsonline.informs.org/doi/abs/10.1287/stsc.2022.0026" TargetMode="External"/><Relationship Id="rId42" Type="http://schemas.openxmlformats.org/officeDocument/2006/relationships/hyperlink" Target="https://www.researchgate.net/publication/380638688_THE_PRACTICE_OF_ULRICH%E2%80%99S_FOUR-ROLE_MODEL_OF_HR_EXECUTIVES_COMPARING_EVIDENCE_FROM_HR_AND_NON-HR_EXECUTIVES"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1-1050/13/7/4045" TargetMode="External"/><Relationship Id="rId29" Type="http://schemas.openxmlformats.org/officeDocument/2006/relationships/hyperlink" Target="https://iaap-journals.onlinelibrary.wiley.com/doi/abs/10.1111/apps.12572" TargetMode="External"/><Relationship Id="rId11" Type="http://schemas.openxmlformats.org/officeDocument/2006/relationships/image" Target="media/image5.png"/><Relationship Id="rId24" Type="http://schemas.openxmlformats.org/officeDocument/2006/relationships/hyperlink" Target="https://membership.culturalinfusion.com/wp-content/uploads/2023/08/2022-Hybrid-work_-Making-it-fit-with-your-diversity-equity-and-inclusion-strategy.pdf" TargetMode="External"/><Relationship Id="rId32" Type="http://schemas.openxmlformats.org/officeDocument/2006/relationships/hyperlink" Target="https://lifthcm.com/article/digital-employee-onboarding-advantages-challenges-tools" TargetMode="External"/><Relationship Id="rId37" Type="http://schemas.openxmlformats.org/officeDocument/2006/relationships/hyperlink" Target="https://www.simplypsychology.org/differences-between-extrinsic-and-intrinsic-motivation.html" TargetMode="External"/><Relationship Id="rId40" Type="http://schemas.openxmlformats.org/officeDocument/2006/relationships/hyperlink" Target="https://www.sciencedirect.com/science/article/pii/S0148296324005162" TargetMode="External"/><Relationship Id="rId45" Type="http://schemas.openxmlformats.org/officeDocument/2006/relationships/hyperlink" Target="https://www.weforum.org/publications/the-future-of-jobs-report-2025/in-full/3-skills-outlook/" TargetMode="External"/><Relationship Id="rId5" Type="http://schemas.openxmlformats.org/officeDocument/2006/relationships/footnotes" Target="footnotes.xml"/><Relationship Id="rId15" Type="http://schemas.openxmlformats.org/officeDocument/2006/relationships/hyperlink" Target="https://dialnet.unirioja.es/servlet/articulo?codigo=8984847" TargetMode="External"/><Relationship Id="rId23" Type="http://schemas.openxmlformats.org/officeDocument/2006/relationships/hyperlink" Target="https://www.deloitte.com/ch/en/about/press-room/ai-study-almost-half-of-all-employees-are-worried-about-losing-their-jobs.html" TargetMode="External"/><Relationship Id="rId28" Type="http://schemas.openxmlformats.org/officeDocument/2006/relationships/hyperlink" Target="http://www.baltijapublishing.lv/index.php/threeseas/article/view/2470" TargetMode="External"/><Relationship Id="rId36" Type="http://schemas.openxmlformats.org/officeDocument/2006/relationships/hyperlink" Target="https://cris.unibo.it/handle/11585/917132"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frontiersin.org/journals/human-dynamics/articles/10.3389/fhumd.2024.1421273/full" TargetMode="External"/><Relationship Id="rId31" Type="http://schemas.openxmlformats.org/officeDocument/2006/relationships/hyperlink" Target="https://www.mdpi.com/2071-1050/14/23/15995" TargetMode="External"/><Relationship Id="rId44" Type="http://schemas.openxmlformats.org/officeDocument/2006/relationships/hyperlink" Target="https://www.aihr.com/blog/job-craf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ckinsey.com/capabilities/people-and-organizational-performance/our-insights/some-employees-are-destroying-value-others-are-building-it-do-you-know-the-difference" TargetMode="External"/><Relationship Id="rId27" Type="http://schemas.openxmlformats.org/officeDocument/2006/relationships/hyperlink" Target="https://www.gallup.com/workplace/356063/gallup-q12-employee-engagement-survey.aspx" TargetMode="External"/><Relationship Id="rId30" Type="http://schemas.openxmlformats.org/officeDocument/2006/relationships/hyperlink" Target="https://onlinelibrary.wiley.com/doi/abs/10.1002/job.70001" TargetMode="External"/><Relationship Id="rId35" Type="http://schemas.openxmlformats.org/officeDocument/2006/relationships/hyperlink" Target="https://doi.org/10.1007/s10796-022-10308-y" TargetMode="External"/><Relationship Id="rId43" Type="http://schemas.openxmlformats.org/officeDocument/2006/relationships/hyperlink" Target="https://www.mdpi.com/2673-8104/4/3/16"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mdpi.com/2071-1050/14/17/10807" TargetMode="External"/><Relationship Id="rId25" Type="http://schemas.openxmlformats.org/officeDocument/2006/relationships/hyperlink" Target="http://riiopenjournals.com/index.php/society_sustainability/article/view/535" TargetMode="External"/><Relationship Id="rId33" Type="http://schemas.openxmlformats.org/officeDocument/2006/relationships/hyperlink" Target="https://pmc.ncbi.nlm.nih.gov/articles/PMC9032235/" TargetMode="External"/><Relationship Id="rId38" Type="http://schemas.openxmlformats.org/officeDocument/2006/relationships/hyperlink" Target="https://www.devlinpeck.com/content/employee-onboarding-statistics" TargetMode="External"/><Relationship Id="rId46" Type="http://schemas.openxmlformats.org/officeDocument/2006/relationships/header" Target="header1.xml"/><Relationship Id="rId20" Type="http://schemas.openxmlformats.org/officeDocument/2006/relationships/hyperlink" Target="https://www.cipd.org/globalassets/media/knowledge/knowledge-hub/reports/2024-pdfs/8625-good-work-index-2024-survey-report-1-web.pdf" TargetMode="External"/><Relationship Id="rId41" Type="http://schemas.openxmlformats.org/officeDocument/2006/relationships/hyperlink" Target="https://abpi.uk/wp-content/uploads/2024/11/03AU2406.pdf"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QG4WIKOWBH3WflPj2AgA4jYL1Q==">CgMxLjAyDmguMzF4c3RwcnBuamd5Mg5oLm52a29xcjcyM2J3YzIOaC5nbGNoN2FpaXAyeTkyDmgueXIwdnhqc200eHd4Mg5oLmE2NDg5enVxamZkNzIOaC5zZTlqYW1oZHg2a2MyDmguYmZjMjkyYmFyaGZsMg5oLjgwNWwzbmJ2Z3l3eDIOaC45ZmQzYTFhZ2NzN3gyDmgueThjMzU4dWFoZHdhMg1oLnkxbHUwdGpxZ3RzMg1oLnh4Z3ByMjQ5ZjFmMg5oLmVmYzZuYnI4eHI2cjIOaC5sNnUwcjl0MG54ZnIyDmguNTVrMDlybWhjMms5Mg5oLnczNWxscnMxaTJ5NzIOaC42MmhmM3FtenJueGQyDmgueGp5NDBocDFpOGFnOAByITF4Y1hEdHJNY0E5aTJvM3Nfd1FZb2I5a3hlVjFhRjlS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4900</Words>
  <Characters>27932</Characters>
  <Application>Microsoft Office Word</Application>
  <DocSecurity>0</DocSecurity>
  <Lines>232</Lines>
  <Paragraphs>65</Paragraphs>
  <ScaleCrop>false</ScaleCrop>
  <Company/>
  <LinksUpToDate>false</LinksUpToDate>
  <CharactersWithSpaces>32767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2026-07-09T15:52:00Z</dcterms:created>
  <dcterms:modified xsi:type="dcterms:W3CDTF">2026-07-16T23:49:00Z</dcterms:modified>
</cp:coreProperties>
</file>