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charts/colors1.xml" ContentType="application/vnd.ms-office.chartcolorstyle+xml"/>
  <Override PartName="/word/fontTable.xml" ContentType="application/vnd.openxmlformats-officedocument.wordprocessingml.fontTable+xml"/>
  <Override PartName="/docProps/core.xml" ContentType="application/vnd.openxmlformats-package.core-properties+xml"/>
  <Override PartName="/word/charts/chart1.xml" ContentType="application/vnd.openxmlformats-officedocument.drawingml.chart+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document.xml" ContentType="application/vnd.openxmlformats-officedocument.wordprocessingml.document.main+xml"/>
  <Override PartName="/word/charts/style1.xml" ContentType="application/vnd.ms-office.chartsty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bidi w:val="false"/>
        <w:spacing w:lineRule="auto" w:line="360"/>
        <w:jc w:val="center"/>
        <w:rPr>
          <w:rFonts w:ascii="Times New Roman" w:cs="Times New Roman" w:hAnsi="Times New Roman" w:hint="default"/>
          <w:b/>
          <w:bCs/>
          <w:sz w:val="48"/>
          <w:szCs w:val="48"/>
          <w:lang w:val="en-US"/>
        </w:rPr>
      </w:pPr>
      <w:r>
        <w:rPr>
          <w:rFonts w:ascii="Times New Roman" w:cs="Times New Roman" w:hAnsi="Times New Roman" w:hint="default"/>
          <w:b/>
          <w:bCs/>
          <w:sz w:val="48"/>
          <w:szCs w:val="48"/>
          <w:lang w:val="en-US"/>
        </w:rPr>
        <w:t>Table of Content</w:t>
      </w:r>
      <w:bookmarkStart w:id="0" w:name="_GoBack"/>
      <w:bookmarkEnd w:id="0"/>
    </w:p>
    <w:p>
      <w:pPr>
        <w:pStyle w:val="style19"/>
        <w:tabs>
          <w:tab w:val="right" w:leader="dot" w:pos="8306"/>
        </w:tabs>
        <w:rPr/>
      </w:pPr>
      <w:r>
        <w:rPr>
          <w:rFonts w:ascii="Times New Roman" w:cs="Times New Roman" w:hAnsi="Times New Roman" w:hint="default"/>
          <w:b/>
          <w:bCs/>
          <w:sz w:val="48"/>
          <w:szCs w:val="48"/>
          <w:lang w:val="en-US"/>
        </w:rPr>
        <w:fldChar w:fldCharType="begin"/>
      </w:r>
      <w:r>
        <w:rPr>
          <w:rFonts w:ascii="Times New Roman" w:cs="Times New Roman" w:hAnsi="Times New Roman" w:hint="default"/>
          <w:b/>
          <w:bCs/>
          <w:sz w:val="48"/>
          <w:szCs w:val="48"/>
          <w:lang w:val="en-US"/>
        </w:rPr>
        <w:instrText xml:space="preserve">TOC \o "1-9" \h \u </w:instrText>
      </w:r>
      <w:r>
        <w:rPr>
          <w:rFonts w:ascii="Times New Roman" w:cs="Times New Roman" w:hAnsi="Times New Roman" w:hint="default"/>
          <w:b/>
          <w:bCs/>
          <w:sz w:val="48"/>
          <w:szCs w:val="48"/>
          <w:lang w:val="en-US"/>
        </w:rPr>
        <w:fldChar w:fldCharType="separate"/>
      </w:r>
      <w:r>
        <w:rPr>
          <w:rFonts w:ascii="Times New Roman" w:cs="Times New Roman" w:hAnsi="Times New Roman" w:hint="default"/>
          <w:bCs/>
          <w:szCs w:val="48"/>
          <w:lang w:val="en-US"/>
        </w:rPr>
        <w:fldChar w:fldCharType="begin"/>
      </w:r>
      <w:r>
        <w:rPr>
          <w:rFonts w:ascii="Times New Roman" w:cs="Times New Roman" w:hAnsi="Times New Roman" w:hint="default"/>
          <w:bCs/>
          <w:szCs w:val="48"/>
          <w:lang w:val="en-US"/>
        </w:rPr>
        <w:instrText xml:space="preserve"> HYPERLINK \l _Toc12740 </w:instrText>
      </w:r>
      <w:r>
        <w:rPr>
          <w:rFonts w:ascii="Times New Roman" w:cs="Times New Roman" w:hAnsi="Times New Roman" w:hint="default"/>
          <w:bCs/>
          <w:szCs w:val="48"/>
          <w:lang w:val="en-US"/>
        </w:rPr>
        <w:fldChar w:fldCharType="separate"/>
      </w:r>
      <w:r>
        <w:rPr>
          <w:rFonts w:ascii="Times New Roman" w:cs="Times New Roman" w:hAnsi="Times New Roman" w:hint="default"/>
          <w:szCs w:val="24"/>
        </w:rPr>
        <w:t>Monitoring and Evaluating Financial Performance in the Hotel Industry</w:t>
      </w:r>
      <w:r>
        <w:tab/>
      </w:r>
      <w:r>
        <w:rPr/>
        <w:fldChar w:fldCharType="begin"/>
      </w:r>
      <w:r>
        <w:instrText xml:space="preserve"> PAGEREF _Toc12740 \h </w:instrText>
      </w:r>
      <w:r>
        <w:rPr/>
        <w:fldChar w:fldCharType="separate"/>
      </w:r>
      <w:r>
        <w:t>1</w:t>
      </w:r>
      <w:r>
        <w:rPr/>
        <w:fldChar w:fldCharType="end"/>
      </w:r>
      <w:r>
        <w:rPr>
          <w:rFonts w:ascii="Times New Roman" w:cs="Times New Roman" w:hAnsi="Times New Roman" w:hint="default"/>
          <w:bCs/>
          <w:szCs w:val="48"/>
          <w:lang w:val="en-US"/>
        </w:rPr>
        <w:fldChar w:fldCharType="end"/>
      </w:r>
    </w:p>
    <w:p>
      <w:pPr>
        <w:pStyle w:val="style20"/>
        <w:tabs>
          <w:tab w:val="right" w:leader="dot" w:pos="8306"/>
        </w:tabs>
        <w:rPr/>
      </w:pPr>
      <w:r>
        <w:rPr>
          <w:rFonts w:ascii="Times New Roman" w:cs="Times New Roman" w:hAnsi="Times New Roman" w:hint="default"/>
          <w:bCs/>
          <w:szCs w:val="48"/>
          <w:lang w:val="en-US"/>
        </w:rPr>
        <w:fldChar w:fldCharType="begin"/>
      </w:r>
      <w:r>
        <w:rPr>
          <w:rFonts w:ascii="Times New Roman" w:cs="Times New Roman" w:hAnsi="Times New Roman" w:hint="default"/>
          <w:bCs/>
          <w:szCs w:val="48"/>
          <w:lang w:val="en-US"/>
        </w:rPr>
        <w:instrText xml:space="preserve"> HYPERLINK \l _Toc23334 </w:instrText>
      </w:r>
      <w:r>
        <w:rPr>
          <w:rFonts w:ascii="Times New Roman" w:cs="Times New Roman" w:hAnsi="Times New Roman" w:hint="default"/>
          <w:bCs/>
          <w:szCs w:val="48"/>
          <w:lang w:val="en-US"/>
        </w:rPr>
        <w:fldChar w:fldCharType="separate"/>
      </w:r>
      <w:r>
        <w:rPr>
          <w:rFonts w:ascii="Times New Roman" w:cs="Times New Roman" w:hAnsi="Times New Roman" w:hint="default"/>
          <w:bCs/>
          <w:szCs w:val="24"/>
        </w:rPr>
        <w:t>Key Financial Performance Indicators:</w:t>
      </w:r>
      <w:r>
        <w:tab/>
      </w:r>
      <w:r>
        <w:rPr/>
        <w:fldChar w:fldCharType="begin"/>
      </w:r>
      <w:r>
        <w:instrText xml:space="preserve"> PAGEREF _Toc23334 \h </w:instrText>
      </w:r>
      <w:r>
        <w:rPr/>
        <w:fldChar w:fldCharType="separate"/>
      </w:r>
      <w:r>
        <w:t>1</w:t>
      </w:r>
      <w:r>
        <w:rPr/>
        <w:fldChar w:fldCharType="end"/>
      </w:r>
      <w:r>
        <w:rPr>
          <w:rFonts w:ascii="Times New Roman" w:cs="Times New Roman" w:hAnsi="Times New Roman" w:hint="default"/>
          <w:bCs/>
          <w:szCs w:val="48"/>
          <w:lang w:val="en-US"/>
        </w:rPr>
        <w:fldChar w:fldCharType="end"/>
      </w:r>
    </w:p>
    <w:p>
      <w:pPr>
        <w:pStyle w:val="style20"/>
        <w:tabs>
          <w:tab w:val="right" w:leader="dot" w:pos="8306"/>
        </w:tabs>
        <w:rPr/>
      </w:pPr>
      <w:r>
        <w:rPr>
          <w:rFonts w:ascii="Times New Roman" w:cs="Times New Roman" w:hAnsi="Times New Roman" w:hint="default"/>
          <w:bCs/>
          <w:szCs w:val="48"/>
          <w:lang w:val="en-US"/>
        </w:rPr>
        <w:fldChar w:fldCharType="begin"/>
      </w:r>
      <w:r>
        <w:rPr>
          <w:rFonts w:ascii="Times New Roman" w:cs="Times New Roman" w:hAnsi="Times New Roman" w:hint="default"/>
          <w:bCs/>
          <w:szCs w:val="48"/>
          <w:lang w:val="en-US"/>
        </w:rPr>
        <w:instrText xml:space="preserve"> HYPERLINK \l _Toc5651 </w:instrText>
      </w:r>
      <w:r>
        <w:rPr>
          <w:rFonts w:ascii="Times New Roman" w:cs="Times New Roman" w:hAnsi="Times New Roman" w:hint="default"/>
          <w:bCs/>
          <w:szCs w:val="48"/>
          <w:lang w:val="en-US"/>
        </w:rPr>
        <w:fldChar w:fldCharType="separate"/>
      </w:r>
      <w:r>
        <w:rPr>
          <w:rFonts w:ascii="Times New Roman" w:cs="Times New Roman" w:hAnsi="Times New Roman" w:hint="default"/>
          <w:bCs/>
          <w:szCs w:val="24"/>
        </w:rPr>
        <w:t>Benchmarking and Comparative Analysis:</w:t>
      </w:r>
      <w:r>
        <w:tab/>
      </w:r>
      <w:r>
        <w:rPr/>
        <w:fldChar w:fldCharType="begin"/>
      </w:r>
      <w:r>
        <w:instrText xml:space="preserve"> PAGEREF _Toc5651 \h </w:instrText>
      </w:r>
      <w:r>
        <w:rPr/>
        <w:fldChar w:fldCharType="separate"/>
      </w:r>
      <w:r>
        <w:t>1</w:t>
      </w:r>
      <w:r>
        <w:rPr/>
        <w:fldChar w:fldCharType="end"/>
      </w:r>
      <w:r>
        <w:rPr>
          <w:rFonts w:ascii="Times New Roman" w:cs="Times New Roman" w:hAnsi="Times New Roman" w:hint="default"/>
          <w:bCs/>
          <w:szCs w:val="48"/>
          <w:lang w:val="en-US"/>
        </w:rPr>
        <w:fldChar w:fldCharType="end"/>
      </w:r>
    </w:p>
    <w:p>
      <w:pPr>
        <w:pStyle w:val="style20"/>
        <w:tabs>
          <w:tab w:val="right" w:leader="dot" w:pos="8306"/>
        </w:tabs>
        <w:rPr/>
      </w:pPr>
      <w:r>
        <w:rPr>
          <w:rFonts w:ascii="Times New Roman" w:cs="Times New Roman" w:hAnsi="Times New Roman" w:hint="default"/>
          <w:bCs/>
          <w:szCs w:val="48"/>
          <w:lang w:val="en-US"/>
        </w:rPr>
        <w:fldChar w:fldCharType="begin"/>
      </w:r>
      <w:r>
        <w:rPr>
          <w:rFonts w:ascii="Times New Roman" w:cs="Times New Roman" w:hAnsi="Times New Roman" w:hint="default"/>
          <w:bCs/>
          <w:szCs w:val="48"/>
          <w:lang w:val="en-US"/>
        </w:rPr>
        <w:instrText xml:space="preserve"> HYPERLINK \l _Toc768 </w:instrText>
      </w:r>
      <w:r>
        <w:rPr>
          <w:rFonts w:ascii="Times New Roman" w:cs="Times New Roman" w:hAnsi="Times New Roman" w:hint="default"/>
          <w:bCs/>
          <w:szCs w:val="48"/>
          <w:lang w:val="en-US"/>
        </w:rPr>
        <w:fldChar w:fldCharType="separate"/>
      </w:r>
      <w:r>
        <w:rPr>
          <w:rFonts w:ascii="Times New Roman" w:cs="Times New Roman" w:hAnsi="Times New Roman" w:hint="default"/>
          <w:bCs/>
          <w:szCs w:val="24"/>
        </w:rPr>
        <w:t>Continuous Monitoring and Improvement:</w:t>
      </w:r>
      <w:r>
        <w:tab/>
      </w:r>
      <w:r>
        <w:rPr/>
        <w:fldChar w:fldCharType="begin"/>
      </w:r>
      <w:r>
        <w:instrText xml:space="preserve"> PAGEREF _Toc768 \h </w:instrText>
      </w:r>
      <w:r>
        <w:rPr/>
        <w:fldChar w:fldCharType="separate"/>
      </w:r>
      <w:r>
        <w:t>2</w:t>
      </w:r>
      <w:r>
        <w:rPr/>
        <w:fldChar w:fldCharType="end"/>
      </w:r>
      <w:r>
        <w:rPr>
          <w:rFonts w:ascii="Times New Roman" w:cs="Times New Roman" w:hAnsi="Times New Roman" w:hint="default"/>
          <w:bCs/>
          <w:szCs w:val="48"/>
          <w:lang w:val="en-US"/>
        </w:rPr>
        <w:fldChar w:fldCharType="end"/>
      </w:r>
    </w:p>
    <w:p>
      <w:pPr>
        <w:pStyle w:val="style19"/>
        <w:tabs>
          <w:tab w:val="right" w:leader="dot" w:pos="8306"/>
        </w:tabs>
        <w:rPr/>
      </w:pPr>
      <w:r>
        <w:rPr>
          <w:rFonts w:ascii="Times New Roman" w:cs="Times New Roman" w:hAnsi="Times New Roman" w:hint="default"/>
          <w:bCs/>
          <w:szCs w:val="48"/>
          <w:lang w:val="en-US"/>
        </w:rPr>
        <w:fldChar w:fldCharType="begin"/>
      </w:r>
      <w:r>
        <w:rPr>
          <w:rFonts w:ascii="Times New Roman" w:cs="Times New Roman" w:hAnsi="Times New Roman" w:hint="default"/>
          <w:bCs/>
          <w:szCs w:val="48"/>
          <w:lang w:val="en-US"/>
        </w:rPr>
        <w:instrText xml:space="preserve"> HYPERLINK \l _Toc23116 </w:instrText>
      </w:r>
      <w:r>
        <w:rPr>
          <w:rFonts w:ascii="Times New Roman" w:cs="Times New Roman" w:hAnsi="Times New Roman" w:hint="default"/>
          <w:bCs/>
          <w:szCs w:val="48"/>
          <w:lang w:val="en-US"/>
        </w:rPr>
        <w:fldChar w:fldCharType="separate"/>
      </w:r>
      <w:r>
        <w:rPr>
          <w:rFonts w:ascii="Times New Roman" w:cs="Times New Roman" w:hAnsi="Times New Roman" w:hint="default"/>
          <w:szCs w:val="24"/>
        </w:rPr>
        <w:t>Strategic Financial Analysis and Turnaround Strategy for The Seaview Resort</w:t>
      </w:r>
      <w:r>
        <w:tab/>
      </w:r>
      <w:r>
        <w:rPr/>
        <w:fldChar w:fldCharType="begin"/>
      </w:r>
      <w:r>
        <w:instrText xml:space="preserve"> PAGEREF _Toc23116 \h </w:instrText>
      </w:r>
      <w:r>
        <w:rPr/>
        <w:fldChar w:fldCharType="separate"/>
      </w:r>
      <w:r>
        <w:t>3</w:t>
      </w:r>
      <w:r>
        <w:rPr/>
        <w:fldChar w:fldCharType="end"/>
      </w:r>
      <w:r>
        <w:rPr>
          <w:rFonts w:ascii="Times New Roman" w:cs="Times New Roman" w:hAnsi="Times New Roman" w:hint="default"/>
          <w:bCs/>
          <w:szCs w:val="48"/>
          <w:lang w:val="en-US"/>
        </w:rPr>
        <w:fldChar w:fldCharType="end"/>
      </w:r>
    </w:p>
    <w:p>
      <w:pPr>
        <w:pStyle w:val="style20"/>
        <w:tabs>
          <w:tab w:val="right" w:leader="dot" w:pos="8306"/>
        </w:tabs>
        <w:rPr/>
      </w:pPr>
      <w:r>
        <w:rPr>
          <w:rFonts w:ascii="Times New Roman" w:cs="Times New Roman" w:hAnsi="Times New Roman" w:hint="default"/>
          <w:bCs/>
          <w:szCs w:val="48"/>
          <w:lang w:val="en-US"/>
        </w:rPr>
        <w:fldChar w:fldCharType="begin"/>
      </w:r>
      <w:r>
        <w:rPr>
          <w:rFonts w:ascii="Times New Roman" w:cs="Times New Roman" w:hAnsi="Times New Roman" w:hint="default"/>
          <w:bCs/>
          <w:szCs w:val="48"/>
          <w:lang w:val="en-US"/>
        </w:rPr>
        <w:instrText xml:space="preserve"> HYPERLINK \l _Toc21661 </w:instrText>
      </w:r>
      <w:r>
        <w:rPr>
          <w:rFonts w:ascii="Times New Roman" w:cs="Times New Roman" w:hAnsi="Times New Roman" w:hint="default"/>
          <w:bCs/>
          <w:szCs w:val="48"/>
          <w:lang w:val="en-US"/>
        </w:rPr>
        <w:fldChar w:fldCharType="separate"/>
      </w:r>
      <w:r>
        <w:rPr>
          <w:rFonts w:ascii="Times New Roman" w:cs="Times New Roman" w:hAnsi="Times New Roman" w:hint="default"/>
          <w:bCs/>
          <w:szCs w:val="24"/>
        </w:rPr>
        <w:t>Market Analysis:</w:t>
      </w:r>
      <w:r>
        <w:tab/>
      </w:r>
      <w:r>
        <w:rPr/>
        <w:fldChar w:fldCharType="begin"/>
      </w:r>
      <w:r>
        <w:instrText xml:space="preserve"> PAGEREF _Toc21661 \h </w:instrText>
      </w:r>
      <w:r>
        <w:rPr/>
        <w:fldChar w:fldCharType="separate"/>
      </w:r>
      <w:r>
        <w:t>3</w:t>
      </w:r>
      <w:r>
        <w:rPr/>
        <w:fldChar w:fldCharType="end"/>
      </w:r>
      <w:r>
        <w:rPr>
          <w:rFonts w:ascii="Times New Roman" w:cs="Times New Roman" w:hAnsi="Times New Roman" w:hint="default"/>
          <w:bCs/>
          <w:szCs w:val="48"/>
          <w:lang w:val="en-US"/>
        </w:rPr>
        <w:fldChar w:fldCharType="end"/>
      </w:r>
    </w:p>
    <w:p>
      <w:pPr>
        <w:pStyle w:val="style20"/>
        <w:tabs>
          <w:tab w:val="right" w:leader="dot" w:pos="8306"/>
        </w:tabs>
        <w:rPr/>
      </w:pPr>
      <w:r>
        <w:rPr>
          <w:rFonts w:ascii="Times New Roman" w:cs="Times New Roman" w:hAnsi="Times New Roman" w:hint="default"/>
          <w:bCs/>
          <w:szCs w:val="48"/>
          <w:lang w:val="en-US"/>
        </w:rPr>
        <w:fldChar w:fldCharType="begin"/>
      </w:r>
      <w:r>
        <w:rPr>
          <w:rFonts w:ascii="Times New Roman" w:cs="Times New Roman" w:hAnsi="Times New Roman" w:hint="default"/>
          <w:bCs/>
          <w:szCs w:val="48"/>
          <w:lang w:val="en-US"/>
        </w:rPr>
        <w:instrText xml:space="preserve"> HYPERLINK \l _Toc5565 </w:instrText>
      </w:r>
      <w:r>
        <w:rPr>
          <w:rFonts w:ascii="Times New Roman" w:cs="Times New Roman" w:hAnsi="Times New Roman" w:hint="default"/>
          <w:bCs/>
          <w:szCs w:val="48"/>
          <w:lang w:val="en-US"/>
        </w:rPr>
        <w:fldChar w:fldCharType="separate"/>
      </w:r>
      <w:r>
        <w:rPr>
          <w:rFonts w:ascii="Times New Roman" w:cs="Times New Roman" w:hAnsi="Times New Roman" w:hint="default"/>
          <w:bCs/>
          <w:szCs w:val="24"/>
        </w:rPr>
        <w:t>Scope and Objectives:</w:t>
      </w:r>
      <w:r>
        <w:tab/>
      </w:r>
      <w:r>
        <w:rPr/>
        <w:fldChar w:fldCharType="begin"/>
      </w:r>
      <w:r>
        <w:instrText xml:space="preserve"> PAGEREF _Toc5565 \h </w:instrText>
      </w:r>
      <w:r>
        <w:rPr/>
        <w:fldChar w:fldCharType="separate"/>
      </w:r>
      <w:r>
        <w:t>3</w:t>
      </w:r>
      <w:r>
        <w:rPr/>
        <w:fldChar w:fldCharType="end"/>
      </w:r>
      <w:r>
        <w:rPr>
          <w:rFonts w:ascii="Times New Roman" w:cs="Times New Roman" w:hAnsi="Times New Roman" w:hint="default"/>
          <w:bCs/>
          <w:szCs w:val="48"/>
          <w:lang w:val="en-US"/>
        </w:rPr>
        <w:fldChar w:fldCharType="end"/>
      </w:r>
    </w:p>
    <w:p>
      <w:pPr>
        <w:pStyle w:val="style20"/>
        <w:tabs>
          <w:tab w:val="right" w:leader="dot" w:pos="8306"/>
        </w:tabs>
        <w:rPr/>
      </w:pPr>
      <w:r>
        <w:rPr>
          <w:rFonts w:ascii="Times New Roman" w:cs="Times New Roman" w:hAnsi="Times New Roman" w:hint="default"/>
          <w:bCs/>
          <w:szCs w:val="48"/>
          <w:lang w:val="en-US"/>
        </w:rPr>
        <w:fldChar w:fldCharType="begin"/>
      </w:r>
      <w:r>
        <w:rPr>
          <w:rFonts w:ascii="Times New Roman" w:cs="Times New Roman" w:hAnsi="Times New Roman" w:hint="default"/>
          <w:bCs/>
          <w:szCs w:val="48"/>
          <w:lang w:val="en-US"/>
        </w:rPr>
        <w:instrText xml:space="preserve"> HYPERLINK \l _Toc28694 </w:instrText>
      </w:r>
      <w:r>
        <w:rPr>
          <w:rFonts w:ascii="Times New Roman" w:cs="Times New Roman" w:hAnsi="Times New Roman" w:hint="default"/>
          <w:bCs/>
          <w:szCs w:val="48"/>
          <w:lang w:val="en-US"/>
        </w:rPr>
        <w:fldChar w:fldCharType="separate"/>
      </w:r>
      <w:r>
        <w:rPr>
          <w:rFonts w:ascii="Times New Roman" w:cs="Times New Roman" w:hAnsi="Times New Roman" w:hint="default"/>
          <w:szCs w:val="24"/>
        </w:rPr>
        <w:t>Financial Performance Analysis:</w:t>
      </w:r>
      <w:r>
        <w:tab/>
      </w:r>
      <w:r>
        <w:rPr/>
        <w:fldChar w:fldCharType="begin"/>
      </w:r>
      <w:r>
        <w:instrText xml:space="preserve"> PAGEREF _Toc28694 \h </w:instrText>
      </w:r>
      <w:r>
        <w:rPr/>
        <w:fldChar w:fldCharType="separate"/>
      </w:r>
      <w:r>
        <w:t>4</w:t>
      </w:r>
      <w:r>
        <w:rPr/>
        <w:fldChar w:fldCharType="end"/>
      </w:r>
      <w:r>
        <w:rPr>
          <w:rFonts w:ascii="Times New Roman" w:cs="Times New Roman" w:hAnsi="Times New Roman" w:hint="default"/>
          <w:bCs/>
          <w:szCs w:val="48"/>
          <w:lang w:val="en-US"/>
        </w:rPr>
        <w:fldChar w:fldCharType="end"/>
      </w:r>
    </w:p>
    <w:p>
      <w:pPr>
        <w:pStyle w:val="style20"/>
        <w:tabs>
          <w:tab w:val="right" w:leader="dot" w:pos="8306"/>
        </w:tabs>
        <w:rPr/>
      </w:pPr>
      <w:r>
        <w:rPr>
          <w:rFonts w:ascii="Times New Roman" w:cs="Times New Roman" w:hAnsi="Times New Roman" w:hint="default"/>
          <w:bCs/>
          <w:szCs w:val="48"/>
          <w:lang w:val="en-US"/>
        </w:rPr>
        <w:fldChar w:fldCharType="begin"/>
      </w:r>
      <w:r>
        <w:rPr>
          <w:rFonts w:ascii="Times New Roman" w:cs="Times New Roman" w:hAnsi="Times New Roman" w:hint="default"/>
          <w:bCs/>
          <w:szCs w:val="48"/>
          <w:lang w:val="en-US"/>
        </w:rPr>
        <w:instrText xml:space="preserve"> HYPERLINK \l _Toc15891 </w:instrText>
      </w:r>
      <w:r>
        <w:rPr>
          <w:rFonts w:ascii="Times New Roman" w:cs="Times New Roman" w:hAnsi="Times New Roman" w:hint="default"/>
          <w:bCs/>
          <w:szCs w:val="48"/>
          <w:lang w:val="en-US"/>
        </w:rPr>
        <w:fldChar w:fldCharType="separate"/>
      </w:r>
      <w:r>
        <w:rPr>
          <w:rFonts w:ascii="Times New Roman" w:cs="Times New Roman" w:hAnsi="Times New Roman" w:hint="default"/>
          <w:szCs w:val="24"/>
        </w:rPr>
        <w:t>Additional Financial Information:</w:t>
      </w:r>
      <w:r>
        <w:tab/>
      </w:r>
      <w:r>
        <w:rPr/>
        <w:fldChar w:fldCharType="begin"/>
      </w:r>
      <w:r>
        <w:instrText xml:space="preserve"> PAGEREF _Toc15891 \h </w:instrText>
      </w:r>
      <w:r>
        <w:rPr/>
        <w:fldChar w:fldCharType="separate"/>
      </w:r>
      <w:r>
        <w:t>6</w:t>
      </w:r>
      <w:r>
        <w:rPr/>
        <w:fldChar w:fldCharType="end"/>
      </w:r>
      <w:r>
        <w:rPr>
          <w:rFonts w:ascii="Times New Roman" w:cs="Times New Roman" w:hAnsi="Times New Roman" w:hint="default"/>
          <w:bCs/>
          <w:szCs w:val="48"/>
          <w:lang w:val="en-US"/>
        </w:rPr>
        <w:fldChar w:fldCharType="end"/>
      </w:r>
    </w:p>
    <w:p>
      <w:pPr>
        <w:pStyle w:val="style20"/>
        <w:tabs>
          <w:tab w:val="right" w:leader="dot" w:pos="8306"/>
        </w:tabs>
        <w:rPr/>
      </w:pPr>
      <w:r>
        <w:rPr>
          <w:rFonts w:ascii="Times New Roman" w:cs="Times New Roman" w:hAnsi="Times New Roman" w:hint="default"/>
          <w:bCs/>
          <w:szCs w:val="48"/>
          <w:lang w:val="en-US"/>
        </w:rPr>
        <w:fldChar w:fldCharType="begin"/>
      </w:r>
      <w:r>
        <w:rPr>
          <w:rFonts w:ascii="Times New Roman" w:cs="Times New Roman" w:hAnsi="Times New Roman" w:hint="default"/>
          <w:bCs/>
          <w:szCs w:val="48"/>
          <w:lang w:val="en-US"/>
        </w:rPr>
        <w:instrText xml:space="preserve"> HYPERLINK \l _Toc23153 </w:instrText>
      </w:r>
      <w:r>
        <w:rPr>
          <w:rFonts w:ascii="Times New Roman" w:cs="Times New Roman" w:hAnsi="Times New Roman" w:hint="default"/>
          <w:bCs/>
          <w:szCs w:val="48"/>
          <w:lang w:val="en-US"/>
        </w:rPr>
        <w:fldChar w:fldCharType="separate"/>
      </w:r>
      <w:r>
        <w:rPr>
          <w:rFonts w:ascii="Times New Roman" w:cs="Times New Roman" w:hAnsi="Times New Roman" w:hint="default"/>
          <w:szCs w:val="24"/>
        </w:rPr>
        <w:t>Analysis and Recommendations:</w:t>
      </w:r>
      <w:r>
        <w:tab/>
      </w:r>
      <w:r>
        <w:rPr/>
        <w:fldChar w:fldCharType="begin"/>
      </w:r>
      <w:r>
        <w:instrText xml:space="preserve"> PAGEREF _Toc23153 \h </w:instrText>
      </w:r>
      <w:r>
        <w:rPr/>
        <w:fldChar w:fldCharType="separate"/>
      </w:r>
      <w:r>
        <w:t>6</w:t>
      </w:r>
      <w:r>
        <w:rPr/>
        <w:fldChar w:fldCharType="end"/>
      </w:r>
      <w:r>
        <w:rPr>
          <w:rFonts w:ascii="Times New Roman" w:cs="Times New Roman" w:hAnsi="Times New Roman" w:hint="default"/>
          <w:bCs/>
          <w:szCs w:val="48"/>
          <w:lang w:val="en-US"/>
        </w:rPr>
        <w:fldChar w:fldCharType="end"/>
      </w:r>
    </w:p>
    <w:p>
      <w:pPr>
        <w:pStyle w:val="style20"/>
        <w:tabs>
          <w:tab w:val="right" w:leader="dot" w:pos="8306"/>
        </w:tabs>
        <w:rPr/>
      </w:pPr>
      <w:r>
        <w:rPr>
          <w:rFonts w:ascii="Times New Roman" w:cs="Times New Roman" w:hAnsi="Times New Roman" w:hint="default"/>
          <w:bCs/>
          <w:szCs w:val="48"/>
          <w:lang w:val="en-US"/>
        </w:rPr>
        <w:fldChar w:fldCharType="begin"/>
      </w:r>
      <w:r>
        <w:rPr>
          <w:rFonts w:ascii="Times New Roman" w:cs="Times New Roman" w:hAnsi="Times New Roman" w:hint="default"/>
          <w:bCs/>
          <w:szCs w:val="48"/>
          <w:lang w:val="en-US"/>
        </w:rPr>
        <w:instrText xml:space="preserve"> HYPERLINK \l _Toc23045 </w:instrText>
      </w:r>
      <w:r>
        <w:rPr>
          <w:rFonts w:ascii="Times New Roman" w:cs="Times New Roman" w:hAnsi="Times New Roman" w:hint="default"/>
          <w:bCs/>
          <w:szCs w:val="48"/>
          <w:lang w:val="en-US"/>
        </w:rPr>
        <w:fldChar w:fldCharType="separate"/>
      </w:r>
      <w:r>
        <w:rPr>
          <w:rFonts w:ascii="Times New Roman" w:cs="Times New Roman" w:hAnsi="Times New Roman" w:hint="default"/>
          <w:szCs w:val="24"/>
        </w:rPr>
        <w:t>Turnaround Strategy:</w:t>
      </w:r>
      <w:r>
        <w:tab/>
      </w:r>
      <w:r>
        <w:rPr/>
        <w:fldChar w:fldCharType="begin"/>
      </w:r>
      <w:r>
        <w:instrText xml:space="preserve"> PAGEREF _Toc23045 \h </w:instrText>
      </w:r>
      <w:r>
        <w:rPr/>
        <w:fldChar w:fldCharType="separate"/>
      </w:r>
      <w:r>
        <w:t>7</w:t>
      </w:r>
      <w:r>
        <w:rPr/>
        <w:fldChar w:fldCharType="end"/>
      </w:r>
      <w:r>
        <w:rPr>
          <w:rFonts w:ascii="Times New Roman" w:cs="Times New Roman" w:hAnsi="Times New Roman" w:hint="default"/>
          <w:bCs/>
          <w:szCs w:val="48"/>
          <w:lang w:val="en-US"/>
        </w:rPr>
        <w:fldChar w:fldCharType="end"/>
      </w:r>
    </w:p>
    <w:p>
      <w:pPr>
        <w:pStyle w:val="style19"/>
        <w:tabs>
          <w:tab w:val="right" w:leader="dot" w:pos="8306"/>
        </w:tabs>
        <w:rPr/>
      </w:pPr>
      <w:r>
        <w:rPr>
          <w:rFonts w:ascii="Times New Roman" w:cs="Times New Roman" w:hAnsi="Times New Roman" w:hint="default"/>
          <w:bCs/>
          <w:szCs w:val="48"/>
          <w:lang w:val="en-US"/>
        </w:rPr>
        <w:fldChar w:fldCharType="begin"/>
      </w:r>
      <w:r>
        <w:rPr>
          <w:rFonts w:ascii="Times New Roman" w:cs="Times New Roman" w:hAnsi="Times New Roman" w:hint="default"/>
          <w:bCs/>
          <w:szCs w:val="48"/>
          <w:lang w:val="en-US"/>
        </w:rPr>
        <w:instrText xml:space="preserve"> HYPERLINK \l _Toc26161 </w:instrText>
      </w:r>
      <w:r>
        <w:rPr>
          <w:rFonts w:ascii="Times New Roman" w:cs="Times New Roman" w:hAnsi="Times New Roman" w:hint="default"/>
          <w:bCs/>
          <w:szCs w:val="48"/>
          <w:lang w:val="en-US"/>
        </w:rPr>
        <w:fldChar w:fldCharType="separate"/>
      </w:r>
      <w:r>
        <w:rPr>
          <w:rFonts w:ascii="Times New Roman" w:cs="Times New Roman" w:hAnsi="Times New Roman" w:hint="default"/>
          <w:szCs w:val="24"/>
          <w:lang w:val="en-US"/>
        </w:rPr>
        <w:t>Conclusion</w:t>
      </w:r>
      <w:r>
        <w:tab/>
      </w:r>
      <w:r>
        <w:rPr/>
        <w:fldChar w:fldCharType="begin"/>
      </w:r>
      <w:r>
        <w:instrText xml:space="preserve"> PAGEREF _Toc26161 \h </w:instrText>
      </w:r>
      <w:r>
        <w:rPr/>
        <w:fldChar w:fldCharType="separate"/>
      </w:r>
      <w:r>
        <w:t>8</w:t>
      </w:r>
      <w:r>
        <w:rPr/>
        <w:fldChar w:fldCharType="end"/>
      </w:r>
      <w:r>
        <w:rPr>
          <w:rFonts w:ascii="Times New Roman" w:cs="Times New Roman" w:hAnsi="Times New Roman" w:hint="default"/>
          <w:bCs/>
          <w:szCs w:val="48"/>
          <w:lang w:val="en-US"/>
        </w:rPr>
        <w:fldChar w:fldCharType="end"/>
      </w:r>
    </w:p>
    <w:p>
      <w:pPr>
        <w:pStyle w:val="style19"/>
        <w:tabs>
          <w:tab w:val="right" w:leader="dot" w:pos="8306"/>
        </w:tabs>
        <w:rPr/>
      </w:pPr>
      <w:r>
        <w:rPr>
          <w:rFonts w:ascii="Times New Roman" w:cs="Times New Roman" w:hAnsi="Times New Roman" w:hint="default"/>
          <w:bCs/>
          <w:szCs w:val="48"/>
          <w:lang w:val="en-US"/>
        </w:rPr>
        <w:fldChar w:fldCharType="begin"/>
      </w:r>
      <w:r>
        <w:rPr>
          <w:rFonts w:ascii="Times New Roman" w:cs="Times New Roman" w:hAnsi="Times New Roman" w:hint="default"/>
          <w:bCs/>
          <w:szCs w:val="48"/>
          <w:lang w:val="en-US"/>
        </w:rPr>
        <w:instrText xml:space="preserve"> HYPERLINK \l _Toc17957 </w:instrText>
      </w:r>
      <w:r>
        <w:rPr>
          <w:rFonts w:ascii="Times New Roman" w:cs="Times New Roman" w:hAnsi="Times New Roman" w:hint="default"/>
          <w:bCs/>
          <w:szCs w:val="48"/>
          <w:lang w:val="en-US"/>
        </w:rPr>
        <w:fldChar w:fldCharType="separate"/>
      </w:r>
      <w:r>
        <w:rPr>
          <w:rFonts w:ascii="Times New Roman" w:cs="Times New Roman" w:hAnsi="Times New Roman" w:hint="default"/>
          <w:szCs w:val="24"/>
          <w:lang w:val="en-US"/>
        </w:rPr>
        <w:t>References</w:t>
      </w:r>
      <w:r>
        <w:tab/>
      </w:r>
      <w:r>
        <w:rPr/>
        <w:fldChar w:fldCharType="begin"/>
      </w:r>
      <w:r>
        <w:instrText xml:space="preserve"> PAGEREF _Toc17957 \h </w:instrText>
      </w:r>
      <w:r>
        <w:rPr/>
        <w:fldChar w:fldCharType="separate"/>
      </w:r>
      <w:r>
        <w:t>11</w:t>
      </w:r>
      <w:r>
        <w:rPr/>
        <w:fldChar w:fldCharType="end"/>
      </w:r>
      <w:r>
        <w:rPr>
          <w:rFonts w:ascii="Times New Roman" w:cs="Times New Roman" w:hAnsi="Times New Roman" w:hint="default"/>
          <w:bCs/>
          <w:szCs w:val="48"/>
          <w:lang w:val="en-US"/>
        </w:rPr>
        <w:fldChar w:fldCharType="end"/>
      </w:r>
    </w:p>
    <w:p>
      <w:pPr>
        <w:pStyle w:val="style0"/>
        <w:bidi w:val="false"/>
        <w:spacing w:lineRule="auto" w:line="360"/>
        <w:jc w:val="center"/>
        <w:rPr>
          <w:rFonts w:ascii="Times New Roman" w:cs="Times New Roman" w:hAnsi="Times New Roman" w:hint="default"/>
          <w:b/>
          <w:bCs/>
          <w:sz w:val="48"/>
          <w:szCs w:val="48"/>
          <w:lang w:val="en-US"/>
        </w:rPr>
      </w:pPr>
      <w:r>
        <w:rPr>
          <w:rFonts w:ascii="Times New Roman" w:cs="Times New Roman" w:hAnsi="Times New Roman" w:hint="default"/>
          <w:bCs/>
          <w:szCs w:val="48"/>
          <w:lang w:val="en-US"/>
        </w:rPr>
        <w:fldChar w:fldCharType="end"/>
      </w:r>
    </w:p>
    <w:p>
      <w:pPr>
        <w:pStyle w:val="style1"/>
        <w:bidi w:val="false"/>
        <w:spacing w:lineRule="auto" w:line="360"/>
        <w:rPr>
          <w:rFonts w:ascii="Times New Roman" w:cs="Times New Roman" w:hAnsi="Times New Roman" w:hint="default"/>
          <w:sz w:val="24"/>
          <w:szCs w:val="24"/>
        </w:rPr>
      </w:pPr>
    </w:p>
    <w:p>
      <w:pPr>
        <w:pStyle w:val="style1"/>
        <w:bidi w:val="false"/>
        <w:spacing w:lineRule="auto" w:line="360"/>
        <w:rPr>
          <w:rFonts w:ascii="Times New Roman" w:cs="Times New Roman" w:hAnsi="Times New Roman" w:hint="default"/>
          <w:sz w:val="24"/>
          <w:szCs w:val="24"/>
        </w:rPr>
      </w:pPr>
    </w:p>
    <w:p>
      <w:pPr>
        <w:pStyle w:val="style1"/>
        <w:bidi w:val="false"/>
        <w:spacing w:lineRule="auto" w:line="360"/>
        <w:rPr>
          <w:rFonts w:ascii="Times New Roman" w:cs="Times New Roman" w:hAnsi="Times New Roman" w:hint="default"/>
          <w:sz w:val="24"/>
          <w:szCs w:val="24"/>
        </w:rPr>
      </w:pPr>
    </w:p>
    <w:p>
      <w:pPr>
        <w:pStyle w:val="style1"/>
        <w:bidi w:val="false"/>
        <w:spacing w:lineRule="auto" w:line="360"/>
        <w:rPr>
          <w:rFonts w:ascii="Times New Roman" w:cs="Times New Roman" w:hAnsi="Times New Roman" w:hint="default"/>
          <w:sz w:val="24"/>
          <w:szCs w:val="24"/>
        </w:rPr>
      </w:pPr>
    </w:p>
    <w:p>
      <w:pPr>
        <w:pStyle w:val="style1"/>
        <w:bidi w:val="false"/>
        <w:spacing w:lineRule="auto" w:line="360"/>
        <w:rPr>
          <w:rFonts w:ascii="Times New Roman" w:cs="Times New Roman" w:hAnsi="Times New Roman" w:hint="default"/>
          <w:sz w:val="24"/>
          <w:szCs w:val="24"/>
        </w:rPr>
      </w:pPr>
    </w:p>
    <w:p>
      <w:pPr>
        <w:pStyle w:val="style1"/>
        <w:bidi w:val="false"/>
        <w:spacing w:lineRule="auto" w:line="360"/>
        <w:rPr>
          <w:rFonts w:ascii="Times New Roman" w:cs="Times New Roman" w:hAnsi="Times New Roman" w:hint="default"/>
          <w:sz w:val="24"/>
          <w:szCs w:val="24"/>
        </w:rPr>
      </w:pPr>
    </w:p>
    <w:p>
      <w:pPr>
        <w:pStyle w:val="style1"/>
        <w:bidi w:val="false"/>
        <w:spacing w:lineRule="auto" w:line="360"/>
        <w:rPr>
          <w:rFonts w:ascii="Times New Roman" w:cs="Times New Roman" w:hAnsi="Times New Roman" w:hint="default"/>
          <w:sz w:val="24"/>
          <w:szCs w:val="24"/>
        </w:rPr>
      </w:pPr>
    </w:p>
    <w:p>
      <w:pPr>
        <w:pStyle w:val="style1"/>
        <w:bidi w:val="false"/>
        <w:spacing w:lineRule="auto" w:line="360"/>
        <w:rPr>
          <w:rFonts w:ascii="Times New Roman" w:cs="Times New Roman" w:hAnsi="Times New Roman" w:hint="default"/>
          <w:sz w:val="24"/>
          <w:szCs w:val="24"/>
        </w:rPr>
      </w:pPr>
    </w:p>
    <w:p>
      <w:pPr>
        <w:pStyle w:val="style1"/>
        <w:bidi w:val="false"/>
        <w:spacing w:lineRule="auto" w:line="360"/>
        <w:rPr>
          <w:rFonts w:ascii="Times New Roman" w:cs="Times New Roman" w:hAnsi="Times New Roman" w:hint="default"/>
          <w:sz w:val="24"/>
          <w:szCs w:val="24"/>
        </w:rPr>
      </w:pPr>
    </w:p>
    <w:p>
      <w:pPr>
        <w:pStyle w:val="style1"/>
        <w:bidi w:val="false"/>
        <w:spacing w:lineRule="auto" w:line="360"/>
        <w:rPr>
          <w:rFonts w:ascii="Times New Roman" w:cs="Times New Roman" w:hAnsi="Times New Roman" w:hint="default"/>
          <w:sz w:val="24"/>
          <w:szCs w:val="24"/>
        </w:rPr>
      </w:pPr>
    </w:p>
    <w:p>
      <w:pPr>
        <w:pStyle w:val="style1"/>
        <w:bidi w:val="false"/>
        <w:spacing w:lineRule="auto" w:line="360"/>
        <w:rPr>
          <w:rFonts w:ascii="Times New Roman" w:cs="Times New Roman" w:hAnsi="Times New Roman" w:hint="default"/>
          <w:sz w:val="24"/>
          <w:szCs w:val="24"/>
        </w:rPr>
      </w:pPr>
    </w:p>
    <w:p>
      <w:pPr>
        <w:pStyle w:val="style1"/>
        <w:bidi w:val="false"/>
        <w:spacing w:lineRule="auto" w:line="360"/>
        <w:rPr>
          <w:rFonts w:ascii="Times New Roman" w:cs="Times New Roman" w:hAnsi="Times New Roman" w:hint="default"/>
          <w:sz w:val="24"/>
          <w:szCs w:val="24"/>
        </w:rPr>
        <w:sectPr>
          <w:pgSz w:w="11906" w:h="16838" w:orient="portrait"/>
          <w:pgMar w:top="1440" w:right="1800" w:bottom="1440" w:left="1800" w:header="720" w:footer="720" w:gutter="0"/>
          <w:cols w:space="720" w:num="1"/>
          <w:docGrid w:linePitch="360" w:charSpace="0"/>
        </w:sectPr>
      </w:pPr>
    </w:p>
    <w:bookmarkStart w:id="1" w:name="_Toc12740"/>
    <w:p>
      <w:pPr>
        <w:pStyle w:val="style1"/>
        <w:bidi w:val="false"/>
        <w:spacing w:lineRule="auto" w:line="360"/>
        <w:rPr>
          <w:rFonts w:ascii="Times New Roman" w:cs="Times New Roman" w:hAnsi="Times New Roman" w:hint="default"/>
          <w:sz w:val="24"/>
          <w:szCs w:val="24"/>
        </w:rPr>
      </w:pPr>
      <w:r>
        <w:rPr>
          <w:rFonts w:ascii="Times New Roman" w:cs="Times New Roman" w:hAnsi="Times New Roman" w:hint="default"/>
          <w:sz w:val="24"/>
          <w:szCs w:val="24"/>
        </w:rPr>
        <w:t>Monitoring and Evaluating Financial Performance in the Hotel Industry</w:t>
      </w:r>
      <w:bookmarkEnd w:id="1"/>
    </w:p>
    <w:p>
      <w:pPr>
        <w:pStyle w:val="style94"/>
        <w:keepNext w:val="false"/>
        <w:keepLines w:val="false"/>
        <w:widowControl/>
        <w:suppressLineNumbers w:val="false"/>
        <w:spacing w:before="0" w:beforeAutospacing="false" w:after="0" w:afterAutospacing="false" w:lineRule="auto" w:line="36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Several factors contribute to the hotel industry's bottom line, including market dynamics, cost management, and revenue streams. The Seaview Resort's recovery strategy has to be guided by meticulous analysis of financial data.</w:t>
      </w:r>
    </w:p>
    <w:bookmarkStart w:id="2" w:name="_Toc23334"/>
    <w:p>
      <w:pPr>
        <w:pStyle w:val="style2"/>
        <w:bidi w:val="false"/>
        <w:spacing w:lineRule="auto" w:line="360"/>
        <w:rPr>
          <w:rFonts w:ascii="Times New Roman" w:cs="Times New Roman" w:hAnsi="Times New Roman" w:hint="default"/>
          <w:color w:val="0e101a"/>
          <w:sz w:val="24"/>
          <w:szCs w:val="24"/>
        </w:rPr>
      </w:pPr>
      <w:r>
        <w:rPr>
          <w:rStyle w:val="style87"/>
          <w:rFonts w:ascii="Times New Roman" w:cs="Times New Roman" w:hAnsi="Times New Roman" w:hint="default"/>
          <w:b/>
          <w:bCs/>
          <w:color w:val="0e101a"/>
          <w:sz w:val="24"/>
          <w:szCs w:val="24"/>
        </w:rPr>
        <w:t>Key Financial Performance Indicators:</w:t>
      </w:r>
      <w:bookmarkEnd w:id="2"/>
    </w:p>
    <w:p>
      <w:pPr>
        <w:pStyle w:val="style0"/>
        <w:keepNext w:val="false"/>
        <w:keepLines w:val="false"/>
        <w:widowControl/>
        <w:numPr>
          <w:ilvl w:val="0"/>
          <w:numId w:val="1"/>
        </w:numPr>
        <w:suppressLineNumbers w:val="false"/>
        <w:spacing w:before="0" w:beforeAutospacing="false" w:after="0" w:afterAutospacing="false" w:lineRule="auto" w:line="360"/>
        <w:ind w:left="720" w:hanging="36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Revenue Management:</w:t>
      </w:r>
    </w:p>
    <w:p>
      <w:pPr>
        <w:pStyle w:val="style0"/>
        <w:keepNext w:val="false"/>
        <w:keepLines w:val="false"/>
        <w:widowControl/>
        <w:numPr>
          <w:ilvl w:val="1"/>
          <w:numId w:val="1"/>
        </w:numPr>
        <w:suppressLineNumbers w:val="false"/>
        <w:spacing w:before="0" w:beforeAutospacing="false" w:after="0" w:afterAutospacing="false" w:lineRule="auto" w:line="360"/>
        <w:ind w:left="1440" w:hanging="36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Consider every possible revenue source, including food sales, lodging leases, and other services. Analyse past data on ADR and occupancy rates to see where you might charge your clients extra.</w:t>
      </w:r>
    </w:p>
    <w:p>
      <w:pPr>
        <w:pStyle w:val="style0"/>
        <w:keepNext w:val="false"/>
        <w:keepLines w:val="false"/>
        <w:widowControl/>
        <w:numPr>
          <w:ilvl w:val="0"/>
          <w:numId w:val="1"/>
        </w:numPr>
        <w:suppressLineNumbers w:val="false"/>
        <w:spacing w:before="0" w:beforeAutospacing="false" w:after="0" w:afterAutospacing="false" w:lineRule="auto" w:line="360"/>
        <w:ind w:left="720" w:hanging="36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Cost Analysis:</w:t>
      </w:r>
    </w:p>
    <w:p>
      <w:pPr>
        <w:pStyle w:val="style0"/>
        <w:keepNext w:val="false"/>
        <w:keepLines w:val="false"/>
        <w:widowControl/>
        <w:numPr>
          <w:ilvl w:val="1"/>
          <w:numId w:val="2"/>
        </w:numPr>
        <w:suppressLineNumbers w:val="false"/>
        <w:tabs>
          <w:tab w:val="left" w:leader="none" w:pos="1440"/>
        </w:tabs>
        <w:spacing w:before="0" w:beforeAutospacing="false" w:after="0" w:afterAutospacing="false" w:lineRule="auto" w:line="360"/>
        <w:ind w:left="1440" w:hanging="36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It's critical to separate fixed from variable operating expenses via diligent analysis. Wherever possible, save costs without compromising the quality of the services.</w:t>
      </w:r>
    </w:p>
    <w:p>
      <w:pPr>
        <w:pStyle w:val="style0"/>
        <w:keepNext w:val="false"/>
        <w:keepLines w:val="false"/>
        <w:widowControl/>
        <w:numPr>
          <w:ilvl w:val="0"/>
          <w:numId w:val="1"/>
        </w:numPr>
        <w:suppressLineNumbers w:val="false"/>
        <w:spacing w:before="0" w:beforeAutospacing="false" w:after="0" w:afterAutospacing="false" w:lineRule="auto" w:line="360"/>
        <w:ind w:left="720" w:hanging="36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Profitability Metrics:</w:t>
      </w:r>
    </w:p>
    <w:p>
      <w:pPr>
        <w:pStyle w:val="style0"/>
        <w:keepNext w:val="false"/>
        <w:keepLines w:val="false"/>
        <w:widowControl/>
        <w:numPr>
          <w:ilvl w:val="1"/>
          <w:numId w:val="3"/>
        </w:numPr>
        <w:suppressLineNumbers w:val="false"/>
        <w:tabs>
          <w:tab w:val="left" w:leader="none" w:pos="1440"/>
        </w:tabs>
        <w:spacing w:before="0" w:beforeAutospacing="false" w:after="0" w:afterAutospacing="false" w:lineRule="auto" w:line="360"/>
        <w:ind w:left="1440" w:hanging="36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Analyse the business's gross and net profit margins to understand its financial situation. The Seaview Resort's declining earnings highlight the necessity for early action to buck the trend.</w:t>
      </w:r>
    </w:p>
    <w:p>
      <w:pPr>
        <w:pStyle w:val="style0"/>
        <w:keepNext w:val="false"/>
        <w:keepLines w:val="false"/>
        <w:widowControl/>
        <w:numPr>
          <w:ilvl w:val="0"/>
          <w:numId w:val="1"/>
        </w:numPr>
        <w:suppressLineNumbers w:val="false"/>
        <w:spacing w:before="0" w:beforeAutospacing="false" w:after="0" w:afterAutospacing="false" w:lineRule="auto" w:line="360"/>
        <w:ind w:left="720" w:hanging="36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Cash Flow Management:</w:t>
      </w:r>
    </w:p>
    <w:p>
      <w:pPr>
        <w:pStyle w:val="style0"/>
        <w:keepNext w:val="false"/>
        <w:keepLines w:val="false"/>
        <w:widowControl/>
        <w:numPr>
          <w:ilvl w:val="1"/>
          <w:numId w:val="4"/>
        </w:numPr>
        <w:suppressLineNumbers w:val="false"/>
        <w:tabs>
          <w:tab w:val="left" w:leader="none" w:pos="1440"/>
        </w:tabs>
        <w:spacing w:before="0" w:beforeAutospacing="false" w:after="0" w:afterAutospacing="false" w:lineRule="auto" w:line="360"/>
        <w:ind w:left="1440" w:hanging="36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Examine the cash flow picture, paying particular attention to the net cash flow from capital expenditures and operational cash flow. Sustaining cash flow requires reducing working capital and increasing operational efficiency.</w:t>
      </w:r>
    </w:p>
    <w:bookmarkStart w:id="3" w:name="_Toc5651"/>
    <w:p>
      <w:pPr>
        <w:pStyle w:val="style2"/>
        <w:bidi w:val="false"/>
        <w:spacing w:lineRule="auto" w:line="360"/>
        <w:rPr>
          <w:rFonts w:ascii="Times New Roman" w:cs="Times New Roman" w:hAnsi="Times New Roman" w:hint="default"/>
          <w:color w:val="0e101a"/>
          <w:sz w:val="24"/>
          <w:szCs w:val="24"/>
        </w:rPr>
      </w:pPr>
      <w:r>
        <w:rPr>
          <w:rStyle w:val="style87"/>
          <w:rFonts w:ascii="Times New Roman" w:cs="Times New Roman" w:hAnsi="Times New Roman" w:hint="default"/>
          <w:b/>
          <w:bCs/>
          <w:color w:val="0e101a"/>
          <w:sz w:val="24"/>
          <w:szCs w:val="24"/>
        </w:rPr>
        <w:t>Benchmarking and Comparative Analysis:</w:t>
      </w:r>
      <w:bookmarkEnd w:id="3"/>
    </w:p>
    <w:p>
      <w:pPr>
        <w:pStyle w:val="style0"/>
        <w:keepNext w:val="false"/>
        <w:keepLines w:val="false"/>
        <w:widowControl/>
        <w:numPr>
          <w:ilvl w:val="0"/>
          <w:numId w:val="5"/>
        </w:numPr>
        <w:suppressLineNumbers w:val="false"/>
        <w:spacing w:before="0" w:beforeAutospacing="false" w:after="0" w:afterAutospacing="false" w:lineRule="auto" w:line="360"/>
        <w:ind w:left="720" w:hanging="36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Competitive Landscape:</w:t>
      </w:r>
    </w:p>
    <w:p>
      <w:pPr>
        <w:pStyle w:val="style0"/>
        <w:keepNext w:val="false"/>
        <w:keepLines w:val="false"/>
        <w:widowControl/>
        <w:numPr>
          <w:ilvl w:val="1"/>
          <w:numId w:val="6"/>
        </w:numPr>
        <w:suppressLineNumbers w:val="false"/>
        <w:tabs>
          <w:tab w:val="left" w:leader="none" w:pos="1440"/>
        </w:tabs>
        <w:spacing w:before="0" w:beforeAutospacing="false" w:after="0" w:afterAutospacing="false" w:lineRule="auto" w:line="360"/>
        <w:ind w:left="1440" w:hanging="36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Examine The Seaview Resort's financial standing to other comparable businesses and the industry. Observing how other similar organisations manage challenging circumstances may be informative.</w:t>
      </w:r>
    </w:p>
    <w:p>
      <w:pPr>
        <w:pStyle w:val="style0"/>
        <w:keepNext w:val="false"/>
        <w:keepLines w:val="false"/>
        <w:widowControl/>
        <w:numPr>
          <w:ilvl w:val="0"/>
          <w:numId w:val="0"/>
        </w:numPr>
        <w:suppressLineNumbers w:val="false"/>
        <w:spacing w:before="0" w:beforeAutospacing="false" w:after="0" w:afterAutospacing="false" w:lineRule="auto" w:line="360"/>
        <w:rPr>
          <w:rFonts w:ascii="Times New Roman" w:cs="Times New Roman" w:hAnsi="Times New Roman" w:hint="default"/>
          <w:color w:val="0e101a"/>
          <w:sz w:val="24"/>
          <w:szCs w:val="24"/>
        </w:rPr>
      </w:pPr>
    </w:p>
    <w:p>
      <w:pPr>
        <w:pStyle w:val="style0"/>
        <w:keepNext w:val="false"/>
        <w:keepLines w:val="false"/>
        <w:widowControl/>
        <w:numPr>
          <w:ilvl w:val="0"/>
          <w:numId w:val="0"/>
        </w:numPr>
        <w:suppressLineNumbers w:val="false"/>
        <w:spacing w:before="0" w:beforeAutospacing="false" w:after="0" w:afterAutospacing="false" w:lineRule="auto" w:line="360"/>
        <w:rPr>
          <w:rFonts w:ascii="Times New Roman" w:cs="Times New Roman" w:hAnsi="Times New Roman" w:hint="default"/>
          <w:color w:val="0e101a"/>
          <w:sz w:val="24"/>
          <w:szCs w:val="24"/>
        </w:rPr>
      </w:pPr>
    </w:p>
    <w:p>
      <w:pPr>
        <w:pStyle w:val="style0"/>
        <w:keepNext w:val="false"/>
        <w:keepLines w:val="false"/>
        <w:widowControl/>
        <w:numPr>
          <w:ilvl w:val="0"/>
          <w:numId w:val="0"/>
        </w:numPr>
        <w:suppressLineNumbers w:val="false"/>
        <w:spacing w:before="0" w:beforeAutospacing="false" w:after="0" w:afterAutospacing="false" w:lineRule="auto" w:line="360"/>
        <w:rPr>
          <w:rFonts w:ascii="Times New Roman" w:cs="Times New Roman" w:hAnsi="Times New Roman" w:hint="default"/>
          <w:color w:val="0e101a"/>
          <w:sz w:val="24"/>
          <w:szCs w:val="24"/>
        </w:rPr>
      </w:pPr>
    </w:p>
    <w:p>
      <w:pPr>
        <w:pStyle w:val="style0"/>
        <w:keepNext w:val="false"/>
        <w:keepLines w:val="false"/>
        <w:widowControl/>
        <w:numPr>
          <w:ilvl w:val="0"/>
          <w:numId w:val="5"/>
        </w:numPr>
        <w:suppressLineNumbers w:val="false"/>
        <w:spacing w:before="0" w:beforeAutospacing="false" w:after="0" w:afterAutospacing="false" w:lineRule="auto" w:line="360"/>
        <w:ind w:left="720" w:hanging="36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Market Trends:</w:t>
      </w:r>
    </w:p>
    <w:p>
      <w:pPr>
        <w:pStyle w:val="style0"/>
        <w:keepNext w:val="false"/>
        <w:keepLines w:val="false"/>
        <w:widowControl/>
        <w:numPr>
          <w:ilvl w:val="1"/>
          <w:numId w:val="7"/>
        </w:numPr>
        <w:suppressLineNumbers w:val="false"/>
        <w:tabs>
          <w:tab w:val="left" w:leader="none" w:pos="1440"/>
        </w:tabs>
        <w:spacing w:before="0" w:beforeAutospacing="false" w:after="0" w:afterAutospacing="false" w:lineRule="auto" w:line="360"/>
        <w:ind w:left="1440" w:hanging="36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Stay current with the evolving market, including shifts in professional expectations and consumer preferences. Modify your operations to align with the modern demands of your clientele.</w:t>
      </w:r>
    </w:p>
    <w:p>
      <w:pPr>
        <w:pStyle w:val="style94"/>
        <w:keepNext w:val="false"/>
        <w:keepLines w:val="false"/>
        <w:widowControl/>
        <w:suppressLineNumbers w:val="false"/>
        <w:spacing w:before="0" w:beforeAutospacing="false" w:after="0" w:afterAutospacing="false" w:lineRule="auto" w:line="36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Performance against Strategic Objectives:</w:t>
      </w:r>
    </w:p>
    <w:p>
      <w:pPr>
        <w:pStyle w:val="style0"/>
        <w:keepNext w:val="false"/>
        <w:keepLines w:val="false"/>
        <w:widowControl/>
        <w:numPr>
          <w:ilvl w:val="0"/>
          <w:numId w:val="8"/>
        </w:numPr>
        <w:suppressLineNumbers w:val="false"/>
        <w:spacing w:before="0" w:beforeAutospacing="false" w:after="0" w:afterAutospacing="false" w:lineRule="auto" w:line="360"/>
        <w:ind w:left="720" w:hanging="36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Alignment with Business Objectives:</w:t>
      </w:r>
    </w:p>
    <w:p>
      <w:pPr>
        <w:pStyle w:val="style0"/>
        <w:keepNext w:val="false"/>
        <w:keepLines w:val="false"/>
        <w:widowControl/>
        <w:numPr>
          <w:ilvl w:val="1"/>
          <w:numId w:val="9"/>
        </w:numPr>
        <w:suppressLineNumbers w:val="false"/>
        <w:tabs>
          <w:tab w:val="left" w:leader="none" w:pos="1440"/>
        </w:tabs>
        <w:spacing w:before="0" w:beforeAutospacing="false" w:after="0" w:afterAutospacing="false" w:lineRule="auto" w:line="360"/>
        <w:ind w:left="1440" w:hanging="36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Compare the resort's operating results to its long-range objectives. Ensure that your financial goals align with your business's long-term goals and your clientele's demands.</w:t>
      </w:r>
    </w:p>
    <w:p>
      <w:pPr>
        <w:pStyle w:val="style0"/>
        <w:keepNext w:val="false"/>
        <w:keepLines w:val="false"/>
        <w:widowControl/>
        <w:numPr>
          <w:ilvl w:val="0"/>
          <w:numId w:val="8"/>
        </w:numPr>
        <w:suppressLineNumbers w:val="false"/>
        <w:spacing w:before="0" w:beforeAutospacing="false" w:after="0" w:afterAutospacing="false" w:lineRule="auto" w:line="360"/>
        <w:ind w:left="720" w:hanging="36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Return on Investment (ROI):</w:t>
      </w:r>
    </w:p>
    <w:p>
      <w:pPr>
        <w:pStyle w:val="style0"/>
        <w:keepNext w:val="false"/>
        <w:keepLines w:val="false"/>
        <w:widowControl/>
        <w:numPr>
          <w:ilvl w:val="1"/>
          <w:numId w:val="10"/>
        </w:numPr>
        <w:suppressLineNumbers w:val="false"/>
        <w:tabs>
          <w:tab w:val="left" w:leader="none" w:pos="1440"/>
        </w:tabs>
        <w:spacing w:before="0" w:beforeAutospacing="false" w:after="0" w:afterAutospacing="false" w:lineRule="auto" w:line="360"/>
        <w:ind w:left="1440" w:hanging="36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Analyse the return on investment for initiatives like advertising campaigns and building extensions. Look for initiatives that yield positive returns and take on more of them.</w:t>
      </w:r>
    </w:p>
    <w:p>
      <w:pPr>
        <w:pStyle w:val="style94"/>
        <w:keepNext w:val="false"/>
        <w:keepLines w:val="false"/>
        <w:widowControl/>
        <w:suppressLineNumbers w:val="false"/>
        <w:spacing w:before="0" w:beforeAutospacing="false" w:after="0" w:afterAutospacing="false" w:lineRule="auto" w:line="36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Risk Management and Contingency Planning:</w:t>
      </w:r>
    </w:p>
    <w:p>
      <w:pPr>
        <w:pStyle w:val="style0"/>
        <w:keepNext w:val="false"/>
        <w:keepLines w:val="false"/>
        <w:widowControl/>
        <w:numPr>
          <w:ilvl w:val="0"/>
          <w:numId w:val="11"/>
        </w:numPr>
        <w:suppressLineNumbers w:val="false"/>
        <w:spacing w:before="0" w:beforeAutospacing="false" w:after="0" w:afterAutospacing="false" w:lineRule="auto" w:line="360"/>
        <w:ind w:left="720" w:hanging="36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Debt Analysis:</w:t>
      </w:r>
    </w:p>
    <w:p>
      <w:pPr>
        <w:pStyle w:val="style0"/>
        <w:keepNext w:val="false"/>
        <w:keepLines w:val="false"/>
        <w:widowControl/>
        <w:numPr>
          <w:ilvl w:val="1"/>
          <w:numId w:val="12"/>
        </w:numPr>
        <w:suppressLineNumbers w:val="false"/>
        <w:tabs>
          <w:tab w:val="left" w:leader="none" w:pos="1440"/>
        </w:tabs>
        <w:spacing w:before="0" w:beforeAutospacing="false" w:after="0" w:afterAutospacing="false" w:lineRule="auto" w:line="360"/>
        <w:ind w:left="1440" w:hanging="36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Take a close look at the resort's debt, paying particular attention to interest rates and repayment terms. Analyse the impact of debt on the viability of the business and consider restructuring alternatives.</w:t>
      </w:r>
    </w:p>
    <w:p>
      <w:pPr>
        <w:pStyle w:val="style0"/>
        <w:keepNext w:val="false"/>
        <w:keepLines w:val="false"/>
        <w:widowControl/>
        <w:numPr>
          <w:ilvl w:val="0"/>
          <w:numId w:val="11"/>
        </w:numPr>
        <w:suppressLineNumbers w:val="false"/>
        <w:spacing w:before="0" w:beforeAutospacing="false" w:after="0" w:afterAutospacing="false" w:lineRule="auto" w:line="360"/>
        <w:ind w:left="720" w:hanging="36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Scenario Analysis:</w:t>
      </w:r>
    </w:p>
    <w:p>
      <w:pPr>
        <w:pStyle w:val="style0"/>
        <w:keepNext w:val="false"/>
        <w:keepLines w:val="false"/>
        <w:widowControl/>
        <w:numPr>
          <w:ilvl w:val="1"/>
          <w:numId w:val="13"/>
        </w:numPr>
        <w:suppressLineNumbers w:val="false"/>
        <w:tabs>
          <w:tab w:val="left" w:leader="none" w:pos="1440"/>
        </w:tabs>
        <w:spacing w:before="0" w:beforeAutospacing="false" w:after="0" w:afterAutospacing="false" w:lineRule="auto" w:line="360"/>
        <w:ind w:left="1440" w:hanging="36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Scenario analysis is a method for forecasting the outcomes of several probable future events, such as shifts in consumer behaviour or economic downturns. Create backup plans to decrease threats proactively.</w:t>
      </w:r>
    </w:p>
    <w:bookmarkStart w:id="4" w:name="_Toc768"/>
    <w:p>
      <w:pPr>
        <w:pStyle w:val="style2"/>
        <w:bidi w:val="false"/>
        <w:spacing w:lineRule="auto" w:line="360"/>
        <w:rPr>
          <w:rFonts w:ascii="Times New Roman" w:cs="Times New Roman" w:hAnsi="Times New Roman" w:hint="default"/>
          <w:color w:val="0e101a"/>
          <w:sz w:val="24"/>
          <w:szCs w:val="24"/>
        </w:rPr>
      </w:pPr>
      <w:r>
        <w:rPr>
          <w:rStyle w:val="style87"/>
          <w:rFonts w:ascii="Times New Roman" w:cs="Times New Roman" w:hAnsi="Times New Roman" w:hint="default"/>
          <w:b/>
          <w:bCs/>
          <w:color w:val="0e101a"/>
          <w:sz w:val="24"/>
          <w:szCs w:val="24"/>
        </w:rPr>
        <w:t>Continuous Monitoring and Improvement:</w:t>
      </w:r>
      <w:bookmarkEnd w:id="4"/>
    </w:p>
    <w:p>
      <w:pPr>
        <w:pStyle w:val="style0"/>
        <w:keepNext w:val="false"/>
        <w:keepLines w:val="false"/>
        <w:widowControl/>
        <w:numPr>
          <w:ilvl w:val="0"/>
          <w:numId w:val="14"/>
        </w:numPr>
        <w:suppressLineNumbers w:val="false"/>
        <w:spacing w:before="0" w:beforeAutospacing="false" w:after="0" w:afterAutospacing="false" w:lineRule="auto" w:line="360"/>
        <w:ind w:left="720" w:hanging="36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Performance Metrics Dashboard:</w:t>
      </w:r>
    </w:p>
    <w:p>
      <w:pPr>
        <w:pStyle w:val="style0"/>
        <w:keepNext w:val="false"/>
        <w:keepLines w:val="false"/>
        <w:widowControl/>
        <w:numPr>
          <w:ilvl w:val="1"/>
          <w:numId w:val="15"/>
        </w:numPr>
        <w:suppressLineNumbers w:val="false"/>
        <w:tabs>
          <w:tab w:val="left" w:leader="none" w:pos="1440"/>
        </w:tabs>
        <w:spacing w:before="0" w:beforeAutospacing="false" w:after="0" w:afterAutospacing="false" w:lineRule="auto" w:line="360"/>
        <w:ind w:left="1440" w:hanging="36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Install a dashboard that provides real-time tracking of all pertinent performance metrics. Make sure this dashboard is updated and examined often to enable speedy decision-making.</w:t>
      </w:r>
    </w:p>
    <w:p>
      <w:pPr>
        <w:pStyle w:val="style0"/>
        <w:keepNext w:val="false"/>
        <w:keepLines w:val="false"/>
        <w:widowControl/>
        <w:numPr>
          <w:ilvl w:val="0"/>
          <w:numId w:val="14"/>
        </w:numPr>
        <w:suppressLineNumbers w:val="false"/>
        <w:spacing w:before="0" w:beforeAutospacing="false" w:after="0" w:afterAutospacing="false" w:lineRule="auto" w:line="360"/>
        <w:ind w:left="720" w:hanging="36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Feedback Mechanisms:</w:t>
      </w:r>
    </w:p>
    <w:p>
      <w:pPr>
        <w:pStyle w:val="style0"/>
        <w:keepNext w:val="false"/>
        <w:keepLines w:val="false"/>
        <w:widowControl/>
        <w:numPr>
          <w:ilvl w:val="1"/>
          <w:numId w:val="16"/>
        </w:numPr>
        <w:suppressLineNumbers w:val="false"/>
        <w:tabs>
          <w:tab w:val="left" w:leader="none" w:pos="1440"/>
        </w:tabs>
        <w:spacing w:before="0" w:beforeAutospacing="false" w:after="0" w:afterAutospacing="false" w:lineRule="auto" w:line="360"/>
        <w:ind w:left="1440" w:hanging="36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Making it easy for staff and visitors to submit feedback can help you gauge how much they appreciate your services. While favourable feedback may be utilised for promotion, negative comments highlight problem areas.</w:t>
      </w:r>
    </w:p>
    <w:p>
      <w:pPr>
        <w:pStyle w:val="style94"/>
        <w:keepNext w:val="false"/>
        <w:keepLines w:val="false"/>
        <w:widowControl/>
        <w:suppressLineNumbers w:val="false"/>
        <w:spacing w:before="0" w:beforeAutospacing="false" w:after="0" w:afterAutospacing="false" w:lineRule="auto" w:line="360"/>
        <w:rPr>
          <w:rFonts w:ascii="Times New Roman" w:cs="Times New Roman" w:hAnsi="Times New Roman" w:hint="default"/>
          <w:color w:val="0e101a"/>
          <w:sz w:val="24"/>
          <w:szCs w:val="24"/>
        </w:rPr>
      </w:pPr>
    </w:p>
    <w:p>
      <w:pPr>
        <w:pStyle w:val="style94"/>
        <w:keepNext w:val="false"/>
        <w:keepLines w:val="false"/>
        <w:widowControl/>
        <w:suppressLineNumbers w:val="false"/>
        <w:spacing w:before="0" w:beforeAutospacing="false" w:after="0" w:afterAutospacing="false" w:lineRule="auto" w:line="360"/>
        <w:rPr>
          <w:rFonts w:ascii="Times New Roman" w:cs="Times New Roman" w:hAnsi="Times New Roman" w:hint="default"/>
          <w:sz w:val="24"/>
          <w:szCs w:val="24"/>
        </w:rPr>
      </w:pPr>
      <w:r>
        <w:rPr>
          <w:rFonts w:ascii="Times New Roman" w:cs="Times New Roman" w:hAnsi="Times New Roman" w:hint="default"/>
          <w:color w:val="0e101a"/>
          <w:sz w:val="24"/>
          <w:szCs w:val="24"/>
        </w:rPr>
        <w:t>The turnaround strategy for The Seaview Resort depends on your ability to analyse and evaluate financial performance in the hotel industry analytically. By adopting a more thorough approach to financial research, comparing its performance to comparable companies, and implementing feedback mechanisms, the resort can enhance its financial sustainability and restore its reputation as one of the best places to vacation.</w:t>
      </w:r>
    </w:p>
    <w:bookmarkStart w:id="5" w:name="_Toc23116"/>
    <w:p>
      <w:pPr>
        <w:pStyle w:val="style1"/>
        <w:bidi w:val="false"/>
        <w:spacing w:lineRule="auto" w:line="360"/>
        <w:rPr>
          <w:rFonts w:ascii="Times New Roman" w:cs="Times New Roman" w:hAnsi="Times New Roman" w:hint="default"/>
          <w:sz w:val="24"/>
          <w:szCs w:val="24"/>
        </w:rPr>
      </w:pPr>
      <w:r>
        <w:rPr>
          <w:rFonts w:ascii="Times New Roman" w:cs="Times New Roman" w:hAnsi="Times New Roman" w:hint="default"/>
          <w:sz w:val="24"/>
          <w:szCs w:val="24"/>
        </w:rPr>
        <w:t>Strategic Financial Analysis and Turnaround Strategy for The Seaview Resort</w:t>
      </w:r>
      <w:bookmarkEnd w:id="5"/>
    </w:p>
    <w:p>
      <w:pPr>
        <w:pStyle w:val="style94"/>
        <w:keepNext w:val="false"/>
        <w:keepLines w:val="false"/>
        <w:widowControl/>
        <w:suppressLineNumbers w:val="false"/>
        <w:spacing w:before="0" w:beforeAutospacing="false" w:after="0" w:afterAutospacing="false" w:lineRule="auto" w:line="36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The Seaview Resort, a once-thriving vacation spot, is now dealing with problems including declining revenue, occupancy rates, and customer satisfaction. This comprehensive report critically evaluates the resort's financial results over the preceding three years and offers suggestions for a recovery strategy to reinvigorate the business.</w:t>
      </w:r>
    </w:p>
    <w:p>
      <w:pPr>
        <w:pStyle w:val="style94"/>
        <w:keepNext w:val="false"/>
        <w:keepLines w:val="false"/>
        <w:widowControl/>
        <w:suppressLineNumbers w:val="false"/>
        <w:spacing w:before="0" w:beforeAutospacing="false" w:after="0" w:afterAutospacing="false" w:lineRule="auto" w:line="360"/>
        <w:rPr>
          <w:rFonts w:ascii="Times New Roman" w:cs="Times New Roman" w:hAnsi="Times New Roman" w:hint="default"/>
          <w:color w:val="0e101a"/>
          <w:sz w:val="24"/>
          <w:szCs w:val="24"/>
        </w:rPr>
      </w:pPr>
    </w:p>
    <w:bookmarkStart w:id="6" w:name="_Toc21661"/>
    <w:p>
      <w:pPr>
        <w:pStyle w:val="style2"/>
        <w:bidi w:val="false"/>
        <w:spacing w:lineRule="auto" w:line="360"/>
        <w:rPr>
          <w:rFonts w:ascii="Times New Roman" w:cs="Times New Roman" w:hAnsi="Times New Roman" w:hint="default"/>
          <w:color w:val="0e101a"/>
          <w:sz w:val="24"/>
          <w:szCs w:val="24"/>
        </w:rPr>
      </w:pPr>
      <w:r>
        <w:rPr>
          <w:rStyle w:val="style87"/>
          <w:rFonts w:ascii="Times New Roman" w:cs="Times New Roman" w:hAnsi="Times New Roman" w:hint="default"/>
          <w:b/>
          <w:bCs/>
          <w:color w:val="0e101a"/>
          <w:sz w:val="24"/>
          <w:szCs w:val="24"/>
        </w:rPr>
        <w:t>Market Analysis:</w:t>
      </w:r>
      <w:bookmarkEnd w:id="6"/>
    </w:p>
    <w:p>
      <w:pPr>
        <w:pStyle w:val="style94"/>
        <w:keepNext w:val="false"/>
        <w:keepLines w:val="false"/>
        <w:widowControl/>
        <w:suppressLineNumbers w:val="false"/>
        <w:spacing w:before="0" w:beforeAutospacing="false" w:after="0" w:afterAutospacing="false" w:lineRule="auto" w:line="36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The Seaview Resort competes in the famously competitive seaside resort business, which is even more explosive by more modern, newer hotels in the neighbourhood. The resort's competitive standing is also influenced by shifting customer preferences towards experiential and ecologically conscious travel. Customer complaints indicate that many facilities are no longer in use and that the quality of service has decreased. These factors make it evident that strategic repositioning is required to satisfy the demands of the contemporary market.</w:t>
      </w:r>
    </w:p>
    <w:p>
      <w:pPr>
        <w:pStyle w:val="style94"/>
        <w:keepNext w:val="false"/>
        <w:keepLines w:val="false"/>
        <w:widowControl/>
        <w:suppressLineNumbers w:val="false"/>
        <w:spacing w:before="0" w:beforeAutospacing="false" w:after="0" w:afterAutospacing="false" w:lineRule="auto" w:line="360"/>
        <w:rPr>
          <w:rFonts w:ascii="Times New Roman" w:cs="Times New Roman" w:hAnsi="Times New Roman" w:hint="default"/>
          <w:color w:val="0e101a"/>
          <w:sz w:val="24"/>
          <w:szCs w:val="24"/>
        </w:rPr>
      </w:pPr>
    </w:p>
    <w:bookmarkStart w:id="7" w:name="_Toc5565"/>
    <w:p>
      <w:pPr>
        <w:pStyle w:val="style2"/>
        <w:bidi w:val="false"/>
        <w:spacing w:lineRule="auto" w:line="360"/>
        <w:rPr>
          <w:rFonts w:ascii="Times New Roman" w:cs="Times New Roman" w:hAnsi="Times New Roman" w:hint="default"/>
          <w:color w:val="0e101a"/>
          <w:sz w:val="24"/>
          <w:szCs w:val="24"/>
        </w:rPr>
      </w:pPr>
      <w:r>
        <w:rPr>
          <w:rStyle w:val="style87"/>
          <w:rFonts w:ascii="Times New Roman" w:cs="Times New Roman" w:hAnsi="Times New Roman" w:hint="default"/>
          <w:b/>
          <w:bCs/>
          <w:color w:val="0e101a"/>
          <w:sz w:val="24"/>
          <w:szCs w:val="24"/>
        </w:rPr>
        <w:t>Scope and Objectives:</w:t>
      </w:r>
      <w:bookmarkEnd w:id="7"/>
    </w:p>
    <w:p>
      <w:pPr>
        <w:pStyle w:val="style94"/>
        <w:keepNext w:val="false"/>
        <w:keepLines w:val="false"/>
        <w:widowControl/>
        <w:suppressLineNumbers w:val="false"/>
        <w:spacing w:before="0" w:beforeAutospacing="false" w:after="0" w:afterAutospacing="false" w:lineRule="auto" w:line="36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Investigating The Seaview Resort's financial situation is the main objective of this investigation, which also aims to identify the leading causes of the property's degradation and provide solutions. The objectives encompass conducting a comprehensive examination of the resort's fiscal records for the 2020–2022 period, pinpointing the elements causing the decline in earnings, and devising a comprehensive strategy to restore the resort's reputation and financial condition.</w:t>
      </w:r>
    </w:p>
    <w:p>
      <w:pPr>
        <w:pStyle w:val="style94"/>
        <w:keepNext w:val="false"/>
        <w:keepLines w:val="false"/>
        <w:widowControl/>
        <w:suppressLineNumbers w:val="false"/>
        <w:spacing w:before="0" w:beforeAutospacing="false" w:after="0" w:afterAutospacing="false" w:lineRule="auto" w:line="360"/>
        <w:rPr>
          <w:rFonts w:ascii="Times New Roman" w:cs="Times New Roman" w:hAnsi="Times New Roman" w:hint="default"/>
          <w:color w:val="0e101a"/>
          <w:sz w:val="24"/>
          <w:szCs w:val="24"/>
        </w:rPr>
      </w:pPr>
    </w:p>
    <w:bookmarkStart w:id="8" w:name="_Toc28694"/>
    <w:p>
      <w:pPr>
        <w:pStyle w:val="style2"/>
        <w:bidi w:val="false"/>
        <w:spacing w:lineRule="auto" w:line="360"/>
        <w:rPr>
          <w:rFonts w:ascii="Times New Roman" w:cs="Times New Roman" w:hAnsi="Times New Roman" w:hint="default"/>
          <w:sz w:val="24"/>
          <w:szCs w:val="24"/>
        </w:rPr>
      </w:pPr>
      <w:r>
        <w:rPr>
          <w:rFonts w:ascii="Times New Roman" w:cs="Times New Roman" w:hAnsi="Times New Roman" w:hint="default"/>
          <w:sz w:val="24"/>
          <w:szCs w:val="24"/>
        </w:rPr>
        <w:t>Financial Performance Analysis:</w:t>
      </w:r>
      <w:bookmarkEnd w:id="8"/>
    </w:p>
    <w:p>
      <w:pPr>
        <w:pStyle w:val="style94"/>
        <w:keepNext w:val="false"/>
        <w:keepLines w:val="false"/>
        <w:widowControl/>
        <w:suppressLineNumbers w:val="false"/>
        <w:spacing w:before="0" w:beforeAutospacing="false" w:after="0" w:afterAutospacing="false" w:lineRule="auto" w:line="36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Income Statement Analysis:</w:t>
      </w:r>
    </w:p>
    <w:p>
      <w:pPr>
        <w:pStyle w:val="style0"/>
        <w:spacing w:lineRule="auto" w:line="360"/>
        <w:rPr>
          <w:rFonts w:ascii="Times New Roman" w:cs="Times New Roman" w:hAnsi="Times New Roman" w:hint="default"/>
          <w:sz w:val="24"/>
          <w:szCs w:val="24"/>
        </w:rPr>
      </w:pPr>
    </w:p>
    <w:tbl>
      <w:tblPr>
        <w:tblW w:w="9795" w:type="dxa"/>
        <w:tblCellSpacing w:w="15" w:type="dxa"/>
        <w:tblInd w:w="10" w:type="dxa"/>
        <w:tblBorders>
          <w:top w:val="single" w:sz="2" w:space="0" w:color="d9d9e3"/>
          <w:left w:val="single" w:sz="2" w:space="0" w:color="d9d9e3"/>
          <w:bottom w:val="single" w:sz="2" w:space="0" w:color="d9d9e3"/>
          <w:right w:val="single" w:sz="2" w:space="0" w:color="d9d9e3"/>
          <w:insideH w:val="none" w:sz="0" w:space="0" w:color="auto"/>
          <w:insideV w:val="none" w:sz="0" w:space="0" w:color="auto"/>
        </w:tblBorders>
        <w:shd w:val="clear" w:color="auto" w:fill="f7f7f8"/>
        <w:tblCellMar>
          <w:top w:w="15" w:type="dxa"/>
          <w:left w:w="15" w:type="dxa"/>
          <w:bottom w:w="15" w:type="dxa"/>
          <w:right w:w="15" w:type="dxa"/>
        </w:tblCellMar>
      </w:tblPr>
      <w:tblGrid>
        <w:gridCol w:w="6705"/>
        <w:gridCol w:w="1030"/>
        <w:gridCol w:w="1030"/>
        <w:gridCol w:w="1030"/>
      </w:tblGrid>
      <w:tr>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tcPr>
          <w:p>
            <w:pPr>
              <w:pStyle w:val="style0"/>
              <w:keepNext w:val="false"/>
              <w:keepLines w:val="false"/>
              <w:widowControl/>
              <w:suppressLineNumbers w:val="false"/>
              <w:spacing w:lineRule="auto" w:line="360"/>
              <w:ind w:left="0" w:firstLine="0"/>
              <w:jc w:val="center"/>
              <w:textAlignment w:val="bottom"/>
              <w:rPr>
                <w:rFonts w:ascii="Times New Roman" w:cs="Times New Roman" w:eastAsia="Segoe UI" w:hAnsi="Times New Roman" w:hint="default"/>
                <w:b/>
                <w:bCs/>
                <w:i w:val="false"/>
                <w:iCs w:val="false"/>
                <w:caps w:val="false"/>
                <w:color w:val="374151"/>
                <w:spacing w:val="0"/>
                <w:sz w:val="24"/>
                <w:szCs w:val="24"/>
              </w:rPr>
            </w:pPr>
            <w:r>
              <w:rPr>
                <w:rFonts w:ascii="Times New Roman" w:cs="Times New Roman" w:eastAsia="Segoe UI" w:hAnsi="Times New Roman" w:hint="default"/>
                <w:b/>
                <w:bCs/>
                <w:i w:val="false"/>
                <w:iCs w:val="false"/>
                <w:caps w:val="false"/>
                <w:color w:val="374151"/>
                <w:spacing w:val="0"/>
                <w:kern w:val="0"/>
                <w:sz w:val="24"/>
                <w:szCs w:val="24"/>
                <w:lang w:val="en-US" w:eastAsia="zh-CN"/>
              </w:rPr>
              <w:t>Item</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tcPr>
          <w:p>
            <w:pPr>
              <w:pStyle w:val="style0"/>
              <w:keepNext w:val="false"/>
              <w:keepLines w:val="false"/>
              <w:widowControl/>
              <w:suppressLineNumbers w:val="false"/>
              <w:spacing w:lineRule="auto" w:line="360"/>
              <w:ind w:left="0" w:firstLine="0"/>
              <w:jc w:val="center"/>
              <w:textAlignment w:val="bottom"/>
              <w:rPr>
                <w:rFonts w:ascii="Times New Roman" w:cs="Times New Roman" w:eastAsia="Segoe UI" w:hAnsi="Times New Roman" w:hint="default"/>
                <w:b/>
                <w:bCs/>
                <w:i w:val="false"/>
                <w:iCs w:val="false"/>
                <w:caps w:val="false"/>
                <w:color w:val="374151"/>
                <w:spacing w:val="0"/>
                <w:sz w:val="24"/>
                <w:szCs w:val="24"/>
              </w:rPr>
            </w:pPr>
            <w:r>
              <w:rPr>
                <w:rFonts w:ascii="Times New Roman" w:cs="Times New Roman" w:eastAsia="Segoe UI" w:hAnsi="Times New Roman" w:hint="default"/>
                <w:b/>
                <w:bCs/>
                <w:i w:val="false"/>
                <w:iCs w:val="false"/>
                <w:caps w:val="false"/>
                <w:color w:val="374151"/>
                <w:spacing w:val="0"/>
                <w:kern w:val="0"/>
                <w:sz w:val="24"/>
                <w:szCs w:val="24"/>
                <w:lang w:val="en-US" w:eastAsia="zh-CN"/>
              </w:rPr>
              <w:t>2020</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tcPr>
          <w:p>
            <w:pPr>
              <w:pStyle w:val="style0"/>
              <w:keepNext w:val="false"/>
              <w:keepLines w:val="false"/>
              <w:widowControl/>
              <w:suppressLineNumbers w:val="false"/>
              <w:spacing w:lineRule="auto" w:line="360"/>
              <w:ind w:left="0" w:firstLine="0"/>
              <w:jc w:val="center"/>
              <w:textAlignment w:val="bottom"/>
              <w:rPr>
                <w:rFonts w:ascii="Times New Roman" w:cs="Times New Roman" w:eastAsia="Segoe UI" w:hAnsi="Times New Roman" w:hint="default"/>
                <w:b/>
                <w:bCs/>
                <w:i w:val="false"/>
                <w:iCs w:val="false"/>
                <w:caps w:val="false"/>
                <w:color w:val="374151"/>
                <w:spacing w:val="0"/>
                <w:sz w:val="24"/>
                <w:szCs w:val="24"/>
              </w:rPr>
            </w:pPr>
            <w:r>
              <w:rPr>
                <w:rFonts w:ascii="Times New Roman" w:cs="Times New Roman" w:eastAsia="Segoe UI" w:hAnsi="Times New Roman" w:hint="default"/>
                <w:b/>
                <w:bCs/>
                <w:i w:val="false"/>
                <w:iCs w:val="false"/>
                <w:caps w:val="false"/>
                <w:color w:val="374151"/>
                <w:spacing w:val="0"/>
                <w:kern w:val="0"/>
                <w:sz w:val="24"/>
                <w:szCs w:val="24"/>
                <w:lang w:val="en-US" w:eastAsia="zh-CN"/>
              </w:rPr>
              <w:t>2021</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tcPr>
          <w:p>
            <w:pPr>
              <w:pStyle w:val="style0"/>
              <w:keepNext w:val="false"/>
              <w:keepLines w:val="false"/>
              <w:widowControl/>
              <w:suppressLineNumbers w:val="false"/>
              <w:spacing w:lineRule="auto" w:line="360"/>
              <w:ind w:left="0" w:firstLine="0"/>
              <w:jc w:val="center"/>
              <w:textAlignment w:val="bottom"/>
              <w:rPr>
                <w:rFonts w:ascii="Times New Roman" w:cs="Times New Roman" w:eastAsia="Segoe UI" w:hAnsi="Times New Roman" w:hint="default"/>
                <w:b/>
                <w:bCs/>
                <w:i w:val="false"/>
                <w:iCs w:val="false"/>
                <w:caps w:val="false"/>
                <w:color w:val="374151"/>
                <w:spacing w:val="0"/>
                <w:sz w:val="24"/>
                <w:szCs w:val="24"/>
              </w:rPr>
            </w:pPr>
            <w:r>
              <w:rPr>
                <w:rFonts w:ascii="Times New Roman" w:cs="Times New Roman" w:eastAsia="Segoe UI" w:hAnsi="Times New Roman" w:hint="default"/>
                <w:b/>
                <w:bCs/>
                <w:i w:val="false"/>
                <w:iCs w:val="false"/>
                <w:caps w:val="false"/>
                <w:color w:val="374151"/>
                <w:spacing w:val="0"/>
                <w:kern w:val="0"/>
                <w:sz w:val="24"/>
                <w:szCs w:val="24"/>
                <w:lang w:val="en-US" w:eastAsia="zh-CN"/>
              </w:rPr>
              <w:t>2022</w:t>
            </w:r>
          </w:p>
        </w:tc>
      </w:tr>
      <w:tr>
        <w:tblPrEx>
          <w:tblBorders>
            <w:top w:val="single" w:sz="2" w:space="0" w:color="d9d9e3"/>
            <w:left w:val="single" w:sz="2" w:space="0" w:color="d9d9e3"/>
            <w:bottom w:val="single" w:sz="6" w:space="0" w:color="auto"/>
            <w:right w:val="single" w:sz="2" w:space="0" w:color="d9d9e3"/>
            <w:insideH w:val="none" w:sz="0" w:space="0" w:color="auto"/>
            <w:insideV w:val="none" w:sz="0" w:space="0" w:color="auto"/>
          </w:tblBorders>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Total Revenue</w:t>
            </w:r>
          </w:p>
        </w:tc>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£520,000</w:t>
            </w:r>
          </w:p>
        </w:tc>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£480,000</w:t>
            </w:r>
          </w:p>
        </w:tc>
        <w:tc>
          <w:tcPr>
            <w:tcW w:w="0" w:type="auto"/>
            <w:tcBorders>
              <w:top w:val="single" w:sz="2" w:space="0" w:color="d9d9e3"/>
              <w:left w:val="single" w:sz="6" w:space="0" w:color="d9d9e3"/>
              <w:bottom w:val="single" w:sz="6" w:space="0" w:color="d9d9e3"/>
              <w:right w:val="single" w:sz="6"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£430,000</w:t>
            </w:r>
          </w:p>
        </w:tc>
      </w:tr>
      <w:tr>
        <w:tblPrEx>
          <w:tblBorders>
            <w:top w:val="single" w:sz="2" w:space="0" w:color="d9d9e3"/>
            <w:left w:val="single" w:sz="2" w:space="0" w:color="d9d9e3"/>
            <w:bottom w:val="single" w:sz="6" w:space="0" w:color="auto"/>
            <w:right w:val="single" w:sz="2" w:space="0" w:color="d9d9e3"/>
            <w:insideH w:val="none" w:sz="0" w:space="0" w:color="auto"/>
            <w:insideV w:val="none" w:sz="0" w:space="0" w:color="auto"/>
          </w:tblBorders>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Operating Expenses</w:t>
            </w:r>
          </w:p>
        </w:tc>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£390,000</w:t>
            </w:r>
          </w:p>
        </w:tc>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£400,000</w:t>
            </w:r>
          </w:p>
        </w:tc>
        <w:tc>
          <w:tcPr>
            <w:tcW w:w="0" w:type="auto"/>
            <w:tcBorders>
              <w:top w:val="single" w:sz="2" w:space="0" w:color="d9d9e3"/>
              <w:left w:val="single" w:sz="6" w:space="0" w:color="d9d9e3"/>
              <w:bottom w:val="single" w:sz="6" w:space="0" w:color="d9d9e3"/>
              <w:right w:val="single" w:sz="6"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£450,000</w:t>
            </w:r>
          </w:p>
        </w:tc>
      </w:tr>
      <w:tr>
        <w:tblPrEx>
          <w:tblBorders>
            <w:top w:val="single" w:sz="2" w:space="0" w:color="d9d9e3"/>
            <w:left w:val="single" w:sz="2" w:space="0" w:color="d9d9e3"/>
            <w:bottom w:val="single" w:sz="6" w:space="0" w:color="auto"/>
            <w:right w:val="single" w:sz="2" w:space="0" w:color="d9d9e3"/>
            <w:insideH w:val="none" w:sz="0" w:space="0" w:color="auto"/>
            <w:insideV w:val="none" w:sz="0" w:space="0" w:color="auto"/>
          </w:tblBorders>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Gross Profit</w:t>
            </w:r>
          </w:p>
        </w:tc>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£130,000</w:t>
            </w:r>
          </w:p>
        </w:tc>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£80,000</w:t>
            </w:r>
          </w:p>
        </w:tc>
        <w:tc>
          <w:tcPr>
            <w:tcW w:w="0" w:type="auto"/>
            <w:tcBorders>
              <w:top w:val="single" w:sz="2" w:space="0" w:color="d9d9e3"/>
              <w:left w:val="single" w:sz="6" w:space="0" w:color="d9d9e3"/>
              <w:bottom w:val="single" w:sz="6" w:space="0" w:color="d9d9e3"/>
              <w:right w:val="single" w:sz="6"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£80,000</w:t>
            </w:r>
          </w:p>
        </w:tc>
      </w:tr>
      <w:tr>
        <w:tblPrEx>
          <w:tblBorders>
            <w:top w:val="single" w:sz="2" w:space="0" w:color="d9d9e3"/>
            <w:left w:val="single" w:sz="2" w:space="0" w:color="d9d9e3"/>
            <w:bottom w:val="single" w:sz="6" w:space="0" w:color="auto"/>
            <w:right w:val="single" w:sz="2" w:space="0" w:color="d9d9e3"/>
            <w:insideH w:val="none" w:sz="0" w:space="0" w:color="auto"/>
            <w:insideV w:val="none" w:sz="0" w:space="0" w:color="auto"/>
          </w:tblBorders>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Net Profit (Loss)</w:t>
            </w:r>
          </w:p>
        </w:tc>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£78,000</w:t>
            </w:r>
          </w:p>
        </w:tc>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£40,000</w:t>
            </w:r>
          </w:p>
        </w:tc>
        <w:tc>
          <w:tcPr>
            <w:tcW w:w="0" w:type="auto"/>
            <w:tcBorders>
              <w:top w:val="single" w:sz="2" w:space="0" w:color="d9d9e3"/>
              <w:left w:val="single" w:sz="6" w:space="0" w:color="d9d9e3"/>
              <w:bottom w:val="single" w:sz="6" w:space="0" w:color="d9d9e3"/>
              <w:right w:val="single" w:sz="6"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£17,500</w:t>
            </w:r>
          </w:p>
        </w:tc>
      </w:tr>
      <w:tr>
        <w:tblPrEx>
          <w:tblBorders>
            <w:top w:val="single" w:sz="2" w:space="0" w:color="d9d9e3"/>
            <w:left w:val="single" w:sz="2" w:space="0" w:color="d9d9e3"/>
            <w:bottom w:val="single" w:sz="2" w:space="0" w:color="auto"/>
            <w:right w:val="single" w:sz="2" w:space="0" w:color="d9d9e3"/>
            <w:insideH w:val="none" w:sz="0" w:space="0" w:color="auto"/>
            <w:insideV w:val="none" w:sz="0" w:space="0" w:color="auto"/>
          </w:tblBorders>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Net Profit Margin</w:t>
            </w:r>
          </w:p>
        </w:tc>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15%</w:t>
            </w:r>
          </w:p>
        </w:tc>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8%</w:t>
            </w:r>
          </w:p>
        </w:tc>
        <w:tc>
          <w:tcPr>
            <w:tcW w:w="0" w:type="auto"/>
            <w:tcBorders>
              <w:top w:val="single" w:sz="2" w:space="0" w:color="d9d9e3"/>
              <w:left w:val="single" w:sz="6" w:space="0" w:color="d9d9e3"/>
              <w:bottom w:val="single" w:sz="6" w:space="0" w:color="d9d9e3"/>
              <w:right w:val="single" w:sz="6"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4%</w:t>
            </w:r>
          </w:p>
        </w:tc>
      </w:tr>
    </w:tbl>
    <w:p>
      <w:pPr>
        <w:pStyle w:val="style0"/>
        <w:spacing w:lineRule="auto" w:line="360"/>
        <w:rPr>
          <w:rFonts w:ascii="Times New Roman" w:cs="Times New Roman" w:hAnsi="Times New Roman" w:hint="default"/>
          <w:sz w:val="24"/>
          <w:szCs w:val="24"/>
        </w:rPr>
      </w:pPr>
    </w:p>
    <w:p>
      <w:pPr>
        <w:pStyle w:val="style0"/>
        <w:spacing w:lineRule="auto" w:line="360"/>
        <w:rPr>
          <w:rFonts w:ascii="Times New Roman" w:cs="Times New Roman" w:hAnsi="Times New Roman" w:hint="default"/>
          <w:sz w:val="24"/>
          <w:szCs w:val="24"/>
        </w:rPr>
      </w:pPr>
    </w:p>
    <w:p>
      <w:pPr>
        <w:pStyle w:val="style0"/>
        <w:spacing w:lineRule="auto" w:line="360"/>
        <w:rPr>
          <w:rFonts w:ascii="Times New Roman" w:cs="Times New Roman" w:hAnsi="Times New Roman" w:hint="default"/>
          <w:sz w:val="24"/>
          <w:szCs w:val="24"/>
        </w:rPr>
      </w:pPr>
    </w:p>
    <w:p>
      <w:pPr>
        <w:pStyle w:val="style0"/>
        <w:spacing w:lineRule="auto" w:line="360"/>
        <w:rPr>
          <w:rFonts w:ascii="Times New Roman" w:cs="Times New Roman" w:hAnsi="Times New Roman" w:hint="default"/>
          <w:sz w:val="24"/>
          <w:szCs w:val="24"/>
        </w:rPr>
      </w:pPr>
      <w:r>
        <w:rPr/>
      </w:r>
      <w:r/>
      <w:r>
        <w:rPr/>
      </w:r>
      <w:r>
        <w:rPr/>
        <w:drawing>
          <wp:inline distL="114300" distT="0" distB="0" distR="114300">
            <wp:extent cx="4572000" cy="2743200"/>
            <wp:effectExtent l="0" t="0" r="0" b="0"/>
            <wp:docPr id="1027"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2"/>
              </a:graphicData>
            </a:graphic>
          </wp:inline>
        </w:drawing>
      </w:r>
      <w:r>
        <w:rPr/>
      </w:r>
    </w:p>
    <w:p>
      <w:pPr>
        <w:pStyle w:val="style0"/>
        <w:spacing w:lineRule="auto" w:line="360"/>
        <w:rPr>
          <w:rFonts w:ascii="Times New Roman" w:cs="Times New Roman" w:hAnsi="Times New Roman" w:hint="default"/>
          <w:sz w:val="24"/>
          <w:szCs w:val="24"/>
        </w:rPr>
      </w:pPr>
    </w:p>
    <w:p>
      <w:pPr>
        <w:pStyle w:val="style0"/>
        <w:spacing w:lineRule="auto" w:line="360"/>
        <w:rPr>
          <w:rFonts w:ascii="Times New Roman" w:cs="Times New Roman" w:hAnsi="Times New Roman" w:hint="default"/>
          <w:sz w:val="24"/>
          <w:szCs w:val="24"/>
        </w:rPr>
      </w:pPr>
      <w:r>
        <w:rPr>
          <w:rFonts w:ascii="Times New Roman" w:cs="Times New Roman" w:hAnsi="Times New Roman" w:hint="default"/>
          <w:sz w:val="24"/>
          <w:szCs w:val="24"/>
        </w:rPr>
        <w:t>There is a trend in the revenue statement that warrants concern. The whole sales fell from £520,000 in 2020 to £430,000 in 2022, affecting the nett profit margins that dropped from 15% to 4% as a result. This decline may be the result of a combination of declining sales and increasing operating costs, underscoring the urgent need for calculated actions.</w:t>
      </w:r>
    </w:p>
    <w:p>
      <w:pPr>
        <w:pStyle w:val="style0"/>
        <w:spacing w:lineRule="auto" w:line="360"/>
        <w:rPr>
          <w:rFonts w:ascii="Times New Roman" w:cs="Times New Roman" w:hAnsi="Times New Roman" w:hint="default"/>
          <w:sz w:val="24"/>
          <w:szCs w:val="24"/>
        </w:rPr>
      </w:pPr>
    </w:p>
    <w:p>
      <w:pPr>
        <w:pStyle w:val="style0"/>
        <w:spacing w:lineRule="auto" w:line="360"/>
        <w:rPr>
          <w:rStyle w:val="style87"/>
          <w:rFonts w:ascii="Times New Roman" w:cs="Times New Roman" w:eastAsia="SimSun" w:hAnsi="Times New Roman" w:hint="default"/>
          <w:color w:val="0e101a"/>
          <w:sz w:val="24"/>
          <w:szCs w:val="24"/>
        </w:rPr>
      </w:pPr>
      <w:r>
        <w:rPr>
          <w:rStyle w:val="style87"/>
          <w:rFonts w:ascii="Times New Roman" w:cs="Times New Roman" w:eastAsia="SimSun" w:hAnsi="Times New Roman" w:hint="default"/>
          <w:color w:val="0e101a"/>
          <w:sz w:val="24"/>
          <w:szCs w:val="24"/>
        </w:rPr>
        <w:t>Balance Sheet Analysis:</w:t>
      </w:r>
    </w:p>
    <w:p>
      <w:pPr>
        <w:pStyle w:val="style0"/>
        <w:spacing w:lineRule="auto" w:line="360"/>
        <w:rPr>
          <w:rStyle w:val="style87"/>
          <w:rFonts w:ascii="Times New Roman" w:cs="Times New Roman" w:eastAsia="SimSun" w:hAnsi="Times New Roman" w:hint="default"/>
          <w:color w:val="0e101a"/>
          <w:sz w:val="24"/>
          <w:szCs w:val="24"/>
        </w:rPr>
      </w:pPr>
    </w:p>
    <w:tbl>
      <w:tblPr>
        <w:tblW w:w="9795" w:type="dxa"/>
        <w:tblCellSpacing w:w="15" w:type="dxa"/>
        <w:tblInd w:w="10" w:type="dxa"/>
        <w:tblBorders>
          <w:top w:val="single" w:sz="2" w:space="0" w:color="d9d9e3"/>
          <w:left w:val="single" w:sz="2" w:space="0" w:color="d9d9e3"/>
          <w:bottom w:val="single" w:sz="2" w:space="0" w:color="d9d9e3"/>
          <w:right w:val="single" w:sz="2" w:space="0" w:color="d9d9e3"/>
          <w:insideH w:val="none" w:sz="0" w:space="0" w:color="auto"/>
          <w:insideV w:val="none" w:sz="0" w:space="0" w:color="auto"/>
        </w:tblBorders>
        <w:shd w:val="clear" w:color="auto" w:fill="f7f7f8"/>
        <w:tblCellMar>
          <w:top w:w="15" w:type="dxa"/>
          <w:left w:w="15" w:type="dxa"/>
          <w:bottom w:w="15" w:type="dxa"/>
          <w:right w:w="15" w:type="dxa"/>
        </w:tblCellMar>
      </w:tblPr>
      <w:tblGrid>
        <w:gridCol w:w="8585"/>
        <w:gridCol w:w="1210"/>
      </w:tblGrid>
      <w:tr>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tcPr>
          <w:p>
            <w:pPr>
              <w:pStyle w:val="style0"/>
              <w:keepNext w:val="false"/>
              <w:keepLines w:val="false"/>
              <w:widowControl/>
              <w:suppressLineNumbers w:val="false"/>
              <w:spacing w:lineRule="auto" w:line="360"/>
              <w:ind w:left="0" w:firstLine="0"/>
              <w:jc w:val="center"/>
              <w:textAlignment w:val="bottom"/>
              <w:rPr>
                <w:rFonts w:ascii="Times New Roman" w:cs="Times New Roman" w:eastAsia="Segoe UI" w:hAnsi="Times New Roman" w:hint="default"/>
                <w:b/>
                <w:bCs/>
                <w:i w:val="false"/>
                <w:iCs w:val="false"/>
                <w:caps w:val="false"/>
                <w:color w:val="374151"/>
                <w:spacing w:val="0"/>
                <w:sz w:val="24"/>
                <w:szCs w:val="24"/>
              </w:rPr>
            </w:pPr>
            <w:r>
              <w:rPr>
                <w:rFonts w:ascii="Times New Roman" w:cs="Times New Roman" w:eastAsia="Segoe UI" w:hAnsi="Times New Roman" w:hint="default"/>
                <w:b/>
                <w:bCs/>
                <w:i w:val="false"/>
                <w:iCs w:val="false"/>
                <w:caps w:val="false"/>
                <w:color w:val="374151"/>
                <w:spacing w:val="0"/>
                <w:kern w:val="0"/>
                <w:sz w:val="24"/>
                <w:szCs w:val="24"/>
                <w:lang w:val="en-US" w:eastAsia="zh-CN"/>
              </w:rPr>
              <w:t>Item</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tcPr>
          <w:p>
            <w:pPr>
              <w:pStyle w:val="style0"/>
              <w:keepNext w:val="false"/>
              <w:keepLines w:val="false"/>
              <w:widowControl/>
              <w:suppressLineNumbers w:val="false"/>
              <w:spacing w:lineRule="auto" w:line="360"/>
              <w:ind w:left="0" w:firstLine="0"/>
              <w:jc w:val="center"/>
              <w:textAlignment w:val="bottom"/>
              <w:rPr>
                <w:rFonts w:ascii="Times New Roman" w:cs="Times New Roman" w:eastAsia="Segoe UI" w:hAnsi="Times New Roman" w:hint="default"/>
                <w:b/>
                <w:bCs/>
                <w:i w:val="false"/>
                <w:iCs w:val="false"/>
                <w:caps w:val="false"/>
                <w:color w:val="374151"/>
                <w:spacing w:val="0"/>
                <w:sz w:val="24"/>
                <w:szCs w:val="24"/>
              </w:rPr>
            </w:pPr>
            <w:r>
              <w:rPr>
                <w:rFonts w:ascii="Times New Roman" w:cs="Times New Roman" w:eastAsia="Segoe UI" w:hAnsi="Times New Roman" w:hint="default"/>
                <w:b/>
                <w:bCs/>
                <w:i w:val="false"/>
                <w:iCs w:val="false"/>
                <w:caps w:val="false"/>
                <w:color w:val="374151"/>
                <w:spacing w:val="0"/>
                <w:kern w:val="0"/>
                <w:sz w:val="24"/>
                <w:szCs w:val="24"/>
                <w:lang w:val="en-US" w:eastAsia="zh-CN"/>
              </w:rPr>
              <w:t>Amount</w:t>
            </w:r>
          </w:p>
        </w:tc>
      </w:tr>
      <w:tr>
        <w:tblPrEx>
          <w:tblBorders>
            <w:top w:val="single" w:sz="2" w:space="0" w:color="d9d9e3"/>
            <w:left w:val="single" w:sz="2" w:space="0" w:color="d9d9e3"/>
            <w:bottom w:val="single" w:sz="6" w:space="0" w:color="auto"/>
            <w:right w:val="single" w:sz="2" w:space="0" w:color="d9d9e3"/>
            <w:insideH w:val="none" w:sz="0" w:space="0" w:color="auto"/>
            <w:insideV w:val="none" w:sz="0" w:space="0" w:color="auto"/>
          </w:tblBorders>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Total Assets</w:t>
            </w:r>
          </w:p>
        </w:tc>
        <w:tc>
          <w:tcPr>
            <w:tcW w:w="0" w:type="auto"/>
            <w:tcBorders>
              <w:top w:val="single" w:sz="2" w:space="0" w:color="d9d9e3"/>
              <w:left w:val="single" w:sz="6" w:space="0" w:color="d9d9e3"/>
              <w:bottom w:val="single" w:sz="6" w:space="0" w:color="d9d9e3"/>
              <w:right w:val="single" w:sz="6"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£1,200,000</w:t>
            </w:r>
          </w:p>
        </w:tc>
      </w:tr>
      <w:tr>
        <w:tblPrEx>
          <w:tblBorders>
            <w:top w:val="single" w:sz="2" w:space="0" w:color="d9d9e3"/>
            <w:left w:val="single" w:sz="2" w:space="0" w:color="d9d9e3"/>
            <w:bottom w:val="single" w:sz="6" w:space="0" w:color="auto"/>
            <w:right w:val="single" w:sz="2" w:space="0" w:color="d9d9e3"/>
            <w:insideH w:val="none" w:sz="0" w:space="0" w:color="auto"/>
            <w:insideV w:val="none" w:sz="0" w:space="0" w:color="auto"/>
          </w:tblBorders>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Current Assets</w:t>
            </w:r>
          </w:p>
        </w:tc>
        <w:tc>
          <w:tcPr>
            <w:tcW w:w="0" w:type="auto"/>
            <w:tcBorders>
              <w:top w:val="single" w:sz="2" w:space="0" w:color="d9d9e3"/>
              <w:left w:val="single" w:sz="6" w:space="0" w:color="d9d9e3"/>
              <w:bottom w:val="single" w:sz="6" w:space="0" w:color="d9d9e3"/>
              <w:right w:val="single" w:sz="6"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£250,000</w:t>
            </w:r>
          </w:p>
        </w:tc>
      </w:tr>
      <w:tr>
        <w:tblPrEx>
          <w:tblBorders>
            <w:top w:val="single" w:sz="2" w:space="0" w:color="d9d9e3"/>
            <w:left w:val="single" w:sz="2" w:space="0" w:color="d9d9e3"/>
            <w:bottom w:val="single" w:sz="6" w:space="0" w:color="auto"/>
            <w:right w:val="single" w:sz="2" w:space="0" w:color="d9d9e3"/>
            <w:insideH w:val="none" w:sz="0" w:space="0" w:color="auto"/>
            <w:insideV w:val="none" w:sz="0" w:space="0" w:color="auto"/>
          </w:tblBorders>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Property &amp; Equip.</w:t>
            </w:r>
          </w:p>
        </w:tc>
        <w:tc>
          <w:tcPr>
            <w:tcW w:w="0" w:type="auto"/>
            <w:tcBorders>
              <w:top w:val="single" w:sz="2" w:space="0" w:color="d9d9e3"/>
              <w:left w:val="single" w:sz="6" w:space="0" w:color="d9d9e3"/>
              <w:bottom w:val="single" w:sz="6" w:space="0" w:color="d9d9e3"/>
              <w:right w:val="single" w:sz="6"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£800,000</w:t>
            </w:r>
          </w:p>
        </w:tc>
      </w:tr>
      <w:tr>
        <w:tblPrEx>
          <w:tblBorders>
            <w:top w:val="single" w:sz="2" w:space="0" w:color="d9d9e3"/>
            <w:left w:val="single" w:sz="2" w:space="0" w:color="d9d9e3"/>
            <w:bottom w:val="single" w:sz="6" w:space="0" w:color="auto"/>
            <w:right w:val="single" w:sz="2" w:space="0" w:color="d9d9e3"/>
            <w:insideH w:val="none" w:sz="0" w:space="0" w:color="auto"/>
            <w:insideV w:val="none" w:sz="0" w:space="0" w:color="auto"/>
          </w:tblBorders>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Other Assets</w:t>
            </w:r>
          </w:p>
        </w:tc>
        <w:tc>
          <w:tcPr>
            <w:tcW w:w="0" w:type="auto"/>
            <w:tcBorders>
              <w:top w:val="single" w:sz="2" w:space="0" w:color="d9d9e3"/>
              <w:left w:val="single" w:sz="6" w:space="0" w:color="d9d9e3"/>
              <w:bottom w:val="single" w:sz="6" w:space="0" w:color="d9d9e3"/>
              <w:right w:val="single" w:sz="6"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£150,000</w:t>
            </w:r>
          </w:p>
        </w:tc>
      </w:tr>
      <w:tr>
        <w:tblPrEx>
          <w:tblBorders>
            <w:top w:val="single" w:sz="2" w:space="0" w:color="d9d9e3"/>
            <w:left w:val="single" w:sz="2" w:space="0" w:color="d9d9e3"/>
            <w:bottom w:val="single" w:sz="6" w:space="0" w:color="auto"/>
            <w:right w:val="single" w:sz="2" w:space="0" w:color="d9d9e3"/>
            <w:insideH w:val="none" w:sz="0" w:space="0" w:color="auto"/>
            <w:insideV w:val="none" w:sz="0" w:space="0" w:color="auto"/>
          </w:tblBorders>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Total Liabilities</w:t>
            </w:r>
          </w:p>
        </w:tc>
        <w:tc>
          <w:tcPr>
            <w:tcW w:w="0" w:type="auto"/>
            <w:tcBorders>
              <w:top w:val="single" w:sz="2" w:space="0" w:color="d9d9e3"/>
              <w:left w:val="single" w:sz="6" w:space="0" w:color="d9d9e3"/>
              <w:bottom w:val="single" w:sz="6" w:space="0" w:color="d9d9e3"/>
              <w:right w:val="single" w:sz="6"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£750,000</w:t>
            </w:r>
          </w:p>
        </w:tc>
      </w:tr>
      <w:tr>
        <w:tblPrEx>
          <w:tblBorders>
            <w:top w:val="single" w:sz="2" w:space="0" w:color="d9d9e3"/>
            <w:left w:val="single" w:sz="2" w:space="0" w:color="d9d9e3"/>
            <w:bottom w:val="single" w:sz="6" w:space="0" w:color="auto"/>
            <w:right w:val="single" w:sz="2" w:space="0" w:color="d9d9e3"/>
            <w:insideH w:val="none" w:sz="0" w:space="0" w:color="auto"/>
            <w:insideV w:val="none" w:sz="0" w:space="0" w:color="auto"/>
          </w:tblBorders>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Current Liabilities</w:t>
            </w:r>
          </w:p>
        </w:tc>
        <w:tc>
          <w:tcPr>
            <w:tcW w:w="0" w:type="auto"/>
            <w:tcBorders>
              <w:top w:val="single" w:sz="2" w:space="0" w:color="d9d9e3"/>
              <w:left w:val="single" w:sz="6" w:space="0" w:color="d9d9e3"/>
              <w:bottom w:val="single" w:sz="6" w:space="0" w:color="d9d9e3"/>
              <w:right w:val="single" w:sz="6"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£180,000</w:t>
            </w:r>
          </w:p>
        </w:tc>
      </w:tr>
      <w:tr>
        <w:tblPrEx>
          <w:tblBorders>
            <w:top w:val="single" w:sz="2" w:space="0" w:color="d9d9e3"/>
            <w:left w:val="single" w:sz="2" w:space="0" w:color="d9d9e3"/>
            <w:bottom w:val="single" w:sz="6" w:space="0" w:color="auto"/>
            <w:right w:val="single" w:sz="2" w:space="0" w:color="d9d9e3"/>
            <w:insideH w:val="none" w:sz="0" w:space="0" w:color="auto"/>
            <w:insideV w:val="none" w:sz="0" w:space="0" w:color="auto"/>
          </w:tblBorders>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Long-term Debt</w:t>
            </w:r>
          </w:p>
        </w:tc>
        <w:tc>
          <w:tcPr>
            <w:tcW w:w="0" w:type="auto"/>
            <w:tcBorders>
              <w:top w:val="single" w:sz="2" w:space="0" w:color="d9d9e3"/>
              <w:left w:val="single" w:sz="6" w:space="0" w:color="d9d9e3"/>
              <w:bottom w:val="single" w:sz="6" w:space="0" w:color="d9d9e3"/>
              <w:right w:val="single" w:sz="6"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£500,000</w:t>
            </w:r>
          </w:p>
        </w:tc>
      </w:tr>
      <w:tr>
        <w:tblPrEx>
          <w:tblBorders>
            <w:top w:val="single" w:sz="2" w:space="0" w:color="d9d9e3"/>
            <w:left w:val="single" w:sz="2" w:space="0" w:color="d9d9e3"/>
            <w:bottom w:val="single" w:sz="2" w:space="0" w:color="auto"/>
            <w:right w:val="single" w:sz="2" w:space="0" w:color="d9d9e3"/>
            <w:insideH w:val="none" w:sz="0" w:space="0" w:color="auto"/>
            <w:insideV w:val="none" w:sz="0" w:space="0" w:color="auto"/>
          </w:tblBorders>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Equity</w:t>
            </w:r>
          </w:p>
        </w:tc>
        <w:tc>
          <w:tcPr>
            <w:tcW w:w="0" w:type="auto"/>
            <w:tcBorders>
              <w:top w:val="single" w:sz="2" w:space="0" w:color="d9d9e3"/>
              <w:left w:val="single" w:sz="6" w:space="0" w:color="d9d9e3"/>
              <w:bottom w:val="single" w:sz="6" w:space="0" w:color="d9d9e3"/>
              <w:right w:val="single" w:sz="6"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£450,000</w:t>
            </w:r>
          </w:p>
        </w:tc>
      </w:tr>
    </w:tbl>
    <w:p>
      <w:pPr>
        <w:pStyle w:val="style0"/>
        <w:spacing w:lineRule="auto" w:line="360"/>
        <w:rPr>
          <w:rStyle w:val="style87"/>
          <w:rFonts w:ascii="Times New Roman" w:cs="Times New Roman" w:eastAsia="SimSun" w:hAnsi="Times New Roman" w:hint="default"/>
          <w:color w:val="0e101a"/>
          <w:sz w:val="24"/>
          <w:szCs w:val="24"/>
        </w:rPr>
      </w:pPr>
    </w:p>
    <w:p>
      <w:pPr>
        <w:pStyle w:val="style94"/>
        <w:bidi w:val="false"/>
        <w:spacing w:lineRule="auto" w:line="360"/>
        <w:rPr>
          <w:rFonts w:ascii="Times New Roman" w:cs="Times New Roman" w:hAnsi="Times New Roman" w:hint="default"/>
          <w:sz w:val="24"/>
          <w:szCs w:val="24"/>
        </w:rPr>
      </w:pPr>
      <w:r>
        <w:rPr>
          <w:rFonts w:ascii="Times New Roman" w:cs="Times New Roman" w:hAnsi="Times New Roman" w:hint="default"/>
          <w:sz w:val="24"/>
          <w:szCs w:val="24"/>
        </w:rPr>
        <w:t>The balance statement shows a total asset value of £1,200,000 at the end of operation in 2022, which is less than the total obligation value of £750,000. The resort now has 450 thousand pounds in equity. Interestingly, the whole amount of long-term debt is £500,000, indicating the potential for financial risk. It could be necessary to look at many debt restructuring options in order to guarantee long-term sustainability.</w:t>
      </w:r>
    </w:p>
    <w:p>
      <w:pPr>
        <w:pStyle w:val="style94"/>
        <w:bidi w:val="false"/>
        <w:spacing w:lineRule="auto" w:line="360"/>
        <w:rPr>
          <w:rFonts w:ascii="Times New Roman" w:cs="Times New Roman" w:hAnsi="Times New Roman" w:hint="default"/>
          <w:sz w:val="24"/>
          <w:szCs w:val="24"/>
        </w:rPr>
      </w:pPr>
    </w:p>
    <w:p>
      <w:pPr>
        <w:pStyle w:val="style94"/>
        <w:bidi w:val="false"/>
        <w:spacing w:lineRule="auto" w:line="360"/>
        <w:rPr>
          <w:rStyle w:val="style87"/>
          <w:rFonts w:ascii="Times New Roman" w:cs="Times New Roman" w:eastAsia="SimSun" w:hAnsi="Times New Roman" w:hint="default"/>
          <w:color w:val="0e101a"/>
          <w:sz w:val="24"/>
          <w:szCs w:val="24"/>
        </w:rPr>
      </w:pPr>
      <w:r>
        <w:rPr>
          <w:rStyle w:val="style87"/>
          <w:rFonts w:ascii="Times New Roman" w:cs="Times New Roman" w:eastAsia="SimSun" w:hAnsi="Times New Roman" w:hint="default"/>
          <w:color w:val="0e101a"/>
          <w:sz w:val="24"/>
          <w:szCs w:val="24"/>
        </w:rPr>
        <w:t>Cash Flow Analysis:</w:t>
      </w:r>
    </w:p>
    <w:p>
      <w:pPr>
        <w:pStyle w:val="style94"/>
        <w:bidi w:val="false"/>
        <w:spacing w:lineRule="auto" w:line="360"/>
        <w:rPr>
          <w:rStyle w:val="style87"/>
          <w:rFonts w:ascii="Times New Roman" w:cs="Times New Roman" w:eastAsia="SimSun" w:hAnsi="Times New Roman" w:hint="default"/>
          <w:color w:val="0e101a"/>
          <w:sz w:val="24"/>
          <w:szCs w:val="24"/>
        </w:rPr>
      </w:pPr>
    </w:p>
    <w:tbl>
      <w:tblPr>
        <w:tblW w:w="9795" w:type="dxa"/>
        <w:tblCellSpacing w:w="15" w:type="dxa"/>
        <w:tblInd w:w="10" w:type="dxa"/>
        <w:tblBorders>
          <w:top w:val="single" w:sz="2" w:space="0" w:color="d9d9e3"/>
          <w:left w:val="single" w:sz="2" w:space="0" w:color="d9d9e3"/>
          <w:bottom w:val="single" w:sz="2" w:space="0" w:color="d9d9e3"/>
          <w:right w:val="single" w:sz="2" w:space="0" w:color="d9d9e3"/>
          <w:insideH w:val="none" w:sz="0" w:space="0" w:color="auto"/>
          <w:insideV w:val="none" w:sz="0" w:space="0" w:color="auto"/>
        </w:tblBorders>
        <w:shd w:val="clear" w:color="auto" w:fill="f7f7f8"/>
        <w:tblCellMar>
          <w:top w:w="15" w:type="dxa"/>
          <w:left w:w="15" w:type="dxa"/>
          <w:bottom w:w="15" w:type="dxa"/>
          <w:right w:w="15" w:type="dxa"/>
        </w:tblCellMar>
      </w:tblPr>
      <w:tblGrid>
        <w:gridCol w:w="8477"/>
        <w:gridCol w:w="1317"/>
      </w:tblGrid>
      <w:tr>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tcPr>
          <w:p>
            <w:pPr>
              <w:pStyle w:val="style0"/>
              <w:keepNext w:val="false"/>
              <w:keepLines w:val="false"/>
              <w:widowControl/>
              <w:suppressLineNumbers w:val="false"/>
              <w:spacing w:lineRule="auto" w:line="360"/>
              <w:ind w:left="0" w:firstLine="0"/>
              <w:jc w:val="center"/>
              <w:textAlignment w:val="bottom"/>
              <w:rPr>
                <w:rFonts w:ascii="Times New Roman" w:cs="Times New Roman" w:eastAsia="Segoe UI" w:hAnsi="Times New Roman" w:hint="default"/>
                <w:b/>
                <w:bCs/>
                <w:i w:val="false"/>
                <w:iCs w:val="false"/>
                <w:caps w:val="false"/>
                <w:color w:val="374151"/>
                <w:spacing w:val="0"/>
                <w:sz w:val="24"/>
                <w:szCs w:val="24"/>
              </w:rPr>
            </w:pPr>
            <w:r>
              <w:rPr>
                <w:rFonts w:ascii="Times New Roman" w:cs="Times New Roman" w:eastAsia="Segoe UI" w:hAnsi="Times New Roman" w:hint="default"/>
                <w:b/>
                <w:bCs/>
                <w:i w:val="false"/>
                <w:iCs w:val="false"/>
                <w:caps w:val="false"/>
                <w:color w:val="374151"/>
                <w:spacing w:val="0"/>
                <w:kern w:val="0"/>
                <w:sz w:val="24"/>
                <w:szCs w:val="24"/>
                <w:lang w:val="en-US" w:eastAsia="zh-CN"/>
              </w:rPr>
              <w:t>Item</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tcPr>
          <w:p>
            <w:pPr>
              <w:pStyle w:val="style0"/>
              <w:keepNext w:val="false"/>
              <w:keepLines w:val="false"/>
              <w:widowControl/>
              <w:suppressLineNumbers w:val="false"/>
              <w:spacing w:lineRule="auto" w:line="360"/>
              <w:ind w:left="0" w:firstLine="0"/>
              <w:jc w:val="center"/>
              <w:textAlignment w:val="bottom"/>
              <w:rPr>
                <w:rFonts w:ascii="Times New Roman" w:cs="Times New Roman" w:eastAsia="Segoe UI" w:hAnsi="Times New Roman" w:hint="default"/>
                <w:b/>
                <w:bCs/>
                <w:i w:val="false"/>
                <w:iCs w:val="false"/>
                <w:caps w:val="false"/>
                <w:color w:val="374151"/>
                <w:spacing w:val="0"/>
                <w:sz w:val="24"/>
                <w:szCs w:val="24"/>
              </w:rPr>
            </w:pPr>
            <w:r>
              <w:rPr>
                <w:rFonts w:ascii="Times New Roman" w:cs="Times New Roman" w:eastAsia="Segoe UI" w:hAnsi="Times New Roman" w:hint="default"/>
                <w:b/>
                <w:bCs/>
                <w:i w:val="false"/>
                <w:iCs w:val="false"/>
                <w:caps w:val="false"/>
                <w:color w:val="374151"/>
                <w:spacing w:val="0"/>
                <w:kern w:val="0"/>
                <w:sz w:val="24"/>
                <w:szCs w:val="24"/>
                <w:lang w:val="en-US" w:eastAsia="zh-CN"/>
              </w:rPr>
              <w:t>Amount</w:t>
            </w:r>
          </w:p>
        </w:tc>
      </w:tr>
      <w:tr>
        <w:tblPrEx>
          <w:tblBorders>
            <w:top w:val="single" w:sz="2" w:space="0" w:color="d9d9e3"/>
            <w:left w:val="single" w:sz="2" w:space="0" w:color="d9d9e3"/>
            <w:bottom w:val="single" w:sz="6" w:space="0" w:color="auto"/>
            <w:right w:val="single" w:sz="2" w:space="0" w:color="d9d9e3"/>
            <w:insideH w:val="none" w:sz="0" w:space="0" w:color="auto"/>
            <w:insideV w:val="none" w:sz="0" w:space="0" w:color="auto"/>
          </w:tblBorders>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Net Cash Flow from Operations</w:t>
            </w:r>
          </w:p>
        </w:tc>
        <w:tc>
          <w:tcPr>
            <w:tcW w:w="0" w:type="auto"/>
            <w:tcBorders>
              <w:top w:val="single" w:sz="2" w:space="0" w:color="d9d9e3"/>
              <w:left w:val="single" w:sz="6" w:space="0" w:color="d9d9e3"/>
              <w:bottom w:val="single" w:sz="6" w:space="0" w:color="d9d9e3"/>
              <w:right w:val="single" w:sz="6"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-£80,000</w:t>
            </w:r>
          </w:p>
        </w:tc>
      </w:tr>
      <w:tr>
        <w:tblPrEx>
          <w:tblBorders>
            <w:top w:val="single" w:sz="2" w:space="0" w:color="d9d9e3"/>
            <w:left w:val="single" w:sz="2" w:space="0" w:color="d9d9e3"/>
            <w:bottom w:val="single" w:sz="6" w:space="0" w:color="auto"/>
            <w:right w:val="single" w:sz="2" w:space="0" w:color="d9d9e3"/>
            <w:insideH w:val="none" w:sz="0" w:space="0" w:color="auto"/>
            <w:insideV w:val="none" w:sz="0" w:space="0" w:color="auto"/>
          </w:tblBorders>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Capital Expenditures</w:t>
            </w:r>
          </w:p>
        </w:tc>
        <w:tc>
          <w:tcPr>
            <w:tcW w:w="0" w:type="auto"/>
            <w:tcBorders>
              <w:top w:val="single" w:sz="2" w:space="0" w:color="d9d9e3"/>
              <w:left w:val="single" w:sz="6" w:space="0" w:color="d9d9e3"/>
              <w:bottom w:val="single" w:sz="6" w:space="0" w:color="d9d9e3"/>
              <w:right w:val="single" w:sz="6"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£30,000</w:t>
            </w:r>
          </w:p>
        </w:tc>
      </w:tr>
      <w:tr>
        <w:tblPrEx>
          <w:tblBorders>
            <w:top w:val="single" w:sz="2" w:space="0" w:color="d9d9e3"/>
            <w:left w:val="single" w:sz="2" w:space="0" w:color="d9d9e3"/>
            <w:bottom w:val="single" w:sz="2" w:space="0" w:color="auto"/>
            <w:right w:val="single" w:sz="2" w:space="0" w:color="d9d9e3"/>
            <w:insideH w:val="none" w:sz="0" w:space="0" w:color="auto"/>
            <w:insideV w:val="none" w:sz="0" w:space="0" w:color="auto"/>
          </w:tblBorders>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Net Cash Flow</w:t>
            </w:r>
          </w:p>
        </w:tc>
        <w:tc>
          <w:tcPr>
            <w:tcW w:w="0" w:type="auto"/>
            <w:tcBorders>
              <w:top w:val="single" w:sz="2" w:space="0" w:color="d9d9e3"/>
              <w:left w:val="single" w:sz="6" w:space="0" w:color="d9d9e3"/>
              <w:bottom w:val="single" w:sz="6" w:space="0" w:color="d9d9e3"/>
              <w:right w:val="single" w:sz="6"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-£110,000</w:t>
            </w:r>
          </w:p>
        </w:tc>
      </w:tr>
    </w:tbl>
    <w:p>
      <w:pPr>
        <w:pStyle w:val="style94"/>
        <w:bidi w:val="false"/>
        <w:spacing w:lineRule="auto" w:line="360"/>
        <w:rPr>
          <w:rStyle w:val="style87"/>
          <w:rFonts w:ascii="Times New Roman" w:cs="Times New Roman" w:eastAsia="SimSun" w:hAnsi="Times New Roman" w:hint="default"/>
          <w:b w:val="false"/>
          <w:bCs w:val="false"/>
          <w:color w:val="0e101a"/>
          <w:sz w:val="24"/>
          <w:szCs w:val="24"/>
        </w:rPr>
      </w:pPr>
      <w:r>
        <w:rPr>
          <w:rStyle w:val="style87"/>
          <w:rFonts w:ascii="Times New Roman" w:cs="Times New Roman" w:eastAsia="SimSun" w:hAnsi="Times New Roman" w:hint="default"/>
          <w:b w:val="false"/>
          <w:bCs w:val="false"/>
          <w:color w:val="0e101a"/>
          <w:sz w:val="24"/>
          <w:szCs w:val="24"/>
        </w:rPr>
        <w:t>A negative nett cash flow from operations of 80,000 pounds is seen in the cash flow analysis for 2021, indicating inefficiencies in the operational processes. £30,000 has been spent on capital expenditures in total, which adds to the £110,000 negative nett cash flow. The negative cash flow makes it imperative to focus on enhancing operational activities' efficiency in order to boost financial liquidity.</w:t>
      </w:r>
    </w:p>
    <w:p>
      <w:pPr>
        <w:pStyle w:val="style94"/>
        <w:bidi w:val="false"/>
        <w:spacing w:lineRule="auto" w:line="360"/>
        <w:rPr>
          <w:rStyle w:val="style87"/>
          <w:rFonts w:ascii="Times New Roman" w:cs="Times New Roman" w:eastAsia="SimSun" w:hAnsi="Times New Roman" w:hint="default"/>
          <w:b w:val="false"/>
          <w:bCs w:val="false"/>
          <w:color w:val="0e101a"/>
          <w:sz w:val="24"/>
          <w:szCs w:val="24"/>
        </w:rPr>
      </w:pPr>
    </w:p>
    <w:bookmarkStart w:id="9" w:name="_Toc15891"/>
    <w:p>
      <w:pPr>
        <w:pStyle w:val="style2"/>
        <w:bidi w:val="false"/>
        <w:spacing w:lineRule="auto" w:line="360"/>
        <w:rPr>
          <w:rFonts w:ascii="Times New Roman" w:cs="Times New Roman" w:hAnsi="Times New Roman" w:hint="default"/>
          <w:sz w:val="24"/>
          <w:szCs w:val="24"/>
        </w:rPr>
      </w:pPr>
      <w:r>
        <w:rPr>
          <w:rFonts w:ascii="Times New Roman" w:cs="Times New Roman" w:hAnsi="Times New Roman" w:hint="default"/>
          <w:sz w:val="24"/>
          <w:szCs w:val="24"/>
        </w:rPr>
        <w:t>Additional Financial Information:</w:t>
      </w:r>
      <w:bookmarkEnd w:id="9"/>
    </w:p>
    <w:p>
      <w:pPr>
        <w:pStyle w:val="style94"/>
        <w:keepNext w:val="false"/>
        <w:keepLines w:val="false"/>
        <w:widowControl/>
        <w:suppressLineNumbers w:val="false"/>
        <w:spacing w:before="0" w:beforeAutospacing="false" w:after="0" w:afterAutospacing="false" w:lineRule="auto" w:line="36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Average Room Rate (ARR):</w:t>
      </w:r>
    </w:p>
    <w:tbl>
      <w:tblPr>
        <w:tblW w:w="9795" w:type="dxa"/>
        <w:tblCellSpacing w:w="15" w:type="dxa"/>
        <w:tblInd w:w="10" w:type="dxa"/>
        <w:tblBorders>
          <w:top w:val="single" w:sz="2" w:space="0" w:color="d9d9e3"/>
          <w:left w:val="single" w:sz="2" w:space="0" w:color="d9d9e3"/>
          <w:bottom w:val="single" w:sz="2" w:space="0" w:color="d9d9e3"/>
          <w:right w:val="single" w:sz="2" w:space="0" w:color="d9d9e3"/>
          <w:insideH w:val="none" w:sz="0" w:space="0" w:color="auto"/>
          <w:insideV w:val="none" w:sz="0" w:space="0" w:color="auto"/>
        </w:tblBorders>
        <w:shd w:val="clear" w:color="auto" w:fill="f7f7f8"/>
        <w:tblCellMar>
          <w:top w:w="15" w:type="dxa"/>
          <w:left w:w="15" w:type="dxa"/>
          <w:bottom w:w="15" w:type="dxa"/>
          <w:right w:w="15" w:type="dxa"/>
        </w:tblCellMar>
      </w:tblPr>
      <w:tblGrid>
        <w:gridCol w:w="2535"/>
        <w:gridCol w:w="2400"/>
        <w:gridCol w:w="2400"/>
        <w:gridCol w:w="2460"/>
      </w:tblGrid>
      <w:tr>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tcPr>
          <w:p>
            <w:pPr>
              <w:pStyle w:val="style0"/>
              <w:keepNext w:val="false"/>
              <w:keepLines w:val="false"/>
              <w:widowControl/>
              <w:suppressLineNumbers w:val="false"/>
              <w:spacing w:lineRule="auto" w:line="360"/>
              <w:ind w:left="0" w:firstLine="0"/>
              <w:jc w:val="center"/>
              <w:textAlignment w:val="bottom"/>
              <w:rPr>
                <w:rFonts w:ascii="Times New Roman" w:cs="Times New Roman" w:eastAsia="Segoe UI" w:hAnsi="Times New Roman" w:hint="default"/>
                <w:b/>
                <w:bCs/>
                <w:i w:val="false"/>
                <w:iCs w:val="false"/>
                <w:caps w:val="false"/>
                <w:color w:val="374151"/>
                <w:spacing w:val="0"/>
                <w:sz w:val="24"/>
                <w:szCs w:val="24"/>
              </w:rPr>
            </w:pPr>
            <w:r>
              <w:rPr>
                <w:rFonts w:ascii="Times New Roman" w:cs="Times New Roman" w:eastAsia="Segoe UI" w:hAnsi="Times New Roman" w:hint="default"/>
                <w:b/>
                <w:bCs/>
                <w:i w:val="false"/>
                <w:iCs w:val="false"/>
                <w:caps w:val="false"/>
                <w:color w:val="374151"/>
                <w:spacing w:val="0"/>
                <w:kern w:val="0"/>
                <w:sz w:val="24"/>
                <w:szCs w:val="24"/>
                <w:lang w:val="en-US" w:eastAsia="zh-CN"/>
              </w:rPr>
              <w:t>Year</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tcPr>
          <w:p>
            <w:pPr>
              <w:pStyle w:val="style0"/>
              <w:keepNext w:val="false"/>
              <w:keepLines w:val="false"/>
              <w:widowControl/>
              <w:suppressLineNumbers w:val="false"/>
              <w:spacing w:lineRule="auto" w:line="360"/>
              <w:ind w:left="0" w:firstLine="0"/>
              <w:jc w:val="center"/>
              <w:textAlignment w:val="bottom"/>
              <w:rPr>
                <w:rFonts w:ascii="Times New Roman" w:cs="Times New Roman" w:eastAsia="Segoe UI" w:hAnsi="Times New Roman" w:hint="default"/>
                <w:b/>
                <w:bCs/>
                <w:i w:val="false"/>
                <w:iCs w:val="false"/>
                <w:caps w:val="false"/>
                <w:color w:val="374151"/>
                <w:spacing w:val="0"/>
                <w:sz w:val="24"/>
                <w:szCs w:val="24"/>
              </w:rPr>
            </w:pPr>
            <w:r>
              <w:rPr>
                <w:rFonts w:ascii="Times New Roman" w:cs="Times New Roman" w:eastAsia="Segoe UI" w:hAnsi="Times New Roman" w:hint="default"/>
                <w:b/>
                <w:bCs/>
                <w:i w:val="false"/>
                <w:iCs w:val="false"/>
                <w:caps w:val="false"/>
                <w:color w:val="374151"/>
                <w:spacing w:val="0"/>
                <w:kern w:val="0"/>
                <w:sz w:val="24"/>
                <w:szCs w:val="24"/>
                <w:lang w:val="en-US" w:eastAsia="zh-CN"/>
              </w:rPr>
              <w:t>2020</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tcPr>
          <w:p>
            <w:pPr>
              <w:pStyle w:val="style0"/>
              <w:keepNext w:val="false"/>
              <w:keepLines w:val="false"/>
              <w:widowControl/>
              <w:suppressLineNumbers w:val="false"/>
              <w:spacing w:lineRule="auto" w:line="360"/>
              <w:ind w:left="0" w:firstLine="0"/>
              <w:jc w:val="center"/>
              <w:textAlignment w:val="bottom"/>
              <w:rPr>
                <w:rFonts w:ascii="Times New Roman" w:cs="Times New Roman" w:eastAsia="Segoe UI" w:hAnsi="Times New Roman" w:hint="default"/>
                <w:b/>
                <w:bCs/>
                <w:i w:val="false"/>
                <w:iCs w:val="false"/>
                <w:caps w:val="false"/>
                <w:color w:val="374151"/>
                <w:spacing w:val="0"/>
                <w:sz w:val="24"/>
                <w:szCs w:val="24"/>
              </w:rPr>
            </w:pPr>
            <w:r>
              <w:rPr>
                <w:rFonts w:ascii="Times New Roman" w:cs="Times New Roman" w:eastAsia="Segoe UI" w:hAnsi="Times New Roman" w:hint="default"/>
                <w:b/>
                <w:bCs/>
                <w:i w:val="false"/>
                <w:iCs w:val="false"/>
                <w:caps w:val="false"/>
                <w:color w:val="374151"/>
                <w:spacing w:val="0"/>
                <w:kern w:val="0"/>
                <w:sz w:val="24"/>
                <w:szCs w:val="24"/>
                <w:lang w:val="en-US" w:eastAsia="zh-CN"/>
              </w:rPr>
              <w:t>2021</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tcPr>
          <w:p>
            <w:pPr>
              <w:pStyle w:val="style0"/>
              <w:keepNext w:val="false"/>
              <w:keepLines w:val="false"/>
              <w:widowControl/>
              <w:suppressLineNumbers w:val="false"/>
              <w:spacing w:lineRule="auto" w:line="360"/>
              <w:ind w:left="0" w:firstLine="0"/>
              <w:jc w:val="center"/>
              <w:textAlignment w:val="bottom"/>
              <w:rPr>
                <w:rFonts w:ascii="Times New Roman" w:cs="Times New Roman" w:eastAsia="Segoe UI" w:hAnsi="Times New Roman" w:hint="default"/>
                <w:b/>
                <w:bCs/>
                <w:i w:val="false"/>
                <w:iCs w:val="false"/>
                <w:caps w:val="false"/>
                <w:color w:val="374151"/>
                <w:spacing w:val="0"/>
                <w:sz w:val="24"/>
                <w:szCs w:val="24"/>
              </w:rPr>
            </w:pPr>
            <w:r>
              <w:rPr>
                <w:rFonts w:ascii="Times New Roman" w:cs="Times New Roman" w:eastAsia="Segoe UI" w:hAnsi="Times New Roman" w:hint="default"/>
                <w:b/>
                <w:bCs/>
                <w:i w:val="false"/>
                <w:iCs w:val="false"/>
                <w:caps w:val="false"/>
                <w:color w:val="374151"/>
                <w:spacing w:val="0"/>
                <w:kern w:val="0"/>
                <w:sz w:val="24"/>
                <w:szCs w:val="24"/>
                <w:lang w:val="en-US" w:eastAsia="zh-CN"/>
              </w:rPr>
              <w:t>2022</w:t>
            </w:r>
          </w:p>
        </w:tc>
      </w:tr>
      <w:tr>
        <w:tblPrEx>
          <w:tblBorders>
            <w:top w:val="single" w:sz="2" w:space="0" w:color="d9d9e3"/>
            <w:left w:val="single" w:sz="2" w:space="0" w:color="d9d9e3"/>
            <w:bottom w:val="single" w:sz="2" w:space="0" w:color="auto"/>
            <w:right w:val="single" w:sz="2" w:space="0" w:color="d9d9e3"/>
            <w:insideH w:val="none" w:sz="0" w:space="0" w:color="auto"/>
            <w:insideV w:val="none" w:sz="0" w:space="0" w:color="auto"/>
          </w:tblBorders>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ARR</w:t>
            </w:r>
          </w:p>
        </w:tc>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£250</w:t>
            </w:r>
          </w:p>
        </w:tc>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£230</w:t>
            </w:r>
          </w:p>
        </w:tc>
        <w:tc>
          <w:tcPr>
            <w:tcW w:w="0" w:type="auto"/>
            <w:tcBorders>
              <w:top w:val="single" w:sz="2" w:space="0" w:color="d9d9e3"/>
              <w:left w:val="single" w:sz="6" w:space="0" w:color="d9d9e3"/>
              <w:bottom w:val="single" w:sz="6" w:space="0" w:color="d9d9e3"/>
              <w:right w:val="single" w:sz="6"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£210</w:t>
            </w:r>
          </w:p>
        </w:tc>
      </w:tr>
    </w:tbl>
    <w:p>
      <w:pPr>
        <w:pStyle w:val="style94"/>
        <w:bidi w:val="false"/>
        <w:spacing w:lineRule="auto" w:line="360"/>
        <w:rPr>
          <w:rStyle w:val="style87"/>
          <w:rFonts w:ascii="Times New Roman" w:cs="Times New Roman" w:eastAsia="SimSun" w:hAnsi="Times New Roman" w:hint="default"/>
          <w:b w:val="false"/>
          <w:bCs w:val="false"/>
          <w:color w:val="0e101a"/>
          <w:sz w:val="24"/>
          <w:szCs w:val="24"/>
        </w:rPr>
      </w:pPr>
    </w:p>
    <w:p>
      <w:pPr>
        <w:pStyle w:val="style94"/>
        <w:bidi w:val="false"/>
        <w:spacing w:lineRule="auto" w:line="360"/>
        <w:rPr>
          <w:rStyle w:val="style87"/>
          <w:rFonts w:ascii="Times New Roman" w:cs="Times New Roman" w:eastAsia="SimSun" w:hAnsi="Times New Roman" w:hint="default"/>
          <w:color w:val="0e101a"/>
          <w:sz w:val="24"/>
          <w:szCs w:val="24"/>
        </w:rPr>
      </w:pPr>
      <w:r>
        <w:rPr>
          <w:rStyle w:val="style87"/>
          <w:rFonts w:ascii="Times New Roman" w:cs="Times New Roman" w:eastAsia="SimSun" w:hAnsi="Times New Roman" w:hint="default"/>
          <w:color w:val="0e101a"/>
          <w:sz w:val="24"/>
          <w:szCs w:val="24"/>
        </w:rPr>
        <w:t>Occupancy Rate:</w:t>
      </w:r>
    </w:p>
    <w:tbl>
      <w:tblPr>
        <w:tblW w:w="9795" w:type="dxa"/>
        <w:tblCellSpacing w:w="15" w:type="dxa"/>
        <w:tblInd w:w="10" w:type="dxa"/>
        <w:tblBorders>
          <w:top w:val="single" w:sz="2" w:space="0" w:color="d9d9e3"/>
          <w:left w:val="single" w:sz="2" w:space="0" w:color="d9d9e3"/>
          <w:bottom w:val="single" w:sz="2" w:space="0" w:color="d9d9e3"/>
          <w:right w:val="single" w:sz="2" w:space="0" w:color="d9d9e3"/>
          <w:insideH w:val="none" w:sz="0" w:space="0" w:color="auto"/>
          <w:insideV w:val="none" w:sz="0" w:space="0" w:color="auto"/>
        </w:tblBorders>
        <w:shd w:val="clear" w:color="auto" w:fill="f7f7f8"/>
        <w:tblCellMar>
          <w:top w:w="15" w:type="dxa"/>
          <w:left w:w="15" w:type="dxa"/>
          <w:bottom w:w="15" w:type="dxa"/>
          <w:right w:w="15" w:type="dxa"/>
        </w:tblCellMar>
      </w:tblPr>
      <w:tblGrid>
        <w:gridCol w:w="4037"/>
        <w:gridCol w:w="1902"/>
        <w:gridCol w:w="1902"/>
        <w:gridCol w:w="1954"/>
      </w:tblGrid>
      <w:tr>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tcPr>
          <w:p>
            <w:pPr>
              <w:pStyle w:val="style0"/>
              <w:keepNext w:val="false"/>
              <w:keepLines w:val="false"/>
              <w:widowControl/>
              <w:suppressLineNumbers w:val="false"/>
              <w:spacing w:lineRule="auto" w:line="360"/>
              <w:ind w:left="0" w:firstLine="0"/>
              <w:jc w:val="center"/>
              <w:textAlignment w:val="bottom"/>
              <w:rPr>
                <w:rFonts w:ascii="Times New Roman" w:cs="Times New Roman" w:eastAsia="Segoe UI" w:hAnsi="Times New Roman" w:hint="default"/>
                <w:b/>
                <w:bCs/>
                <w:i w:val="false"/>
                <w:iCs w:val="false"/>
                <w:caps w:val="false"/>
                <w:color w:val="374151"/>
                <w:spacing w:val="0"/>
                <w:sz w:val="24"/>
                <w:szCs w:val="24"/>
              </w:rPr>
            </w:pPr>
            <w:r>
              <w:rPr>
                <w:rFonts w:ascii="Times New Roman" w:cs="Times New Roman" w:eastAsia="Segoe UI" w:hAnsi="Times New Roman" w:hint="default"/>
                <w:b/>
                <w:bCs/>
                <w:i w:val="false"/>
                <w:iCs w:val="false"/>
                <w:caps w:val="false"/>
                <w:color w:val="374151"/>
                <w:spacing w:val="0"/>
                <w:kern w:val="0"/>
                <w:sz w:val="24"/>
                <w:szCs w:val="24"/>
                <w:lang w:val="en-US" w:eastAsia="zh-CN"/>
              </w:rPr>
              <w:t>Year</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tcPr>
          <w:p>
            <w:pPr>
              <w:pStyle w:val="style0"/>
              <w:keepNext w:val="false"/>
              <w:keepLines w:val="false"/>
              <w:widowControl/>
              <w:suppressLineNumbers w:val="false"/>
              <w:spacing w:lineRule="auto" w:line="360"/>
              <w:ind w:left="0" w:firstLine="0"/>
              <w:jc w:val="center"/>
              <w:textAlignment w:val="bottom"/>
              <w:rPr>
                <w:rFonts w:ascii="Times New Roman" w:cs="Times New Roman" w:eastAsia="Segoe UI" w:hAnsi="Times New Roman" w:hint="default"/>
                <w:b/>
                <w:bCs/>
                <w:i w:val="false"/>
                <w:iCs w:val="false"/>
                <w:caps w:val="false"/>
                <w:color w:val="374151"/>
                <w:spacing w:val="0"/>
                <w:sz w:val="24"/>
                <w:szCs w:val="24"/>
              </w:rPr>
            </w:pPr>
            <w:r>
              <w:rPr>
                <w:rFonts w:ascii="Times New Roman" w:cs="Times New Roman" w:eastAsia="Segoe UI" w:hAnsi="Times New Roman" w:hint="default"/>
                <w:b/>
                <w:bCs/>
                <w:i w:val="false"/>
                <w:iCs w:val="false"/>
                <w:caps w:val="false"/>
                <w:color w:val="374151"/>
                <w:spacing w:val="0"/>
                <w:kern w:val="0"/>
                <w:sz w:val="24"/>
                <w:szCs w:val="24"/>
                <w:lang w:val="en-US" w:eastAsia="zh-CN"/>
              </w:rPr>
              <w:t>2020</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tcPr>
          <w:p>
            <w:pPr>
              <w:pStyle w:val="style0"/>
              <w:keepNext w:val="false"/>
              <w:keepLines w:val="false"/>
              <w:widowControl/>
              <w:suppressLineNumbers w:val="false"/>
              <w:spacing w:lineRule="auto" w:line="360"/>
              <w:ind w:left="0" w:firstLine="0"/>
              <w:jc w:val="center"/>
              <w:textAlignment w:val="bottom"/>
              <w:rPr>
                <w:rFonts w:ascii="Times New Roman" w:cs="Times New Roman" w:eastAsia="Segoe UI" w:hAnsi="Times New Roman" w:hint="default"/>
                <w:b/>
                <w:bCs/>
                <w:i w:val="false"/>
                <w:iCs w:val="false"/>
                <w:caps w:val="false"/>
                <w:color w:val="374151"/>
                <w:spacing w:val="0"/>
                <w:sz w:val="24"/>
                <w:szCs w:val="24"/>
              </w:rPr>
            </w:pPr>
            <w:r>
              <w:rPr>
                <w:rFonts w:ascii="Times New Roman" w:cs="Times New Roman" w:eastAsia="Segoe UI" w:hAnsi="Times New Roman" w:hint="default"/>
                <w:b/>
                <w:bCs/>
                <w:i w:val="false"/>
                <w:iCs w:val="false"/>
                <w:caps w:val="false"/>
                <w:color w:val="374151"/>
                <w:spacing w:val="0"/>
                <w:kern w:val="0"/>
                <w:sz w:val="24"/>
                <w:szCs w:val="24"/>
                <w:lang w:val="en-US" w:eastAsia="zh-CN"/>
              </w:rPr>
              <w:t>2021</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tcPr>
          <w:p>
            <w:pPr>
              <w:pStyle w:val="style0"/>
              <w:keepNext w:val="false"/>
              <w:keepLines w:val="false"/>
              <w:widowControl/>
              <w:suppressLineNumbers w:val="false"/>
              <w:spacing w:lineRule="auto" w:line="360"/>
              <w:ind w:left="0" w:firstLine="0"/>
              <w:jc w:val="center"/>
              <w:textAlignment w:val="bottom"/>
              <w:rPr>
                <w:rFonts w:ascii="Times New Roman" w:cs="Times New Roman" w:eastAsia="Segoe UI" w:hAnsi="Times New Roman" w:hint="default"/>
                <w:b/>
                <w:bCs/>
                <w:i w:val="false"/>
                <w:iCs w:val="false"/>
                <w:caps w:val="false"/>
                <w:color w:val="374151"/>
                <w:spacing w:val="0"/>
                <w:sz w:val="24"/>
                <w:szCs w:val="24"/>
              </w:rPr>
            </w:pPr>
            <w:r>
              <w:rPr>
                <w:rFonts w:ascii="Times New Roman" w:cs="Times New Roman" w:eastAsia="Segoe UI" w:hAnsi="Times New Roman" w:hint="default"/>
                <w:b/>
                <w:bCs/>
                <w:i w:val="false"/>
                <w:iCs w:val="false"/>
                <w:caps w:val="false"/>
                <w:color w:val="374151"/>
                <w:spacing w:val="0"/>
                <w:kern w:val="0"/>
                <w:sz w:val="24"/>
                <w:szCs w:val="24"/>
                <w:lang w:val="en-US" w:eastAsia="zh-CN"/>
              </w:rPr>
              <w:t>2022</w:t>
            </w:r>
          </w:p>
        </w:tc>
      </w:tr>
      <w:tr>
        <w:tblPrEx>
          <w:tblBorders>
            <w:top w:val="single" w:sz="2" w:space="0" w:color="d9d9e3"/>
            <w:left w:val="single" w:sz="2" w:space="0" w:color="d9d9e3"/>
            <w:bottom w:val="single" w:sz="2" w:space="0" w:color="auto"/>
            <w:right w:val="single" w:sz="2" w:space="0" w:color="d9d9e3"/>
            <w:insideH w:val="none" w:sz="0" w:space="0" w:color="auto"/>
            <w:insideV w:val="none" w:sz="0" w:space="0" w:color="auto"/>
          </w:tblBorders>
        </w:tblPrEx>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Occupancy</w:t>
            </w:r>
          </w:p>
        </w:tc>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70%</w:t>
            </w:r>
          </w:p>
        </w:tc>
        <w:tc>
          <w:tcPr>
            <w:tcW w:w="0" w:type="auto"/>
            <w:tcBorders>
              <w:top w:val="single" w:sz="2" w:space="0" w:color="d9d9e3"/>
              <w:left w:val="single" w:sz="6" w:space="0" w:color="d9d9e3"/>
              <w:bottom w:val="single" w:sz="6" w:space="0" w:color="d9d9e3"/>
              <w:right w:val="single" w:sz="2"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65%</w:t>
            </w:r>
          </w:p>
        </w:tc>
        <w:tc>
          <w:tcPr>
            <w:tcW w:w="0" w:type="auto"/>
            <w:tcBorders>
              <w:top w:val="single" w:sz="2" w:space="0" w:color="d9d9e3"/>
              <w:left w:val="single" w:sz="6" w:space="0" w:color="d9d9e3"/>
              <w:bottom w:val="single" w:sz="6" w:space="0" w:color="d9d9e3"/>
              <w:right w:val="single" w:sz="6" w:space="0" w:color="d9d9e3"/>
            </w:tcBorders>
            <w:shd w:val="clear" w:color="auto" w:fill="f7f7f8"/>
          </w:tcPr>
          <w:p>
            <w:pPr>
              <w:pStyle w:val="style0"/>
              <w:keepNext w:val="false"/>
              <w:keepLines w:val="false"/>
              <w:widowControl/>
              <w:suppressLineNumbers w:val="false"/>
              <w:spacing w:lineRule="auto" w:line="360"/>
              <w:ind w:left="0" w:firstLine="0"/>
              <w:jc w:val="left"/>
              <w:textAlignment w:val="baseline"/>
              <w:rPr>
                <w:rFonts w:ascii="Times New Roman" w:cs="Times New Roman" w:eastAsia="Segoe UI" w:hAnsi="Times New Roman" w:hint="default"/>
                <w:i w:val="false"/>
                <w:iCs w:val="false"/>
                <w:caps w:val="false"/>
                <w:color w:val="374151"/>
                <w:spacing w:val="0"/>
                <w:sz w:val="24"/>
                <w:szCs w:val="24"/>
              </w:rPr>
            </w:pPr>
            <w:r>
              <w:rPr>
                <w:rFonts w:ascii="Times New Roman" w:cs="Times New Roman" w:eastAsia="Segoe UI" w:hAnsi="Times New Roman" w:hint="default"/>
                <w:i w:val="false"/>
                <w:iCs w:val="false"/>
                <w:caps w:val="false"/>
                <w:color w:val="374151"/>
                <w:spacing w:val="0"/>
                <w:kern w:val="0"/>
                <w:sz w:val="24"/>
                <w:szCs w:val="24"/>
                <w:vertAlign w:val="baseline"/>
                <w:lang w:val="en-US" w:eastAsia="zh-CN"/>
              </w:rPr>
              <w:t>60%</w:t>
            </w:r>
          </w:p>
        </w:tc>
      </w:tr>
    </w:tbl>
    <w:p>
      <w:pPr>
        <w:pStyle w:val="style94"/>
        <w:keepNext w:val="false"/>
        <w:keepLines w:val="false"/>
        <w:widowControl/>
        <w:suppressLineNumbers w:val="false"/>
        <w:spacing w:before="0" w:beforeAutospacing="false" w:after="0" w:afterAutospacing="false" w:lineRule="auto" w:line="36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The figures on occupancy rates and average room rates (ARR) demonstrate that both categories have seen a decline over the course of the last three years. The occupancy rate went from being at 70% in 2020 to being at 60% in 2022, while the average daily cost went from being at £250 in 2020 to being at £210 in 2022. The significance of these data lies in the fact that pricing strategies and marketing strategy both need to be revised.</w:t>
      </w:r>
    </w:p>
    <w:bookmarkStart w:id="10" w:name="_Toc23153"/>
    <w:p>
      <w:pPr>
        <w:pStyle w:val="style2"/>
        <w:bidi w:val="false"/>
        <w:spacing w:lineRule="auto" w:line="360"/>
        <w:rPr>
          <w:rFonts w:ascii="Times New Roman" w:cs="Times New Roman" w:hAnsi="Times New Roman" w:hint="default"/>
          <w:sz w:val="24"/>
          <w:szCs w:val="24"/>
        </w:rPr>
      </w:pPr>
      <w:r>
        <w:rPr>
          <w:rFonts w:ascii="Times New Roman" w:cs="Times New Roman" w:hAnsi="Times New Roman" w:hint="default"/>
          <w:sz w:val="24"/>
          <w:szCs w:val="24"/>
        </w:rPr>
        <w:t>Analysis and Recommendations:</w:t>
      </w:r>
      <w:bookmarkEnd w:id="10"/>
    </w:p>
    <w:p>
      <w:pPr>
        <w:pStyle w:val="style94"/>
        <w:keepNext w:val="false"/>
        <w:keepLines w:val="false"/>
        <w:widowControl/>
        <w:suppressLineNumbers w:val="false"/>
        <w:spacing w:before="0" w:beforeAutospacing="false" w:after="0" w:afterAutospacing="false" w:lineRule="auto" w:line="36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Because of the declining profit margins and income, immediate action is essential as soon as possible. An in-depth analysis of the cash flow, the balance sheet, and the income statement is required in order to identify potential areas for improvement. It is essential, in order to solve the financial challenges facing The Seaview Resort, to put into action measures that reduce costs and increase income.</w:t>
      </w:r>
    </w:p>
    <w:bookmarkStart w:id="11" w:name="_Toc23045"/>
    <w:p>
      <w:pPr>
        <w:pStyle w:val="style2"/>
        <w:bidi w:val="false"/>
        <w:spacing w:lineRule="auto" w:line="360"/>
        <w:rPr>
          <w:rFonts w:ascii="Times New Roman" w:cs="Times New Roman" w:hAnsi="Times New Roman" w:hint="default"/>
          <w:sz w:val="24"/>
          <w:szCs w:val="24"/>
        </w:rPr>
      </w:pPr>
      <w:r>
        <w:rPr>
          <w:rFonts w:ascii="Times New Roman" w:cs="Times New Roman" w:hAnsi="Times New Roman" w:hint="default"/>
          <w:sz w:val="24"/>
          <w:szCs w:val="24"/>
        </w:rPr>
        <w:t>Turnaround Strategy:</w:t>
      </w:r>
      <w:bookmarkEnd w:id="11"/>
    </w:p>
    <w:p>
      <w:pPr>
        <w:pStyle w:val="style0"/>
        <w:keepNext w:val="false"/>
        <w:keepLines w:val="false"/>
        <w:widowControl/>
        <w:numPr>
          <w:ilvl w:val="0"/>
          <w:numId w:val="0"/>
        </w:numPr>
        <w:suppressLineNumbers w:val="false"/>
        <w:spacing w:before="0" w:beforeAutospacing="false" w:after="0" w:afterAutospacing="false" w:lineRule="auto" w:line="360"/>
        <w:ind w:leftChars="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Operational Efficiency:</w:t>
      </w:r>
    </w:p>
    <w:p>
      <w:pPr>
        <w:pStyle w:val="style0"/>
        <w:keepNext w:val="false"/>
        <w:keepLines w:val="false"/>
        <w:widowControl/>
        <w:numPr>
          <w:ilvl w:val="0"/>
          <w:numId w:val="17"/>
        </w:numPr>
        <w:suppressLineNumbers w:val="false"/>
        <w:spacing w:before="0" w:beforeAutospacing="false" w:after="0" w:afterAutospacing="false" w:lineRule="auto" w:line="360"/>
        <w:ind w:left="420" w:leftChars="0" w:hanging="420" w:firstLineChars="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It is critical to simplify operations in order to save money while maintaining the same quality of service. Implementing good processes and optimising available resources may both contribute to cost savings.</w:t>
      </w:r>
    </w:p>
    <w:p>
      <w:pPr>
        <w:pStyle w:val="style0"/>
        <w:keepNext w:val="false"/>
        <w:keepLines w:val="false"/>
        <w:widowControl/>
        <w:numPr>
          <w:ilvl w:val="0"/>
          <w:numId w:val="0"/>
        </w:numPr>
        <w:suppressLineNumbers w:val="false"/>
        <w:spacing w:before="0" w:beforeAutospacing="false" w:after="0" w:afterAutospacing="false" w:lineRule="auto" w:line="360"/>
        <w:ind w:leftChars="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Marketing and Customer Experience:</w:t>
      </w:r>
    </w:p>
    <w:p>
      <w:pPr>
        <w:pStyle w:val="style0"/>
        <w:keepNext w:val="false"/>
        <w:keepLines w:val="false"/>
        <w:widowControl/>
        <w:numPr>
          <w:ilvl w:val="0"/>
          <w:numId w:val="17"/>
        </w:numPr>
        <w:suppressLineNumbers w:val="false"/>
        <w:spacing w:before="0" w:beforeAutospacing="false" w:after="0" w:afterAutospacing="false" w:lineRule="auto" w:line="360"/>
        <w:ind w:left="420" w:leftChars="0" w:hanging="420" w:firstLineChars="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A comprehensive marketing plan that emphasises eco-friendly initiatives and enhancing customer satisfaction is vital. Rebranding the resort to better reflect the evolving tastes of its patrons might help it draw in a wider audience.</w:t>
      </w:r>
    </w:p>
    <w:p>
      <w:pPr>
        <w:pStyle w:val="style0"/>
        <w:keepNext w:val="false"/>
        <w:keepLines w:val="false"/>
        <w:widowControl/>
        <w:numPr>
          <w:ilvl w:val="0"/>
          <w:numId w:val="0"/>
        </w:numPr>
        <w:suppressLineNumbers w:val="false"/>
        <w:spacing w:before="0" w:beforeAutospacing="false" w:after="0" w:afterAutospacing="false" w:lineRule="auto" w:line="360"/>
        <w:ind w:leftChars="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Investment in Infrastructure:</w:t>
      </w:r>
    </w:p>
    <w:p>
      <w:pPr>
        <w:pStyle w:val="style0"/>
        <w:keepNext w:val="false"/>
        <w:keepLines w:val="false"/>
        <w:widowControl/>
        <w:numPr>
          <w:ilvl w:val="0"/>
          <w:numId w:val="17"/>
        </w:numPr>
        <w:suppressLineNumbers w:val="false"/>
        <w:spacing w:before="0" w:beforeAutospacing="false" w:after="0" w:afterAutospacing="false" w:lineRule="auto" w:line="360"/>
        <w:ind w:left="420" w:leftChars="0" w:hanging="420" w:firstLineChars="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It is vital, in order to correspond to the standards of the modern day, to improve any facilities and services that are outdated. If the proper expenditures are made, upgrades to the infrastructure may have a positive impact on the level of satisfaction experienced by existing consumers and may even attract new customers.</w:t>
      </w:r>
    </w:p>
    <w:p>
      <w:pPr>
        <w:pStyle w:val="style0"/>
        <w:keepNext w:val="false"/>
        <w:keepLines w:val="false"/>
        <w:widowControl/>
        <w:numPr>
          <w:ilvl w:val="0"/>
          <w:numId w:val="0"/>
        </w:numPr>
        <w:suppressLineNumbers w:val="false"/>
        <w:spacing w:before="0" w:beforeAutospacing="false" w:after="0" w:afterAutospacing="false" w:lineRule="auto" w:line="360"/>
        <w:ind w:leftChars="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Debt Restructuring:</w:t>
      </w:r>
    </w:p>
    <w:p>
      <w:pPr>
        <w:pStyle w:val="style0"/>
        <w:keepNext w:val="false"/>
        <w:keepLines w:val="false"/>
        <w:widowControl/>
        <w:numPr>
          <w:ilvl w:val="0"/>
          <w:numId w:val="17"/>
        </w:numPr>
        <w:suppressLineNumbers w:val="false"/>
        <w:spacing w:before="0" w:beforeAutospacing="false" w:after="0" w:afterAutospacing="false" w:lineRule="auto" w:line="360"/>
        <w:ind w:left="420" w:leftChars="0" w:hanging="420" w:firstLineChars="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It is very essential to get into discussions with creditors about the reorganisation of debt in order to lighten the burden of financial obligation. This may include negotiating more advantageous interest rates or increasing the duration of the repayment arrangement. Alternatively, this may involve extending the term of the repayment agreement.</w:t>
      </w:r>
    </w:p>
    <w:p>
      <w:pPr>
        <w:pStyle w:val="style0"/>
        <w:keepNext w:val="false"/>
        <w:keepLines w:val="false"/>
        <w:widowControl/>
        <w:numPr>
          <w:ilvl w:val="0"/>
          <w:numId w:val="0"/>
        </w:numPr>
        <w:suppressLineNumbers w:val="false"/>
        <w:spacing w:before="0" w:beforeAutospacing="false" w:after="0" w:afterAutospacing="false" w:lineRule="auto" w:line="360"/>
        <w:ind w:leftChars="0"/>
        <w:rPr>
          <w:rFonts w:ascii="Times New Roman" w:cs="Times New Roman" w:hAnsi="Times New Roman" w:hint="default"/>
          <w:color w:val="0e101a"/>
          <w:sz w:val="24"/>
          <w:szCs w:val="24"/>
        </w:rPr>
      </w:pPr>
      <w:r>
        <w:rPr>
          <w:rStyle w:val="style87"/>
          <w:rFonts w:ascii="Times New Roman" w:cs="Times New Roman" w:hAnsi="Times New Roman" w:hint="default"/>
          <w:color w:val="0e101a"/>
          <w:sz w:val="24"/>
          <w:szCs w:val="24"/>
        </w:rPr>
        <w:t>Promotional Pricing:</w:t>
      </w:r>
    </w:p>
    <w:p>
      <w:pPr>
        <w:pStyle w:val="style0"/>
        <w:keepNext w:val="false"/>
        <w:keepLines w:val="false"/>
        <w:widowControl/>
        <w:numPr>
          <w:ilvl w:val="0"/>
          <w:numId w:val="17"/>
        </w:numPr>
        <w:suppressLineNumbers w:val="false"/>
        <w:spacing w:before="0" w:beforeAutospacing="false" w:after="0" w:afterAutospacing="false" w:lineRule="auto" w:line="360"/>
        <w:ind w:left="420" w:leftChars="0" w:hanging="420" w:firstLineChars="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The use of promotional pricing strategies during off-peak seasons, when there is less of a need for certain services, has the potential to increase demand. Customers could be brought in, and overall revenue might see a rise, if special packages and discounts are offered.</w:t>
      </w:r>
    </w:p>
    <w:p>
      <w:pPr>
        <w:pStyle w:val="style0"/>
        <w:keepNext w:val="false"/>
        <w:keepLines w:val="false"/>
        <w:widowControl/>
        <w:numPr>
          <w:ilvl w:val="0"/>
          <w:numId w:val="0"/>
        </w:numPr>
        <w:suppressLineNumbers w:val="false"/>
        <w:spacing w:before="0" w:beforeAutospacing="false" w:after="0" w:afterAutospacing="false" w:lineRule="auto" w:line="360"/>
        <w:rPr>
          <w:rFonts w:ascii="Times New Roman" w:cs="Times New Roman" w:hAnsi="Times New Roman" w:hint="default"/>
          <w:color w:val="0e101a"/>
          <w:sz w:val="24"/>
          <w:szCs w:val="24"/>
        </w:rPr>
      </w:pPr>
    </w:p>
    <w:p>
      <w:pPr>
        <w:pStyle w:val="style94"/>
        <w:keepNext w:val="false"/>
        <w:keepLines w:val="false"/>
        <w:widowControl/>
        <w:suppressLineNumbers w:val="false"/>
        <w:spacing w:before="0" w:beforeAutospacing="false" w:after="0" w:afterAutospacing="false" w:lineRule="auto" w:line="36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 xml:space="preserve">In conclusion, in order to effectively turn around the finances of The Seaview Resort, it is necessary to take a varied strategy to the turnaround process. Taking steps to address operational inefficiencies, making improvements to the quality of the customer experience, and putting a strategic debt management strategy into action are all critical components of the approach that has been proposed. </w:t>
      </w:r>
    </w:p>
    <w:p>
      <w:pPr>
        <w:pStyle w:val="style94"/>
        <w:keepNext w:val="false"/>
        <w:keepLines w:val="false"/>
        <w:widowControl/>
        <w:suppressLineNumbers w:val="false"/>
        <w:spacing w:before="0" w:beforeAutospacing="false" w:after="0" w:afterAutospacing="false" w:lineRule="auto" w:line="360"/>
        <w:rPr>
          <w:rFonts w:ascii="Times New Roman" w:cs="Times New Roman" w:hAnsi="Times New Roman" w:hint="default"/>
          <w:color w:val="0e101a"/>
          <w:sz w:val="24"/>
          <w:szCs w:val="24"/>
        </w:rPr>
      </w:pPr>
    </w:p>
    <w:p>
      <w:pPr>
        <w:pStyle w:val="style94"/>
        <w:keepNext w:val="false"/>
        <w:keepLines w:val="false"/>
        <w:widowControl/>
        <w:suppressLineNumbers w:val="false"/>
        <w:spacing w:before="0" w:beforeAutospacing="false" w:after="0" w:afterAutospacing="false" w:lineRule="auto" w:line="360"/>
        <w:rPr>
          <w:rFonts w:ascii="Times New Roman" w:cs="Times New Roman" w:hAnsi="Times New Roman" w:hint="default"/>
          <w:color w:val="0e101a"/>
          <w:sz w:val="24"/>
          <w:szCs w:val="24"/>
        </w:rPr>
      </w:pPr>
      <w:r>
        <w:rPr>
          <w:rFonts w:ascii="Times New Roman" w:cs="Times New Roman" w:hAnsi="Times New Roman" w:hint="default"/>
          <w:color w:val="0e101a"/>
          <w:sz w:val="24"/>
          <w:szCs w:val="24"/>
        </w:rPr>
        <w:t>It is vital for the resort to have a successful implementation, which must also be supported by continual monitoring and revisions. In order for the resort to regain its competitive edge and get its finances back in order, it is also essential for the resort to have a successful implementation. With the aid of the recommended ways, the resort is going to be positioned as a significant vacation destination in the long term. These approaches seek to do more than merely overcome the challenges that are now being encountered by the resort.</w:t>
      </w:r>
    </w:p>
    <w:p>
      <w:pPr>
        <w:pStyle w:val="style94"/>
        <w:keepNext w:val="false"/>
        <w:keepLines w:val="false"/>
        <w:widowControl/>
        <w:suppressLineNumbers w:val="false"/>
        <w:spacing w:before="0" w:beforeAutospacing="false" w:after="0" w:afterAutospacing="false" w:lineRule="auto" w:line="360"/>
        <w:rPr>
          <w:rFonts w:ascii="Times New Roman" w:cs="Times New Roman" w:hAnsi="Times New Roman" w:hint="default"/>
          <w:color w:val="0e101a"/>
          <w:sz w:val="24"/>
          <w:szCs w:val="24"/>
        </w:rPr>
      </w:pPr>
    </w:p>
    <w:bookmarkStart w:id="12" w:name="_Toc26161"/>
    <w:p>
      <w:pPr>
        <w:pStyle w:val="style1"/>
        <w:bidi w:val="false"/>
        <w:spacing w:lineRule="auto" w:line="360"/>
        <w:rPr>
          <w:rFonts w:ascii="Times New Roman" w:cs="Times New Roman" w:hAnsi="Times New Roman" w:hint="default"/>
          <w:sz w:val="24"/>
          <w:szCs w:val="24"/>
          <w:lang w:val="en-US"/>
        </w:rPr>
      </w:pPr>
      <w:r>
        <w:rPr>
          <w:rFonts w:ascii="Times New Roman" w:cs="Times New Roman" w:hAnsi="Times New Roman" w:hint="default"/>
          <w:sz w:val="24"/>
          <w:szCs w:val="24"/>
          <w:lang w:val="en-US"/>
        </w:rPr>
        <w:t>Conclusion</w:t>
      </w:r>
      <w:bookmarkEnd w:id="12"/>
    </w:p>
    <w:p>
      <w:pPr>
        <w:pStyle w:val="style94"/>
        <w:bidi w:val="false"/>
        <w:spacing w:lineRule="auto" w:line="360"/>
        <w:rPr>
          <w:rStyle w:val="style87"/>
          <w:rFonts w:ascii="Times New Roman" w:cs="Times New Roman" w:eastAsia="SimSun" w:hAnsi="Times New Roman" w:hint="default"/>
          <w:b w:val="false"/>
          <w:bCs w:val="false"/>
          <w:color w:val="0e101a"/>
          <w:sz w:val="24"/>
          <w:szCs w:val="24"/>
          <w:lang w:val="en-US"/>
        </w:rPr>
      </w:pPr>
      <w:r>
        <w:rPr>
          <w:rStyle w:val="style87"/>
          <w:rFonts w:ascii="Times New Roman" w:cs="Times New Roman" w:eastAsia="SimSun" w:hAnsi="Times New Roman" w:hint="default"/>
          <w:b w:val="false"/>
          <w:bCs w:val="false"/>
          <w:color w:val="0e101a"/>
          <w:sz w:val="24"/>
          <w:szCs w:val="24"/>
          <w:lang w:val="en-US"/>
        </w:rPr>
        <w:t>An analysis of The Seaview Resort's financial performance shows that, in order to address declining revenue, occupancy rates, and customer satisfaction, strategic intervention is desperately needed. The fact that a major need for strategic intervention exists demonstrates this. It takes a comprehensive strategy to launch a successful turnaround plan.</w:t>
      </w:r>
    </w:p>
    <w:p>
      <w:pPr>
        <w:pStyle w:val="style94"/>
        <w:bidi w:val="false"/>
        <w:spacing w:lineRule="auto" w:line="360"/>
        <w:rPr>
          <w:rStyle w:val="style87"/>
          <w:rFonts w:ascii="Times New Roman" w:cs="Times New Roman" w:eastAsia="SimSun" w:hAnsi="Times New Roman" w:hint="default"/>
          <w:b w:val="false"/>
          <w:bCs w:val="false"/>
          <w:color w:val="0e101a"/>
          <w:sz w:val="24"/>
          <w:szCs w:val="24"/>
          <w:lang w:val="en-US"/>
        </w:rPr>
      </w:pPr>
    </w:p>
    <w:p>
      <w:pPr>
        <w:pStyle w:val="style94"/>
        <w:bidi w:val="false"/>
        <w:spacing w:lineRule="auto" w:line="360"/>
        <w:rPr>
          <w:rStyle w:val="style87"/>
          <w:rFonts w:ascii="Times New Roman" w:cs="Times New Roman" w:eastAsia="SimSun" w:hAnsi="Times New Roman" w:hint="default"/>
          <w:b w:val="false"/>
          <w:bCs w:val="false"/>
          <w:color w:val="0e101a"/>
          <w:sz w:val="24"/>
          <w:szCs w:val="24"/>
          <w:lang w:val="en-US"/>
        </w:rPr>
      </w:pPr>
      <w:r>
        <w:rPr>
          <w:rStyle w:val="style87"/>
          <w:rFonts w:ascii="Times New Roman" w:cs="Times New Roman" w:eastAsia="SimSun" w:hAnsi="Times New Roman" w:hint="default"/>
          <w:b w:val="false"/>
          <w:bCs w:val="false"/>
          <w:color w:val="0e101a"/>
          <w:sz w:val="24"/>
          <w:szCs w:val="24"/>
          <w:lang w:val="en-US"/>
        </w:rPr>
        <w:t>The income statement shows a concerning trend: total sales are expected to drop from £520,000 in 2020 to £430,000 in 2022, meaning that nett profit margins would drop from 15% to 4%. The fact that this tendency suggests a declining trend makes it concerning. On the balance sheet, there is a £500,000 long-term debt that suggests the need for debt restructuring and highlights potential financial risks. Since there is a negative nett cash flow from operations, an analysis of the cash flow indicates the existence of operational inefficiencies.</w:t>
      </w:r>
    </w:p>
    <w:p>
      <w:pPr>
        <w:pStyle w:val="style94"/>
        <w:bidi w:val="false"/>
        <w:spacing w:lineRule="auto" w:line="360"/>
        <w:rPr>
          <w:rStyle w:val="style87"/>
          <w:rFonts w:ascii="Times New Roman" w:cs="Times New Roman" w:eastAsia="SimSun" w:hAnsi="Times New Roman" w:hint="default"/>
          <w:b w:val="false"/>
          <w:bCs w:val="false"/>
          <w:color w:val="0e101a"/>
          <w:sz w:val="24"/>
          <w:szCs w:val="24"/>
          <w:lang w:val="en-US"/>
        </w:rPr>
      </w:pPr>
    </w:p>
    <w:p>
      <w:pPr>
        <w:pStyle w:val="style94"/>
        <w:bidi w:val="false"/>
        <w:spacing w:lineRule="auto" w:line="360"/>
        <w:rPr>
          <w:rStyle w:val="style87"/>
          <w:rFonts w:ascii="Times New Roman" w:cs="Times New Roman" w:eastAsia="SimSun" w:hAnsi="Times New Roman" w:hint="default"/>
          <w:b w:val="false"/>
          <w:bCs w:val="false"/>
          <w:color w:val="0e101a"/>
          <w:sz w:val="24"/>
          <w:szCs w:val="24"/>
          <w:lang w:val="en-US"/>
        </w:rPr>
      </w:pPr>
      <w:r>
        <w:rPr>
          <w:rStyle w:val="style87"/>
          <w:rFonts w:ascii="Times New Roman" w:cs="Times New Roman" w:eastAsia="SimSun" w:hAnsi="Times New Roman" w:hint="default"/>
          <w:b w:val="false"/>
          <w:bCs w:val="false"/>
          <w:color w:val="0e101a"/>
          <w:sz w:val="24"/>
          <w:szCs w:val="24"/>
          <w:lang w:val="en-US"/>
        </w:rPr>
        <w:t>The necessity for changing pricing and marketing strategies is highlighted by the decline in average room rate (ARR) from £250 in 2020 to £210 in 2022 and the decline in occupancy rate from 70% in 2020 to 60% in 2022.</w:t>
      </w:r>
    </w:p>
    <w:p>
      <w:pPr>
        <w:pStyle w:val="style94"/>
        <w:bidi w:val="false"/>
        <w:spacing w:lineRule="auto" w:line="360"/>
        <w:rPr>
          <w:rStyle w:val="style87"/>
          <w:rFonts w:ascii="Times New Roman" w:cs="Times New Roman" w:eastAsia="SimSun" w:hAnsi="Times New Roman" w:hint="default"/>
          <w:b w:val="false"/>
          <w:bCs w:val="false"/>
          <w:color w:val="0e101a"/>
          <w:sz w:val="24"/>
          <w:szCs w:val="24"/>
          <w:lang w:val="en-US"/>
        </w:rPr>
      </w:pPr>
    </w:p>
    <w:p>
      <w:pPr>
        <w:pStyle w:val="style94"/>
        <w:bidi w:val="false"/>
        <w:spacing w:lineRule="auto" w:line="360"/>
        <w:rPr>
          <w:rStyle w:val="style87"/>
          <w:rFonts w:ascii="Times New Roman" w:cs="Times New Roman" w:eastAsia="SimSun" w:hAnsi="Times New Roman" w:hint="default"/>
          <w:b w:val="false"/>
          <w:bCs w:val="false"/>
          <w:color w:val="0e101a"/>
          <w:sz w:val="24"/>
          <w:szCs w:val="24"/>
          <w:lang w:val="en-US"/>
        </w:rPr>
      </w:pPr>
      <w:r>
        <w:rPr>
          <w:rStyle w:val="style87"/>
          <w:rFonts w:ascii="Times New Roman" w:cs="Times New Roman" w:eastAsia="SimSun" w:hAnsi="Times New Roman" w:hint="default"/>
          <w:b w:val="false"/>
          <w:bCs w:val="false"/>
          <w:color w:val="0e101a"/>
          <w:sz w:val="24"/>
          <w:szCs w:val="24"/>
          <w:lang w:val="en-US"/>
        </w:rPr>
        <w:t>In order to address the financial issues, quick action is needed. The proposed turnaround plan consists of many key elements, such as debt restructuring, investments in infrastructure, marketing campaigns that highlight environmentally beneficial enterprises, and operational efficiency measures. Using promotional pricing during off-peak seasons may help increase demand.</w:t>
      </w:r>
    </w:p>
    <w:p>
      <w:pPr>
        <w:pStyle w:val="style94"/>
        <w:bidi w:val="false"/>
        <w:spacing w:lineRule="auto" w:line="360"/>
        <w:rPr>
          <w:rStyle w:val="style87"/>
          <w:rFonts w:ascii="Times New Roman" w:cs="Times New Roman" w:eastAsia="SimSun" w:hAnsi="Times New Roman" w:hint="default"/>
          <w:b w:val="false"/>
          <w:bCs w:val="false"/>
          <w:color w:val="0e101a"/>
          <w:sz w:val="24"/>
          <w:szCs w:val="24"/>
          <w:lang w:val="en-US"/>
        </w:rPr>
      </w:pPr>
    </w:p>
    <w:p>
      <w:pPr>
        <w:pStyle w:val="style94"/>
        <w:numPr>
          <w:ilvl w:val="0"/>
          <w:numId w:val="17"/>
        </w:numPr>
        <w:bidi w:val="false"/>
        <w:spacing w:lineRule="auto" w:line="360"/>
        <w:ind w:left="420" w:leftChars="0" w:hanging="420" w:firstLineChars="0"/>
        <w:rPr>
          <w:rStyle w:val="style87"/>
          <w:rFonts w:ascii="Times New Roman" w:cs="Times New Roman" w:eastAsia="SimSun" w:hAnsi="Times New Roman" w:hint="default"/>
          <w:b w:val="false"/>
          <w:bCs w:val="false"/>
          <w:color w:val="0e101a"/>
          <w:sz w:val="24"/>
          <w:szCs w:val="24"/>
          <w:lang w:val="en-US"/>
        </w:rPr>
      </w:pPr>
      <w:r>
        <w:rPr>
          <w:rStyle w:val="style87"/>
          <w:rFonts w:ascii="Times New Roman" w:cs="Times New Roman" w:eastAsia="SimSun" w:hAnsi="Times New Roman" w:hint="default"/>
          <w:b w:val="false"/>
          <w:bCs w:val="false"/>
          <w:color w:val="0e101a"/>
          <w:sz w:val="24"/>
          <w:szCs w:val="24"/>
          <w:lang w:val="en-US"/>
        </w:rPr>
        <w:t>Reduce costs by streamlining the operations without compromising the quality of the services offered.</w:t>
      </w:r>
    </w:p>
    <w:p>
      <w:pPr>
        <w:pStyle w:val="style94"/>
        <w:numPr>
          <w:ilvl w:val="0"/>
          <w:numId w:val="17"/>
        </w:numPr>
        <w:bidi w:val="false"/>
        <w:spacing w:lineRule="auto" w:line="360"/>
        <w:ind w:left="420" w:leftChars="0" w:hanging="420" w:firstLineChars="0"/>
        <w:rPr>
          <w:rStyle w:val="style87"/>
          <w:rFonts w:ascii="Times New Roman" w:cs="Times New Roman" w:eastAsia="SimSun" w:hAnsi="Times New Roman" w:hint="default"/>
          <w:b w:val="false"/>
          <w:bCs w:val="false"/>
          <w:color w:val="0e101a"/>
          <w:sz w:val="24"/>
          <w:szCs w:val="24"/>
          <w:lang w:val="en-US"/>
        </w:rPr>
      </w:pPr>
      <w:r>
        <w:rPr>
          <w:rStyle w:val="style87"/>
          <w:rFonts w:ascii="Times New Roman" w:cs="Times New Roman" w:eastAsia="SimSun" w:hAnsi="Times New Roman" w:hint="default"/>
          <w:b w:val="false"/>
          <w:bCs w:val="false"/>
          <w:color w:val="0e101a"/>
          <w:sz w:val="24"/>
          <w:szCs w:val="24"/>
          <w:lang w:val="en-US"/>
        </w:rPr>
        <w:t>Utilise all of your resources to the fullest and establish efficient processes.</w:t>
      </w:r>
    </w:p>
    <w:p>
      <w:pPr>
        <w:pStyle w:val="style94"/>
        <w:bidi w:val="false"/>
        <w:spacing w:lineRule="auto" w:line="360"/>
        <w:rPr>
          <w:rStyle w:val="style87"/>
          <w:rFonts w:ascii="Times New Roman" w:cs="Times New Roman" w:eastAsia="SimSun" w:hAnsi="Times New Roman" w:hint="default"/>
          <w:b w:val="false"/>
          <w:bCs w:val="false"/>
          <w:color w:val="0e101a"/>
          <w:sz w:val="24"/>
          <w:szCs w:val="24"/>
          <w:lang w:val="en-US"/>
        </w:rPr>
      </w:pPr>
    </w:p>
    <w:p>
      <w:pPr>
        <w:pStyle w:val="style94"/>
        <w:numPr>
          <w:ilvl w:val="0"/>
          <w:numId w:val="17"/>
        </w:numPr>
        <w:bidi w:val="false"/>
        <w:spacing w:lineRule="auto" w:line="360"/>
        <w:ind w:left="420" w:leftChars="0" w:hanging="420" w:firstLineChars="0"/>
        <w:rPr>
          <w:rStyle w:val="style87"/>
          <w:rFonts w:ascii="Times New Roman" w:cs="Times New Roman" w:eastAsia="SimSun" w:hAnsi="Times New Roman" w:hint="default"/>
          <w:b w:val="false"/>
          <w:bCs w:val="false"/>
          <w:color w:val="0e101a"/>
          <w:sz w:val="24"/>
          <w:szCs w:val="24"/>
          <w:lang w:val="en-US"/>
        </w:rPr>
      </w:pPr>
      <w:r>
        <w:rPr>
          <w:rStyle w:val="style87"/>
          <w:rFonts w:ascii="Times New Roman" w:cs="Times New Roman" w:eastAsia="SimSun" w:hAnsi="Times New Roman" w:hint="default"/>
          <w:b w:val="false"/>
          <w:bCs w:val="false"/>
          <w:color w:val="0e101a"/>
          <w:sz w:val="24"/>
          <w:szCs w:val="24"/>
          <w:lang w:val="en-US"/>
        </w:rPr>
        <w:t>Develop a comprehensive marketing plan that prioritises environmentally friendly activities.</w:t>
      </w:r>
    </w:p>
    <w:p>
      <w:pPr>
        <w:pStyle w:val="style94"/>
        <w:numPr>
          <w:ilvl w:val="0"/>
          <w:numId w:val="17"/>
        </w:numPr>
        <w:bidi w:val="false"/>
        <w:spacing w:lineRule="auto" w:line="360"/>
        <w:ind w:left="420" w:leftChars="0" w:hanging="420" w:firstLineChars="0"/>
        <w:rPr>
          <w:rStyle w:val="style87"/>
          <w:rFonts w:ascii="Times New Roman" w:cs="Times New Roman" w:eastAsia="SimSun" w:hAnsi="Times New Roman" w:hint="default"/>
          <w:b w:val="false"/>
          <w:bCs w:val="false"/>
          <w:color w:val="0e101a"/>
          <w:sz w:val="24"/>
          <w:szCs w:val="24"/>
          <w:lang w:val="en-US"/>
        </w:rPr>
      </w:pPr>
      <w:r>
        <w:rPr>
          <w:rStyle w:val="style87"/>
          <w:rFonts w:ascii="Times New Roman" w:cs="Times New Roman" w:eastAsia="SimSun" w:hAnsi="Times New Roman" w:hint="default"/>
          <w:b w:val="false"/>
          <w:bCs w:val="false"/>
          <w:color w:val="0e101a"/>
          <w:sz w:val="24"/>
          <w:szCs w:val="24"/>
          <w:lang w:val="en-US"/>
        </w:rPr>
        <w:t>Boost customer satisfaction by offering superior offerings and more pleasurable encounters.</w:t>
      </w:r>
    </w:p>
    <w:p>
      <w:pPr>
        <w:pStyle w:val="style94"/>
        <w:numPr>
          <w:ilvl w:val="0"/>
          <w:numId w:val="17"/>
        </w:numPr>
        <w:bidi w:val="false"/>
        <w:spacing w:lineRule="auto" w:line="360"/>
        <w:ind w:left="420" w:leftChars="0" w:hanging="420" w:firstLineChars="0"/>
        <w:rPr>
          <w:rStyle w:val="style87"/>
          <w:rFonts w:ascii="Times New Roman" w:cs="Times New Roman" w:eastAsia="SimSun" w:hAnsi="Times New Roman" w:hint="default"/>
          <w:b w:val="false"/>
          <w:bCs w:val="false"/>
          <w:color w:val="0e101a"/>
          <w:sz w:val="24"/>
          <w:szCs w:val="24"/>
          <w:lang w:val="en-US"/>
        </w:rPr>
      </w:pPr>
      <w:r>
        <w:rPr>
          <w:rStyle w:val="style87"/>
          <w:rFonts w:ascii="Times New Roman" w:cs="Times New Roman" w:eastAsia="SimSun" w:hAnsi="Times New Roman" w:hint="default"/>
          <w:b w:val="false"/>
          <w:bCs w:val="false"/>
          <w:color w:val="0e101a"/>
          <w:sz w:val="24"/>
          <w:szCs w:val="24"/>
          <w:lang w:val="en-US"/>
        </w:rPr>
        <w:t>Consider altering your brand to better suit your clients' shifting preferences.</w:t>
      </w:r>
    </w:p>
    <w:p>
      <w:pPr>
        <w:pStyle w:val="style94"/>
        <w:bidi w:val="false"/>
        <w:spacing w:lineRule="auto" w:line="360"/>
        <w:rPr>
          <w:rStyle w:val="style87"/>
          <w:rFonts w:ascii="Times New Roman" w:cs="Times New Roman" w:eastAsia="SimSun" w:hAnsi="Times New Roman" w:hint="default"/>
          <w:b w:val="false"/>
          <w:bCs w:val="false"/>
          <w:color w:val="0e101a"/>
          <w:sz w:val="24"/>
          <w:szCs w:val="24"/>
          <w:lang w:val="en-US"/>
        </w:rPr>
      </w:pPr>
    </w:p>
    <w:p>
      <w:pPr>
        <w:pStyle w:val="style94"/>
        <w:numPr>
          <w:ilvl w:val="0"/>
          <w:numId w:val="17"/>
        </w:numPr>
        <w:bidi w:val="false"/>
        <w:spacing w:lineRule="auto" w:line="360"/>
        <w:ind w:left="420" w:leftChars="0" w:hanging="420" w:firstLineChars="0"/>
        <w:rPr>
          <w:rStyle w:val="style87"/>
          <w:rFonts w:ascii="Times New Roman" w:cs="Times New Roman" w:eastAsia="SimSun" w:hAnsi="Times New Roman" w:hint="default"/>
          <w:b w:val="false"/>
          <w:bCs w:val="false"/>
          <w:color w:val="0e101a"/>
          <w:sz w:val="24"/>
          <w:szCs w:val="24"/>
          <w:lang w:val="en-US"/>
        </w:rPr>
      </w:pPr>
      <w:r>
        <w:rPr>
          <w:rStyle w:val="style87"/>
          <w:rFonts w:ascii="Times New Roman" w:cs="Times New Roman" w:eastAsia="SimSun" w:hAnsi="Times New Roman" w:hint="default"/>
          <w:b w:val="false"/>
          <w:bCs w:val="false"/>
          <w:color w:val="0e101a"/>
          <w:sz w:val="24"/>
          <w:szCs w:val="24"/>
          <w:lang w:val="en-US"/>
        </w:rPr>
        <w:t>to update and bring outdated infrastructure and services into line with modern standards.</w:t>
      </w:r>
    </w:p>
    <w:p>
      <w:pPr>
        <w:pStyle w:val="style94"/>
        <w:numPr>
          <w:ilvl w:val="0"/>
          <w:numId w:val="17"/>
        </w:numPr>
        <w:bidi w:val="false"/>
        <w:spacing w:lineRule="auto" w:line="360"/>
        <w:ind w:left="420" w:leftChars="0" w:hanging="420" w:firstLineChars="0"/>
        <w:rPr>
          <w:rStyle w:val="style87"/>
          <w:rFonts w:ascii="Times New Roman" w:cs="Times New Roman" w:eastAsia="SimSun" w:hAnsi="Times New Roman" w:hint="default"/>
          <w:b w:val="false"/>
          <w:bCs w:val="false"/>
          <w:color w:val="0e101a"/>
          <w:sz w:val="24"/>
          <w:szCs w:val="24"/>
          <w:lang w:val="en-US"/>
        </w:rPr>
      </w:pPr>
      <w:r>
        <w:rPr>
          <w:rStyle w:val="style87"/>
          <w:rFonts w:ascii="Times New Roman" w:cs="Times New Roman" w:eastAsia="SimSun" w:hAnsi="Times New Roman" w:hint="default"/>
          <w:b w:val="false"/>
          <w:bCs w:val="false"/>
          <w:color w:val="0e101a"/>
          <w:sz w:val="24"/>
          <w:szCs w:val="24"/>
          <w:lang w:val="en-US"/>
        </w:rPr>
        <w:t>Raising customer satisfaction levels and attracting new ones at the same time.</w:t>
      </w:r>
    </w:p>
    <w:p>
      <w:pPr>
        <w:pStyle w:val="style94"/>
        <w:bidi w:val="false"/>
        <w:spacing w:lineRule="auto" w:line="360"/>
        <w:rPr>
          <w:rStyle w:val="style87"/>
          <w:rFonts w:ascii="Times New Roman" w:cs="Times New Roman" w:eastAsia="SimSun" w:hAnsi="Times New Roman" w:hint="default"/>
          <w:b w:val="false"/>
          <w:bCs w:val="false"/>
          <w:color w:val="0e101a"/>
          <w:sz w:val="24"/>
          <w:szCs w:val="24"/>
          <w:lang w:val="en-US"/>
        </w:rPr>
      </w:pPr>
    </w:p>
    <w:p>
      <w:pPr>
        <w:pStyle w:val="style94"/>
        <w:numPr>
          <w:ilvl w:val="0"/>
          <w:numId w:val="17"/>
        </w:numPr>
        <w:bidi w:val="false"/>
        <w:spacing w:lineRule="auto" w:line="360"/>
        <w:ind w:left="420" w:leftChars="0" w:hanging="420" w:firstLineChars="0"/>
        <w:rPr>
          <w:rStyle w:val="style87"/>
          <w:rFonts w:ascii="Times New Roman" w:cs="Times New Roman" w:eastAsia="SimSun" w:hAnsi="Times New Roman" w:hint="default"/>
          <w:b w:val="false"/>
          <w:bCs w:val="false"/>
          <w:color w:val="0e101a"/>
          <w:sz w:val="24"/>
          <w:szCs w:val="24"/>
          <w:lang w:val="en-US"/>
        </w:rPr>
      </w:pPr>
      <w:r>
        <w:rPr>
          <w:rStyle w:val="style87"/>
          <w:rFonts w:ascii="Times New Roman" w:cs="Times New Roman" w:eastAsia="SimSun" w:hAnsi="Times New Roman" w:hint="default"/>
          <w:b w:val="false"/>
          <w:bCs w:val="false"/>
          <w:color w:val="0e101a"/>
          <w:sz w:val="24"/>
          <w:szCs w:val="24"/>
          <w:lang w:val="en-US"/>
        </w:rPr>
        <w:t>You must negotiate with your creditors in order to restructure your debt.</w:t>
      </w:r>
    </w:p>
    <w:p>
      <w:pPr>
        <w:pStyle w:val="style94"/>
        <w:numPr>
          <w:ilvl w:val="0"/>
          <w:numId w:val="17"/>
        </w:numPr>
        <w:bidi w:val="false"/>
        <w:spacing w:lineRule="auto" w:line="360"/>
        <w:ind w:left="420" w:leftChars="0" w:hanging="420" w:firstLineChars="0"/>
        <w:rPr>
          <w:rStyle w:val="style87"/>
          <w:rFonts w:ascii="Times New Roman" w:cs="Times New Roman" w:eastAsia="SimSun" w:hAnsi="Times New Roman" w:hint="default"/>
          <w:b w:val="false"/>
          <w:bCs w:val="false"/>
          <w:color w:val="0e101a"/>
          <w:sz w:val="24"/>
          <w:szCs w:val="24"/>
          <w:lang w:val="en-US"/>
        </w:rPr>
      </w:pPr>
      <w:r>
        <w:rPr>
          <w:rStyle w:val="style87"/>
          <w:rFonts w:ascii="Times New Roman" w:cs="Times New Roman" w:eastAsia="SimSun" w:hAnsi="Times New Roman" w:hint="default"/>
          <w:b w:val="false"/>
          <w:bCs w:val="false"/>
          <w:color w:val="0e101a"/>
          <w:sz w:val="24"/>
          <w:szCs w:val="24"/>
          <w:lang w:val="en-US"/>
        </w:rPr>
        <w:t>A longer repayment time or more advantageous interest rates should be discussed and agreed upon.</w:t>
      </w:r>
    </w:p>
    <w:p>
      <w:pPr>
        <w:pStyle w:val="style94"/>
        <w:bidi w:val="false"/>
        <w:spacing w:lineRule="auto" w:line="360"/>
        <w:rPr>
          <w:rStyle w:val="style87"/>
          <w:rFonts w:ascii="Times New Roman" w:cs="Times New Roman" w:eastAsia="SimSun" w:hAnsi="Times New Roman" w:hint="default"/>
          <w:b w:val="false"/>
          <w:bCs w:val="false"/>
          <w:color w:val="0e101a"/>
          <w:sz w:val="24"/>
          <w:szCs w:val="24"/>
          <w:lang w:val="en-US"/>
        </w:rPr>
      </w:pPr>
    </w:p>
    <w:p>
      <w:pPr>
        <w:pStyle w:val="style94"/>
        <w:numPr>
          <w:ilvl w:val="0"/>
          <w:numId w:val="17"/>
        </w:numPr>
        <w:bidi w:val="false"/>
        <w:spacing w:lineRule="auto" w:line="360"/>
        <w:ind w:left="420" w:leftChars="0" w:hanging="420" w:firstLineChars="0"/>
        <w:rPr>
          <w:rStyle w:val="style87"/>
          <w:rFonts w:ascii="Times New Roman" w:cs="Times New Roman" w:eastAsia="SimSun" w:hAnsi="Times New Roman" w:hint="default"/>
          <w:b w:val="false"/>
          <w:bCs w:val="false"/>
          <w:color w:val="0e101a"/>
          <w:sz w:val="24"/>
          <w:szCs w:val="24"/>
          <w:lang w:val="en-US"/>
        </w:rPr>
      </w:pPr>
      <w:r>
        <w:rPr>
          <w:rStyle w:val="style87"/>
          <w:rFonts w:ascii="Times New Roman" w:cs="Times New Roman" w:eastAsia="SimSun" w:hAnsi="Times New Roman" w:hint="default"/>
          <w:b w:val="false"/>
          <w:bCs w:val="false"/>
          <w:color w:val="0e101a"/>
          <w:sz w:val="24"/>
          <w:szCs w:val="24"/>
          <w:lang w:val="en-US"/>
        </w:rPr>
        <w:t>Promoting products during slower periods of the year is a good way to boost demand.</w:t>
      </w:r>
    </w:p>
    <w:p>
      <w:pPr>
        <w:pStyle w:val="style94"/>
        <w:numPr>
          <w:ilvl w:val="0"/>
          <w:numId w:val="17"/>
        </w:numPr>
        <w:bidi w:val="false"/>
        <w:spacing w:lineRule="auto" w:line="360"/>
        <w:ind w:left="420" w:leftChars="0" w:hanging="420" w:firstLineChars="0"/>
        <w:rPr>
          <w:rStyle w:val="style87"/>
          <w:rFonts w:ascii="Times New Roman" w:cs="Times New Roman" w:eastAsia="SimSun" w:hAnsi="Times New Roman" w:hint="default"/>
          <w:b w:val="false"/>
          <w:bCs w:val="false"/>
          <w:color w:val="0e101a"/>
          <w:sz w:val="24"/>
          <w:szCs w:val="24"/>
          <w:lang w:val="en-US"/>
        </w:rPr>
      </w:pPr>
      <w:r>
        <w:rPr>
          <w:rStyle w:val="style87"/>
          <w:rFonts w:ascii="Times New Roman" w:cs="Times New Roman" w:eastAsia="SimSun" w:hAnsi="Times New Roman" w:hint="default"/>
          <w:b w:val="false"/>
          <w:bCs w:val="false"/>
          <w:color w:val="0e101a"/>
          <w:sz w:val="24"/>
          <w:szCs w:val="24"/>
          <w:lang w:val="en-US"/>
        </w:rPr>
        <w:t>You should provide special discounts and specials to draw in customers.</w:t>
      </w:r>
    </w:p>
    <w:p>
      <w:pPr>
        <w:pStyle w:val="style94"/>
        <w:bidi w:val="false"/>
        <w:spacing w:lineRule="auto" w:line="360"/>
        <w:rPr>
          <w:rStyle w:val="style87"/>
          <w:rFonts w:ascii="Times New Roman" w:cs="Times New Roman" w:eastAsia="SimSun" w:hAnsi="Times New Roman" w:hint="default"/>
          <w:b w:val="false"/>
          <w:bCs w:val="false"/>
          <w:color w:val="0e101a"/>
          <w:sz w:val="24"/>
          <w:szCs w:val="24"/>
          <w:lang w:val="en-US"/>
        </w:rPr>
      </w:pPr>
    </w:p>
    <w:p>
      <w:pPr>
        <w:pStyle w:val="style94"/>
        <w:bidi w:val="false"/>
        <w:spacing w:lineRule="auto" w:line="360"/>
        <w:rPr>
          <w:rStyle w:val="style87"/>
          <w:rFonts w:ascii="Times New Roman" w:cs="Times New Roman" w:eastAsia="SimSun" w:hAnsi="Times New Roman" w:hint="default"/>
          <w:b w:val="false"/>
          <w:bCs w:val="false"/>
          <w:color w:val="0e101a"/>
          <w:sz w:val="24"/>
          <w:szCs w:val="24"/>
          <w:lang w:val="en-US"/>
        </w:rPr>
      </w:pPr>
      <w:r>
        <w:rPr>
          <w:rStyle w:val="style87"/>
          <w:rFonts w:ascii="Times New Roman" w:cs="Times New Roman" w:eastAsia="SimSun" w:hAnsi="Times New Roman" w:hint="default"/>
          <w:b w:val="false"/>
          <w:bCs w:val="false"/>
          <w:color w:val="0e101a"/>
          <w:sz w:val="24"/>
          <w:szCs w:val="24"/>
          <w:lang w:val="en-US"/>
        </w:rPr>
        <w:t xml:space="preserve">To effectively improve The Seaview Resort's financial status, a multifaceted approach is needed. The proposed strategy comprises many crucial elements, chief among them the eradication of operational inefficiencies, the improvement of customer experiences, the implementation of strategic debt management, and the adjustment of pricing strategies. </w:t>
      </w:r>
    </w:p>
    <w:p>
      <w:pPr>
        <w:pStyle w:val="style94"/>
        <w:bidi w:val="false"/>
        <w:spacing w:lineRule="auto" w:line="360"/>
        <w:rPr>
          <w:rStyle w:val="style87"/>
          <w:rFonts w:ascii="Times New Roman" w:cs="Times New Roman" w:eastAsia="SimSun" w:hAnsi="Times New Roman" w:hint="default"/>
          <w:b w:val="false"/>
          <w:bCs w:val="false"/>
          <w:color w:val="0e101a"/>
          <w:sz w:val="24"/>
          <w:szCs w:val="24"/>
          <w:lang w:val="en-US"/>
        </w:rPr>
      </w:pPr>
    </w:p>
    <w:p>
      <w:pPr>
        <w:pStyle w:val="style94"/>
        <w:bidi w:val="false"/>
        <w:spacing w:lineRule="auto" w:line="360"/>
        <w:rPr>
          <w:rStyle w:val="style87"/>
          <w:rFonts w:ascii="Times New Roman" w:cs="Times New Roman" w:eastAsia="SimSun" w:hAnsi="Times New Roman" w:hint="default"/>
          <w:b w:val="false"/>
          <w:bCs w:val="false"/>
          <w:color w:val="0e101a"/>
          <w:sz w:val="24"/>
          <w:szCs w:val="24"/>
          <w:lang w:val="en-US"/>
        </w:rPr>
      </w:pPr>
      <w:r>
        <w:rPr>
          <w:rStyle w:val="style87"/>
          <w:rFonts w:ascii="Times New Roman" w:cs="Times New Roman" w:eastAsia="SimSun" w:hAnsi="Times New Roman" w:hint="default"/>
          <w:b w:val="false"/>
          <w:bCs w:val="false"/>
          <w:color w:val="0e101a"/>
          <w:sz w:val="24"/>
          <w:szCs w:val="24"/>
          <w:lang w:val="en-US"/>
        </w:rPr>
        <w:t>For the resort to regain its competitive edge and financial stability, a successful implementation is vital, supported by continuous monitoring and adjustments. Using the suggested remedies, the resort should be positioned to eventually become a major tourist destination in addition to correcting the current problems.</w:t>
      </w:r>
    </w:p>
    <w:p>
      <w:pPr>
        <w:pStyle w:val="style94"/>
        <w:bidi w:val="false"/>
        <w:spacing w:lineRule="auto" w:line="360"/>
        <w:rPr>
          <w:rStyle w:val="style87"/>
          <w:rFonts w:ascii="Times New Roman" w:cs="Times New Roman" w:eastAsia="SimSun" w:hAnsi="Times New Roman" w:hint="default"/>
          <w:b w:val="false"/>
          <w:bCs w:val="false"/>
          <w:color w:val="0e101a"/>
          <w:sz w:val="24"/>
          <w:szCs w:val="24"/>
          <w:lang w:val="en-US"/>
        </w:rPr>
      </w:pPr>
    </w:p>
    <w:p>
      <w:pPr>
        <w:pStyle w:val="style94"/>
        <w:bidi w:val="false"/>
        <w:spacing w:lineRule="auto" w:line="360"/>
        <w:rPr>
          <w:rStyle w:val="style87"/>
          <w:rFonts w:ascii="Times New Roman" w:cs="Times New Roman" w:eastAsia="SimSun" w:hAnsi="Times New Roman" w:hint="default"/>
          <w:b w:val="false"/>
          <w:bCs w:val="false"/>
          <w:color w:val="0e101a"/>
          <w:sz w:val="24"/>
          <w:szCs w:val="24"/>
          <w:lang w:val="en-US"/>
        </w:rPr>
      </w:pPr>
    </w:p>
    <w:p>
      <w:pPr>
        <w:pStyle w:val="style1"/>
        <w:bidi w:val="false"/>
        <w:spacing w:lineRule="auto" w:line="360"/>
        <w:rPr>
          <w:rFonts w:ascii="Times New Roman" w:cs="Times New Roman" w:hAnsi="Times New Roman" w:hint="default"/>
          <w:sz w:val="24"/>
          <w:szCs w:val="24"/>
          <w:lang w:val="en-US"/>
        </w:rPr>
      </w:pPr>
    </w:p>
    <w:p>
      <w:pPr>
        <w:pStyle w:val="style1"/>
        <w:bidi w:val="false"/>
        <w:spacing w:lineRule="auto" w:line="360"/>
        <w:rPr>
          <w:rFonts w:ascii="Times New Roman" w:cs="Times New Roman" w:hAnsi="Times New Roman" w:hint="default"/>
          <w:sz w:val="24"/>
          <w:szCs w:val="24"/>
          <w:lang w:val="en-US"/>
        </w:rPr>
      </w:pPr>
    </w:p>
    <w:p>
      <w:pPr>
        <w:pStyle w:val="style1"/>
        <w:bidi w:val="false"/>
        <w:spacing w:lineRule="auto" w:line="360"/>
        <w:rPr>
          <w:rFonts w:ascii="Times New Roman" w:cs="Times New Roman" w:hAnsi="Times New Roman" w:hint="default"/>
          <w:sz w:val="24"/>
          <w:szCs w:val="24"/>
          <w:lang w:val="en-US"/>
        </w:rPr>
      </w:pPr>
    </w:p>
    <w:p>
      <w:pPr>
        <w:pStyle w:val="style1"/>
        <w:bidi w:val="false"/>
        <w:spacing w:lineRule="auto" w:line="360"/>
        <w:rPr>
          <w:rFonts w:ascii="Times New Roman" w:cs="Times New Roman" w:hAnsi="Times New Roman" w:hint="default"/>
          <w:sz w:val="24"/>
          <w:szCs w:val="24"/>
          <w:lang w:val="en-US"/>
        </w:rPr>
      </w:pPr>
    </w:p>
    <w:p>
      <w:pPr>
        <w:pStyle w:val="style1"/>
        <w:bidi w:val="false"/>
        <w:spacing w:lineRule="auto" w:line="360"/>
        <w:rPr>
          <w:rFonts w:ascii="Times New Roman" w:cs="Times New Roman" w:hAnsi="Times New Roman" w:hint="default"/>
          <w:sz w:val="24"/>
          <w:szCs w:val="24"/>
          <w:lang w:val="en-US"/>
        </w:rPr>
      </w:pPr>
    </w:p>
    <w:p>
      <w:pPr>
        <w:pStyle w:val="style1"/>
        <w:bidi w:val="false"/>
        <w:spacing w:lineRule="auto" w:line="360"/>
        <w:rPr>
          <w:rFonts w:ascii="Times New Roman" w:cs="Times New Roman" w:hAnsi="Times New Roman" w:hint="default"/>
          <w:sz w:val="24"/>
          <w:szCs w:val="24"/>
          <w:lang w:val="en-US"/>
        </w:rPr>
      </w:pPr>
    </w:p>
    <w:p>
      <w:pPr>
        <w:pStyle w:val="style1"/>
        <w:bidi w:val="false"/>
        <w:spacing w:lineRule="auto" w:line="360"/>
        <w:rPr>
          <w:rFonts w:ascii="Times New Roman" w:cs="Times New Roman" w:hAnsi="Times New Roman" w:hint="default"/>
          <w:sz w:val="24"/>
          <w:szCs w:val="24"/>
          <w:lang w:val="en-US"/>
        </w:rPr>
      </w:pPr>
    </w:p>
    <w:p>
      <w:pPr>
        <w:pStyle w:val="style1"/>
        <w:bidi w:val="false"/>
        <w:spacing w:lineRule="auto" w:line="360"/>
        <w:rPr>
          <w:rFonts w:ascii="Times New Roman" w:cs="Times New Roman" w:hAnsi="Times New Roman" w:hint="default"/>
          <w:sz w:val="24"/>
          <w:szCs w:val="24"/>
          <w:lang w:val="en-US"/>
        </w:rPr>
      </w:pPr>
    </w:p>
    <w:p>
      <w:pPr>
        <w:pStyle w:val="style1"/>
        <w:bidi w:val="false"/>
        <w:spacing w:lineRule="auto" w:line="360"/>
        <w:rPr>
          <w:rFonts w:ascii="Times New Roman" w:cs="Times New Roman" w:hAnsi="Times New Roman" w:hint="default"/>
          <w:sz w:val="24"/>
          <w:szCs w:val="24"/>
          <w:lang w:val="en-US"/>
        </w:rPr>
      </w:pPr>
    </w:p>
    <w:p>
      <w:pPr>
        <w:pStyle w:val="style1"/>
        <w:bidi w:val="false"/>
        <w:spacing w:lineRule="auto" w:line="360"/>
        <w:rPr>
          <w:rFonts w:ascii="Times New Roman" w:cs="Times New Roman" w:hAnsi="Times New Roman" w:hint="default"/>
          <w:sz w:val="24"/>
          <w:szCs w:val="24"/>
          <w:lang w:val="en-US"/>
        </w:rPr>
      </w:pPr>
    </w:p>
    <w:bookmarkStart w:id="13" w:name="_Toc17957"/>
    <w:p>
      <w:pPr>
        <w:pStyle w:val="style1"/>
        <w:bidi w:val="false"/>
        <w:spacing w:lineRule="auto" w:line="360"/>
        <w:rPr>
          <w:rFonts w:ascii="Times New Roman" w:cs="Times New Roman" w:hAnsi="Times New Roman" w:hint="default"/>
          <w:sz w:val="24"/>
          <w:szCs w:val="24"/>
          <w:lang w:val="en-US"/>
        </w:rPr>
      </w:pPr>
      <w:r>
        <w:rPr>
          <w:rFonts w:ascii="Times New Roman" w:cs="Times New Roman" w:hAnsi="Times New Roman" w:hint="default"/>
          <w:sz w:val="24"/>
          <w:szCs w:val="24"/>
          <w:lang w:val="en-US"/>
        </w:rPr>
        <w:t>References</w:t>
      </w:r>
      <w:bookmarkEnd w:id="13"/>
    </w:p>
    <w:p>
      <w:pPr>
        <w:pStyle w:val="style0"/>
        <w:spacing w:after="200" w:lineRule="auto" w:line="360"/>
        <w:jc w:val="left"/>
        <w:rPr>
          <w:rFonts w:ascii="Calibri" w:eastAsia="Calibri" w:hAnsi="Calibri" w:hint="default"/>
          <w:sz w:val="22"/>
          <w:szCs w:val="24"/>
        </w:rPr>
      </w:pPr>
      <w:r>
        <w:rPr>
          <w:rFonts w:ascii="Calibri" w:eastAsia="Calibri" w:hAnsi="Calibri" w:hint="default"/>
          <w:sz w:val="22"/>
          <w:szCs w:val="24"/>
        </w:rPr>
        <w:t>Harrington, DG, Lawton, TC &amp; Rajwani, T 20</w:t>
      </w:r>
      <w:r>
        <w:rPr>
          <w:rFonts w:ascii="Calibri" w:eastAsia="Calibri" w:hAnsi="Calibri" w:hint="default"/>
          <w:sz w:val="22"/>
          <w:szCs w:val="24"/>
          <w:lang w:val="en-US"/>
        </w:rPr>
        <w:t>19,</w:t>
      </w:r>
      <w:r>
        <w:rPr>
          <w:rFonts w:ascii="Calibri" w:eastAsia="Calibri" w:hAnsi="Calibri" w:hint="default"/>
          <w:sz w:val="22"/>
          <w:szCs w:val="24"/>
        </w:rPr>
        <w:t xml:space="preserve"> ‘Embracing and Exploiting Industry Turbulence’:, European Management Journal, vol. 23, no. 4, pp. 450–457, viewed 3 May 2020, &lt;</w:t>
      </w:r>
      <w:r>
        <w:rPr>
          <w:rFonts w:ascii="Calibri" w:eastAsia="Calibri" w:hAnsi="Calibri" w:hint="default"/>
          <w:sz w:val="22"/>
          <w:szCs w:val="24"/>
        </w:rPr>
        <w:fldChar w:fldCharType="begin"/>
      </w:r>
      <w:r>
        <w:rPr>
          <w:rFonts w:ascii="Calibri" w:eastAsia="Calibri" w:hAnsi="Calibri" w:hint="default"/>
          <w:sz w:val="22"/>
          <w:szCs w:val="24"/>
        </w:rPr>
        <w:instrText>HYPERLINK "http://www.thomaslawton.com/pdfs/paperemj.pdf"</w:instrText>
      </w:r>
      <w:r>
        <w:rPr>
          <w:rFonts w:ascii="Calibri" w:eastAsia="Calibri" w:hAnsi="Calibri" w:hint="default"/>
          <w:sz w:val="22"/>
          <w:szCs w:val="24"/>
        </w:rPr>
        <w:fldChar w:fldCharType="separate"/>
      </w:r>
      <w:r>
        <w:rPr>
          <w:rFonts w:ascii="Calibri" w:eastAsia="Calibri" w:hAnsi="Calibri" w:hint="default"/>
          <w:sz w:val="22"/>
          <w:szCs w:val="24"/>
        </w:rPr>
        <w:t>http://www.thomaslawton.com/pdfs/paperemj.pdf</w:t>
      </w:r>
      <w:r>
        <w:rPr>
          <w:rFonts w:ascii="Calibri" w:eastAsia="Calibri" w:hAnsi="Calibri" w:hint="default"/>
          <w:sz w:val="22"/>
          <w:szCs w:val="24"/>
        </w:rPr>
        <w:fldChar w:fldCharType="end"/>
      </w:r>
      <w:r>
        <w:rPr>
          <w:rFonts w:ascii="Calibri" w:eastAsia="Calibri" w:hAnsi="Calibri" w:hint="default"/>
          <w:sz w:val="22"/>
          <w:szCs w:val="24"/>
        </w:rPr>
        <w:t>&gt;.</w:t>
      </w:r>
    </w:p>
    <w:p>
      <w:pPr>
        <w:pStyle w:val="style0"/>
        <w:spacing w:after="200" w:lineRule="auto" w:line="360"/>
        <w:jc w:val="left"/>
        <w:rPr>
          <w:rFonts w:ascii="Calibri" w:eastAsia="Calibri" w:hAnsi="Calibri" w:hint="default"/>
          <w:sz w:val="22"/>
          <w:szCs w:val="24"/>
        </w:rPr>
      </w:pPr>
    </w:p>
    <w:p>
      <w:pPr>
        <w:pStyle w:val="style0"/>
        <w:spacing w:after="200" w:lineRule="auto" w:line="360"/>
        <w:jc w:val="left"/>
        <w:rPr>
          <w:rFonts w:ascii="Calibri" w:eastAsia="Calibri" w:hAnsi="Calibri" w:hint="default"/>
          <w:sz w:val="22"/>
          <w:szCs w:val="24"/>
        </w:rPr>
      </w:pPr>
      <w:r>
        <w:rPr>
          <w:rFonts w:ascii="Calibri" w:eastAsia="Calibri" w:hAnsi="Calibri" w:hint="default"/>
          <w:sz w:val="22"/>
          <w:szCs w:val="24"/>
        </w:rPr>
        <w:t>‌Santos Lavrador, AM &amp; S. Laureano, RM 2019, ‘Dashboard to Monitor Performance of an Hotel in the Financial Perspective’, 2019 14th Iberian Conference on Information Systems and Technologies (CISTI).</w:t>
      </w:r>
    </w:p>
    <w:p>
      <w:pPr>
        <w:pStyle w:val="style0"/>
        <w:spacing w:after="200" w:lineRule="auto" w:line="360"/>
        <w:jc w:val="left"/>
        <w:rPr>
          <w:rFonts w:ascii="Calibri" w:eastAsia="Calibri" w:hAnsi="Calibri" w:hint="default"/>
          <w:sz w:val="22"/>
          <w:szCs w:val="24"/>
        </w:rPr>
      </w:pPr>
    </w:p>
    <w:p>
      <w:pPr>
        <w:pStyle w:val="style0"/>
        <w:spacing w:after="200" w:lineRule="auto" w:line="360"/>
        <w:jc w:val="left"/>
        <w:rPr>
          <w:rFonts w:ascii="Calibri" w:eastAsia="Calibri" w:hAnsi="Calibri" w:hint="default"/>
          <w:sz w:val="22"/>
          <w:szCs w:val="24"/>
        </w:rPr>
      </w:pPr>
      <w:r>
        <w:rPr>
          <w:rFonts w:ascii="Calibri" w:eastAsia="Calibri" w:hAnsi="Calibri" w:hint="default"/>
          <w:sz w:val="22"/>
          <w:szCs w:val="24"/>
        </w:rPr>
        <w:t>‌Santoro, G 201</w:t>
      </w:r>
      <w:r>
        <w:rPr>
          <w:rFonts w:ascii="Calibri" w:eastAsia="Calibri" w:hAnsi="Calibri" w:hint="default"/>
          <w:sz w:val="22"/>
          <w:szCs w:val="24"/>
          <w:lang w:val="en-US"/>
        </w:rPr>
        <w:t>7</w:t>
      </w:r>
      <w:r>
        <w:rPr>
          <w:rFonts w:ascii="Calibri" w:eastAsia="Calibri" w:hAnsi="Calibri" w:hint="default"/>
          <w:sz w:val="22"/>
          <w:szCs w:val="24"/>
        </w:rPr>
        <w:t>, ‘Evaluating performance in the hotel industry: An empirical analysis of Piedmont’, vtechworks.lib.vt.edu, viewed 13 November 2023, &lt;</w:t>
      </w:r>
      <w:r>
        <w:rPr>
          <w:rFonts w:ascii="Calibri" w:eastAsia="Calibri" w:hAnsi="Calibri" w:hint="default"/>
          <w:sz w:val="22"/>
          <w:szCs w:val="24"/>
        </w:rPr>
        <w:fldChar w:fldCharType="begin"/>
      </w:r>
      <w:r>
        <w:rPr>
          <w:rFonts w:ascii="Calibri" w:eastAsia="Calibri" w:hAnsi="Calibri" w:hint="default"/>
          <w:sz w:val="22"/>
          <w:szCs w:val="24"/>
        </w:rPr>
        <w:instrText>HYPERLINK "https://vtechworks.lib.vt.edu/handle/10919/85572"</w:instrText>
      </w:r>
      <w:r>
        <w:rPr>
          <w:rFonts w:ascii="Calibri" w:eastAsia="Calibri" w:hAnsi="Calibri" w:hint="default"/>
          <w:sz w:val="22"/>
          <w:szCs w:val="24"/>
        </w:rPr>
        <w:fldChar w:fldCharType="separate"/>
      </w:r>
      <w:r>
        <w:rPr>
          <w:rFonts w:ascii="Calibri" w:eastAsia="Calibri" w:hAnsi="Calibri" w:hint="default"/>
          <w:sz w:val="22"/>
          <w:szCs w:val="24"/>
        </w:rPr>
        <w:t>https://vtechworks.lib.vt.edu/handle/10919/85572</w:t>
      </w:r>
      <w:r>
        <w:rPr>
          <w:rFonts w:ascii="Calibri" w:eastAsia="Calibri" w:hAnsi="Calibri" w:hint="default"/>
          <w:sz w:val="22"/>
          <w:szCs w:val="24"/>
        </w:rPr>
        <w:fldChar w:fldCharType="end"/>
      </w:r>
      <w:r>
        <w:rPr>
          <w:rFonts w:ascii="Calibri" w:eastAsia="Calibri" w:hAnsi="Calibri" w:hint="default"/>
          <w:sz w:val="22"/>
          <w:szCs w:val="24"/>
        </w:rPr>
        <w:t>&gt;.</w:t>
      </w:r>
    </w:p>
    <w:p>
      <w:pPr>
        <w:pStyle w:val="style0"/>
        <w:spacing w:after="200" w:lineRule="auto" w:line="360"/>
        <w:jc w:val="left"/>
        <w:rPr>
          <w:rFonts w:ascii="Calibri" w:eastAsia="Calibri" w:hAnsi="Calibri" w:hint="default"/>
          <w:sz w:val="22"/>
          <w:szCs w:val="24"/>
        </w:rPr>
      </w:pPr>
    </w:p>
    <w:p>
      <w:pPr>
        <w:pStyle w:val="style0"/>
        <w:spacing w:after="200" w:lineRule="auto" w:line="360"/>
        <w:jc w:val="left"/>
        <w:rPr>
          <w:rFonts w:ascii="Calibri" w:eastAsia="Calibri" w:hAnsi="Calibri" w:hint="default"/>
          <w:sz w:val="22"/>
          <w:szCs w:val="24"/>
        </w:rPr>
      </w:pPr>
      <w:r>
        <w:rPr>
          <w:rFonts w:ascii="Calibri" w:eastAsia="Calibri" w:hAnsi="Calibri" w:hint="default"/>
          <w:sz w:val="22"/>
          <w:szCs w:val="24"/>
        </w:rPr>
        <w:t>‌Fitriyani, F 2018, ‘The Development Strategy of Kartini Beach Recreation Park in Rembang Regency’, Economics Development Analysis Journal, vol. 6, no. 4, pp. 483–490.</w:t>
      </w:r>
    </w:p>
    <w:p>
      <w:pPr>
        <w:pStyle w:val="style0"/>
        <w:spacing w:after="200" w:lineRule="auto" w:line="360"/>
        <w:jc w:val="left"/>
        <w:rPr>
          <w:rFonts w:ascii="Calibri" w:eastAsia="Calibri" w:hAnsi="Calibri" w:hint="default"/>
          <w:sz w:val="22"/>
          <w:szCs w:val="24"/>
        </w:rPr>
      </w:pPr>
    </w:p>
    <w:p>
      <w:pPr>
        <w:pStyle w:val="style0"/>
        <w:spacing w:after="200" w:lineRule="auto" w:line="360"/>
        <w:jc w:val="left"/>
        <w:rPr>
          <w:rFonts w:ascii="Calibri" w:eastAsia="Calibri" w:hAnsi="Calibri" w:hint="default"/>
          <w:sz w:val="22"/>
          <w:szCs w:val="24"/>
        </w:rPr>
      </w:pPr>
      <w:r>
        <w:rPr>
          <w:rFonts w:ascii="Calibri" w:eastAsia="Calibri" w:hAnsi="Calibri" w:hint="default"/>
          <w:sz w:val="22"/>
          <w:szCs w:val="24"/>
        </w:rPr>
        <w:t>‌Hitt, MA, Keats, BW, Harback, HF &amp; Nixon, RD 1994, ‘Rightsizing: Building and maintaining strategic leadership and long-term competitiveness’, Organizational Dynamics, vol. 23, no. 2, pp. 18–32.</w:t>
      </w:r>
    </w:p>
    <w:p>
      <w:pPr>
        <w:pStyle w:val="style0"/>
        <w:spacing w:after="200" w:lineRule="auto" w:line="360"/>
        <w:jc w:val="left"/>
        <w:rPr>
          <w:rFonts w:ascii="Calibri" w:eastAsia="Calibri" w:hAnsi="Calibri" w:hint="default"/>
          <w:sz w:val="22"/>
          <w:szCs w:val="24"/>
        </w:rPr>
      </w:pPr>
    </w:p>
    <w:p>
      <w:pPr>
        <w:pStyle w:val="style0"/>
        <w:spacing w:after="200" w:lineRule="auto" w:line="360"/>
        <w:jc w:val="left"/>
        <w:rPr>
          <w:rFonts w:ascii="Calibri" w:eastAsia="Calibri" w:hAnsi="Calibri" w:hint="default"/>
          <w:sz w:val="22"/>
          <w:szCs w:val="24"/>
        </w:rPr>
      </w:pPr>
      <w:r>
        <w:rPr>
          <w:rFonts w:ascii="Calibri" w:eastAsia="Calibri" w:hAnsi="Calibri" w:hint="default"/>
          <w:sz w:val="22"/>
          <w:szCs w:val="24"/>
        </w:rPr>
        <w:t>‌Pholoana, MM 2020, ‘Identification of marketing strategies to promote tourism: the case of Soetdoring Nature Reserve in the Free State province’, scholar.ufs.ac.za, viewed 13 November 2023, &lt;</w:t>
      </w:r>
      <w:r>
        <w:rPr>
          <w:rFonts w:ascii="Calibri" w:eastAsia="Calibri" w:hAnsi="Calibri" w:hint="default"/>
          <w:sz w:val="22"/>
          <w:szCs w:val="24"/>
        </w:rPr>
        <w:fldChar w:fldCharType="begin"/>
      </w:r>
      <w:r>
        <w:rPr>
          <w:rFonts w:ascii="Calibri" w:eastAsia="Calibri" w:hAnsi="Calibri" w:hint="default"/>
          <w:sz w:val="22"/>
          <w:szCs w:val="24"/>
        </w:rPr>
        <w:instrText>HYPERLINK "https://scholar.ufs.ac.za/handle/11660/11266"</w:instrText>
      </w:r>
      <w:r>
        <w:rPr>
          <w:rFonts w:ascii="Calibri" w:eastAsia="Calibri" w:hAnsi="Calibri" w:hint="default"/>
          <w:sz w:val="22"/>
          <w:szCs w:val="24"/>
        </w:rPr>
        <w:fldChar w:fldCharType="separate"/>
      </w:r>
      <w:r>
        <w:rPr>
          <w:rFonts w:ascii="Calibri" w:eastAsia="Calibri" w:hAnsi="Calibri" w:hint="default"/>
          <w:sz w:val="22"/>
          <w:szCs w:val="24"/>
        </w:rPr>
        <w:t>https://scholar.ufs.ac.za/handle/11660/11266</w:t>
      </w:r>
      <w:r>
        <w:rPr>
          <w:rFonts w:ascii="Calibri" w:eastAsia="Calibri" w:hAnsi="Calibri" w:hint="default"/>
          <w:sz w:val="22"/>
          <w:szCs w:val="24"/>
        </w:rPr>
        <w:fldChar w:fldCharType="end"/>
      </w:r>
      <w:r>
        <w:rPr>
          <w:rFonts w:ascii="Calibri" w:eastAsia="Calibri" w:hAnsi="Calibri" w:hint="default"/>
          <w:sz w:val="22"/>
          <w:szCs w:val="24"/>
        </w:rPr>
        <w:t>&gt;.</w:t>
      </w:r>
    </w:p>
    <w:p>
      <w:pPr>
        <w:pStyle w:val="style0"/>
        <w:spacing w:after="200" w:lineRule="auto" w:line="360"/>
        <w:jc w:val="left"/>
        <w:rPr>
          <w:rFonts w:ascii="Calibri" w:eastAsia="Calibri" w:hAnsi="Calibri" w:hint="default"/>
          <w:sz w:val="22"/>
          <w:szCs w:val="24"/>
        </w:rPr>
      </w:pPr>
    </w:p>
    <w:p>
      <w:pPr>
        <w:pStyle w:val="style0"/>
        <w:spacing w:after="200" w:lineRule="auto" w:line="360"/>
        <w:jc w:val="left"/>
        <w:rPr>
          <w:rFonts w:ascii="Calibri" w:eastAsia="Calibri" w:hAnsi="Calibri" w:hint="default"/>
          <w:sz w:val="22"/>
          <w:szCs w:val="24"/>
        </w:rPr>
      </w:pPr>
      <w:r>
        <w:rPr>
          <w:rFonts w:ascii="Calibri" w:eastAsia="Calibri" w:hAnsi="Calibri" w:hint="default"/>
          <w:sz w:val="22"/>
          <w:szCs w:val="24"/>
        </w:rPr>
        <w:t>‌Chee, LC 2017, Case Studies in Management and Business (Volume 3) (UUM Press), Google Books, UUM Press, viewed 13 November 2023, &lt;</w:t>
      </w:r>
      <w:r>
        <w:rPr>
          <w:rFonts w:ascii="Calibri" w:eastAsia="Calibri" w:hAnsi="Calibri" w:hint="default"/>
          <w:sz w:val="22"/>
          <w:szCs w:val="24"/>
        </w:rPr>
        <w:fldChar w:fldCharType="begin"/>
      </w:r>
      <w:r>
        <w:rPr>
          <w:rFonts w:ascii="Calibri" w:eastAsia="Calibri" w:hAnsi="Calibri" w:hint="default"/>
          <w:sz w:val="22"/>
          <w:szCs w:val="24"/>
        </w:rPr>
        <w:instrText>HYPERLINK "https://books.google.com.pk/books?hl=en&amp;lr=&amp;id=-Y4OEAAAQBAJ&amp;oi=fnd&amp;pg=PP7&amp;dq=Strategic+Financial+Analysis+and+Turnaround+Strategy+for+The+Seaview+Resort&amp;ots=K8y_63tDoi&amp;sig=S7_7z5f7CU7Of3sCFcv9GNLUgeI&amp;redir_esc=y#v=onepage&amp;q&amp;f=false"</w:instrText>
      </w:r>
      <w:r>
        <w:rPr>
          <w:rFonts w:ascii="Calibri" w:eastAsia="Calibri" w:hAnsi="Calibri" w:hint="default"/>
          <w:sz w:val="22"/>
          <w:szCs w:val="24"/>
        </w:rPr>
        <w:fldChar w:fldCharType="separate"/>
      </w:r>
      <w:r>
        <w:rPr>
          <w:rFonts w:ascii="Calibri" w:eastAsia="Calibri" w:hAnsi="Calibri" w:hint="default"/>
          <w:sz w:val="22"/>
          <w:szCs w:val="24"/>
        </w:rPr>
        <w:t>https://books.google.com.pk/books?hl=en&amp;lr=&amp;id=-Y4OEAAAQBAJ&amp;oi=fnd&amp;pg=PP7&amp;dq=Strategic+Financial+Analysis+and+Turnaround+Strategy+for+The+Seaview+Resort&amp;ots=K8y_63tDoi&amp;sig=S7_7z5f7CU7Of3sCFcv9GNLUgeI&amp;redir_esc=y#v=onepage&amp;q&amp;f=false</w:t>
      </w:r>
      <w:r>
        <w:rPr>
          <w:rFonts w:ascii="Calibri" w:eastAsia="Calibri" w:hAnsi="Calibri" w:hint="default"/>
          <w:sz w:val="22"/>
          <w:szCs w:val="24"/>
        </w:rPr>
        <w:fldChar w:fldCharType="end"/>
      </w:r>
      <w:r>
        <w:rPr>
          <w:rFonts w:ascii="Calibri" w:eastAsia="Calibri" w:hAnsi="Calibri" w:hint="default"/>
          <w:sz w:val="22"/>
          <w:szCs w:val="24"/>
        </w:rPr>
        <w:t>&gt;.</w:t>
      </w:r>
    </w:p>
    <w:p>
      <w:pPr>
        <w:pStyle w:val="style0"/>
        <w:spacing w:after="200" w:lineRule="auto" w:line="360"/>
        <w:jc w:val="left"/>
        <w:rPr>
          <w:rFonts w:ascii="Calibri" w:eastAsia="Calibri" w:hAnsi="Calibri" w:hint="default"/>
          <w:sz w:val="22"/>
          <w:szCs w:val="24"/>
        </w:rPr>
      </w:pPr>
    </w:p>
    <w:p>
      <w:pPr>
        <w:pStyle w:val="style0"/>
        <w:spacing w:after="200" w:lineRule="auto" w:line="360"/>
        <w:jc w:val="left"/>
        <w:rPr>
          <w:rFonts w:ascii="Calibri" w:eastAsia="Calibri" w:hAnsi="Calibri" w:hint="default"/>
          <w:sz w:val="22"/>
          <w:szCs w:val="24"/>
        </w:rPr>
      </w:pPr>
      <w:r>
        <w:rPr>
          <w:rFonts w:ascii="Calibri" w:eastAsia="Calibri" w:hAnsi="Calibri" w:hint="default"/>
          <w:sz w:val="22"/>
          <w:szCs w:val="24"/>
        </w:rPr>
        <w:t>‌Omar, SI, Othman, AG, Mohamed, B &amp; Bahauddin, A 201</w:t>
      </w:r>
      <w:r>
        <w:rPr>
          <w:rFonts w:ascii="Calibri" w:eastAsia="Calibri" w:hAnsi="Calibri" w:hint="default"/>
          <w:sz w:val="22"/>
          <w:szCs w:val="24"/>
          <w:lang w:val="en-US"/>
        </w:rPr>
        <w:t>9,</w:t>
      </w:r>
      <w:r>
        <w:rPr>
          <w:rFonts w:ascii="Calibri" w:eastAsia="Calibri" w:hAnsi="Calibri" w:hint="default"/>
          <w:sz w:val="22"/>
          <w:szCs w:val="24"/>
        </w:rPr>
        <w:t xml:space="preserve"> ‘Coastal Resort Life Cycle: An Overview of Tioman Island, Malaysia’, Tourism Planning &amp; Development, vol. 12, no. 3, pp. 266–280.</w:t>
      </w:r>
    </w:p>
    <w:p>
      <w:pPr>
        <w:pStyle w:val="style0"/>
        <w:spacing w:after="200" w:lineRule="auto" w:line="360"/>
        <w:jc w:val="left"/>
        <w:rPr>
          <w:rFonts w:ascii="Calibri" w:eastAsia="Calibri" w:hAnsi="Calibri" w:hint="default"/>
          <w:sz w:val="22"/>
          <w:szCs w:val="24"/>
        </w:rPr>
      </w:pPr>
    </w:p>
    <w:p>
      <w:pPr>
        <w:pStyle w:val="style0"/>
        <w:spacing w:after="200" w:lineRule="auto" w:line="360"/>
        <w:jc w:val="left"/>
        <w:rPr>
          <w:rFonts w:ascii="Calibri" w:eastAsia="Calibri" w:hAnsi="Calibri" w:hint="default"/>
          <w:sz w:val="22"/>
          <w:szCs w:val="24"/>
        </w:rPr>
      </w:pPr>
    </w:p>
    <w:p>
      <w:pPr>
        <w:pStyle w:val="style0"/>
        <w:spacing w:after="200" w:lineRule="auto" w:line="360"/>
        <w:jc w:val="left"/>
        <w:rPr>
          <w:rFonts w:ascii="Calibri" w:eastAsia="Calibri" w:hAnsi="Calibri" w:hint="default"/>
          <w:sz w:val="22"/>
          <w:szCs w:val="24"/>
        </w:rPr>
      </w:pPr>
      <w:r>
        <w:rPr>
          <w:rFonts w:ascii="Calibri" w:eastAsia="Calibri" w:hAnsi="Calibri" w:hint="default"/>
          <w:sz w:val="22"/>
          <w:szCs w:val="24"/>
        </w:rPr>
        <w:t>‌Mjongwana, A 2018, The use of non-financial performance measures by small and medium enterprises operating in the hotel industry, in the Cape Metropole, etd.cput.ac.za, viewed 13 November 2023, &lt;</w:t>
      </w:r>
      <w:r>
        <w:rPr>
          <w:rFonts w:ascii="Calibri" w:eastAsia="Calibri" w:hAnsi="Calibri" w:hint="default"/>
          <w:sz w:val="22"/>
          <w:szCs w:val="24"/>
        </w:rPr>
        <w:fldChar w:fldCharType="begin"/>
      </w:r>
      <w:r>
        <w:rPr>
          <w:rFonts w:ascii="Calibri" w:eastAsia="Calibri" w:hAnsi="Calibri" w:hint="default"/>
          <w:sz w:val="22"/>
          <w:szCs w:val="24"/>
        </w:rPr>
        <w:instrText>HYPERLINK "https://etd.cput.ac.za/handle/20.500.11838/2648"</w:instrText>
      </w:r>
      <w:r>
        <w:rPr>
          <w:rFonts w:ascii="Calibri" w:eastAsia="Calibri" w:hAnsi="Calibri" w:hint="default"/>
          <w:sz w:val="22"/>
          <w:szCs w:val="24"/>
        </w:rPr>
        <w:fldChar w:fldCharType="separate"/>
      </w:r>
      <w:r>
        <w:rPr>
          <w:rFonts w:ascii="Calibri" w:eastAsia="Calibri" w:hAnsi="Calibri" w:hint="default"/>
          <w:sz w:val="22"/>
          <w:szCs w:val="24"/>
        </w:rPr>
        <w:t>https://etd.cput.ac.za/handle/20.500.11838/2648</w:t>
      </w:r>
      <w:r>
        <w:rPr>
          <w:rFonts w:ascii="Calibri" w:eastAsia="Calibri" w:hAnsi="Calibri" w:hint="default"/>
          <w:sz w:val="22"/>
          <w:szCs w:val="24"/>
        </w:rPr>
        <w:fldChar w:fldCharType="end"/>
      </w:r>
      <w:r>
        <w:rPr>
          <w:rFonts w:ascii="Calibri" w:eastAsia="Calibri" w:hAnsi="Calibri" w:hint="default"/>
          <w:sz w:val="22"/>
          <w:szCs w:val="24"/>
        </w:rPr>
        <w:t>&gt;.</w:t>
      </w:r>
    </w:p>
    <w:p>
      <w:pPr>
        <w:pStyle w:val="style0"/>
        <w:spacing w:after="200" w:lineRule="auto" w:line="360"/>
        <w:jc w:val="left"/>
        <w:rPr>
          <w:rFonts w:ascii="Calibri" w:eastAsia="Calibri" w:hAnsi="Calibri" w:hint="default"/>
          <w:sz w:val="22"/>
          <w:szCs w:val="24"/>
        </w:rPr>
      </w:pPr>
    </w:p>
    <w:p>
      <w:pPr>
        <w:pStyle w:val="style0"/>
        <w:spacing w:after="200" w:lineRule="auto" w:line="360"/>
        <w:jc w:val="left"/>
        <w:rPr>
          <w:rFonts w:ascii="Calibri" w:eastAsia="Calibri" w:hAnsi="Calibri" w:hint="default"/>
          <w:sz w:val="22"/>
          <w:szCs w:val="24"/>
        </w:rPr>
      </w:pPr>
      <w:r>
        <w:rPr>
          <w:rFonts w:ascii="Calibri" w:eastAsia="Calibri" w:hAnsi="Calibri" w:hint="default"/>
          <w:sz w:val="22"/>
          <w:szCs w:val="24"/>
        </w:rPr>
        <w:t>‌Mohamed 2022, ‘Analyzing the Financial Performance Indicators of Front Office Management in Five-Star Hotels in Cairo’, Ma</w:t>
      </w:r>
      <w:r>
        <w:rPr>
          <w:rFonts w:ascii="Calibri" w:eastAsia="Calibri" w:hAnsi="Calibri" w:hint="default"/>
          <w:sz w:val="22"/>
          <w:szCs w:val="24"/>
        </w:rPr>
        <w:t>ǧallat</w:t>
      </w:r>
      <w:r>
        <w:rPr>
          <w:rFonts w:ascii="Calibri" w:eastAsia="Calibri" w:hAnsi="Calibri" w:hint="default"/>
          <w:sz w:val="22"/>
          <w:szCs w:val="24"/>
        </w:rPr>
        <w:t>̈ Kulliyyaẗ al-si</w:t>
      </w:r>
      <w:r>
        <w:rPr>
          <w:rFonts w:ascii="Calibri" w:eastAsia="Calibri" w:hAnsi="Calibri" w:hint="default"/>
          <w:sz w:val="22"/>
          <w:szCs w:val="24"/>
        </w:rPr>
        <w:t>ā</w:t>
      </w:r>
      <w:r>
        <w:rPr>
          <w:rFonts w:ascii="Calibri" w:eastAsia="Calibri" w:hAnsi="Calibri" w:hint="default"/>
          <w:sz w:val="22"/>
          <w:szCs w:val="24"/>
        </w:rPr>
        <w:t>ḥaẗ wa al-fan</w:t>
      </w:r>
      <w:r>
        <w:rPr>
          <w:rFonts w:ascii="Calibri" w:eastAsia="Calibri" w:hAnsi="Calibri" w:hint="default"/>
          <w:sz w:val="22"/>
          <w:szCs w:val="24"/>
        </w:rPr>
        <w:t>ādiq (Ǧāmi</w:t>
      </w:r>
      <w:r>
        <w:rPr>
          <w:rFonts w:ascii="Calibri" w:eastAsia="Calibri" w:hAnsi="Calibri" w:hint="default"/>
          <w:sz w:val="22"/>
          <w:szCs w:val="24"/>
        </w:rPr>
        <w:t>’</w:t>
      </w:r>
      <w:r>
        <w:rPr>
          <w:rFonts w:ascii="Calibri" w:eastAsia="Calibri" w:hAnsi="Calibri" w:hint="default"/>
          <w:sz w:val="22"/>
          <w:szCs w:val="24"/>
        </w:rPr>
        <w:t>at</w:t>
      </w:r>
      <w:r>
        <w:rPr>
          <w:rFonts w:ascii="Calibri" w:eastAsia="Calibri" w:hAnsi="Calibri" w:hint="default"/>
          <w:sz w:val="22"/>
          <w:szCs w:val="24"/>
        </w:rPr>
        <w:t>̈ al-Mansoura), vol. 11, no. 3, pp. 73–129.</w:t>
      </w:r>
    </w:p>
    <w:p>
      <w:pPr>
        <w:pStyle w:val="style0"/>
        <w:spacing w:after="200" w:lineRule="auto" w:line="360"/>
        <w:jc w:val="left"/>
        <w:rPr>
          <w:rFonts w:ascii="Calibri" w:eastAsia="Calibri" w:hAnsi="Calibri" w:hint="default"/>
          <w:sz w:val="22"/>
          <w:szCs w:val="24"/>
        </w:rPr>
      </w:pPr>
    </w:p>
    <w:p>
      <w:pPr>
        <w:pStyle w:val="style0"/>
        <w:spacing w:after="200" w:lineRule="auto" w:line="360"/>
        <w:jc w:val="left"/>
        <w:rPr>
          <w:rFonts w:ascii="Calibri" w:eastAsia="Calibri" w:hAnsi="Calibri" w:hint="default"/>
          <w:sz w:val="22"/>
          <w:szCs w:val="24"/>
        </w:rPr>
      </w:pPr>
      <w:r>
        <w:rPr>
          <w:rFonts w:ascii="Calibri" w:eastAsia="Calibri" w:hAnsi="Calibri" w:hint="default"/>
          <w:sz w:val="22"/>
          <w:szCs w:val="24"/>
        </w:rPr>
        <w:t xml:space="preserve">‌Jawabreh, O.A.A., Mahmoud, R.M., Alshatnawi, E. and Momani, E.A. (2017). Using Financial Analysis Methods in the Hotel Sector for the Purposes of Planning and Monitoring Case Study Al Zaitonia Hotel. International Journal of Economics and Financial Issues, [online] 7(4), pp.162–173. Available at: </w:t>
      </w:r>
      <w:r>
        <w:rPr>
          <w:rFonts w:ascii="Calibri" w:eastAsia="Calibri" w:hAnsi="Calibri" w:hint="default"/>
          <w:sz w:val="22"/>
          <w:szCs w:val="24"/>
        </w:rPr>
        <w:fldChar w:fldCharType="begin"/>
      </w:r>
      <w:r>
        <w:rPr>
          <w:rFonts w:ascii="Calibri" w:eastAsia="Calibri" w:hAnsi="Calibri" w:hint="default"/>
          <w:sz w:val="22"/>
          <w:szCs w:val="24"/>
        </w:rPr>
        <w:instrText xml:space="preserve">HYPERLINK https://dergipark.org.tr/en/pub/ijefi/issue/32006/353530 </w:instrText>
      </w:r>
      <w:r>
        <w:rPr>
          <w:rFonts w:ascii="Calibri" w:eastAsia="Calibri" w:hAnsi="Calibri" w:hint="default"/>
          <w:sz w:val="22"/>
          <w:szCs w:val="24"/>
        </w:rPr>
        <w:fldChar w:fldCharType="separate"/>
      </w:r>
      <w:r>
        <w:rPr>
          <w:rFonts w:ascii="Calibri" w:eastAsia="Calibri" w:hAnsi="Calibri" w:hint="default"/>
          <w:sz w:val="22"/>
          <w:szCs w:val="24"/>
        </w:rPr>
        <w:t>https://dergipark.org.tr/en/pub/ijefi/issue/32006/353530</w:t>
      </w:r>
      <w:r>
        <w:rPr>
          <w:rFonts w:ascii="Calibri" w:eastAsia="Calibri" w:hAnsi="Calibri" w:hint="default"/>
          <w:sz w:val="22"/>
          <w:szCs w:val="24"/>
        </w:rPr>
        <w:fldChar w:fldCharType="end"/>
      </w:r>
      <w:r>
        <w:rPr>
          <w:rFonts w:ascii="Calibri" w:eastAsia="Calibri" w:hAnsi="Calibri" w:hint="default"/>
          <w:sz w:val="22"/>
          <w:szCs w:val="24"/>
        </w:rPr>
        <w:t>.</w:t>
      </w:r>
    </w:p>
    <w:p>
      <w:pPr>
        <w:pStyle w:val="style0"/>
        <w:spacing w:after="200" w:lineRule="auto" w:line="360"/>
        <w:jc w:val="left"/>
        <w:rPr>
          <w:rFonts w:ascii="Calibri" w:eastAsia="Calibri" w:hAnsi="Calibri" w:hint="default"/>
          <w:sz w:val="22"/>
          <w:szCs w:val="24"/>
        </w:rPr>
      </w:pPr>
    </w:p>
    <w:p>
      <w:pPr>
        <w:pStyle w:val="style0"/>
        <w:spacing w:after="200" w:lineRule="auto" w:line="360"/>
        <w:jc w:val="left"/>
        <w:rPr>
          <w:rFonts w:ascii="Calibri" w:eastAsia="Calibri" w:hAnsi="Calibri" w:hint="default"/>
          <w:sz w:val="22"/>
          <w:szCs w:val="24"/>
        </w:rPr>
      </w:pPr>
      <w:r>
        <w:rPr>
          <w:rFonts w:ascii="Calibri" w:eastAsia="Calibri" w:hAnsi="Calibri" w:hint="default"/>
          <w:sz w:val="22"/>
          <w:szCs w:val="24"/>
        </w:rPr>
        <w:t xml:space="preserve">‌Qiong and Liu (n.d.). Turnaround strategies and performance of three-star hotels in Kenya. Recommended Citation. [online] Available at: </w:t>
      </w:r>
      <w:r>
        <w:rPr>
          <w:rFonts w:ascii="Calibri" w:eastAsia="Calibri" w:hAnsi="Calibri" w:hint="default"/>
          <w:sz w:val="22"/>
          <w:szCs w:val="24"/>
        </w:rPr>
        <w:fldChar w:fldCharType="begin"/>
      </w:r>
      <w:r>
        <w:rPr>
          <w:rFonts w:ascii="Calibri" w:eastAsia="Calibri" w:hAnsi="Calibri" w:hint="default"/>
          <w:sz w:val="22"/>
          <w:szCs w:val="24"/>
        </w:rPr>
        <w:instrText xml:space="preserve">HYPERLINK https://su-plus.strathmore.edu/server/api/core/bitstreams/24ee93d3-22b5-4c93-b21d-08d8085b03ed/content </w:instrText>
      </w:r>
      <w:r>
        <w:rPr>
          <w:rFonts w:ascii="Calibri" w:eastAsia="Calibri" w:hAnsi="Calibri" w:hint="default"/>
          <w:sz w:val="22"/>
          <w:szCs w:val="24"/>
        </w:rPr>
        <w:fldChar w:fldCharType="separate"/>
      </w:r>
      <w:r>
        <w:rPr>
          <w:rFonts w:ascii="Calibri" w:eastAsia="Calibri" w:hAnsi="Calibri" w:hint="default"/>
          <w:sz w:val="22"/>
          <w:szCs w:val="24"/>
        </w:rPr>
        <w:t>https://su-plus.strathmore.edu/server/api/core/bitstreams/24ee93d3-22b5-4c93-b21d-08d8085b03ed/content</w:t>
      </w:r>
      <w:r>
        <w:rPr>
          <w:rFonts w:ascii="Calibri" w:eastAsia="Calibri" w:hAnsi="Calibri" w:hint="default"/>
          <w:sz w:val="22"/>
          <w:szCs w:val="24"/>
        </w:rPr>
        <w:fldChar w:fldCharType="end"/>
      </w:r>
      <w:r>
        <w:rPr>
          <w:rFonts w:ascii="Calibri" w:eastAsia="Calibri" w:hAnsi="Calibri" w:hint="default"/>
          <w:sz w:val="22"/>
          <w:szCs w:val="24"/>
        </w:rPr>
        <w:t>.</w:t>
      </w:r>
    </w:p>
    <w:p>
      <w:pPr>
        <w:pStyle w:val="style0"/>
        <w:spacing w:after="200" w:lineRule="auto" w:line="360"/>
        <w:jc w:val="left"/>
        <w:rPr>
          <w:rFonts w:ascii="Calibri" w:eastAsia="Calibri" w:hAnsi="Calibri" w:hint="default"/>
          <w:sz w:val="22"/>
          <w:szCs w:val="24"/>
        </w:rPr>
      </w:pPr>
    </w:p>
    <w:p>
      <w:pPr>
        <w:pStyle w:val="style0"/>
        <w:spacing w:after="200" w:lineRule="auto" w:line="360"/>
        <w:jc w:val="left"/>
        <w:rPr>
          <w:rFonts w:ascii="Calibri" w:eastAsia="Calibri" w:hAnsi="Calibri" w:hint="default"/>
          <w:sz w:val="22"/>
          <w:szCs w:val="24"/>
        </w:rPr>
      </w:pPr>
      <w:r>
        <w:rPr>
          <w:rFonts w:ascii="Calibri" w:eastAsia="Calibri" w:hAnsi="Calibri" w:hint="default"/>
          <w:sz w:val="22"/>
          <w:szCs w:val="24"/>
        </w:rPr>
        <w:t>‌Murphy, P. (200</w:t>
      </w:r>
      <w:r>
        <w:rPr>
          <w:rFonts w:ascii="Calibri" w:eastAsia="Calibri" w:hAnsi="Calibri" w:hint="default"/>
          <w:sz w:val="22"/>
          <w:szCs w:val="24"/>
          <w:lang w:val="en-US"/>
        </w:rPr>
        <w:t>1</w:t>
      </w:r>
      <w:r>
        <w:rPr>
          <w:rFonts w:ascii="Calibri" w:eastAsia="Calibri" w:hAnsi="Calibri" w:hint="default"/>
          <w:sz w:val="22"/>
          <w:szCs w:val="24"/>
        </w:rPr>
        <w:t xml:space="preserve">9). The Business of Resort Management. [online] Google Books. Routledge. Available at: </w:t>
      </w:r>
      <w:r>
        <w:rPr>
          <w:rFonts w:ascii="Calibri" w:eastAsia="Calibri" w:hAnsi="Calibri" w:hint="default"/>
          <w:sz w:val="22"/>
          <w:szCs w:val="24"/>
        </w:rPr>
        <w:fldChar w:fldCharType="begin"/>
      </w:r>
      <w:r>
        <w:rPr>
          <w:rFonts w:ascii="Calibri" w:eastAsia="Calibri" w:hAnsi="Calibri" w:hint="default"/>
          <w:sz w:val="22"/>
          <w:szCs w:val="24"/>
        </w:rPr>
        <w:instrText xml:space="preserve">HYPERLINK https://books.google.com.pk/books?hl=en&amp;lr=&amp;id=KG6ixOAQ4UMC&amp;oi=fnd&amp;pg=PP2&amp;dq=Strategic+Financial+Analysis+and+Turnaround+Strategy+for+The+Seaview+Resort&amp;ots=UjmshuCH5V&amp;sig=vssiriGLl-dmFKzAoibNle2Dlq0&amp;redir_esc=y#v=onepage&amp;q&amp;f=false </w:instrText>
      </w:r>
      <w:r>
        <w:rPr>
          <w:rFonts w:ascii="Calibri" w:eastAsia="Calibri" w:hAnsi="Calibri" w:hint="default"/>
          <w:sz w:val="22"/>
          <w:szCs w:val="24"/>
        </w:rPr>
        <w:fldChar w:fldCharType="separate"/>
      </w:r>
      <w:r>
        <w:rPr>
          <w:rFonts w:ascii="Calibri" w:eastAsia="Calibri" w:hAnsi="Calibri" w:hint="default"/>
          <w:sz w:val="22"/>
          <w:szCs w:val="24"/>
        </w:rPr>
        <w:t>https://books.google.com.pk/books?hl=en&amp;lr=&amp;id=KG6ixOAQ4UMC&amp;oi=fnd&amp;pg=PP2&amp;dq=Strategic+Financial+Analysis+and+Turnaround+Strategy+for+The+Seaview+Resort&amp;ots=UjmshuCH5V&amp;sig=vssiriGLl-dmFKzAoibNle2Dlq0&amp;redir_esc=y#v=onepage&amp;q&amp;f=false</w:t>
      </w:r>
      <w:r>
        <w:rPr>
          <w:rFonts w:ascii="Calibri" w:eastAsia="Calibri" w:hAnsi="Calibri" w:hint="default"/>
          <w:sz w:val="22"/>
          <w:szCs w:val="24"/>
        </w:rPr>
        <w:fldChar w:fldCharType="end"/>
      </w:r>
      <w:r>
        <w:rPr>
          <w:rFonts w:ascii="Calibri" w:eastAsia="Calibri" w:hAnsi="Calibri" w:hint="default"/>
          <w:sz w:val="22"/>
          <w:szCs w:val="24"/>
        </w:rPr>
        <w:t xml:space="preserve"> [Accessed 13 Nov. 2023].</w:t>
      </w:r>
    </w:p>
    <w:p>
      <w:pPr>
        <w:pStyle w:val="style0"/>
        <w:spacing w:after="200" w:lineRule="auto" w:line="360"/>
        <w:jc w:val="left"/>
        <w:rPr>
          <w:rFonts w:ascii="Calibri" w:eastAsia="Calibri" w:hAnsi="Calibri" w:hint="default"/>
          <w:sz w:val="22"/>
          <w:szCs w:val="24"/>
        </w:rPr>
      </w:pPr>
    </w:p>
    <w:p>
      <w:pPr>
        <w:pStyle w:val="style0"/>
        <w:spacing w:after="200" w:lineRule="auto" w:line="360"/>
        <w:jc w:val="left"/>
        <w:rPr>
          <w:rFonts w:ascii="Calibri" w:eastAsia="Calibri" w:hAnsi="Calibri" w:hint="default"/>
          <w:sz w:val="22"/>
          <w:szCs w:val="24"/>
        </w:rPr>
      </w:pPr>
      <w:r>
        <w:rPr>
          <w:rFonts w:ascii="Calibri" w:eastAsia="Calibri" w:hAnsi="Calibri" w:hint="default"/>
          <w:sz w:val="22"/>
          <w:szCs w:val="24"/>
        </w:rPr>
        <w:t xml:space="preserve">‌Duarte, M.G. de P.T. (2019). Investing in an overleveraged touristic asset by oxy capital: case study Hotel Praia D’El Rey Marriott Golf &amp; Beach Resort. [online] run.unl.pt. Available at: </w:t>
      </w:r>
      <w:r>
        <w:rPr>
          <w:rFonts w:ascii="Calibri" w:eastAsia="Calibri" w:hAnsi="Calibri" w:hint="default"/>
          <w:sz w:val="22"/>
          <w:szCs w:val="24"/>
        </w:rPr>
        <w:fldChar w:fldCharType="begin"/>
      </w:r>
      <w:r>
        <w:rPr>
          <w:rFonts w:ascii="Calibri" w:eastAsia="Calibri" w:hAnsi="Calibri" w:hint="default"/>
          <w:sz w:val="22"/>
          <w:szCs w:val="24"/>
        </w:rPr>
        <w:instrText xml:space="preserve">HYPERLINK https://run.unl.pt/handle/10362/69600 </w:instrText>
      </w:r>
      <w:r>
        <w:rPr>
          <w:rFonts w:ascii="Calibri" w:eastAsia="Calibri" w:hAnsi="Calibri" w:hint="default"/>
          <w:sz w:val="22"/>
          <w:szCs w:val="24"/>
        </w:rPr>
        <w:fldChar w:fldCharType="separate"/>
      </w:r>
      <w:r>
        <w:rPr>
          <w:rFonts w:ascii="Calibri" w:eastAsia="Calibri" w:hAnsi="Calibri" w:hint="default"/>
          <w:sz w:val="22"/>
          <w:szCs w:val="24"/>
        </w:rPr>
        <w:t>https://run.unl.pt/handle/10362/69600</w:t>
      </w:r>
      <w:r>
        <w:rPr>
          <w:rFonts w:ascii="Calibri" w:eastAsia="Calibri" w:hAnsi="Calibri" w:hint="default"/>
          <w:sz w:val="22"/>
          <w:szCs w:val="24"/>
        </w:rPr>
        <w:fldChar w:fldCharType="end"/>
      </w:r>
      <w:r>
        <w:rPr>
          <w:rFonts w:ascii="Calibri" w:eastAsia="Calibri" w:hAnsi="Calibri" w:hint="default"/>
          <w:sz w:val="22"/>
          <w:szCs w:val="24"/>
        </w:rPr>
        <w:t xml:space="preserve"> [Accessed 13 Nov. 2023].</w:t>
      </w:r>
    </w:p>
    <w:p>
      <w:pPr>
        <w:pStyle w:val="style0"/>
        <w:spacing w:after="200" w:lineRule="auto" w:line="360"/>
        <w:jc w:val="left"/>
        <w:rPr>
          <w:rFonts w:ascii="Calibri" w:eastAsia="Calibri" w:hAnsi="Calibri" w:hint="default"/>
          <w:sz w:val="22"/>
          <w:szCs w:val="24"/>
        </w:rPr>
      </w:pPr>
    </w:p>
    <w:p>
      <w:pPr>
        <w:pStyle w:val="style0"/>
        <w:spacing w:after="200" w:lineRule="auto" w:line="360"/>
        <w:jc w:val="left"/>
        <w:rPr>
          <w:rFonts w:ascii="Calibri" w:eastAsia="Calibri" w:hAnsi="Calibri" w:hint="default"/>
          <w:sz w:val="22"/>
          <w:szCs w:val="24"/>
        </w:rPr>
      </w:pPr>
    </w:p>
    <w:p>
      <w:pPr>
        <w:pStyle w:val="style0"/>
        <w:spacing w:after="200" w:lineRule="auto" w:line="360"/>
        <w:jc w:val="left"/>
        <w:rPr>
          <w:rFonts w:ascii="Calibri" w:eastAsia="Calibri" w:hAnsi="Calibri" w:hint="default"/>
          <w:sz w:val="22"/>
          <w:szCs w:val="24"/>
        </w:rPr>
      </w:pPr>
      <w:r>
        <w:rPr>
          <w:rFonts w:ascii="Calibri" w:eastAsia="Calibri" w:hAnsi="Calibri" w:hint="default"/>
          <w:sz w:val="22"/>
          <w:szCs w:val="24"/>
        </w:rPr>
        <w:t>‌Peel, D &amp; Lloyd, G 2010, ‘Strategic regeneration: A policy coupling approach to managing a coastal resort in South Wales’, Environmental Hazards, vol. 9, no. 3, pp. 301–318.</w:t>
      </w:r>
    </w:p>
    <w:p>
      <w:pPr>
        <w:pStyle w:val="style0"/>
        <w:spacing w:after="200" w:lineRule="auto" w:line="360"/>
        <w:jc w:val="left"/>
        <w:rPr>
          <w:rFonts w:ascii="Calibri" w:eastAsia="Calibri" w:hAnsi="Calibri" w:hint="default"/>
          <w:sz w:val="22"/>
          <w:szCs w:val="24"/>
        </w:rPr>
      </w:pPr>
    </w:p>
    <w:p>
      <w:pPr>
        <w:pStyle w:val="style0"/>
        <w:spacing w:after="200" w:lineRule="auto" w:line="360"/>
        <w:jc w:val="left"/>
        <w:rPr>
          <w:rFonts w:ascii="Calibri" w:eastAsia="Calibri" w:hAnsi="Calibri" w:hint="default"/>
          <w:sz w:val="22"/>
          <w:szCs w:val="24"/>
        </w:rPr>
      </w:pPr>
      <w:r>
        <w:rPr>
          <w:rFonts w:ascii="Calibri" w:eastAsia="Calibri" w:hAnsi="Calibri" w:hint="default"/>
          <w:sz w:val="22"/>
          <w:szCs w:val="24"/>
        </w:rPr>
        <w:t>‌OECD Investment Policy Reviews Caribbean Rim NETHERLANDS ANTILLES ORGANISATION FOR ECONOMIC CO-OPERATION AND DEVELOPMENT n.d., viewed 13 November 2023, &lt;</w:t>
      </w:r>
      <w:r>
        <w:rPr>
          <w:rFonts w:ascii="Calibri" w:eastAsia="Calibri" w:hAnsi="Calibri" w:hint="default"/>
          <w:sz w:val="22"/>
          <w:szCs w:val="24"/>
        </w:rPr>
        <w:fldChar w:fldCharType="begin"/>
      </w:r>
      <w:r>
        <w:rPr>
          <w:rFonts w:ascii="Calibri" w:eastAsia="Calibri" w:hAnsi="Calibri" w:hint="default"/>
          <w:sz w:val="22"/>
          <w:szCs w:val="24"/>
        </w:rPr>
        <w:instrText>HYPERLINK "https://edc.gov.bz/wp-content/uploads/2016/11/OECD-Investment-Policy-Reviews1.pdf"</w:instrText>
      </w:r>
      <w:r>
        <w:rPr>
          <w:rFonts w:ascii="Calibri" w:eastAsia="Calibri" w:hAnsi="Calibri" w:hint="default"/>
          <w:sz w:val="22"/>
          <w:szCs w:val="24"/>
        </w:rPr>
        <w:fldChar w:fldCharType="separate"/>
      </w:r>
      <w:r>
        <w:rPr>
          <w:rFonts w:ascii="Calibri" w:eastAsia="Calibri" w:hAnsi="Calibri" w:hint="default"/>
          <w:sz w:val="22"/>
          <w:szCs w:val="24"/>
        </w:rPr>
        <w:t>https://edc.gov.bz/wp-content/uploads/201</w:t>
      </w:r>
      <w:r>
        <w:rPr>
          <w:rFonts w:ascii="Calibri" w:eastAsia="Calibri" w:hAnsi="Calibri" w:hint="default"/>
          <w:sz w:val="22"/>
          <w:szCs w:val="24"/>
          <w:lang w:val="en-US"/>
        </w:rPr>
        <w:t>9</w:t>
      </w:r>
      <w:r>
        <w:rPr>
          <w:rFonts w:ascii="Calibri" w:eastAsia="Calibri" w:hAnsi="Calibri" w:hint="default"/>
          <w:sz w:val="22"/>
          <w:szCs w:val="24"/>
        </w:rPr>
        <w:t>/11/OECD-Investment-Policy-Reviews1.pdf</w:t>
      </w:r>
      <w:r>
        <w:rPr>
          <w:rFonts w:ascii="Calibri" w:eastAsia="Calibri" w:hAnsi="Calibri" w:hint="default"/>
          <w:sz w:val="22"/>
          <w:szCs w:val="24"/>
        </w:rPr>
        <w:fldChar w:fldCharType="end"/>
      </w:r>
      <w:r>
        <w:rPr>
          <w:rFonts w:ascii="Calibri" w:eastAsia="Calibri" w:hAnsi="Calibri" w:hint="default"/>
          <w:sz w:val="22"/>
          <w:szCs w:val="24"/>
        </w:rPr>
        <w:t>&gt;.</w:t>
      </w:r>
    </w:p>
    <w:p>
      <w:pPr>
        <w:pStyle w:val="style0"/>
        <w:spacing w:after="200" w:lineRule="auto" w:line="360"/>
        <w:jc w:val="left"/>
        <w:rPr>
          <w:rFonts w:ascii="Calibri" w:eastAsia="Calibri" w:hAnsi="Calibri" w:hint="default"/>
          <w:sz w:val="22"/>
          <w:szCs w:val="24"/>
        </w:rPr>
      </w:pPr>
    </w:p>
    <w:p>
      <w:pPr>
        <w:pStyle w:val="style0"/>
        <w:spacing w:after="200" w:lineRule="auto" w:line="360"/>
        <w:jc w:val="left"/>
        <w:rPr>
          <w:rFonts w:ascii="Calibri" w:eastAsia="Calibri" w:hAnsi="Calibri" w:hint="default"/>
          <w:sz w:val="22"/>
          <w:szCs w:val="24"/>
        </w:rPr>
      </w:pPr>
      <w:r>
        <w:rPr>
          <w:rFonts w:ascii="Calibri" w:eastAsia="Calibri" w:hAnsi="Calibri" w:hint="default"/>
          <w:sz w:val="22"/>
          <w:szCs w:val="24"/>
        </w:rPr>
        <w:t>‌Erie, SP 2004, Globalizing L.A.: Trade, Infrastructure, and Regional Development, Google Books, Stanford University Press, viewed 13 November 2023, &lt;</w:t>
      </w:r>
      <w:r>
        <w:rPr>
          <w:rFonts w:ascii="Calibri" w:eastAsia="Calibri" w:hAnsi="Calibri" w:hint="default"/>
          <w:sz w:val="22"/>
          <w:szCs w:val="24"/>
        </w:rPr>
        <w:fldChar w:fldCharType="begin"/>
      </w:r>
      <w:r>
        <w:rPr>
          <w:rFonts w:ascii="Calibri" w:eastAsia="Calibri" w:hAnsi="Calibri" w:hint="default"/>
          <w:sz w:val="22"/>
          <w:szCs w:val="24"/>
        </w:rPr>
        <w:instrText>HYPERLINK "https://books.google.com/books?hl=en&amp;lr=&amp;id=Ev6CxWymkeIC&amp;oi=fnd&amp;pg=PR7&amp;dq=Strategic+Financial+Analysis+and+Turnaround+Strategy+for+The+Seaview+Resort&amp;ots=H5N9sHAD-1&amp;sig=ODuIV1jncQ3EaKeNSTNqslgxB_E"</w:instrText>
      </w:r>
      <w:r>
        <w:rPr>
          <w:rFonts w:ascii="Calibri" w:eastAsia="Calibri" w:hAnsi="Calibri" w:hint="default"/>
          <w:sz w:val="22"/>
          <w:szCs w:val="24"/>
        </w:rPr>
        <w:fldChar w:fldCharType="separate"/>
      </w:r>
      <w:r>
        <w:rPr>
          <w:rFonts w:ascii="Calibri" w:eastAsia="Calibri" w:hAnsi="Calibri" w:hint="default"/>
          <w:sz w:val="22"/>
          <w:szCs w:val="24"/>
        </w:rPr>
        <w:t>https://books.google.com/books?hl=en&amp;lr=&amp;id=Ev6CxWymkeIC&amp;oi=fnd&amp;pg=PR7&amp;dq=Strategic+Financial+Analysis+and+Turnaround+Strategy+for+The+Seaview+Resort&amp;ots=H5N9sHAD-1&amp;sig=ODuIV1jncQ3EaKeNSTNqslgxB_E</w:t>
      </w:r>
      <w:r>
        <w:rPr>
          <w:rFonts w:ascii="Calibri" w:eastAsia="Calibri" w:hAnsi="Calibri" w:hint="default"/>
          <w:sz w:val="22"/>
          <w:szCs w:val="24"/>
        </w:rPr>
        <w:fldChar w:fldCharType="end"/>
      </w:r>
      <w:r>
        <w:rPr>
          <w:rFonts w:ascii="Calibri" w:eastAsia="Calibri" w:hAnsi="Calibri" w:hint="default"/>
          <w:sz w:val="22"/>
          <w:szCs w:val="24"/>
        </w:rPr>
        <w:t>&gt;.</w:t>
      </w:r>
    </w:p>
    <w:p>
      <w:pPr>
        <w:pStyle w:val="style0"/>
        <w:spacing w:after="200" w:lineRule="auto" w:line="360"/>
        <w:jc w:val="left"/>
        <w:rPr>
          <w:rFonts w:ascii="Calibri" w:eastAsia="Calibri" w:hAnsi="Calibri" w:hint="default"/>
          <w:sz w:val="22"/>
          <w:szCs w:val="24"/>
        </w:rPr>
      </w:pPr>
    </w:p>
    <w:p>
      <w:pPr>
        <w:pStyle w:val="style0"/>
        <w:spacing w:after="200" w:lineRule="auto" w:line="360"/>
        <w:jc w:val="left"/>
        <w:rPr>
          <w:rFonts w:ascii="Calibri" w:eastAsia="Calibri" w:hAnsi="Calibri" w:hint="default"/>
          <w:sz w:val="22"/>
          <w:szCs w:val="24"/>
        </w:rPr>
      </w:pPr>
      <w:r>
        <w:rPr>
          <w:rFonts w:ascii="Calibri" w:eastAsia="Calibri" w:hAnsi="Calibri" w:hint="default"/>
          <w:sz w:val="22"/>
          <w:szCs w:val="24"/>
        </w:rPr>
        <w:t>‌</w:t>
      </w:r>
    </w:p>
    <w:p>
      <w:pPr>
        <w:pStyle w:val="style0"/>
        <w:spacing w:lineRule="auto" w:line="360"/>
        <w:rPr>
          <w:rFonts w:hint="default"/>
          <w:lang w:val="en-US"/>
        </w:rPr>
      </w:pPr>
    </w:p>
    <w:sectPr>
      <w:headerReference w:type="default" r:id="rId3"/>
      <w:pgSz w:w="11906" w:h="16838" w:orient="portrait"/>
      <w:pgMar w:top="1440" w:right="1800" w:bottom="1440" w:left="1800" w:header="720" w:footer="720"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20007A87" w:usb1="80000000" w:usb2="00000008" w:usb3="00000000" w:csb0="000001FF" w:csb1="00000000"/>
  </w:font>
  <w:font w:name="宋体">
    <w:altName w:val="SimSun"/>
    <w:panose1 w:val="02010600030001010101"/>
    <w:charset w:val="86"/>
    <w:family w:val="auto"/>
    <w:pitch w:val="variable"/>
    <w:sig w:usb0="00000003" w:usb1="080E0000" w:usb2="00000010" w:usb3="00000000" w:csb0="00040001" w:csb1="00000000"/>
  </w:font>
  <w:font w:name="SimSun">
    <w:altName w:val="SimSun"/>
    <w:panose1 w:val="02010600030001010101"/>
    <w:charset w:val="86"/>
    <w:family w:val="auto"/>
    <w:pitch w:val="default"/>
    <w:sig w:usb0="00000203" w:usb1="288F0000" w:usb2="00000006" w:usb3="00000000" w:csb0="00040001" w:csb1="00000000"/>
  </w:font>
  <w:font w:name="Arial">
    <w:altName w:val="Arial"/>
    <w:panose1 w:val="020b0604020002020204"/>
    <w:charset w:val="00"/>
    <w:family w:val="swiss"/>
    <w:pitch w:val="default"/>
    <w:sig w:usb0="E0002EFF" w:usb1="C000785B" w:usb2="00000009" w:usb3="00000000" w:csb0="400001FF" w:csb1="FFFF0000"/>
  </w:font>
  <w:font w:name="黑体">
    <w:altName w:val="SimSun"/>
    <w:panose1 w:val="02010600030001010101"/>
    <w:charset w:val="86"/>
    <w:family w:val="auto"/>
    <w:pitch w:val="default"/>
    <w:sig w:usb0="00000001" w:usb1="080E0000" w:usb2="00000010" w:usb3="00000000" w:csb0="00040000" w:csb1="00000000"/>
  </w:font>
  <w:font w:name="Courier New">
    <w:altName w:val="Courier New"/>
    <w:panose1 w:val="02070309020002020404"/>
    <w:charset w:val="00"/>
    <w:family w:val="modern"/>
    <w:pitch w:val="default"/>
    <w:sig w:usb0="E0002EFF" w:usb1="C0007843" w:usb2="00000009" w:usb3="00000000" w:csb0="400001FF" w:csb1="FFFF0000"/>
  </w:font>
  <w:font w:name="Wingdings">
    <w:altName w:val="Wingdings"/>
    <w:panose1 w:val="05000000000000000000"/>
    <w:charset w:val="02"/>
    <w:family w:val="auto"/>
    <w:pitch w:val="default"/>
    <w:sig w:usb0="00000000" w:usb1="00000000" w:usb2="00000000" w:usb3="00000000" w:csb0="80000000" w:csb1="00000000"/>
  </w:font>
  <w:font w:name="Calibri">
    <w:altName w:val="Calibri"/>
    <w:panose1 w:val="020f0502020002030204"/>
    <w:charset w:val="00"/>
    <w:family w:val="swiss"/>
    <w:pitch w:val="default"/>
    <w:sig w:usb0="E4002EFF" w:usb1="C000247B" w:usb2="00000009" w:usb3="00000000" w:csb0="200001FF" w:csb1="00000000"/>
  </w:font>
  <w:font w:name="Symbol">
    <w:altName w:val="Symbol"/>
    <w:panose1 w:val="05050102010007020507"/>
    <w:charset w:val="00"/>
    <w:family w:val="auto"/>
    <w:pitch w:val="default"/>
    <w:sig w:usb0="00000000" w:usb1="00000000" w:usb2="00000000" w:usb3="00000000" w:csb0="80000000" w:csb1="00000000"/>
  </w:font>
  <w:font w:name="Segoe UI">
    <w:altName w:val="Segoe UI"/>
    <w:panose1 w:val="020b0502040002020203"/>
    <w:charset w:val="00"/>
    <w:family w:val="auto"/>
    <w:pitch w:val="default"/>
    <w:sig w:usb0="E4002EFF" w:usb1="C000E47F" w:usb2="00000009" w:usb3="00000000" w:csb0="200001FF" w:csb1="00000000"/>
  </w:font>
</w:font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rPr/>
    </w:pPr>
    <w:r>
      <w:rPr>
        <w:sz w:val="18"/>
      </w:rPr>
      <mc:AlternateContent>
        <mc:Choice Requires="wps">
          <w:drawing>
            <wp:anchor distT="0" distB="0" distL="0" distR="0" simplePos="false" relativeHeight="2" behindDoc="false" locked="false" layoutInCell="true" allowOverlap="true">
              <wp:simplePos x="0" y="0"/>
              <wp:positionH relativeFrom="margin">
                <wp:align>right</wp:align>
              </wp:positionH>
              <wp:positionV relativeFrom="paragraph">
                <wp:posOffset>0</wp:posOffset>
              </wp:positionV>
              <wp:extent cx="1828800" cy="1828800"/>
              <wp:effectExtent l="0" t="0" r="0" b="0"/>
              <wp:wrapNone/>
              <wp:docPr id="4097" name="Text Box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828800" cy="1828800"/>
                      </a:xfrm>
                      <a:prstGeom prst="rect"/>
                      <a:ln>
                        <a:noFill/>
                      </a:ln>
                    </wps:spPr>
                    <wps:txbx id="4097">
                      <w:txbxContent>
                        <w:p>
                          <w:pPr>
                            <w:pStyle w:val="style31"/>
                            <w:rPr/>
                          </w:pPr>
                          <w:r>
                            <w:rPr/>
                            <w:fldChar w:fldCharType="begin"/>
                          </w:r>
                          <w:r>
                            <w:instrText xml:space="preserve"> PAGE  \* MERGEFORMAT </w:instrText>
                          </w:r>
                          <w:r>
                            <w:rPr/>
                            <w:fldChar w:fldCharType="separate"/>
                          </w:r>
                          <w:r>
                            <w:t>2</w:t>
                          </w:r>
                          <w:r>
                            <w:rPr/>
                            <w:fldChar w:fldCharType="end"/>
                          </w:r>
                        </w:p>
                      </w:txbxContent>
                    </wps:txbx>
                    <wps:bodyPr lIns="0" rIns="0" tIns="0" bIns="0" vert="horz" anchor="t" wrap="none" upright="false">
                      <a:prstTxWarp prst="textNoShape"/>
                      <a:spAutoFit/>
                    </wps:bodyPr>
                  </wps:wsp>
                </a:graphicData>
              </a:graphic>
            </wp:anchor>
          </w:drawing>
        </mc:Choice>
        <mc:Fallback>
          <w:pict>
            <v:rect id="4097" filled="f" stroked="f" style="position:absolute;margin-left:0.0pt;margin-top:0.0pt;width:144.0pt;height:144.0pt;z-index:2;mso-position-horizontal:right;mso-position-horizontal-relative:margin;mso-position-vertical-relative:text;mso-width-relative:page;mso-height-relative:page;mso-wrap-distance-left:0.0pt;mso-wrap-distance-right:0.0pt;visibility:visible;mso-wrap-style:none;">
              <v:stroke on="f" weight="0.5pt"/>
              <v:fill/>
              <v:textbox inset="0.0pt,0.0pt,0.0pt,0.0pt" style="mso-fit-shape-to-text:true;">
                <w:txbxContent>
                  <w:p>
                    <w:pPr>
                      <w:pStyle w:val="style31"/>
                      <w:rPr/>
                    </w:pPr>
                    <w:r>
                      <w:rPr/>
                      <w:fldChar w:fldCharType="begin"/>
                    </w:r>
                    <w:r>
                      <w:instrText xml:space="preserve"> PAGE  \* MERGEFORMAT </w:instrText>
                    </w:r>
                    <w:r>
                      <w:rPr/>
                      <w:fldChar w:fldCharType="separate"/>
                    </w:r>
                    <w:r>
                      <w:t>2</w:t>
                    </w:r>
                    <w:r>
                      <w:rPr/>
                      <w:fldChar w:fldCharType="end"/>
                    </w: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A9769BAB"/>
    <w:lvl w:ilvl="0">
      <w:start w:val="1"/>
      <w:numFmt w:val="bullet"/>
      <w:lvlText w:val=""/>
      <w:lvlJc w:val="left"/>
      <w:pPr>
        <w:tabs>
          <w:tab w:val="left" w:leader="none" w:pos="720"/>
        </w:tabs>
        <w:ind w:left="720" w:hanging="360"/>
      </w:pPr>
      <w:rPr>
        <w:rFonts w:ascii="Symbol" w:cs="Symbol" w:hAnsi="Symbol" w:hint="default"/>
        <w:sz w:val="20"/>
      </w:rPr>
    </w:lvl>
    <w:lvl w:ilvl="1">
      <w:start w:val="1"/>
      <w:numFmt w:val="bullet"/>
      <w:lvlText w:val=""/>
      <w:lvlJc w:val="left"/>
      <w:pPr>
        <w:tabs>
          <w:tab w:val="left" w:leader="none" w:pos="1440"/>
        </w:tabs>
        <w:ind w:left="1440" w:hanging="360"/>
      </w:pPr>
      <w:rPr>
        <w:rFonts w:ascii="Symbol" w:cs="Symbol" w:hAnsi="Symbol" w:hint="default"/>
        <w:sz w:val="20"/>
      </w:rPr>
    </w:lvl>
    <w:lvl w:ilvl="2">
      <w:start w:val="1"/>
      <w:numFmt w:val="bullet"/>
      <w:lvlText w:val=""/>
      <w:lvlJc w:val="left"/>
      <w:pPr>
        <w:tabs>
          <w:tab w:val="left" w:leader="none" w:pos="2160"/>
        </w:tabs>
        <w:ind w:left="2160" w:hanging="360"/>
      </w:pPr>
      <w:rPr>
        <w:rFonts w:ascii="Symbol" w:cs="Symbol" w:hAnsi="Symbol" w:hint="default"/>
        <w:sz w:val="20"/>
      </w:rPr>
    </w:lvl>
    <w:lvl w:ilvl="3">
      <w:start w:val="1"/>
      <w:numFmt w:val="bullet"/>
      <w:lvlText w:val=""/>
      <w:lvlJc w:val="left"/>
      <w:pPr>
        <w:tabs>
          <w:tab w:val="left" w:leader="none" w:pos="2880"/>
        </w:tabs>
        <w:ind w:left="2880" w:hanging="360"/>
      </w:pPr>
      <w:rPr>
        <w:rFonts w:ascii="Symbol" w:cs="Symbol" w:hAnsi="Symbol" w:hint="default"/>
        <w:sz w:val="20"/>
      </w:rPr>
    </w:lvl>
    <w:lvl w:ilvl="4">
      <w:start w:val="1"/>
      <w:numFmt w:val="bullet"/>
      <w:lvlText w:val=""/>
      <w:lvlJc w:val="left"/>
      <w:pPr>
        <w:tabs>
          <w:tab w:val="left" w:leader="none" w:pos="3600"/>
        </w:tabs>
        <w:ind w:left="3600" w:hanging="360"/>
      </w:pPr>
      <w:rPr>
        <w:rFonts w:ascii="Symbol" w:cs="Symbol" w:hAnsi="Symbol" w:hint="default"/>
        <w:sz w:val="20"/>
      </w:rPr>
    </w:lvl>
    <w:lvl w:ilvl="5">
      <w:start w:val="1"/>
      <w:numFmt w:val="bullet"/>
      <w:lvlText w:val=""/>
      <w:lvlJc w:val="left"/>
      <w:pPr>
        <w:tabs>
          <w:tab w:val="left" w:leader="none" w:pos="4320"/>
        </w:tabs>
        <w:ind w:left="4320" w:hanging="360"/>
      </w:pPr>
      <w:rPr>
        <w:rFonts w:ascii="Symbol" w:cs="Symbol" w:hAnsi="Symbol" w:hint="default"/>
        <w:sz w:val="20"/>
      </w:rPr>
    </w:lvl>
    <w:lvl w:ilvl="6">
      <w:start w:val="1"/>
      <w:numFmt w:val="bullet"/>
      <w:lvlText w:val=""/>
      <w:lvlJc w:val="left"/>
      <w:pPr>
        <w:tabs>
          <w:tab w:val="left" w:leader="none" w:pos="5040"/>
        </w:tabs>
        <w:ind w:left="5040" w:hanging="360"/>
      </w:pPr>
      <w:rPr>
        <w:rFonts w:ascii="Symbol" w:cs="Symbol" w:hAnsi="Symbol" w:hint="default"/>
        <w:sz w:val="20"/>
      </w:rPr>
    </w:lvl>
    <w:lvl w:ilvl="7">
      <w:start w:val="1"/>
      <w:numFmt w:val="bullet"/>
      <w:lvlText w:val=""/>
      <w:lvlJc w:val="left"/>
      <w:pPr>
        <w:tabs>
          <w:tab w:val="left" w:leader="none" w:pos="5760"/>
        </w:tabs>
        <w:ind w:left="5760" w:hanging="360"/>
      </w:pPr>
      <w:rPr>
        <w:rFonts w:ascii="Symbol" w:cs="Symbol" w:hAnsi="Symbol" w:hint="default"/>
        <w:sz w:val="20"/>
      </w:rPr>
    </w:lvl>
    <w:lvl w:ilvl="8">
      <w:start w:val="1"/>
      <w:numFmt w:val="bullet"/>
      <w:lvlText w:val=""/>
      <w:lvlJc w:val="left"/>
      <w:pPr>
        <w:tabs>
          <w:tab w:val="left" w:leader="none" w:pos="6480"/>
        </w:tabs>
        <w:ind w:left="6480" w:hanging="360"/>
      </w:pPr>
      <w:rPr>
        <w:rFonts w:ascii="Symbol" w:cs="Symbol" w:hAnsi="Symbol" w:hint="default"/>
        <w:sz w:val="20"/>
      </w:rPr>
    </w:lvl>
  </w:abstractNum>
  <w:abstractNum w:abstractNumId="1">
    <w:nsid w:val="00000001"/>
    <w:multiLevelType w:val="multilevel"/>
    <w:tmpl w:val="AACE6CE0"/>
    <w:lvl w:ilvl="0">
      <w:start w:val="1"/>
      <w:numFmt w:val="bullet"/>
      <w:lvlText w:val=""/>
      <w:lvlJc w:val="left"/>
      <w:pPr>
        <w:tabs>
          <w:tab w:val="left" w:leader="none" w:pos="720"/>
        </w:tabs>
        <w:ind w:left="720" w:hanging="360"/>
      </w:pPr>
      <w:rPr>
        <w:rFonts w:ascii="Symbol" w:cs="Symbol" w:hAnsi="Symbol"/>
        <w:sz w:val="20"/>
      </w:rPr>
    </w:lvl>
    <w:lvl w:ilvl="1">
      <w:start w:val="1"/>
      <w:numFmt w:val="bullet"/>
      <w:lvlText w:val=""/>
      <w:lvlJc w:val="left"/>
      <w:pPr>
        <w:tabs>
          <w:tab w:val="left" w:leader="none" w:pos="1440"/>
        </w:tabs>
        <w:ind w:left="1440" w:hanging="360"/>
      </w:pPr>
      <w:rPr>
        <w:rFonts w:ascii="Symbol" w:cs="Symbol" w:hAnsi="Symbol" w:hint="default"/>
        <w:sz w:val="20"/>
      </w:rPr>
    </w:lvl>
    <w:lvl w:ilvl="2">
      <w:start w:val="1"/>
      <w:numFmt w:val="bullet"/>
      <w:lvlText w:val=""/>
      <w:lvlJc w:val="left"/>
      <w:pPr>
        <w:tabs>
          <w:tab w:val="left" w:leader="none" w:pos="2160"/>
        </w:tabs>
        <w:ind w:left="2160" w:hanging="360"/>
      </w:pPr>
      <w:rPr>
        <w:rFonts w:ascii="Symbol" w:cs="Symbol" w:hAnsi="Symbol" w:hint="default"/>
        <w:sz w:val="20"/>
      </w:rPr>
    </w:lvl>
    <w:lvl w:ilvl="3">
      <w:start w:val="1"/>
      <w:numFmt w:val="bullet"/>
      <w:lvlText w:val=""/>
      <w:lvlJc w:val="left"/>
      <w:pPr>
        <w:tabs>
          <w:tab w:val="left" w:leader="none" w:pos="2880"/>
        </w:tabs>
        <w:ind w:left="2880" w:hanging="360"/>
      </w:pPr>
      <w:rPr>
        <w:rFonts w:ascii="Symbol" w:cs="Symbol" w:hAnsi="Symbol" w:hint="default"/>
        <w:sz w:val="20"/>
      </w:rPr>
    </w:lvl>
    <w:lvl w:ilvl="4">
      <w:start w:val="1"/>
      <w:numFmt w:val="bullet"/>
      <w:lvlText w:val=""/>
      <w:lvlJc w:val="left"/>
      <w:pPr>
        <w:tabs>
          <w:tab w:val="left" w:leader="none" w:pos="3600"/>
        </w:tabs>
        <w:ind w:left="3600" w:hanging="360"/>
      </w:pPr>
      <w:rPr>
        <w:rFonts w:ascii="Symbol" w:cs="Symbol" w:hAnsi="Symbol" w:hint="default"/>
        <w:sz w:val="20"/>
      </w:rPr>
    </w:lvl>
    <w:lvl w:ilvl="5">
      <w:start w:val="1"/>
      <w:numFmt w:val="bullet"/>
      <w:lvlText w:val=""/>
      <w:lvlJc w:val="left"/>
      <w:pPr>
        <w:tabs>
          <w:tab w:val="left" w:leader="none" w:pos="4320"/>
        </w:tabs>
        <w:ind w:left="4320" w:hanging="360"/>
      </w:pPr>
      <w:rPr>
        <w:rFonts w:ascii="Symbol" w:cs="Symbol" w:hAnsi="Symbol" w:hint="default"/>
        <w:sz w:val="20"/>
      </w:rPr>
    </w:lvl>
    <w:lvl w:ilvl="6">
      <w:start w:val="1"/>
      <w:numFmt w:val="bullet"/>
      <w:lvlText w:val=""/>
      <w:lvlJc w:val="left"/>
      <w:pPr>
        <w:tabs>
          <w:tab w:val="left" w:leader="none" w:pos="5040"/>
        </w:tabs>
        <w:ind w:left="5040" w:hanging="360"/>
      </w:pPr>
      <w:rPr>
        <w:rFonts w:ascii="Symbol" w:cs="Symbol" w:hAnsi="Symbol" w:hint="default"/>
        <w:sz w:val="20"/>
      </w:rPr>
    </w:lvl>
    <w:lvl w:ilvl="7">
      <w:start w:val="1"/>
      <w:numFmt w:val="bullet"/>
      <w:lvlText w:val=""/>
      <w:lvlJc w:val="left"/>
      <w:pPr>
        <w:tabs>
          <w:tab w:val="left" w:leader="none" w:pos="5760"/>
        </w:tabs>
        <w:ind w:left="5760" w:hanging="360"/>
      </w:pPr>
      <w:rPr>
        <w:rFonts w:ascii="Symbol" w:cs="Symbol" w:hAnsi="Symbol" w:hint="default"/>
        <w:sz w:val="20"/>
      </w:rPr>
    </w:lvl>
    <w:lvl w:ilvl="8">
      <w:start w:val="1"/>
      <w:numFmt w:val="bullet"/>
      <w:lvlText w:val=""/>
      <w:lvlJc w:val="left"/>
      <w:pPr>
        <w:tabs>
          <w:tab w:val="left" w:leader="none" w:pos="6480"/>
        </w:tabs>
        <w:ind w:left="6480" w:hanging="360"/>
      </w:pPr>
      <w:rPr>
        <w:rFonts w:ascii="Symbol" w:cs="Symbol" w:hAnsi="Symbol" w:hint="default"/>
        <w:sz w:val="20"/>
      </w:rPr>
    </w:lvl>
  </w:abstractNum>
  <w:abstractNum w:abstractNumId="2">
    <w:nsid w:val="00000002"/>
    <w:multiLevelType w:val="multilevel"/>
    <w:tmpl w:val="BB0C4C8D"/>
    <w:lvl w:ilvl="0">
      <w:start w:val="1"/>
      <w:numFmt w:val="bullet"/>
      <w:lvlText w:val=""/>
      <w:lvlJc w:val="left"/>
      <w:pPr>
        <w:tabs>
          <w:tab w:val="left" w:leader="none" w:pos="720"/>
        </w:tabs>
        <w:ind w:left="720" w:hanging="360"/>
      </w:pPr>
      <w:rPr>
        <w:rFonts w:ascii="Symbol" w:cs="Symbol" w:hAnsi="Symbol" w:hint="default"/>
        <w:sz w:val="20"/>
      </w:rPr>
    </w:lvl>
    <w:lvl w:ilvl="1">
      <w:start w:val="1"/>
      <w:numFmt w:val="bullet"/>
      <w:lvlText w:val=""/>
      <w:lvlJc w:val="left"/>
      <w:pPr>
        <w:tabs>
          <w:tab w:val="left" w:leader="none" w:pos="1440"/>
        </w:tabs>
        <w:ind w:left="1440" w:hanging="360"/>
      </w:pPr>
      <w:rPr>
        <w:rFonts w:ascii="Symbol" w:cs="Symbol" w:hAnsi="Symbol" w:hint="default"/>
        <w:sz w:val="20"/>
      </w:rPr>
    </w:lvl>
    <w:lvl w:ilvl="2">
      <w:start w:val="1"/>
      <w:numFmt w:val="bullet"/>
      <w:lvlText w:val=""/>
      <w:lvlJc w:val="left"/>
      <w:pPr>
        <w:tabs>
          <w:tab w:val="left" w:leader="none" w:pos="2160"/>
        </w:tabs>
        <w:ind w:left="2160" w:hanging="360"/>
      </w:pPr>
      <w:rPr>
        <w:rFonts w:ascii="Symbol" w:cs="Symbol" w:hAnsi="Symbol" w:hint="default"/>
        <w:sz w:val="20"/>
      </w:rPr>
    </w:lvl>
    <w:lvl w:ilvl="3">
      <w:start w:val="1"/>
      <w:numFmt w:val="bullet"/>
      <w:lvlText w:val=""/>
      <w:lvlJc w:val="left"/>
      <w:pPr>
        <w:tabs>
          <w:tab w:val="left" w:leader="none" w:pos="2880"/>
        </w:tabs>
        <w:ind w:left="2880" w:hanging="360"/>
      </w:pPr>
      <w:rPr>
        <w:rFonts w:ascii="Symbol" w:cs="Symbol" w:hAnsi="Symbol" w:hint="default"/>
        <w:sz w:val="20"/>
      </w:rPr>
    </w:lvl>
    <w:lvl w:ilvl="4">
      <w:start w:val="1"/>
      <w:numFmt w:val="bullet"/>
      <w:lvlText w:val=""/>
      <w:lvlJc w:val="left"/>
      <w:pPr>
        <w:tabs>
          <w:tab w:val="left" w:leader="none" w:pos="3600"/>
        </w:tabs>
        <w:ind w:left="3600" w:hanging="360"/>
      </w:pPr>
      <w:rPr>
        <w:rFonts w:ascii="Symbol" w:cs="Symbol" w:hAnsi="Symbol" w:hint="default"/>
        <w:sz w:val="20"/>
      </w:rPr>
    </w:lvl>
    <w:lvl w:ilvl="5">
      <w:start w:val="1"/>
      <w:numFmt w:val="bullet"/>
      <w:lvlText w:val=""/>
      <w:lvlJc w:val="left"/>
      <w:pPr>
        <w:tabs>
          <w:tab w:val="left" w:leader="none" w:pos="4320"/>
        </w:tabs>
        <w:ind w:left="4320" w:hanging="360"/>
      </w:pPr>
      <w:rPr>
        <w:rFonts w:ascii="Symbol" w:cs="Symbol" w:hAnsi="Symbol" w:hint="default"/>
        <w:sz w:val="20"/>
      </w:rPr>
    </w:lvl>
    <w:lvl w:ilvl="6">
      <w:start w:val="1"/>
      <w:numFmt w:val="bullet"/>
      <w:lvlText w:val=""/>
      <w:lvlJc w:val="left"/>
      <w:pPr>
        <w:tabs>
          <w:tab w:val="left" w:leader="none" w:pos="5040"/>
        </w:tabs>
        <w:ind w:left="5040" w:hanging="360"/>
      </w:pPr>
      <w:rPr>
        <w:rFonts w:ascii="Symbol" w:cs="Symbol" w:hAnsi="Symbol" w:hint="default"/>
        <w:sz w:val="20"/>
      </w:rPr>
    </w:lvl>
    <w:lvl w:ilvl="7">
      <w:start w:val="1"/>
      <w:numFmt w:val="bullet"/>
      <w:lvlText w:val=""/>
      <w:lvlJc w:val="left"/>
      <w:pPr>
        <w:tabs>
          <w:tab w:val="left" w:leader="none" w:pos="5760"/>
        </w:tabs>
        <w:ind w:left="5760" w:hanging="360"/>
      </w:pPr>
      <w:rPr>
        <w:rFonts w:ascii="Symbol" w:cs="Symbol" w:hAnsi="Symbol" w:hint="default"/>
        <w:sz w:val="20"/>
      </w:rPr>
    </w:lvl>
    <w:lvl w:ilvl="8">
      <w:start w:val="1"/>
      <w:numFmt w:val="bullet"/>
      <w:lvlText w:val=""/>
      <w:lvlJc w:val="left"/>
      <w:pPr>
        <w:tabs>
          <w:tab w:val="left" w:leader="none" w:pos="6480"/>
        </w:tabs>
        <w:ind w:left="6480" w:hanging="360"/>
      </w:pPr>
      <w:rPr>
        <w:rFonts w:ascii="Symbol" w:cs="Symbol" w:hAnsi="Symbol" w:hint="default"/>
        <w:sz w:val="20"/>
      </w:rPr>
    </w:lvl>
  </w:abstractNum>
  <w:abstractNum w:abstractNumId="3">
    <w:nsid w:val="00000003"/>
    <w:multiLevelType w:val="singleLevel"/>
    <w:tmpl w:val="DBE55AD2"/>
    <w:lvl w:ilvl="0">
      <w:start w:val="1"/>
      <w:numFmt w:val="bullet"/>
      <w:lvlText w:val=""/>
      <w:lvlJc w:val="left"/>
      <w:pPr>
        <w:tabs>
          <w:tab w:val="left" w:leader="none" w:pos="420"/>
        </w:tabs>
        <w:ind w:left="420" w:leftChars="0" w:hanging="420" w:firstLineChars="0"/>
      </w:pPr>
      <w:rPr>
        <w:rFonts w:ascii="Wingdings" w:hAnsi="Wingdings" w:hint="default"/>
      </w:rPr>
    </w:lvl>
  </w:abstractNum>
  <w:abstractNum w:abstractNumId="4">
    <w:nsid w:val="00000004"/>
    <w:multiLevelType w:val="multilevel"/>
    <w:tmpl w:val="E1F843A5"/>
    <w:lvl w:ilvl="0">
      <w:start w:val="1"/>
      <w:numFmt w:val="bullet"/>
      <w:lvlText w:val=""/>
      <w:lvlJc w:val="left"/>
      <w:pPr>
        <w:tabs>
          <w:tab w:val="left" w:leader="none" w:pos="720"/>
        </w:tabs>
        <w:ind w:left="720" w:hanging="360"/>
      </w:pPr>
      <w:rPr>
        <w:rFonts w:ascii="Symbol" w:cs="Symbol" w:hAnsi="Symbol" w:hint="default"/>
        <w:sz w:val="20"/>
      </w:rPr>
    </w:lvl>
    <w:lvl w:ilvl="1">
      <w:start w:val="1"/>
      <w:numFmt w:val="bullet"/>
      <w:lvlText w:val=""/>
      <w:lvlJc w:val="left"/>
      <w:pPr>
        <w:tabs>
          <w:tab w:val="left" w:leader="none" w:pos="1440"/>
        </w:tabs>
        <w:ind w:left="1440" w:hanging="360"/>
      </w:pPr>
      <w:rPr>
        <w:rFonts w:ascii="Symbol" w:cs="Symbol" w:hAnsi="Symbol" w:hint="default"/>
        <w:sz w:val="20"/>
      </w:rPr>
    </w:lvl>
    <w:lvl w:ilvl="2">
      <w:start w:val="1"/>
      <w:numFmt w:val="bullet"/>
      <w:lvlText w:val=""/>
      <w:lvlJc w:val="left"/>
      <w:pPr>
        <w:tabs>
          <w:tab w:val="left" w:leader="none" w:pos="2160"/>
        </w:tabs>
        <w:ind w:left="2160" w:hanging="360"/>
      </w:pPr>
      <w:rPr>
        <w:rFonts w:ascii="Symbol" w:cs="Symbol" w:hAnsi="Symbol" w:hint="default"/>
        <w:sz w:val="20"/>
      </w:rPr>
    </w:lvl>
    <w:lvl w:ilvl="3">
      <w:start w:val="1"/>
      <w:numFmt w:val="bullet"/>
      <w:lvlText w:val=""/>
      <w:lvlJc w:val="left"/>
      <w:pPr>
        <w:tabs>
          <w:tab w:val="left" w:leader="none" w:pos="2880"/>
        </w:tabs>
        <w:ind w:left="2880" w:hanging="360"/>
      </w:pPr>
      <w:rPr>
        <w:rFonts w:ascii="Symbol" w:cs="Symbol" w:hAnsi="Symbol" w:hint="default"/>
        <w:sz w:val="20"/>
      </w:rPr>
    </w:lvl>
    <w:lvl w:ilvl="4">
      <w:start w:val="1"/>
      <w:numFmt w:val="bullet"/>
      <w:lvlText w:val=""/>
      <w:lvlJc w:val="left"/>
      <w:pPr>
        <w:tabs>
          <w:tab w:val="left" w:leader="none" w:pos="3600"/>
        </w:tabs>
        <w:ind w:left="3600" w:hanging="360"/>
      </w:pPr>
      <w:rPr>
        <w:rFonts w:ascii="Symbol" w:cs="Symbol" w:hAnsi="Symbol" w:hint="default"/>
        <w:sz w:val="20"/>
      </w:rPr>
    </w:lvl>
    <w:lvl w:ilvl="5">
      <w:start w:val="1"/>
      <w:numFmt w:val="bullet"/>
      <w:lvlText w:val=""/>
      <w:lvlJc w:val="left"/>
      <w:pPr>
        <w:tabs>
          <w:tab w:val="left" w:leader="none" w:pos="4320"/>
        </w:tabs>
        <w:ind w:left="4320" w:hanging="360"/>
      </w:pPr>
      <w:rPr>
        <w:rFonts w:ascii="Symbol" w:cs="Symbol" w:hAnsi="Symbol" w:hint="default"/>
        <w:sz w:val="20"/>
      </w:rPr>
    </w:lvl>
    <w:lvl w:ilvl="6">
      <w:start w:val="1"/>
      <w:numFmt w:val="bullet"/>
      <w:lvlText w:val=""/>
      <w:lvlJc w:val="left"/>
      <w:pPr>
        <w:tabs>
          <w:tab w:val="left" w:leader="none" w:pos="5040"/>
        </w:tabs>
        <w:ind w:left="5040" w:hanging="360"/>
      </w:pPr>
      <w:rPr>
        <w:rFonts w:ascii="Symbol" w:cs="Symbol" w:hAnsi="Symbol" w:hint="default"/>
        <w:sz w:val="20"/>
      </w:rPr>
    </w:lvl>
    <w:lvl w:ilvl="7">
      <w:start w:val="1"/>
      <w:numFmt w:val="bullet"/>
      <w:lvlText w:val=""/>
      <w:lvlJc w:val="left"/>
      <w:pPr>
        <w:tabs>
          <w:tab w:val="left" w:leader="none" w:pos="5760"/>
        </w:tabs>
        <w:ind w:left="5760" w:hanging="360"/>
      </w:pPr>
      <w:rPr>
        <w:rFonts w:ascii="Symbol" w:cs="Symbol" w:hAnsi="Symbol" w:hint="default"/>
        <w:sz w:val="20"/>
      </w:rPr>
    </w:lvl>
    <w:lvl w:ilvl="8">
      <w:start w:val="1"/>
      <w:numFmt w:val="bullet"/>
      <w:lvlText w:val=""/>
      <w:lvlJc w:val="left"/>
      <w:pPr>
        <w:tabs>
          <w:tab w:val="left" w:leader="none" w:pos="6480"/>
        </w:tabs>
        <w:ind w:left="6480" w:hanging="360"/>
      </w:pPr>
      <w:rPr>
        <w:rFonts w:ascii="Symbol" w:cs="Symbol" w:hAnsi="Symbol" w:hint="default"/>
        <w:sz w:val="20"/>
      </w:rPr>
    </w:lvl>
  </w:abstractNum>
  <w:abstractNum w:abstractNumId="5">
    <w:nsid w:val="00000005"/>
    <w:multiLevelType w:val="multilevel"/>
    <w:tmpl w:val="0FFB913F"/>
    <w:lvl w:ilvl="0">
      <w:start w:val="1"/>
      <w:numFmt w:val="bullet"/>
      <w:lvlText w:val=""/>
      <w:lvlJc w:val="left"/>
      <w:pPr>
        <w:tabs>
          <w:tab w:val="left" w:leader="none" w:pos="720"/>
        </w:tabs>
        <w:ind w:left="720" w:hanging="360"/>
      </w:pPr>
      <w:rPr>
        <w:rFonts w:ascii="Symbol" w:cs="Symbol" w:hAnsi="Symbol" w:hint="default"/>
        <w:sz w:val="20"/>
      </w:rPr>
    </w:lvl>
    <w:lvl w:ilvl="1">
      <w:start w:val="1"/>
      <w:numFmt w:val="bullet"/>
      <w:lvlText w:val=""/>
      <w:lvlJc w:val="left"/>
      <w:pPr>
        <w:tabs>
          <w:tab w:val="left" w:leader="none" w:pos="1440"/>
        </w:tabs>
        <w:ind w:left="1440" w:hanging="360"/>
      </w:pPr>
      <w:rPr>
        <w:rFonts w:ascii="Symbol" w:cs="Symbol" w:hAnsi="Symbol" w:hint="default"/>
        <w:sz w:val="20"/>
      </w:rPr>
    </w:lvl>
    <w:lvl w:ilvl="2">
      <w:start w:val="1"/>
      <w:numFmt w:val="bullet"/>
      <w:lvlText w:val=""/>
      <w:lvlJc w:val="left"/>
      <w:pPr>
        <w:tabs>
          <w:tab w:val="left" w:leader="none" w:pos="2160"/>
        </w:tabs>
        <w:ind w:left="2160" w:hanging="360"/>
      </w:pPr>
      <w:rPr>
        <w:rFonts w:ascii="Symbol" w:cs="Symbol" w:hAnsi="Symbol" w:hint="default"/>
        <w:sz w:val="20"/>
      </w:rPr>
    </w:lvl>
    <w:lvl w:ilvl="3">
      <w:start w:val="1"/>
      <w:numFmt w:val="bullet"/>
      <w:lvlText w:val=""/>
      <w:lvlJc w:val="left"/>
      <w:pPr>
        <w:tabs>
          <w:tab w:val="left" w:leader="none" w:pos="2880"/>
        </w:tabs>
        <w:ind w:left="2880" w:hanging="360"/>
      </w:pPr>
      <w:rPr>
        <w:rFonts w:ascii="Symbol" w:cs="Symbol" w:hAnsi="Symbol" w:hint="default"/>
        <w:sz w:val="20"/>
      </w:rPr>
    </w:lvl>
    <w:lvl w:ilvl="4">
      <w:start w:val="1"/>
      <w:numFmt w:val="bullet"/>
      <w:lvlText w:val=""/>
      <w:lvlJc w:val="left"/>
      <w:pPr>
        <w:tabs>
          <w:tab w:val="left" w:leader="none" w:pos="3600"/>
        </w:tabs>
        <w:ind w:left="3600" w:hanging="360"/>
      </w:pPr>
      <w:rPr>
        <w:rFonts w:ascii="Symbol" w:cs="Symbol" w:hAnsi="Symbol" w:hint="default"/>
        <w:sz w:val="20"/>
      </w:rPr>
    </w:lvl>
    <w:lvl w:ilvl="5">
      <w:start w:val="1"/>
      <w:numFmt w:val="bullet"/>
      <w:lvlText w:val=""/>
      <w:lvlJc w:val="left"/>
      <w:pPr>
        <w:tabs>
          <w:tab w:val="left" w:leader="none" w:pos="4320"/>
        </w:tabs>
        <w:ind w:left="4320" w:hanging="360"/>
      </w:pPr>
      <w:rPr>
        <w:rFonts w:ascii="Symbol" w:cs="Symbol" w:hAnsi="Symbol" w:hint="default"/>
        <w:sz w:val="20"/>
      </w:rPr>
    </w:lvl>
    <w:lvl w:ilvl="6">
      <w:start w:val="1"/>
      <w:numFmt w:val="bullet"/>
      <w:lvlText w:val=""/>
      <w:lvlJc w:val="left"/>
      <w:pPr>
        <w:tabs>
          <w:tab w:val="left" w:leader="none" w:pos="5040"/>
        </w:tabs>
        <w:ind w:left="5040" w:hanging="360"/>
      </w:pPr>
      <w:rPr>
        <w:rFonts w:ascii="Symbol" w:cs="Symbol" w:hAnsi="Symbol" w:hint="default"/>
        <w:sz w:val="20"/>
      </w:rPr>
    </w:lvl>
    <w:lvl w:ilvl="7">
      <w:start w:val="1"/>
      <w:numFmt w:val="bullet"/>
      <w:lvlText w:val=""/>
      <w:lvlJc w:val="left"/>
      <w:pPr>
        <w:tabs>
          <w:tab w:val="left" w:leader="none" w:pos="5760"/>
        </w:tabs>
        <w:ind w:left="5760" w:hanging="360"/>
      </w:pPr>
      <w:rPr>
        <w:rFonts w:ascii="Symbol" w:cs="Symbol" w:hAnsi="Symbol" w:hint="default"/>
        <w:sz w:val="20"/>
      </w:rPr>
    </w:lvl>
    <w:lvl w:ilvl="8">
      <w:start w:val="1"/>
      <w:numFmt w:val="bullet"/>
      <w:lvlText w:val=""/>
      <w:lvlJc w:val="left"/>
      <w:pPr>
        <w:tabs>
          <w:tab w:val="left" w:leader="none" w:pos="6480"/>
        </w:tabs>
        <w:ind w:left="6480" w:hanging="360"/>
      </w:pPr>
      <w:rPr>
        <w:rFonts w:ascii="Symbol" w:cs="Symbol" w:hAnsi="Symbol" w:hint="default"/>
        <w:sz w:val="20"/>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1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cumentProtection w:enforcement="0"/>
  <w:defaultTabStop w:val="720"/>
  <w:drawingGridVerticalSpacing w:val="156"/>
  <w:displayHorizontalDrawingGridEvery w:val="1"/>
  <w:displayVerticalDrawingGridEvery w:val="1"/>
  <w:noPunctuationKerning/>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SimSun" w:hAnsi="Times New Roman"/>
      </w:rPr>
    </w:rPrDefault>
    <w:pPrDefault>
      <w:pPr/>
    </w:pPrDefault>
  </w:docDefaults>
  <w:style w:type="paragraph" w:default="1" w:styleId="style0">
    <w:name w:val="Normal"/>
    <w:next w:val="style0"/>
    <w:qFormat/>
    <w:uiPriority w:val="0"/>
    <w:pPr/>
    <w:rPr>
      <w:rFonts w:ascii="Calibri" w:cs="宋体" w:eastAsia="宋体" w:hAnsi="Calibri"/>
      <w:lang w:val="en-US" w:bidi="ar-SA" w:eastAsia="zh-CN"/>
    </w:rPr>
  </w:style>
  <w:style w:type="paragraph" w:styleId="style1">
    <w:name w:val="heading 1"/>
    <w:next w:val="style0"/>
    <w:qFormat/>
    <w:uiPriority w:val="0"/>
    <w:pPr>
      <w:spacing w:before="0" w:beforeAutospacing="true" w:after="0" w:afterAutospacing="true"/>
      <w:jc w:val="left"/>
    </w:pPr>
    <w:rPr>
      <w:rFonts w:ascii="SimSun" w:cs="SimSun" w:eastAsia="SimSun" w:hAnsi="SimSun" w:hint="eastAsia"/>
      <w:b/>
      <w:bCs/>
      <w:kern w:val="44"/>
      <w:sz w:val="48"/>
      <w:szCs w:val="48"/>
      <w:lang w:val="en-US" w:eastAsia="zh-CN"/>
    </w:rPr>
  </w:style>
  <w:style w:type="paragraph" w:styleId="style2">
    <w:name w:val="heading 2"/>
    <w:next w:val="style0"/>
    <w:qFormat/>
    <w:uiPriority w:val="0"/>
    <w:pPr>
      <w:spacing w:before="0" w:beforeAutospacing="true" w:after="0" w:afterAutospacing="true"/>
      <w:jc w:val="left"/>
    </w:pPr>
    <w:rPr>
      <w:rFonts w:ascii="SimSun" w:cs="SimSun" w:eastAsia="SimSun" w:hAnsi="SimSun" w:hint="eastAsia"/>
      <w:b/>
      <w:bCs/>
      <w:kern w:val="0"/>
      <w:sz w:val="36"/>
      <w:szCs w:val="36"/>
      <w:lang w:val="en-US" w:eastAsia="zh-CN"/>
    </w:rPr>
  </w:style>
  <w:style w:type="paragraph" w:styleId="style3">
    <w:name w:val="heading 3"/>
    <w:next w:val="style0"/>
    <w:qFormat/>
    <w:uiPriority w:val="0"/>
    <w:pPr>
      <w:spacing w:before="0" w:beforeAutospacing="true" w:after="0" w:afterAutospacing="true"/>
      <w:jc w:val="left"/>
    </w:pPr>
    <w:rPr>
      <w:rFonts w:ascii="SimSun" w:cs="SimSun" w:eastAsia="SimSun" w:hAnsi="SimSun" w:hint="eastAsia"/>
      <w:b/>
      <w:bCs/>
      <w:kern w:val="0"/>
      <w:sz w:val="27"/>
      <w:szCs w:val="27"/>
      <w:lang w:val="en-US" w:eastAsia="zh-CN"/>
    </w:rPr>
  </w:style>
  <w:style w:type="character" w:default="1" w:styleId="style65">
    <w:name w:val="Default Paragraph Font"/>
    <w:next w:val="style65"/>
    <w:qFormat/>
    <w:uiPriority w:val="0"/>
  </w:style>
  <w:style w:type="table" w:default="1" w:styleId="style105">
    <w:name w:val="Normal Table"/>
    <w:next w:val="style105"/>
    <w:qFormat/>
    <w:uiPriority w:val="0"/>
    <w:pPr/>
    <w:rPr/>
    <w:tblPr>
      <w:tblCellMar>
        <w:top w:w="0" w:type="dxa"/>
        <w:left w:w="108" w:type="dxa"/>
        <w:bottom w:w="0" w:type="dxa"/>
        <w:right w:w="108" w:type="dxa"/>
      </w:tblCellMar>
    </w:tblPr>
    <w:tcPr>
      <w:tcBorders/>
    </w:tcPr>
  </w:style>
  <w:style w:type="paragraph" w:styleId="style32">
    <w:name w:val="footer"/>
    <w:basedOn w:val="style0"/>
    <w:next w:val="style32"/>
    <w:uiPriority w:val="0"/>
    <w:pPr>
      <w:tabs>
        <w:tab w:val="center" w:leader="none" w:pos="4153"/>
        <w:tab w:val="right" w:leader="none" w:pos="8306"/>
      </w:tabs>
      <w:snapToGrid w:val="false"/>
      <w:jc w:val="left"/>
    </w:pPr>
    <w:rPr>
      <w:sz w:val="18"/>
      <w:szCs w:val="18"/>
    </w:rPr>
  </w:style>
  <w:style w:type="paragraph" w:styleId="style31">
    <w:name w:val="header"/>
    <w:basedOn w:val="style0"/>
    <w:next w:val="style31"/>
    <w:uiPriority w:val="0"/>
    <w:pPr>
      <w:tabs>
        <w:tab w:val="center" w:leader="none" w:pos="4153"/>
        <w:tab w:val="right" w:leader="none" w:pos="8306"/>
      </w:tabs>
      <w:snapToGrid w:val="false"/>
    </w:pPr>
    <w:rPr>
      <w:sz w:val="18"/>
      <w:szCs w:val="18"/>
    </w:rPr>
  </w:style>
  <w:style w:type="paragraph" w:styleId="style94">
    <w:name w:val="Normal (Web)"/>
    <w:next w:val="style94"/>
    <w:uiPriority w:val="0"/>
    <w:pPr>
      <w:spacing w:before="0" w:beforeAutospacing="true" w:after="0" w:afterAutospacing="true"/>
      <w:ind w:left="0" w:right="0"/>
      <w:jc w:val="left"/>
    </w:pPr>
    <w:rPr>
      <w:kern w:val="0"/>
      <w:sz w:val="24"/>
      <w:szCs w:val="24"/>
      <w:lang w:val="en-US" w:eastAsia="zh-CN"/>
    </w:rPr>
  </w:style>
  <w:style w:type="character" w:styleId="style87">
    <w:name w:val="Strong"/>
    <w:basedOn w:val="style65"/>
    <w:next w:val="style87"/>
    <w:qFormat/>
    <w:uiPriority w:val="0"/>
    <w:rPr>
      <w:b/>
      <w:bCs/>
    </w:rPr>
  </w:style>
  <w:style w:type="paragraph" w:styleId="style19">
    <w:name w:val="toc 1"/>
    <w:basedOn w:val="style0"/>
    <w:next w:val="style0"/>
    <w:uiPriority w:val="0"/>
    <w:pPr/>
  </w:style>
  <w:style w:type="paragraph" w:styleId="style20">
    <w:name w:val="toc 2"/>
    <w:basedOn w:val="style0"/>
    <w:next w:val="style0"/>
    <w:uiPriority w:val="0"/>
    <w:pPr>
      <w:ind w:left="420" w:leftChars="20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chart" Target="charts/chart1.xml"/><Relationship Id="rId3" Type="http://schemas.openxmlformats.org/officeDocument/2006/relationships/header" Target="head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charts/_rels/chart1.xml.rels><?xml version="1.0" encoding="UTF-8"?>
<Relationships xmlns="http://schemas.openxmlformats.org/package/2006/relationships"><Relationship Id="rId1" Type="http://schemas.openxmlformats.org/officeDocument/2006/relationships/oleObject" TargetMode="External" Target="Book1"/><Relationship Id="rId2" Type="http://schemas.microsoft.com/office/2011/relationships/chartStyle" Target="style1.xml"/><Relationship Id="rId3" Type="http://schemas.microsoft.com/office/2011/relationships/chartColorStyle" Target="colors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en-US" sz="1800" b="1" i="0" u="none" strike="noStrike" kern="1200" baseline="0">
              <a:solidFill>
                <a:schemeClr val="dk1">
                  <a:lumMod val="75000"/>
                  <a:lumOff val="25000"/>
                </a:schemeClr>
              </a:solidFill>
              <a:latin typeface="+mn-lt"/>
              <a:ea typeface="+mn-ea"/>
              <a:cs typeface="+mn-cs"/>
            </a:defRPr>
          </a:pPr>
        </a:p>
      </c:txPr>
    </c:title>
    <c:autoTitleDeleted val="0"/>
    <c:plotArea>
      <c:layout/>
      <c:pieChart>
        <c:varyColors val="1"/>
        <c:ser>
          <c:idx val="0"/>
          <c:order val="0"/>
          <c:tx>
            <c:strRef>
              <c:f>[Book1]Sheet1!$D$9</c:f>
              <c:strCache>
                <c:ptCount val="1"/>
                <c:pt idx="0">
                  <c:v>Net Profit Margin</c:v>
                </c:pt>
              </c:strCache>
            </c:strRef>
          </c:tx>
          <c:spPr/>
          <c:explosion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0" vertOverflow="ellipsis" vert="horz" wrap="square" lIns="38100" tIns="19050" rIns="38100" bIns="19050" anchor="ctr" anchorCtr="1"/>
              <a:lstStyle/>
              <a:p>
                <a:pPr>
                  <a:defRPr lang="en-US" sz="1000" b="1" i="0" u="none" strike="noStrike" kern="1200" baseline="0">
                    <a:solidFill>
                      <a:schemeClr val="lt1"/>
                    </a:solidFill>
                    <a:latin typeface="+mn-lt"/>
                    <a:ea typeface="+mn-ea"/>
                    <a:cs typeface="+mn-cs"/>
                  </a:defRPr>
                </a:pPr>
              </a:p>
            </c:txPr>
            <c:dLblPos val="ctr"/>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multiLvlStrRef>
              <c:f>[Book1]Sheet1!$E$4:$G$8</c:f>
              <c:multiLvlStrCache>
                <c:ptCount val="3"/>
                <c:lvl>
                  <c:pt idx="0">
                    <c:v>£78,000</c:v>
                  </c:pt>
                  <c:pt idx="1">
                    <c:v>£40,000</c:v>
                  </c:pt>
                  <c:pt idx="2">
                    <c:v>£17,500</c:v>
                  </c:pt>
                </c:lvl>
                <c:lvl>
                  <c:pt idx="0">
                    <c:v>£130,000</c:v>
                  </c:pt>
                  <c:pt idx="1">
                    <c:v>£80,000</c:v>
                  </c:pt>
                  <c:pt idx="2">
                    <c:v>£80,000</c:v>
                  </c:pt>
                </c:lvl>
                <c:lvl>
                  <c:pt idx="0">
                    <c:v>£390,000</c:v>
                  </c:pt>
                  <c:pt idx="1">
                    <c:v>£400,000</c:v>
                  </c:pt>
                  <c:pt idx="2">
                    <c:v>£450,000</c:v>
                  </c:pt>
                </c:lvl>
                <c:lvl>
                  <c:pt idx="0">
                    <c:v>£520,000</c:v>
                  </c:pt>
                  <c:pt idx="1">
                    <c:v>£480,000</c:v>
                  </c:pt>
                  <c:pt idx="2">
                    <c:v>£430,000</c:v>
                  </c:pt>
                </c:lvl>
                <c:lvl>
                  <c:pt idx="0">
                    <c:v>2020</c:v>
                  </c:pt>
                  <c:pt idx="1">
                    <c:v>2021</c:v>
                  </c:pt>
                  <c:pt idx="2">
                    <c:v>2022</c:v>
                  </c:pt>
                </c:lvl>
              </c:multiLvlStrCache>
            </c:multiLvlStrRef>
          </c:cat>
          <c:val>
            <c:numRef>
              <c:f>[Book1]Sheet1!$E$9:$G$9</c:f>
              <c:numCache>
                <c:formatCode>0%</c:formatCode>
                <c:ptCount val="3"/>
                <c:pt idx="0">
                  <c:v>0.15</c:v>
                </c:pt>
                <c:pt idx="1">
                  <c:v>0.08</c:v>
                </c:pt>
                <c:pt idx="2">
                  <c:v>0.04</c:v>
                </c:pt>
              </c:numCache>
            </c:numRef>
          </c:val>
        </c:ser>
        <c:dLbls>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a:effectLst/>
  </c:spPr>
  <c:txPr>
    <a:bodyPr/>
    <a:lstStyle/>
    <a:p>
      <a:pPr>
        <a:defRPr lang="en-US"/>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2490</Words>
  <Pages>1</Pages>
  <Characters>15622</Characters>
  <Application>WPS Office</Application>
  <DocSecurity>0</DocSecurity>
  <Paragraphs>286</Paragraphs>
  <ScaleCrop>false</ScaleCrop>
  <LinksUpToDate>false</LinksUpToDate>
  <CharactersWithSpaces>17925</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2023-11-13T16:40:00Z</dcterms:created>
  <dc:creator>Shahbaz Traders</dc:creator>
  <lastModifiedBy>RMX2001</lastModifiedBy>
  <dcterms:modified xsi:type="dcterms:W3CDTF">2023-11-13T16:40:00Z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1033-12.2.0.13306</vt:lpwstr>
  </property>
  <property fmtid="{D5CDD505-2E9C-101B-9397-08002B2CF9AE}" pid="3" name="ICV">
    <vt:lpwstr>D8402ED286D441F58F501597B150CE0D_11</vt:lpwstr>
  </property>
</Properties>
</file>