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47B9C" w14:textId="77777777" w:rsidR="00977DCA" w:rsidRDefault="00977DCA" w:rsidP="00977DCA">
      <w:pPr>
        <w:spacing w:line="480" w:lineRule="auto"/>
        <w:jc w:val="both"/>
        <w:rPr>
          <w:rFonts w:ascii="Times New Roman" w:hAnsi="Times New Roman" w:cs="Times New Roman"/>
          <w:sz w:val="32"/>
          <w:szCs w:val="32"/>
        </w:rPr>
      </w:pPr>
    </w:p>
    <w:p w14:paraId="1C9A3661" w14:textId="77777777" w:rsidR="00977DCA" w:rsidRDefault="00977DCA" w:rsidP="00977DCA">
      <w:pPr>
        <w:spacing w:line="480" w:lineRule="auto"/>
        <w:jc w:val="both"/>
        <w:rPr>
          <w:rFonts w:ascii="Times New Roman" w:hAnsi="Times New Roman" w:cs="Times New Roman"/>
          <w:sz w:val="32"/>
          <w:szCs w:val="32"/>
        </w:rPr>
      </w:pPr>
    </w:p>
    <w:p w14:paraId="3A7839F7" w14:textId="1436FD25" w:rsidR="005762B5" w:rsidRPr="00977DCA" w:rsidRDefault="00977DCA" w:rsidP="00977DCA">
      <w:pPr>
        <w:spacing w:line="480" w:lineRule="auto"/>
        <w:jc w:val="both"/>
        <w:rPr>
          <w:rFonts w:ascii="Times New Roman" w:hAnsi="Times New Roman" w:cs="Times New Roman"/>
          <w:sz w:val="32"/>
          <w:szCs w:val="32"/>
        </w:rPr>
      </w:pPr>
      <w:r w:rsidRPr="00977DCA">
        <w:rPr>
          <w:rFonts w:ascii="Times New Roman" w:hAnsi="Times New Roman" w:cs="Times New Roman"/>
          <w:sz w:val="32"/>
          <w:szCs w:val="32"/>
        </w:rPr>
        <w:t>Student name: Pokal Mitesh</w:t>
      </w:r>
    </w:p>
    <w:p w14:paraId="6AC2BDF1" w14:textId="13526C5F" w:rsidR="00977DCA" w:rsidRPr="00977DCA" w:rsidRDefault="00977DCA" w:rsidP="00977DCA">
      <w:pPr>
        <w:spacing w:line="480" w:lineRule="auto"/>
        <w:jc w:val="both"/>
        <w:rPr>
          <w:rFonts w:ascii="Times New Roman" w:hAnsi="Times New Roman" w:cs="Times New Roman"/>
          <w:sz w:val="32"/>
          <w:szCs w:val="32"/>
        </w:rPr>
      </w:pPr>
      <w:r w:rsidRPr="00977DCA">
        <w:rPr>
          <w:rFonts w:ascii="Times New Roman" w:hAnsi="Times New Roman" w:cs="Times New Roman"/>
          <w:sz w:val="32"/>
          <w:szCs w:val="32"/>
        </w:rPr>
        <w:t>Student ID: 2528089</w:t>
      </w:r>
    </w:p>
    <w:p w14:paraId="0DA8F1EC" w14:textId="14C438E7" w:rsidR="00977DCA" w:rsidRPr="00977DCA" w:rsidRDefault="00977DCA" w:rsidP="00977DCA">
      <w:pPr>
        <w:spacing w:line="480" w:lineRule="auto"/>
        <w:jc w:val="both"/>
        <w:rPr>
          <w:rFonts w:ascii="Times New Roman" w:hAnsi="Times New Roman" w:cs="Times New Roman"/>
          <w:sz w:val="32"/>
          <w:szCs w:val="32"/>
        </w:rPr>
      </w:pPr>
      <w:r w:rsidRPr="00977DCA">
        <w:rPr>
          <w:rFonts w:ascii="Times New Roman" w:hAnsi="Times New Roman" w:cs="Times New Roman"/>
          <w:sz w:val="32"/>
          <w:szCs w:val="32"/>
        </w:rPr>
        <w:t>Module code: LCHS7002</w:t>
      </w:r>
    </w:p>
    <w:p w14:paraId="74E2978D" w14:textId="3FC482FC" w:rsidR="00977DCA" w:rsidRPr="00977DCA" w:rsidRDefault="00977DCA" w:rsidP="00977DCA">
      <w:pPr>
        <w:spacing w:line="480" w:lineRule="auto"/>
        <w:jc w:val="both"/>
        <w:rPr>
          <w:rFonts w:ascii="Times New Roman" w:hAnsi="Times New Roman" w:cs="Times New Roman"/>
          <w:sz w:val="32"/>
          <w:szCs w:val="32"/>
        </w:rPr>
      </w:pPr>
      <w:r w:rsidRPr="00977DCA">
        <w:rPr>
          <w:rFonts w:ascii="Times New Roman" w:hAnsi="Times New Roman" w:cs="Times New Roman"/>
          <w:sz w:val="32"/>
          <w:szCs w:val="32"/>
        </w:rPr>
        <w:t>Module title: Social Epidemiology and Public Health Development</w:t>
      </w:r>
    </w:p>
    <w:p w14:paraId="6DCA8675" w14:textId="64DC6DF8" w:rsidR="005762B5" w:rsidRDefault="00977DCA" w:rsidP="00977DCA">
      <w:pPr>
        <w:spacing w:line="480" w:lineRule="auto"/>
        <w:jc w:val="both"/>
        <w:rPr>
          <w:rFonts w:ascii="Times New Roman" w:hAnsi="Times New Roman" w:cs="Times New Roman"/>
          <w:b/>
          <w:bCs/>
          <w:sz w:val="32"/>
          <w:szCs w:val="32"/>
        </w:rPr>
      </w:pPr>
      <w:r w:rsidRPr="00977DCA">
        <w:rPr>
          <w:rFonts w:ascii="Times New Roman" w:hAnsi="Times New Roman" w:cs="Times New Roman"/>
          <w:sz w:val="32"/>
          <w:szCs w:val="32"/>
        </w:rPr>
        <w:t xml:space="preserve">Assignment title: </w:t>
      </w:r>
      <w:r w:rsidR="001E47E3" w:rsidRPr="00977DCA">
        <w:rPr>
          <w:rFonts w:ascii="Times New Roman" w:hAnsi="Times New Roman" w:cs="Times New Roman"/>
          <w:b/>
          <w:bCs/>
          <w:sz w:val="32"/>
          <w:szCs w:val="32"/>
        </w:rPr>
        <w:t>"Unequal Lives: Health Disparities Among Older Adults and an</w:t>
      </w:r>
      <w:r>
        <w:rPr>
          <w:rFonts w:ascii="Times New Roman" w:hAnsi="Times New Roman" w:cs="Times New Roman"/>
          <w:b/>
          <w:bCs/>
          <w:sz w:val="32"/>
          <w:szCs w:val="32"/>
        </w:rPr>
        <w:t xml:space="preserve"> </w:t>
      </w:r>
      <w:r w:rsidR="001E47E3" w:rsidRPr="00977DCA">
        <w:rPr>
          <w:rFonts w:ascii="Times New Roman" w:hAnsi="Times New Roman" w:cs="Times New Roman"/>
          <w:b/>
          <w:bCs/>
          <w:sz w:val="32"/>
          <w:szCs w:val="32"/>
        </w:rPr>
        <w:t>Epidemiological Analysis of Type 2 Diabetes in England"</w:t>
      </w:r>
    </w:p>
    <w:p w14:paraId="2E2F36C2" w14:textId="7881848F" w:rsidR="00977DCA" w:rsidRPr="00977DCA" w:rsidRDefault="00977DCA" w:rsidP="00977DCA">
      <w:pPr>
        <w:spacing w:line="480" w:lineRule="auto"/>
        <w:jc w:val="both"/>
        <w:rPr>
          <w:rFonts w:ascii="Times New Roman" w:hAnsi="Times New Roman" w:cs="Times New Roman"/>
          <w:b/>
          <w:bCs/>
          <w:sz w:val="32"/>
          <w:szCs w:val="32"/>
        </w:rPr>
      </w:pPr>
      <w:r w:rsidRPr="00977DCA">
        <w:rPr>
          <w:rFonts w:ascii="Times New Roman" w:hAnsi="Times New Roman" w:cs="Times New Roman"/>
          <w:sz w:val="32"/>
          <w:szCs w:val="32"/>
        </w:rPr>
        <w:t>Lecturer’s name:</w:t>
      </w:r>
      <w:r>
        <w:rPr>
          <w:rFonts w:ascii="Times New Roman" w:hAnsi="Times New Roman" w:cs="Times New Roman"/>
          <w:b/>
          <w:bCs/>
          <w:sz w:val="32"/>
          <w:szCs w:val="32"/>
        </w:rPr>
        <w:t xml:space="preserve"> Mr. Mohammad Aliyu</w:t>
      </w:r>
    </w:p>
    <w:p w14:paraId="0D953882" w14:textId="77777777" w:rsidR="005762B5" w:rsidRPr="006B1430" w:rsidRDefault="005762B5"/>
    <w:p w14:paraId="30A58C66" w14:textId="77777777" w:rsidR="005762B5" w:rsidRDefault="005762B5"/>
    <w:p w14:paraId="5A07EF3C" w14:textId="77777777" w:rsidR="005762B5" w:rsidRDefault="005762B5"/>
    <w:p w14:paraId="7D71A3E4" w14:textId="77777777" w:rsidR="005762B5" w:rsidRDefault="001E47E3">
      <w:r>
        <w:br w:type="page"/>
      </w:r>
    </w:p>
    <w:sdt>
      <w:sdtPr>
        <w:rPr>
          <w:rFonts w:ascii="Arial" w:eastAsia="Arial" w:hAnsi="Arial" w:cs="Arial"/>
          <w:color w:val="auto"/>
          <w:sz w:val="22"/>
          <w:szCs w:val="22"/>
          <w:lang w:val="en-IN" w:eastAsia="en-IN"/>
        </w:rPr>
        <w:id w:val="-1057166386"/>
        <w:docPartObj>
          <w:docPartGallery w:val="Table of Contents"/>
          <w:docPartUnique/>
        </w:docPartObj>
      </w:sdtPr>
      <w:sdtEndPr>
        <w:rPr>
          <w:b/>
          <w:bCs/>
          <w:noProof/>
        </w:rPr>
      </w:sdtEndPr>
      <w:sdtContent>
        <w:p w14:paraId="0BA94C88" w14:textId="77777777" w:rsidR="006B1430" w:rsidRPr="006B1430" w:rsidRDefault="006B1430">
          <w:pPr>
            <w:pStyle w:val="TOCHeading"/>
            <w:rPr>
              <w:rFonts w:ascii="Arial" w:hAnsi="Arial" w:cs="Arial"/>
              <w:b/>
              <w:color w:val="auto"/>
              <w:sz w:val="24"/>
              <w:szCs w:val="24"/>
            </w:rPr>
          </w:pPr>
          <w:r w:rsidRPr="006B1430">
            <w:rPr>
              <w:rFonts w:ascii="Arial" w:hAnsi="Arial" w:cs="Arial"/>
              <w:b/>
              <w:color w:val="auto"/>
              <w:sz w:val="24"/>
              <w:szCs w:val="24"/>
            </w:rPr>
            <w:t>Table of Contents</w:t>
          </w:r>
        </w:p>
        <w:p w14:paraId="78E9A3B1" w14:textId="77777777" w:rsidR="006B1430" w:rsidRDefault="006B1430">
          <w:pPr>
            <w:pStyle w:val="TOC1"/>
            <w:tabs>
              <w:tab w:val="right" w:leader="dot" w:pos="9016"/>
            </w:tabs>
            <w:rPr>
              <w:noProof/>
            </w:rPr>
          </w:pPr>
          <w:r>
            <w:fldChar w:fldCharType="begin"/>
          </w:r>
          <w:r>
            <w:instrText xml:space="preserve"> TOC \o "1-3" \h \z \u </w:instrText>
          </w:r>
          <w:r>
            <w:fldChar w:fldCharType="separate"/>
          </w:r>
          <w:hyperlink w:anchor="_Toc228394686" w:history="1">
            <w:r w:rsidRPr="00EE6EAC">
              <w:rPr>
                <w:rStyle w:val="Hyperlink"/>
                <w:noProof/>
              </w:rPr>
              <w:t>Task 1: Social Epidemiological Analysis</w:t>
            </w:r>
            <w:r>
              <w:rPr>
                <w:noProof/>
                <w:webHidden/>
              </w:rPr>
              <w:tab/>
            </w:r>
            <w:r>
              <w:rPr>
                <w:noProof/>
                <w:webHidden/>
              </w:rPr>
              <w:fldChar w:fldCharType="begin"/>
            </w:r>
            <w:r>
              <w:rPr>
                <w:noProof/>
                <w:webHidden/>
              </w:rPr>
              <w:instrText xml:space="preserve"> PAGEREF _Toc228394686 \h </w:instrText>
            </w:r>
            <w:r>
              <w:rPr>
                <w:noProof/>
                <w:webHidden/>
              </w:rPr>
            </w:r>
            <w:r>
              <w:rPr>
                <w:noProof/>
                <w:webHidden/>
              </w:rPr>
              <w:fldChar w:fldCharType="separate"/>
            </w:r>
            <w:r>
              <w:rPr>
                <w:noProof/>
                <w:webHidden/>
              </w:rPr>
              <w:t>2</w:t>
            </w:r>
            <w:r>
              <w:rPr>
                <w:noProof/>
                <w:webHidden/>
              </w:rPr>
              <w:fldChar w:fldCharType="end"/>
            </w:r>
          </w:hyperlink>
        </w:p>
        <w:p w14:paraId="3639B689" w14:textId="77777777" w:rsidR="006B1430" w:rsidRDefault="00000000">
          <w:pPr>
            <w:pStyle w:val="TOC2"/>
            <w:tabs>
              <w:tab w:val="right" w:leader="dot" w:pos="9016"/>
            </w:tabs>
            <w:rPr>
              <w:noProof/>
            </w:rPr>
          </w:pPr>
          <w:hyperlink w:anchor="_Toc228394687" w:history="1">
            <w:r w:rsidR="006B1430" w:rsidRPr="00EE6EAC">
              <w:rPr>
                <w:rStyle w:val="Hyperlink"/>
                <w:noProof/>
              </w:rPr>
              <w:t>Section A: Disease and Health-Related Inequalities</w:t>
            </w:r>
            <w:r w:rsidR="006B1430">
              <w:rPr>
                <w:noProof/>
                <w:webHidden/>
              </w:rPr>
              <w:tab/>
            </w:r>
            <w:r w:rsidR="006B1430">
              <w:rPr>
                <w:noProof/>
                <w:webHidden/>
              </w:rPr>
              <w:fldChar w:fldCharType="begin"/>
            </w:r>
            <w:r w:rsidR="006B1430">
              <w:rPr>
                <w:noProof/>
                <w:webHidden/>
              </w:rPr>
              <w:instrText xml:space="preserve"> PAGEREF _Toc228394687 \h </w:instrText>
            </w:r>
            <w:r w:rsidR="006B1430">
              <w:rPr>
                <w:noProof/>
                <w:webHidden/>
              </w:rPr>
            </w:r>
            <w:r w:rsidR="006B1430">
              <w:rPr>
                <w:noProof/>
                <w:webHidden/>
              </w:rPr>
              <w:fldChar w:fldCharType="separate"/>
            </w:r>
            <w:r w:rsidR="006B1430">
              <w:rPr>
                <w:noProof/>
                <w:webHidden/>
              </w:rPr>
              <w:t>2</w:t>
            </w:r>
            <w:r w:rsidR="006B1430">
              <w:rPr>
                <w:noProof/>
                <w:webHidden/>
              </w:rPr>
              <w:fldChar w:fldCharType="end"/>
            </w:r>
          </w:hyperlink>
        </w:p>
        <w:p w14:paraId="5F1C7B90" w14:textId="77777777" w:rsidR="006B1430" w:rsidRDefault="00000000">
          <w:pPr>
            <w:pStyle w:val="TOC2"/>
            <w:tabs>
              <w:tab w:val="right" w:leader="dot" w:pos="9016"/>
            </w:tabs>
            <w:rPr>
              <w:noProof/>
            </w:rPr>
          </w:pPr>
          <w:hyperlink w:anchor="_Toc228394688" w:history="1">
            <w:r w:rsidR="006B1430" w:rsidRPr="00EE6EAC">
              <w:rPr>
                <w:rStyle w:val="Hyperlink"/>
                <w:noProof/>
              </w:rPr>
              <w:t>1. High levels of Cardiovascular Morbidity</w:t>
            </w:r>
            <w:r w:rsidR="006B1430">
              <w:rPr>
                <w:noProof/>
                <w:webHidden/>
              </w:rPr>
              <w:tab/>
            </w:r>
            <w:r w:rsidR="006B1430">
              <w:rPr>
                <w:noProof/>
                <w:webHidden/>
              </w:rPr>
              <w:fldChar w:fldCharType="begin"/>
            </w:r>
            <w:r w:rsidR="006B1430">
              <w:rPr>
                <w:noProof/>
                <w:webHidden/>
              </w:rPr>
              <w:instrText xml:space="preserve"> PAGEREF _Toc228394688 \h </w:instrText>
            </w:r>
            <w:r w:rsidR="006B1430">
              <w:rPr>
                <w:noProof/>
                <w:webHidden/>
              </w:rPr>
            </w:r>
            <w:r w:rsidR="006B1430">
              <w:rPr>
                <w:noProof/>
                <w:webHidden/>
              </w:rPr>
              <w:fldChar w:fldCharType="separate"/>
            </w:r>
            <w:r w:rsidR="006B1430">
              <w:rPr>
                <w:noProof/>
                <w:webHidden/>
              </w:rPr>
              <w:t>2</w:t>
            </w:r>
            <w:r w:rsidR="006B1430">
              <w:rPr>
                <w:noProof/>
                <w:webHidden/>
              </w:rPr>
              <w:fldChar w:fldCharType="end"/>
            </w:r>
          </w:hyperlink>
        </w:p>
        <w:p w14:paraId="62BD1C53" w14:textId="77777777" w:rsidR="006B1430" w:rsidRDefault="00000000">
          <w:pPr>
            <w:pStyle w:val="TOC2"/>
            <w:tabs>
              <w:tab w:val="right" w:leader="dot" w:pos="9016"/>
            </w:tabs>
            <w:rPr>
              <w:noProof/>
            </w:rPr>
          </w:pPr>
          <w:hyperlink w:anchor="_Toc228394689" w:history="1">
            <w:r w:rsidR="006B1430" w:rsidRPr="00EE6EAC">
              <w:rPr>
                <w:rStyle w:val="Hyperlink"/>
                <w:noProof/>
              </w:rPr>
              <w:t>2. Growing Burden of Musculoskeletal Conditions</w:t>
            </w:r>
            <w:r w:rsidR="006B1430">
              <w:rPr>
                <w:noProof/>
                <w:webHidden/>
              </w:rPr>
              <w:tab/>
            </w:r>
            <w:r w:rsidR="006B1430">
              <w:rPr>
                <w:noProof/>
                <w:webHidden/>
              </w:rPr>
              <w:fldChar w:fldCharType="begin"/>
            </w:r>
            <w:r w:rsidR="006B1430">
              <w:rPr>
                <w:noProof/>
                <w:webHidden/>
              </w:rPr>
              <w:instrText xml:space="preserve"> PAGEREF _Toc228394689 \h </w:instrText>
            </w:r>
            <w:r w:rsidR="006B1430">
              <w:rPr>
                <w:noProof/>
                <w:webHidden/>
              </w:rPr>
            </w:r>
            <w:r w:rsidR="006B1430">
              <w:rPr>
                <w:noProof/>
                <w:webHidden/>
              </w:rPr>
              <w:fldChar w:fldCharType="separate"/>
            </w:r>
            <w:r w:rsidR="006B1430">
              <w:rPr>
                <w:noProof/>
                <w:webHidden/>
              </w:rPr>
              <w:t>2</w:t>
            </w:r>
            <w:r w:rsidR="006B1430">
              <w:rPr>
                <w:noProof/>
                <w:webHidden/>
              </w:rPr>
              <w:fldChar w:fldCharType="end"/>
            </w:r>
          </w:hyperlink>
        </w:p>
        <w:p w14:paraId="0BF49444" w14:textId="77777777" w:rsidR="006B1430" w:rsidRDefault="00000000">
          <w:pPr>
            <w:pStyle w:val="TOC2"/>
            <w:tabs>
              <w:tab w:val="right" w:leader="dot" w:pos="9016"/>
            </w:tabs>
            <w:rPr>
              <w:noProof/>
            </w:rPr>
          </w:pPr>
          <w:hyperlink w:anchor="_Toc228394690" w:history="1">
            <w:r w:rsidR="006B1430" w:rsidRPr="00EE6EAC">
              <w:rPr>
                <w:rStyle w:val="Hyperlink"/>
                <w:noProof/>
              </w:rPr>
              <w:t>3. Mental Health and Cognitive Decline Disparities</w:t>
            </w:r>
            <w:r w:rsidR="006B1430">
              <w:rPr>
                <w:noProof/>
                <w:webHidden/>
              </w:rPr>
              <w:tab/>
            </w:r>
            <w:r w:rsidR="006B1430">
              <w:rPr>
                <w:noProof/>
                <w:webHidden/>
              </w:rPr>
              <w:fldChar w:fldCharType="begin"/>
            </w:r>
            <w:r w:rsidR="006B1430">
              <w:rPr>
                <w:noProof/>
                <w:webHidden/>
              </w:rPr>
              <w:instrText xml:space="preserve"> PAGEREF _Toc228394690 \h </w:instrText>
            </w:r>
            <w:r w:rsidR="006B1430">
              <w:rPr>
                <w:noProof/>
                <w:webHidden/>
              </w:rPr>
            </w:r>
            <w:r w:rsidR="006B1430">
              <w:rPr>
                <w:noProof/>
                <w:webHidden/>
              </w:rPr>
              <w:fldChar w:fldCharType="separate"/>
            </w:r>
            <w:r w:rsidR="006B1430">
              <w:rPr>
                <w:noProof/>
                <w:webHidden/>
              </w:rPr>
              <w:t>2</w:t>
            </w:r>
            <w:r w:rsidR="006B1430">
              <w:rPr>
                <w:noProof/>
                <w:webHidden/>
              </w:rPr>
              <w:fldChar w:fldCharType="end"/>
            </w:r>
          </w:hyperlink>
        </w:p>
        <w:p w14:paraId="40E8AEB3" w14:textId="77777777" w:rsidR="006B1430" w:rsidRDefault="00000000">
          <w:pPr>
            <w:pStyle w:val="TOC2"/>
            <w:tabs>
              <w:tab w:val="right" w:leader="dot" w:pos="9016"/>
            </w:tabs>
            <w:rPr>
              <w:noProof/>
            </w:rPr>
          </w:pPr>
          <w:hyperlink w:anchor="_Toc228394691" w:history="1">
            <w:r w:rsidR="006B1430" w:rsidRPr="00EE6EAC">
              <w:rPr>
                <w:rStyle w:val="Hyperlink"/>
                <w:noProof/>
              </w:rPr>
              <w:t>Section B: Social Determinants of Health Inequality.</w:t>
            </w:r>
            <w:r w:rsidR="006B1430">
              <w:rPr>
                <w:noProof/>
                <w:webHidden/>
              </w:rPr>
              <w:tab/>
            </w:r>
            <w:r w:rsidR="006B1430">
              <w:rPr>
                <w:noProof/>
                <w:webHidden/>
              </w:rPr>
              <w:fldChar w:fldCharType="begin"/>
            </w:r>
            <w:r w:rsidR="006B1430">
              <w:rPr>
                <w:noProof/>
                <w:webHidden/>
              </w:rPr>
              <w:instrText xml:space="preserve"> PAGEREF _Toc228394691 \h </w:instrText>
            </w:r>
            <w:r w:rsidR="006B1430">
              <w:rPr>
                <w:noProof/>
                <w:webHidden/>
              </w:rPr>
            </w:r>
            <w:r w:rsidR="006B1430">
              <w:rPr>
                <w:noProof/>
                <w:webHidden/>
              </w:rPr>
              <w:fldChar w:fldCharType="separate"/>
            </w:r>
            <w:r w:rsidR="006B1430">
              <w:rPr>
                <w:noProof/>
                <w:webHidden/>
              </w:rPr>
              <w:t>3</w:t>
            </w:r>
            <w:r w:rsidR="006B1430">
              <w:rPr>
                <w:noProof/>
                <w:webHidden/>
              </w:rPr>
              <w:fldChar w:fldCharType="end"/>
            </w:r>
          </w:hyperlink>
        </w:p>
        <w:p w14:paraId="3982D322" w14:textId="77777777" w:rsidR="006B1430" w:rsidRDefault="00000000">
          <w:pPr>
            <w:pStyle w:val="TOC2"/>
            <w:tabs>
              <w:tab w:val="right" w:leader="dot" w:pos="9016"/>
            </w:tabs>
            <w:rPr>
              <w:noProof/>
            </w:rPr>
          </w:pPr>
          <w:hyperlink w:anchor="_Toc228394692" w:history="1">
            <w:r w:rsidR="006B1430" w:rsidRPr="00EE6EAC">
              <w:rPr>
                <w:rStyle w:val="Hyperlink"/>
                <w:noProof/>
              </w:rPr>
              <w:t>4. Social Disconnection and Marginalisation</w:t>
            </w:r>
            <w:r w:rsidR="006B1430">
              <w:rPr>
                <w:noProof/>
                <w:webHidden/>
              </w:rPr>
              <w:tab/>
            </w:r>
            <w:r w:rsidR="006B1430">
              <w:rPr>
                <w:noProof/>
                <w:webHidden/>
              </w:rPr>
              <w:fldChar w:fldCharType="begin"/>
            </w:r>
            <w:r w:rsidR="006B1430">
              <w:rPr>
                <w:noProof/>
                <w:webHidden/>
              </w:rPr>
              <w:instrText xml:space="preserve"> PAGEREF _Toc228394692 \h </w:instrText>
            </w:r>
            <w:r w:rsidR="006B1430">
              <w:rPr>
                <w:noProof/>
                <w:webHidden/>
              </w:rPr>
            </w:r>
            <w:r w:rsidR="006B1430">
              <w:rPr>
                <w:noProof/>
                <w:webHidden/>
              </w:rPr>
              <w:fldChar w:fldCharType="separate"/>
            </w:r>
            <w:r w:rsidR="006B1430">
              <w:rPr>
                <w:noProof/>
                <w:webHidden/>
              </w:rPr>
              <w:t>3</w:t>
            </w:r>
            <w:r w:rsidR="006B1430">
              <w:rPr>
                <w:noProof/>
                <w:webHidden/>
              </w:rPr>
              <w:fldChar w:fldCharType="end"/>
            </w:r>
          </w:hyperlink>
        </w:p>
        <w:p w14:paraId="6AEA8B7A" w14:textId="77777777" w:rsidR="006B1430" w:rsidRDefault="00000000">
          <w:pPr>
            <w:pStyle w:val="TOC2"/>
            <w:tabs>
              <w:tab w:val="right" w:leader="dot" w:pos="9016"/>
            </w:tabs>
            <w:rPr>
              <w:noProof/>
            </w:rPr>
          </w:pPr>
          <w:hyperlink w:anchor="_Toc228394693" w:history="1">
            <w:r w:rsidR="006B1430" w:rsidRPr="00EE6EAC">
              <w:rPr>
                <w:rStyle w:val="Hyperlink"/>
                <w:noProof/>
              </w:rPr>
              <w:t>5. Economic Insecurity and Material Deprivation</w:t>
            </w:r>
            <w:r w:rsidR="006B1430">
              <w:rPr>
                <w:noProof/>
                <w:webHidden/>
              </w:rPr>
              <w:tab/>
            </w:r>
            <w:r w:rsidR="006B1430">
              <w:rPr>
                <w:noProof/>
                <w:webHidden/>
              </w:rPr>
              <w:fldChar w:fldCharType="begin"/>
            </w:r>
            <w:r w:rsidR="006B1430">
              <w:rPr>
                <w:noProof/>
                <w:webHidden/>
              </w:rPr>
              <w:instrText xml:space="preserve"> PAGEREF _Toc228394693 \h </w:instrText>
            </w:r>
            <w:r w:rsidR="006B1430">
              <w:rPr>
                <w:noProof/>
                <w:webHidden/>
              </w:rPr>
            </w:r>
            <w:r w:rsidR="006B1430">
              <w:rPr>
                <w:noProof/>
                <w:webHidden/>
              </w:rPr>
              <w:fldChar w:fldCharType="separate"/>
            </w:r>
            <w:r w:rsidR="006B1430">
              <w:rPr>
                <w:noProof/>
                <w:webHidden/>
              </w:rPr>
              <w:t>3</w:t>
            </w:r>
            <w:r w:rsidR="006B1430">
              <w:rPr>
                <w:noProof/>
                <w:webHidden/>
              </w:rPr>
              <w:fldChar w:fldCharType="end"/>
            </w:r>
          </w:hyperlink>
        </w:p>
        <w:p w14:paraId="42F5B624" w14:textId="77777777" w:rsidR="006B1430" w:rsidRDefault="00000000">
          <w:pPr>
            <w:pStyle w:val="TOC2"/>
            <w:tabs>
              <w:tab w:val="right" w:leader="dot" w:pos="9016"/>
            </w:tabs>
            <w:rPr>
              <w:noProof/>
            </w:rPr>
          </w:pPr>
          <w:hyperlink w:anchor="_Toc228394694" w:history="1">
            <w:r w:rsidR="006B1430" w:rsidRPr="00EE6EAC">
              <w:rPr>
                <w:rStyle w:val="Hyperlink"/>
                <w:noProof/>
              </w:rPr>
              <w:t>6. Digital Exclusion and Barriers to Healthcare Access</w:t>
            </w:r>
            <w:r w:rsidR="006B1430">
              <w:rPr>
                <w:noProof/>
                <w:webHidden/>
              </w:rPr>
              <w:tab/>
            </w:r>
            <w:r w:rsidR="006B1430">
              <w:rPr>
                <w:noProof/>
                <w:webHidden/>
              </w:rPr>
              <w:fldChar w:fldCharType="begin"/>
            </w:r>
            <w:r w:rsidR="006B1430">
              <w:rPr>
                <w:noProof/>
                <w:webHidden/>
              </w:rPr>
              <w:instrText xml:space="preserve"> PAGEREF _Toc228394694 \h </w:instrText>
            </w:r>
            <w:r w:rsidR="006B1430">
              <w:rPr>
                <w:noProof/>
                <w:webHidden/>
              </w:rPr>
            </w:r>
            <w:r w:rsidR="006B1430">
              <w:rPr>
                <w:noProof/>
                <w:webHidden/>
              </w:rPr>
              <w:fldChar w:fldCharType="separate"/>
            </w:r>
            <w:r w:rsidR="006B1430">
              <w:rPr>
                <w:noProof/>
                <w:webHidden/>
              </w:rPr>
              <w:t>3</w:t>
            </w:r>
            <w:r w:rsidR="006B1430">
              <w:rPr>
                <w:noProof/>
                <w:webHidden/>
              </w:rPr>
              <w:fldChar w:fldCharType="end"/>
            </w:r>
          </w:hyperlink>
        </w:p>
        <w:p w14:paraId="67594F6E" w14:textId="77777777" w:rsidR="006B1430" w:rsidRDefault="00000000">
          <w:pPr>
            <w:pStyle w:val="TOC2"/>
            <w:tabs>
              <w:tab w:val="right" w:leader="dot" w:pos="9016"/>
            </w:tabs>
            <w:rPr>
              <w:noProof/>
            </w:rPr>
          </w:pPr>
          <w:hyperlink w:anchor="_Toc228394695" w:history="1">
            <w:r w:rsidR="006B1430" w:rsidRPr="00EE6EAC">
              <w:rPr>
                <w:rStyle w:val="Hyperlink"/>
                <w:noProof/>
              </w:rPr>
              <w:t>Conclusion</w:t>
            </w:r>
            <w:r w:rsidR="006B1430">
              <w:rPr>
                <w:noProof/>
                <w:webHidden/>
              </w:rPr>
              <w:tab/>
            </w:r>
            <w:r w:rsidR="006B1430">
              <w:rPr>
                <w:noProof/>
                <w:webHidden/>
              </w:rPr>
              <w:fldChar w:fldCharType="begin"/>
            </w:r>
            <w:r w:rsidR="006B1430">
              <w:rPr>
                <w:noProof/>
                <w:webHidden/>
              </w:rPr>
              <w:instrText xml:space="preserve"> PAGEREF _Toc228394695 \h </w:instrText>
            </w:r>
            <w:r w:rsidR="006B1430">
              <w:rPr>
                <w:noProof/>
                <w:webHidden/>
              </w:rPr>
            </w:r>
            <w:r w:rsidR="006B1430">
              <w:rPr>
                <w:noProof/>
                <w:webHidden/>
              </w:rPr>
              <w:fldChar w:fldCharType="separate"/>
            </w:r>
            <w:r w:rsidR="006B1430">
              <w:rPr>
                <w:noProof/>
                <w:webHidden/>
              </w:rPr>
              <w:t>4</w:t>
            </w:r>
            <w:r w:rsidR="006B1430">
              <w:rPr>
                <w:noProof/>
                <w:webHidden/>
              </w:rPr>
              <w:fldChar w:fldCharType="end"/>
            </w:r>
          </w:hyperlink>
        </w:p>
        <w:p w14:paraId="68490C52" w14:textId="77777777" w:rsidR="006B1430" w:rsidRDefault="00000000">
          <w:pPr>
            <w:pStyle w:val="TOC1"/>
            <w:tabs>
              <w:tab w:val="right" w:leader="dot" w:pos="9016"/>
            </w:tabs>
            <w:rPr>
              <w:noProof/>
            </w:rPr>
          </w:pPr>
          <w:hyperlink w:anchor="_Toc228394696" w:history="1">
            <w:r w:rsidR="006B1430" w:rsidRPr="00EE6EAC">
              <w:rPr>
                <w:rStyle w:val="Hyperlink"/>
                <w:noProof/>
              </w:rPr>
              <w:t>Task 2: Epidemiological Analysis</w:t>
            </w:r>
            <w:r w:rsidR="006B1430">
              <w:rPr>
                <w:noProof/>
                <w:webHidden/>
              </w:rPr>
              <w:tab/>
            </w:r>
            <w:r w:rsidR="006B1430">
              <w:rPr>
                <w:noProof/>
                <w:webHidden/>
              </w:rPr>
              <w:fldChar w:fldCharType="begin"/>
            </w:r>
            <w:r w:rsidR="006B1430">
              <w:rPr>
                <w:noProof/>
                <w:webHidden/>
              </w:rPr>
              <w:instrText xml:space="preserve"> PAGEREF _Toc228394696 \h </w:instrText>
            </w:r>
            <w:r w:rsidR="006B1430">
              <w:rPr>
                <w:noProof/>
                <w:webHidden/>
              </w:rPr>
            </w:r>
            <w:r w:rsidR="006B1430">
              <w:rPr>
                <w:noProof/>
                <w:webHidden/>
              </w:rPr>
              <w:fldChar w:fldCharType="separate"/>
            </w:r>
            <w:r w:rsidR="006B1430">
              <w:rPr>
                <w:noProof/>
                <w:webHidden/>
              </w:rPr>
              <w:t>4</w:t>
            </w:r>
            <w:r w:rsidR="006B1430">
              <w:rPr>
                <w:noProof/>
                <w:webHidden/>
              </w:rPr>
              <w:fldChar w:fldCharType="end"/>
            </w:r>
          </w:hyperlink>
        </w:p>
        <w:p w14:paraId="556A8C11" w14:textId="77777777" w:rsidR="006B1430" w:rsidRDefault="00000000">
          <w:pPr>
            <w:pStyle w:val="TOC2"/>
            <w:tabs>
              <w:tab w:val="right" w:leader="dot" w:pos="9016"/>
            </w:tabs>
            <w:rPr>
              <w:noProof/>
            </w:rPr>
          </w:pPr>
          <w:hyperlink w:anchor="_Toc228394697" w:history="1">
            <w:r w:rsidR="006B1430" w:rsidRPr="00EE6EAC">
              <w:rPr>
                <w:rStyle w:val="Hyperlink"/>
                <w:noProof/>
              </w:rPr>
              <w:t>Introduction</w:t>
            </w:r>
            <w:r w:rsidR="006B1430">
              <w:rPr>
                <w:noProof/>
                <w:webHidden/>
              </w:rPr>
              <w:tab/>
            </w:r>
            <w:r w:rsidR="006B1430">
              <w:rPr>
                <w:noProof/>
                <w:webHidden/>
              </w:rPr>
              <w:fldChar w:fldCharType="begin"/>
            </w:r>
            <w:r w:rsidR="006B1430">
              <w:rPr>
                <w:noProof/>
                <w:webHidden/>
              </w:rPr>
              <w:instrText xml:space="preserve"> PAGEREF _Toc228394697 \h </w:instrText>
            </w:r>
            <w:r w:rsidR="006B1430">
              <w:rPr>
                <w:noProof/>
                <w:webHidden/>
              </w:rPr>
            </w:r>
            <w:r w:rsidR="006B1430">
              <w:rPr>
                <w:noProof/>
                <w:webHidden/>
              </w:rPr>
              <w:fldChar w:fldCharType="separate"/>
            </w:r>
            <w:r w:rsidR="006B1430">
              <w:rPr>
                <w:noProof/>
                <w:webHidden/>
              </w:rPr>
              <w:t>4</w:t>
            </w:r>
            <w:r w:rsidR="006B1430">
              <w:rPr>
                <w:noProof/>
                <w:webHidden/>
              </w:rPr>
              <w:fldChar w:fldCharType="end"/>
            </w:r>
          </w:hyperlink>
        </w:p>
        <w:p w14:paraId="738C3FB0" w14:textId="77777777" w:rsidR="006B1430" w:rsidRDefault="00000000">
          <w:pPr>
            <w:pStyle w:val="TOC2"/>
            <w:tabs>
              <w:tab w:val="right" w:leader="dot" w:pos="9016"/>
            </w:tabs>
            <w:rPr>
              <w:noProof/>
            </w:rPr>
          </w:pPr>
          <w:hyperlink w:anchor="_Toc228394698" w:history="1">
            <w:r w:rsidR="006B1430" w:rsidRPr="00EE6EAC">
              <w:rPr>
                <w:rStyle w:val="Hyperlink"/>
                <w:noProof/>
              </w:rPr>
              <w:t>Epidemiological Identification: At-Risk Populations in Tower Hamlets</w:t>
            </w:r>
            <w:r w:rsidR="006B1430">
              <w:rPr>
                <w:noProof/>
                <w:webHidden/>
              </w:rPr>
              <w:tab/>
            </w:r>
            <w:r w:rsidR="006B1430">
              <w:rPr>
                <w:noProof/>
                <w:webHidden/>
              </w:rPr>
              <w:fldChar w:fldCharType="begin"/>
            </w:r>
            <w:r w:rsidR="006B1430">
              <w:rPr>
                <w:noProof/>
                <w:webHidden/>
              </w:rPr>
              <w:instrText xml:space="preserve"> PAGEREF _Toc228394698 \h </w:instrText>
            </w:r>
            <w:r w:rsidR="006B1430">
              <w:rPr>
                <w:noProof/>
                <w:webHidden/>
              </w:rPr>
            </w:r>
            <w:r w:rsidR="006B1430">
              <w:rPr>
                <w:noProof/>
                <w:webHidden/>
              </w:rPr>
              <w:fldChar w:fldCharType="separate"/>
            </w:r>
            <w:r w:rsidR="006B1430">
              <w:rPr>
                <w:noProof/>
                <w:webHidden/>
              </w:rPr>
              <w:t>5</w:t>
            </w:r>
            <w:r w:rsidR="006B1430">
              <w:rPr>
                <w:noProof/>
                <w:webHidden/>
              </w:rPr>
              <w:fldChar w:fldCharType="end"/>
            </w:r>
          </w:hyperlink>
        </w:p>
        <w:p w14:paraId="66744922" w14:textId="77777777" w:rsidR="006B1430" w:rsidRDefault="00000000">
          <w:pPr>
            <w:pStyle w:val="TOC2"/>
            <w:tabs>
              <w:tab w:val="right" w:leader="dot" w:pos="9016"/>
            </w:tabs>
            <w:rPr>
              <w:noProof/>
            </w:rPr>
          </w:pPr>
          <w:hyperlink w:anchor="_Toc228394699" w:history="1">
            <w:r w:rsidR="006B1430" w:rsidRPr="00EE6EAC">
              <w:rPr>
                <w:rStyle w:val="Hyperlink"/>
                <w:noProof/>
              </w:rPr>
              <w:t>Surveillance and Monitoring Systems</w:t>
            </w:r>
            <w:r w:rsidR="006B1430">
              <w:rPr>
                <w:noProof/>
                <w:webHidden/>
              </w:rPr>
              <w:tab/>
            </w:r>
            <w:r w:rsidR="006B1430">
              <w:rPr>
                <w:noProof/>
                <w:webHidden/>
              </w:rPr>
              <w:fldChar w:fldCharType="begin"/>
            </w:r>
            <w:r w:rsidR="006B1430">
              <w:rPr>
                <w:noProof/>
                <w:webHidden/>
              </w:rPr>
              <w:instrText xml:space="preserve"> PAGEREF _Toc228394699 \h </w:instrText>
            </w:r>
            <w:r w:rsidR="006B1430">
              <w:rPr>
                <w:noProof/>
                <w:webHidden/>
              </w:rPr>
            </w:r>
            <w:r w:rsidR="006B1430">
              <w:rPr>
                <w:noProof/>
                <w:webHidden/>
              </w:rPr>
              <w:fldChar w:fldCharType="separate"/>
            </w:r>
            <w:r w:rsidR="006B1430">
              <w:rPr>
                <w:noProof/>
                <w:webHidden/>
              </w:rPr>
              <w:t>6</w:t>
            </w:r>
            <w:r w:rsidR="006B1430">
              <w:rPr>
                <w:noProof/>
                <w:webHidden/>
              </w:rPr>
              <w:fldChar w:fldCharType="end"/>
            </w:r>
          </w:hyperlink>
        </w:p>
        <w:p w14:paraId="1626837B" w14:textId="77777777" w:rsidR="006B1430" w:rsidRDefault="00000000">
          <w:pPr>
            <w:pStyle w:val="TOC2"/>
            <w:tabs>
              <w:tab w:val="right" w:leader="dot" w:pos="9016"/>
            </w:tabs>
            <w:rPr>
              <w:noProof/>
            </w:rPr>
          </w:pPr>
          <w:hyperlink w:anchor="_Toc228394700" w:history="1">
            <w:r w:rsidR="006B1430" w:rsidRPr="00EE6EAC">
              <w:rPr>
                <w:rStyle w:val="Hyperlink"/>
                <w:noProof/>
              </w:rPr>
              <w:t>Public Health Impact and Epidemiological Projections</w:t>
            </w:r>
            <w:r w:rsidR="006B1430">
              <w:rPr>
                <w:noProof/>
                <w:webHidden/>
              </w:rPr>
              <w:tab/>
            </w:r>
            <w:r w:rsidR="006B1430">
              <w:rPr>
                <w:noProof/>
                <w:webHidden/>
              </w:rPr>
              <w:fldChar w:fldCharType="begin"/>
            </w:r>
            <w:r w:rsidR="006B1430">
              <w:rPr>
                <w:noProof/>
                <w:webHidden/>
              </w:rPr>
              <w:instrText xml:space="preserve"> PAGEREF _Toc228394700 \h </w:instrText>
            </w:r>
            <w:r w:rsidR="006B1430">
              <w:rPr>
                <w:noProof/>
                <w:webHidden/>
              </w:rPr>
            </w:r>
            <w:r w:rsidR="006B1430">
              <w:rPr>
                <w:noProof/>
                <w:webHidden/>
              </w:rPr>
              <w:fldChar w:fldCharType="separate"/>
            </w:r>
            <w:r w:rsidR="006B1430">
              <w:rPr>
                <w:noProof/>
                <w:webHidden/>
              </w:rPr>
              <w:t>6</w:t>
            </w:r>
            <w:r w:rsidR="006B1430">
              <w:rPr>
                <w:noProof/>
                <w:webHidden/>
              </w:rPr>
              <w:fldChar w:fldCharType="end"/>
            </w:r>
          </w:hyperlink>
        </w:p>
        <w:p w14:paraId="5E8ECF43" w14:textId="77777777" w:rsidR="006B1430" w:rsidRDefault="00000000">
          <w:pPr>
            <w:pStyle w:val="TOC2"/>
            <w:tabs>
              <w:tab w:val="right" w:leader="dot" w:pos="9016"/>
            </w:tabs>
            <w:rPr>
              <w:noProof/>
            </w:rPr>
          </w:pPr>
          <w:hyperlink w:anchor="_Toc228394701" w:history="1">
            <w:r w:rsidR="006B1430" w:rsidRPr="00EE6EAC">
              <w:rPr>
                <w:rStyle w:val="Hyperlink"/>
                <w:noProof/>
              </w:rPr>
              <w:t>Intervention Programme: Design and Evaluation</w:t>
            </w:r>
            <w:r w:rsidR="006B1430">
              <w:rPr>
                <w:noProof/>
                <w:webHidden/>
              </w:rPr>
              <w:tab/>
            </w:r>
            <w:r w:rsidR="006B1430">
              <w:rPr>
                <w:noProof/>
                <w:webHidden/>
              </w:rPr>
              <w:fldChar w:fldCharType="begin"/>
            </w:r>
            <w:r w:rsidR="006B1430">
              <w:rPr>
                <w:noProof/>
                <w:webHidden/>
              </w:rPr>
              <w:instrText xml:space="preserve"> PAGEREF _Toc228394701 \h </w:instrText>
            </w:r>
            <w:r w:rsidR="006B1430">
              <w:rPr>
                <w:noProof/>
                <w:webHidden/>
              </w:rPr>
            </w:r>
            <w:r w:rsidR="006B1430">
              <w:rPr>
                <w:noProof/>
                <w:webHidden/>
              </w:rPr>
              <w:fldChar w:fldCharType="separate"/>
            </w:r>
            <w:r w:rsidR="006B1430">
              <w:rPr>
                <w:noProof/>
                <w:webHidden/>
              </w:rPr>
              <w:t>6</w:t>
            </w:r>
            <w:r w:rsidR="006B1430">
              <w:rPr>
                <w:noProof/>
                <w:webHidden/>
              </w:rPr>
              <w:fldChar w:fldCharType="end"/>
            </w:r>
          </w:hyperlink>
        </w:p>
        <w:p w14:paraId="27B2256B" w14:textId="77777777" w:rsidR="006B1430" w:rsidRDefault="00000000">
          <w:pPr>
            <w:pStyle w:val="TOC1"/>
            <w:tabs>
              <w:tab w:val="right" w:leader="dot" w:pos="9016"/>
            </w:tabs>
            <w:rPr>
              <w:noProof/>
            </w:rPr>
          </w:pPr>
          <w:hyperlink w:anchor="_Toc228394702" w:history="1">
            <w:r w:rsidR="006B1430" w:rsidRPr="00EE6EAC">
              <w:rPr>
                <w:rStyle w:val="Hyperlink"/>
                <w:noProof/>
              </w:rPr>
              <w:t>References</w:t>
            </w:r>
            <w:r w:rsidR="006B1430">
              <w:rPr>
                <w:noProof/>
                <w:webHidden/>
              </w:rPr>
              <w:tab/>
            </w:r>
            <w:r w:rsidR="006B1430">
              <w:rPr>
                <w:noProof/>
                <w:webHidden/>
              </w:rPr>
              <w:fldChar w:fldCharType="begin"/>
            </w:r>
            <w:r w:rsidR="006B1430">
              <w:rPr>
                <w:noProof/>
                <w:webHidden/>
              </w:rPr>
              <w:instrText xml:space="preserve"> PAGEREF _Toc228394702 \h </w:instrText>
            </w:r>
            <w:r w:rsidR="006B1430">
              <w:rPr>
                <w:noProof/>
                <w:webHidden/>
              </w:rPr>
            </w:r>
            <w:r w:rsidR="006B1430">
              <w:rPr>
                <w:noProof/>
                <w:webHidden/>
              </w:rPr>
              <w:fldChar w:fldCharType="separate"/>
            </w:r>
            <w:r w:rsidR="006B1430">
              <w:rPr>
                <w:noProof/>
                <w:webHidden/>
              </w:rPr>
              <w:t>9</w:t>
            </w:r>
            <w:r w:rsidR="006B1430">
              <w:rPr>
                <w:noProof/>
                <w:webHidden/>
              </w:rPr>
              <w:fldChar w:fldCharType="end"/>
            </w:r>
          </w:hyperlink>
        </w:p>
        <w:p w14:paraId="785238CF" w14:textId="77777777" w:rsidR="006B1430" w:rsidRDefault="006B1430">
          <w:r>
            <w:rPr>
              <w:b/>
              <w:bCs/>
              <w:noProof/>
            </w:rPr>
            <w:fldChar w:fldCharType="end"/>
          </w:r>
        </w:p>
      </w:sdtContent>
    </w:sdt>
    <w:p w14:paraId="055A4D39" w14:textId="77777777" w:rsidR="006B1430" w:rsidRDefault="006B1430">
      <w:pPr>
        <w:pStyle w:val="Heading1"/>
      </w:pPr>
    </w:p>
    <w:p w14:paraId="74512619" w14:textId="77777777" w:rsidR="006B1430" w:rsidRDefault="006B1430">
      <w:pPr>
        <w:pStyle w:val="Heading1"/>
      </w:pPr>
    </w:p>
    <w:p w14:paraId="682F753B" w14:textId="77777777" w:rsidR="006B1430" w:rsidRDefault="006B1430">
      <w:pPr>
        <w:pStyle w:val="Heading1"/>
      </w:pPr>
    </w:p>
    <w:p w14:paraId="7FB144B4" w14:textId="77777777" w:rsidR="006B1430" w:rsidRDefault="006B1430">
      <w:pPr>
        <w:pStyle w:val="Heading1"/>
      </w:pPr>
    </w:p>
    <w:p w14:paraId="4EA59949" w14:textId="77777777" w:rsidR="006B1430" w:rsidRDefault="006B1430">
      <w:pPr>
        <w:pStyle w:val="Heading1"/>
      </w:pPr>
    </w:p>
    <w:p w14:paraId="41F674F0" w14:textId="77777777" w:rsidR="006B1430" w:rsidRDefault="006B1430">
      <w:pPr>
        <w:pStyle w:val="Heading1"/>
      </w:pPr>
    </w:p>
    <w:p w14:paraId="26F0F8DA" w14:textId="77777777" w:rsidR="006B1430" w:rsidRDefault="006B1430">
      <w:pPr>
        <w:pStyle w:val="Heading1"/>
      </w:pPr>
    </w:p>
    <w:p w14:paraId="058778A0" w14:textId="77777777" w:rsidR="006B1430" w:rsidRDefault="006B1430">
      <w:pPr>
        <w:pStyle w:val="Heading1"/>
      </w:pPr>
    </w:p>
    <w:p w14:paraId="392B32CB" w14:textId="77777777" w:rsidR="005762B5" w:rsidRDefault="001E47E3">
      <w:pPr>
        <w:pStyle w:val="Heading1"/>
      </w:pPr>
      <w:bookmarkStart w:id="0" w:name="_Toc228394686"/>
      <w:r>
        <w:lastRenderedPageBreak/>
        <w:t>Task 1: Social Epidemiological Analysis</w:t>
      </w:r>
      <w:bookmarkEnd w:id="0"/>
    </w:p>
    <w:p w14:paraId="49487714" w14:textId="77777777" w:rsidR="00347F4F" w:rsidRDefault="00347F4F">
      <w:pPr>
        <w:spacing w:before="100" w:after="100"/>
        <w:jc w:val="both"/>
        <w:rPr>
          <w:b/>
          <w:bCs/>
          <w:color w:val="000000"/>
          <w:sz w:val="24"/>
          <w:szCs w:val="24"/>
          <w:u w:val="single"/>
        </w:rPr>
      </w:pPr>
      <w:r w:rsidRPr="00347F4F">
        <w:rPr>
          <w:b/>
          <w:bCs/>
          <w:color w:val="000000"/>
          <w:sz w:val="24"/>
          <w:szCs w:val="24"/>
          <w:u w:val="single"/>
        </w:rPr>
        <w:t>Introduction: Making Sense of Health Inequalities in old age</w:t>
      </w:r>
    </w:p>
    <w:p w14:paraId="7C0D123A" w14:textId="77777777" w:rsidR="005762B5" w:rsidRDefault="00347F4F">
      <w:pPr>
        <w:spacing w:before="100" w:after="100"/>
        <w:jc w:val="both"/>
      </w:pPr>
      <w:r w:rsidRPr="00347F4F">
        <w:t xml:space="preserve">Some of the most health-sensitive segments of the U.K. population in the modern discourse of public health are represented by older people, who, traditionally, are defined as individuals of 65 years and more. The Office for National Statistics (ONS, 2023) states that this demographic makes up about 19 per cent of the UK population, which is expected to increase to almost 25 per cent by 2045. This group is especially susceptible to health inequality, which can be characterized as the systematic, avoidable and unjust disparity in health results and access to healthcare between categories of the population (Bambra et al., 2022). The aged have experienced more cumulative disadvantage through the life course such as lack of financial resource, less social participation and health care structural constraints. This section analyses six key manifestations of health disparity among this group - three disease and three socially based and details the national strategies </w:t>
      </w:r>
      <w:r>
        <w:t>of countering these disparities</w:t>
      </w:r>
      <w:r w:rsidR="001E47E3">
        <w:t>.</w:t>
      </w:r>
    </w:p>
    <w:p w14:paraId="1C8144B7" w14:textId="77777777" w:rsidR="005762B5" w:rsidRDefault="005762B5"/>
    <w:p w14:paraId="2635EDE2" w14:textId="77777777" w:rsidR="005762B5" w:rsidRDefault="001E47E3">
      <w:pPr>
        <w:pStyle w:val="Heading2"/>
      </w:pPr>
      <w:bookmarkStart w:id="1" w:name="_Toc228394687"/>
      <w:r>
        <w:rPr>
          <w:u w:val="single"/>
        </w:rPr>
        <w:t>Section A: Disease and Health-Related Inequalities</w:t>
      </w:r>
      <w:bookmarkEnd w:id="1"/>
    </w:p>
    <w:p w14:paraId="7DF3C2ED" w14:textId="77777777" w:rsidR="005762B5" w:rsidRDefault="001E47E3">
      <w:pPr>
        <w:pStyle w:val="Heading2"/>
      </w:pPr>
      <w:bookmarkStart w:id="2" w:name="_Toc228394688"/>
      <w:r>
        <w:rPr>
          <w:u w:val="single"/>
        </w:rPr>
        <w:t xml:space="preserve">1. </w:t>
      </w:r>
      <w:r w:rsidR="00347F4F" w:rsidRPr="00347F4F">
        <w:rPr>
          <w:u w:val="single"/>
        </w:rPr>
        <w:t>High levels of Cardiovascular Morbidity</w:t>
      </w:r>
      <w:bookmarkEnd w:id="2"/>
    </w:p>
    <w:p w14:paraId="0B89F769" w14:textId="77777777" w:rsidR="00347F4F" w:rsidRDefault="00347F4F" w:rsidP="00347F4F">
      <w:pPr>
        <w:jc w:val="both"/>
        <w:rPr>
          <w:b/>
          <w:bCs/>
        </w:rPr>
      </w:pPr>
      <w:r w:rsidRPr="00347F4F">
        <w:t xml:space="preserve">The leading cause of early mortality and morbidity in older adults in England is cardiovascular disease (CVD). According to the British Heart Foundation (2023), over 70 per cent of all hospital admissions regarding CVD are carried out among individuals aged 65 and over every year. This unequal distribution is not evenly spread; older males in the poorest 1/5th graphene are 30 times more likely to die of CVD than older males in the richest 1/5th graphene (OHID, 2023). </w:t>
      </w:r>
    </w:p>
    <w:p w14:paraId="46E52D9E" w14:textId="77777777" w:rsidR="005762B5" w:rsidRDefault="001E47E3">
      <w:pPr>
        <w:pStyle w:val="Heading2"/>
      </w:pPr>
      <w:bookmarkStart w:id="3" w:name="_Toc228394689"/>
      <w:r>
        <w:rPr>
          <w:u w:val="single"/>
        </w:rPr>
        <w:t>2. Growing Burden of Musculoskeletal Conditions</w:t>
      </w:r>
      <w:bookmarkEnd w:id="3"/>
    </w:p>
    <w:p w14:paraId="6113E242" w14:textId="77777777" w:rsidR="005762B5" w:rsidRDefault="00347F4F" w:rsidP="00347F4F">
      <w:pPr>
        <w:spacing w:before="100" w:after="100"/>
        <w:jc w:val="both"/>
      </w:pPr>
      <w:r w:rsidRPr="00347F4F">
        <w:t>The problem of musculoskeletal (MSK) disorders, including osteoarthritis, osteoporosis and chronic back pain, has been identified in England among people above 65 (Versus Arthritis, 2023). Populations with low income are disproportionately impacted by the prevalence of these conditions, with trends of accumulative occupational exposure to hazards and inadequate a</w:t>
      </w:r>
      <w:r>
        <w:t>ccess to physiotherapy services.</w:t>
      </w:r>
    </w:p>
    <w:p w14:paraId="52DBF257" w14:textId="77777777" w:rsidR="005762B5" w:rsidRDefault="001E47E3">
      <w:pPr>
        <w:pStyle w:val="Heading2"/>
      </w:pPr>
      <w:bookmarkStart w:id="4" w:name="_Toc228394690"/>
      <w:r>
        <w:rPr>
          <w:u w:val="single"/>
        </w:rPr>
        <w:t>3. Mental Health and Cognitive Decline Disparities</w:t>
      </w:r>
      <w:bookmarkEnd w:id="4"/>
    </w:p>
    <w:p w14:paraId="5AECD0D1" w14:textId="77777777" w:rsidR="005762B5" w:rsidRDefault="00347F4F">
      <w:r w:rsidRPr="00347F4F">
        <w:t xml:space="preserve">The prevalence of various dementia types such as Alzheimer is more than one million individuals in the UK, among which the Black, Asian and minority ethnic groups have more individuals diagnosed late (NICE, 2023). Interventions in longitudinal studies have shown that as a result of the normal aging process, socioeconomic deprivation hastens the pace of cognitive decline via chronic stress systems, unhealthy eating habits and inadequate </w:t>
      </w:r>
      <w:r w:rsidRPr="00347F4F">
        <w:lastRenderedPageBreak/>
        <w:t>intellectual and social stimulation (Stafford et al., 2022). This has not stopped the geographical concentration of dementia-specific mental health services in urban centres leaving rural and deprived communities with little services.</w:t>
      </w:r>
    </w:p>
    <w:p w14:paraId="4A13BA44" w14:textId="77777777" w:rsidR="005762B5" w:rsidRDefault="001E47E3">
      <w:pPr>
        <w:pStyle w:val="Heading2"/>
      </w:pPr>
      <w:bookmarkStart w:id="5" w:name="_Toc228394691"/>
      <w:r>
        <w:rPr>
          <w:u w:val="single"/>
        </w:rPr>
        <w:t xml:space="preserve">Section B: </w:t>
      </w:r>
      <w:r w:rsidR="00347F4F" w:rsidRPr="00347F4F">
        <w:rPr>
          <w:u w:val="single"/>
        </w:rPr>
        <w:t>Social Determinants of Health Inequality.</w:t>
      </w:r>
      <w:bookmarkEnd w:id="5"/>
    </w:p>
    <w:p w14:paraId="71DDA275" w14:textId="77777777" w:rsidR="005762B5" w:rsidRDefault="001E47E3">
      <w:pPr>
        <w:pStyle w:val="Heading2"/>
      </w:pPr>
      <w:bookmarkStart w:id="6" w:name="_Toc228394692"/>
      <w:r>
        <w:rPr>
          <w:u w:val="single"/>
        </w:rPr>
        <w:t>4. Social Disconnection and Marginalisation</w:t>
      </w:r>
      <w:bookmarkEnd w:id="6"/>
    </w:p>
    <w:p w14:paraId="5EAE67F3" w14:textId="77777777" w:rsidR="005762B5" w:rsidRDefault="00347F4F">
      <w:pPr>
        <w:spacing w:before="100" w:after="100"/>
        <w:jc w:val="both"/>
      </w:pPr>
      <w:r w:rsidRPr="00347F4F">
        <w:t xml:space="preserve">The older </w:t>
      </w:r>
      <w:proofErr w:type="gramStart"/>
      <w:r w:rsidRPr="00347F4F">
        <w:t>adults</w:t>
      </w:r>
      <w:proofErr w:type="gramEnd"/>
      <w:r w:rsidRPr="00347F4F">
        <w:t xml:space="preserve"> social isolation is an emerging national public health crisis in UK. A study by Campaign to End Loneliness (2023) estimates that there are more or less 2 million individuals aged 75 and above living with chronic loneliness. The issue of social disconnection correlates with a risk of coronary heart disease that is 29-fold higher, and the risk of stroke rises 32 times higher (</w:t>
      </w:r>
      <w:proofErr w:type="spellStart"/>
      <w:r w:rsidRPr="00347F4F">
        <w:t>Erzen</w:t>
      </w:r>
      <w:proofErr w:type="spellEnd"/>
      <w:r w:rsidRPr="00347F4F">
        <w:t xml:space="preserve"> and </w:t>
      </w:r>
      <w:proofErr w:type="spellStart"/>
      <w:r w:rsidRPr="00347F4F">
        <w:t>Gokay</w:t>
      </w:r>
      <w:proofErr w:type="spellEnd"/>
      <w:r w:rsidRPr="00347F4F">
        <w:t xml:space="preserve">, 2022). Such dangers are more enhanced in communities with low social infrastructure- especially in </w:t>
      </w:r>
      <w:proofErr w:type="spellStart"/>
      <w:r w:rsidRPr="00347F4F">
        <w:t>post industrial</w:t>
      </w:r>
      <w:proofErr w:type="spellEnd"/>
      <w:r w:rsidRPr="00347F4F">
        <w:t xml:space="preserve"> towns and rural areas or localities where community centres, transport access and volunteers.</w:t>
      </w:r>
    </w:p>
    <w:p w14:paraId="63D6C272" w14:textId="77777777" w:rsidR="005762B5" w:rsidRDefault="005762B5"/>
    <w:p w14:paraId="40EE8234" w14:textId="77777777" w:rsidR="005762B5" w:rsidRDefault="001E47E3">
      <w:pPr>
        <w:pStyle w:val="Heading2"/>
      </w:pPr>
      <w:bookmarkStart w:id="7" w:name="_Toc228394693"/>
      <w:r>
        <w:rPr>
          <w:u w:val="single"/>
        </w:rPr>
        <w:t>5. Economic Insecurity and Material Deprivation</w:t>
      </w:r>
      <w:bookmarkEnd w:id="7"/>
    </w:p>
    <w:p w14:paraId="1905E939" w14:textId="77777777" w:rsidR="005762B5" w:rsidRDefault="00464051">
      <w:pPr>
        <w:spacing w:before="100" w:after="100"/>
        <w:jc w:val="both"/>
      </w:pPr>
      <w:r w:rsidRPr="00464051">
        <w:t>Older adults living in poverty are involved in multiple and reinforcing interactions with their health. According to Joseph Rowntree Foundation (2023), 16-percent of UK pensioners reside in housing lower than the poverty boundary following the housing costs. Facing increased energy and food prices since 2022, among hotspots who depend on state pensions mainly has had to make tough decisions in this environment, choosing to heat or eat or buy medicine. Low income is always linked to a reduced healthy life expectancy; individuals living in the least affluent regions can live 20 years in good health compared to those in the most affluent regions (ONS, 2023). Pension credit and the Warm Home Discount programme offer some relief, although red tape and a stigma around the uptake of these bene</w:t>
      </w:r>
      <w:r>
        <w:t>fits limit potential compliance</w:t>
      </w:r>
      <w:r w:rsidR="001E47E3">
        <w:t>.</w:t>
      </w:r>
    </w:p>
    <w:p w14:paraId="12D0EB81" w14:textId="77777777" w:rsidR="005762B5" w:rsidRDefault="005762B5"/>
    <w:p w14:paraId="73E76563" w14:textId="77777777" w:rsidR="005762B5" w:rsidRDefault="001E47E3">
      <w:pPr>
        <w:pStyle w:val="Heading2"/>
      </w:pPr>
      <w:bookmarkStart w:id="8" w:name="_Toc228394694"/>
      <w:r>
        <w:rPr>
          <w:u w:val="single"/>
        </w:rPr>
        <w:t>6. Digital Exclusion and Barriers to Healthcare Access</w:t>
      </w:r>
      <w:bookmarkEnd w:id="8"/>
    </w:p>
    <w:p w14:paraId="0F2989A5" w14:textId="77777777" w:rsidR="005762B5" w:rsidRDefault="001E47E3">
      <w:pPr>
        <w:spacing w:before="100" w:after="100"/>
        <w:jc w:val="both"/>
      </w:pPr>
      <w:r w:rsidRPr="001E47E3">
        <w:t>A recent, but significant factor of the disparity of health among the elderly population is digital exclusion. As the figures depicted by ONS (2022) 27 percent of the population above 75 years old has never used internet, and it restricts its use when it comes to online GP appointment systems and prescription management systems and NHS health information portals. This contributes further to the disparities that are present, where older adults who live in lower socioeconomic status, are disproportionately impacted, as well as sensory impaired individuals and rural residents.</w:t>
      </w:r>
      <w:r w:rsidR="00464051" w:rsidRPr="00464051">
        <w:t xml:space="preserve"> outcomes are delayed help-seeking, missed appointments and lower health literacy. Although NHS digital inclusion strategies have been described, they have not been properly addressed in communi</w:t>
      </w:r>
      <w:r w:rsidR="00464051">
        <w:t>ty settings and are underfunded</w:t>
      </w:r>
      <w:r>
        <w:t>.</w:t>
      </w:r>
    </w:p>
    <w:p w14:paraId="47922A06" w14:textId="77777777" w:rsidR="005762B5" w:rsidRDefault="005762B5"/>
    <w:p w14:paraId="4D631307" w14:textId="77777777" w:rsidR="00464051" w:rsidRDefault="00464051" w:rsidP="00464051">
      <w:pPr>
        <w:spacing w:before="100" w:after="100"/>
        <w:jc w:val="both"/>
        <w:rPr>
          <w:b/>
          <w:bCs/>
          <w:color w:val="000000"/>
          <w:sz w:val="24"/>
          <w:szCs w:val="24"/>
          <w:u w:val="single"/>
        </w:rPr>
      </w:pPr>
      <w:r w:rsidRPr="00464051">
        <w:rPr>
          <w:b/>
          <w:bCs/>
          <w:color w:val="000000"/>
          <w:sz w:val="24"/>
          <w:szCs w:val="24"/>
          <w:u w:val="single"/>
        </w:rPr>
        <w:t>NPRs to Address Health Inequalities in the Elderly.</w:t>
      </w:r>
    </w:p>
    <w:p w14:paraId="6CDDCE21" w14:textId="77777777" w:rsidR="005762B5" w:rsidRDefault="00464051" w:rsidP="00464051">
      <w:pPr>
        <w:spacing w:before="100" w:after="100"/>
        <w:jc w:val="both"/>
      </w:pPr>
      <w:r w:rsidRPr="00464051">
        <w:t>Some program initiatives on the national level have aimed to alleviate the accumulating inequalities among older adults. The NHS England Core20PLUS5 framework clearly focuses on the top 20 percent most deprived of the population, with equity considerations embedded into primary care commissioning and a practice-based incentive to improve outcomes among aging populations introduced in the deprived areas (NHS England, 2022). This method is a transient of universalism down to proportionate universalism which is the recognition that equal provision wi</w:t>
      </w:r>
      <w:r>
        <w:t>ll not result in equal outcomes</w:t>
      </w:r>
      <w:r w:rsidR="001E47E3">
        <w:t>.</w:t>
      </w:r>
    </w:p>
    <w:p w14:paraId="1439B8FC" w14:textId="77777777" w:rsidR="00464051" w:rsidRDefault="00464051">
      <w:pPr>
        <w:spacing w:before="100" w:after="100"/>
        <w:jc w:val="both"/>
        <w:rPr>
          <w:b/>
          <w:bCs/>
          <w:color w:val="000000"/>
          <w:sz w:val="24"/>
          <w:szCs w:val="24"/>
          <w:u w:val="single"/>
        </w:rPr>
      </w:pPr>
      <w:r w:rsidRPr="00464051">
        <w:rPr>
          <w:b/>
          <w:bCs/>
          <w:color w:val="000000"/>
          <w:sz w:val="24"/>
          <w:szCs w:val="24"/>
          <w:u w:val="single"/>
        </w:rPr>
        <w:t xml:space="preserve">Voluntary </w:t>
      </w:r>
      <w:r>
        <w:rPr>
          <w:b/>
          <w:bCs/>
          <w:color w:val="000000"/>
          <w:sz w:val="24"/>
          <w:szCs w:val="24"/>
          <w:u w:val="single"/>
        </w:rPr>
        <w:t>Sector Support: Independent Age</w:t>
      </w:r>
    </w:p>
    <w:p w14:paraId="057A4BBB" w14:textId="77777777" w:rsidR="005762B5" w:rsidRDefault="00464051" w:rsidP="00464051">
      <w:pPr>
        <w:spacing w:before="100" w:after="100"/>
        <w:jc w:val="both"/>
      </w:pPr>
      <w:r w:rsidRPr="00464051">
        <w:t>Independent Age is a national charity, whose sole focus is to enhance the lives of the older people, who have to face poverty, loneliness and lack of access to services. The organisation offers free and neutral information and advice on various topics such as benefits entitlement, care choices and housing rights, and has been mentioned in parliamentary debates as a vital source of support to socially excluded older adults (Independent Age, 2023). The policy role in holding government accountable and working with policymakers to design policy has been significant with its research and advocacy role, which produces evidence-based reports about pensioner poverty, social ca</w:t>
      </w:r>
      <w:r>
        <w:t>re reform and digital inclusion</w:t>
      </w:r>
      <w:r w:rsidR="001E47E3">
        <w:t xml:space="preserve">. </w:t>
      </w:r>
    </w:p>
    <w:p w14:paraId="3FB7F08B" w14:textId="77777777" w:rsidR="005762B5" w:rsidRDefault="001E47E3">
      <w:pPr>
        <w:pStyle w:val="Heading2"/>
      </w:pPr>
      <w:bookmarkStart w:id="9" w:name="_Toc228394695"/>
      <w:r>
        <w:rPr>
          <w:u w:val="single"/>
        </w:rPr>
        <w:t>Conclusion</w:t>
      </w:r>
      <w:bookmarkEnd w:id="9"/>
    </w:p>
    <w:p w14:paraId="0E93D366" w14:textId="77777777" w:rsidR="00464051" w:rsidRDefault="00464051" w:rsidP="00464051">
      <w:pPr>
        <w:jc w:val="both"/>
        <w:rPr>
          <w:b/>
          <w:bCs/>
        </w:rPr>
      </w:pPr>
      <w:r w:rsidRPr="00464051">
        <w:t>This part has shown that older adults in the UK are not naturally or inevitably affected by health inequalities but are a systematic production of social, economic and structural circumstances. The cardiovascular disease, musculoskeletal conditions and mental issues are concentrated in the group of least accessibility to preventive or curative care, and poverty, social disconnection and digital exclusion sustain the disparities.</w:t>
      </w:r>
    </w:p>
    <w:p w14:paraId="5821ADCB" w14:textId="77777777" w:rsidR="005762B5" w:rsidRDefault="001E47E3">
      <w:pPr>
        <w:pStyle w:val="Heading1"/>
      </w:pPr>
      <w:bookmarkStart w:id="10" w:name="_Toc228394696"/>
      <w:r>
        <w:t>Task 2: Epidemiological Analysis</w:t>
      </w:r>
      <w:bookmarkEnd w:id="10"/>
    </w:p>
    <w:p w14:paraId="1F15385D" w14:textId="77777777" w:rsidR="005762B5" w:rsidRDefault="001E47E3">
      <w:pPr>
        <w:pStyle w:val="Heading2"/>
      </w:pPr>
      <w:bookmarkStart w:id="11" w:name="_Toc228394697"/>
      <w:r>
        <w:rPr>
          <w:u w:val="single"/>
        </w:rPr>
        <w:t>Introduction</w:t>
      </w:r>
      <w:bookmarkEnd w:id="11"/>
    </w:p>
    <w:p w14:paraId="0C2005AE" w14:textId="77777777" w:rsidR="005762B5" w:rsidRDefault="00464051" w:rsidP="00464051">
      <w:pPr>
        <w:spacing w:before="100" w:after="100"/>
        <w:jc w:val="both"/>
      </w:pPr>
      <w:r w:rsidRPr="00464051">
        <w:t xml:space="preserve">Type 2 diabetes mellitus (T2DM) is a non-communicable and multifactorial complicated disease that is characterised by chronic hyperglycaemia due to diminished insulin secretion and progressive insulin resistance (American Diabetes Association, 2022). It is one of the most considerable and fastest growing threats to the world health services. According to the estimates of the International Diabetes Federation (IDF, 2023), 537 million adults globally lived with diabetes in 2021, which is expected to grow to 783 million by 2045 a 46 percent increase. In England alone, NHS Digital (2022) registered 3.9 million individuals with a confirmed T2DM diagnosis in 202122, which constituted approximately 6.8% of the number of registered adults </w:t>
      </w:r>
      <w:r w:rsidRPr="00464051">
        <w:lastRenderedPageBreak/>
        <w:t>in 202122. The rates are significantly higher in high-deprivation urban areas, within the South Asian and Black communi</w:t>
      </w:r>
      <w:r>
        <w:t>ties, and in an older age group</w:t>
      </w:r>
      <w:r w:rsidR="001E47E3">
        <w:t xml:space="preserve">. </w:t>
      </w:r>
    </w:p>
    <w:p w14:paraId="43869909" w14:textId="77777777" w:rsidR="00464051" w:rsidRDefault="00464051">
      <w:pPr>
        <w:spacing w:before="100" w:after="100"/>
        <w:jc w:val="both"/>
        <w:rPr>
          <w:b/>
          <w:bCs/>
          <w:color w:val="000000"/>
          <w:sz w:val="24"/>
          <w:szCs w:val="24"/>
          <w:u w:val="single"/>
        </w:rPr>
      </w:pPr>
      <w:r w:rsidRPr="00464051">
        <w:rPr>
          <w:b/>
          <w:bCs/>
          <w:color w:val="000000"/>
          <w:sz w:val="24"/>
          <w:szCs w:val="24"/>
          <w:u w:val="single"/>
        </w:rPr>
        <w:t>Public Health Measures: 3Ps Framework.</w:t>
      </w:r>
    </w:p>
    <w:p w14:paraId="1DA9CA49" w14:textId="77777777" w:rsidR="005762B5" w:rsidRDefault="00464051">
      <w:r w:rsidRPr="00464051">
        <w:t>The management of T2DM in Tower Hamlets based on effective public health management is based on a 3-part model, the Prevention, Protection and Promotion (3Ps). The programme in Tower Hamlets was adjusted to incorporate culturally and linguistically relevant information to use with the Bangladeshi-heritage population whose constitute the majority of the local population and whose risk of T2DM is disproportionately high.</w:t>
      </w:r>
    </w:p>
    <w:p w14:paraId="15C20819" w14:textId="77777777" w:rsidR="00630256" w:rsidRDefault="00630256"/>
    <w:p w14:paraId="4FBD55B0" w14:textId="77777777" w:rsidR="00630256" w:rsidRDefault="00630256" w:rsidP="00630256">
      <w:pPr>
        <w:rPr>
          <w:b/>
          <w:bCs/>
          <w:color w:val="000000"/>
          <w:sz w:val="24"/>
          <w:szCs w:val="24"/>
          <w:u w:val="single"/>
        </w:rPr>
      </w:pPr>
      <w:r w:rsidRPr="00630256">
        <w:rPr>
          <w:b/>
          <w:bCs/>
          <w:color w:val="000000"/>
          <w:sz w:val="24"/>
          <w:szCs w:val="24"/>
          <w:u w:val="single"/>
        </w:rPr>
        <w:t>Critical Determinants and Risk Factors.</w:t>
      </w:r>
    </w:p>
    <w:p w14:paraId="2D8D1A07" w14:textId="77777777" w:rsidR="00630256" w:rsidRDefault="00630256" w:rsidP="00630256">
      <w:pPr>
        <w:rPr>
          <w:b/>
          <w:bCs/>
        </w:rPr>
      </w:pPr>
      <w:r w:rsidRPr="00630256">
        <w:t xml:space="preserve">T2DM is a result of a combination of biological, behavioural and socioeconomic factors. South Asian people are genetically predisposed to the onset of insulin resistance at lower BMI levels compared to White Europeans in that case - which, within the context of Tower Hamlets, has critical consequences, as the </w:t>
      </w:r>
      <w:proofErr w:type="spellStart"/>
      <w:r w:rsidRPr="00630256">
        <w:t>neighborhood</w:t>
      </w:r>
      <w:proofErr w:type="spellEnd"/>
      <w:r w:rsidRPr="00630256">
        <w:t xml:space="preserve"> hosts 32 percent more inhabitants of a Bangladeshi background than White, (Census, 2021). The psychological and local factors are also strong: high deprivation rates on an area level correlate with poor access to nutritious food at a low cost, low availability of safe green space to exercise and high rates of chronic stress -so they facilitate the existence of metabolic dysfunction (Connelly et al., 2022).</w:t>
      </w:r>
    </w:p>
    <w:p w14:paraId="192C5743" w14:textId="77777777" w:rsidR="005762B5" w:rsidRDefault="00630256">
      <w:pPr>
        <w:pStyle w:val="Heading2"/>
      </w:pPr>
      <w:bookmarkStart w:id="12" w:name="_Toc228394698"/>
      <w:r w:rsidRPr="00630256">
        <w:rPr>
          <w:u w:val="single"/>
        </w:rPr>
        <w:t>Epidemiological Identification: At-Risk Populations in Tower Hamlets</w:t>
      </w:r>
      <w:bookmarkEnd w:id="12"/>
    </w:p>
    <w:p w14:paraId="551C5B36" w14:textId="77777777" w:rsidR="005762B5" w:rsidRDefault="00630256">
      <w:pPr>
        <w:spacing w:before="100" w:after="100"/>
        <w:jc w:val="both"/>
      </w:pPr>
      <w:r w:rsidRPr="00630256">
        <w:t xml:space="preserve">The health needs assessment of adult population in Tower Hamlets demonstrates a significantly high level of T2DM burden as compared to the national rates. According to NHS Digital (2022), the prevalence rate in adults in Tower Hamlets is approximately 8.2% and is well above the national prevalence rate of 6.8%. With possible inclusion of estimated undiagnosed cases, using the validated FINDRISC screening model, it is possible that true prevalence might reach 1214 percentage within the age range of 4075 years. There is a higher age of onset and lower body weight of T2DM in adults of Bangladeshi origin than their White British counterparts do, which requires ethnicity-sensitive screening </w:t>
      </w:r>
      <w:r>
        <w:t>thresholds (Hanif et al., 2022)</w:t>
      </w:r>
      <w:r w:rsidR="001E47E3">
        <w:t>.</w:t>
      </w:r>
    </w:p>
    <w:p w14:paraId="3BE41776" w14:textId="77777777" w:rsidR="005762B5" w:rsidRDefault="005762B5"/>
    <w:p w14:paraId="3864D279" w14:textId="77777777" w:rsidR="005762B5" w:rsidRDefault="00630256">
      <w:pPr>
        <w:pStyle w:val="Heading2"/>
      </w:pPr>
      <w:bookmarkStart w:id="13" w:name="_Toc228394699"/>
      <w:r w:rsidRPr="00630256">
        <w:rPr>
          <w:u w:val="single"/>
        </w:rPr>
        <w:t>Surveillance and Monitoring Systems</w:t>
      </w:r>
      <w:bookmarkEnd w:id="13"/>
    </w:p>
    <w:p w14:paraId="0EEB462D" w14:textId="77777777" w:rsidR="00165B6E" w:rsidRDefault="00630256" w:rsidP="00165B6E">
      <w:pPr>
        <w:spacing w:before="100" w:after="100"/>
        <w:jc w:val="both"/>
      </w:pPr>
      <w:r>
        <w:t xml:space="preserve">To monitor T2DM incidence and respond to service, it is great that there is a strong epidemiological surveillance infrastructure. The main data architecture in Tower Hamlets consists of multiple data architecture systems designed to work together. The Quality and </w:t>
      </w:r>
      <w:proofErr w:type="gramStart"/>
      <w:r w:rsidR="00165B6E">
        <w:t>With</w:t>
      </w:r>
      <w:proofErr w:type="gramEnd"/>
      <w:r w:rsidR="00165B6E">
        <w:t xml:space="preserve"> </w:t>
      </w:r>
      <w:r w:rsidR="00165B6E">
        <w:lastRenderedPageBreak/>
        <w:t>these datasets as a foundation, the validation of these findings, obtained with the help of triangulation of the NHS Digital sources, will strengthen the overall strength and validity of the assessment. With QOF indicators aligned to the knowledge gained in the National Diabetes Audit and the regional standards offered via Public Health England Fingertips, one can not only detect where clinical performance fails but also observe the trends in inequality in access and outcome. As an example: inequality in glycaemic regulation (HbA1c), missing care steps or increased rates of complication in certain ethnic minorities or on the side of deprived populations can be identified systematically.</w:t>
      </w:r>
    </w:p>
    <w:p w14:paraId="72EFD422" w14:textId="77777777" w:rsidR="005762B5" w:rsidRDefault="00165B6E" w:rsidP="00165B6E">
      <w:pPr>
        <w:spacing w:before="100" w:after="100"/>
        <w:jc w:val="both"/>
      </w:pPr>
      <w:r>
        <w:t>Moreover, the datasets could be used to do time-series analysis to determine the presence of interventions that could cause improvements that are measurable with a series of reporting cycles. The records of the local primary care data and community programme will be integrated to give more granularity to permitting comparison between intervention participants and non-participants. This method also favours policy-relevant knowledge which assists policy makers and medical practitioners to prioritize the allocation of resources and other interventions to high-risk populations. Finally, such integrated sources of data will guarantee that assessment goes beyond mere description analysis to actionable intelligence, facilitating impartial and evidence-based diabetes care enhancements.</w:t>
      </w:r>
    </w:p>
    <w:p w14:paraId="75AA077F" w14:textId="77777777" w:rsidR="005762B5" w:rsidRDefault="001E47E3">
      <w:pPr>
        <w:pStyle w:val="Heading2"/>
      </w:pPr>
      <w:bookmarkStart w:id="14" w:name="_Toc228394700"/>
      <w:r>
        <w:rPr>
          <w:u w:val="single"/>
        </w:rPr>
        <w:t>Public Health Impact and Epidemiological Projections</w:t>
      </w:r>
      <w:bookmarkEnd w:id="14"/>
    </w:p>
    <w:p w14:paraId="16EE899A" w14:textId="77777777" w:rsidR="00630256" w:rsidRDefault="00630256" w:rsidP="00630256">
      <w:pPr>
        <w:rPr>
          <w:b/>
          <w:bCs/>
        </w:rPr>
      </w:pPr>
      <w:r w:rsidRPr="00630256">
        <w:t>The epidemiological consequence of T2DM in Tower hamlets can be traced on various levels of health and social functioning. Acute hyperglycaemic crises, peripheral neuropathy and early-stage nephropathy are risks that are enhanced in the short term by poorly managed T2DM. T2DM longitudinally has a 1520% higher risk of all-cause mortality associated with the disease in the adult population (</w:t>
      </w:r>
      <w:proofErr w:type="spellStart"/>
      <w:r w:rsidRPr="00630256">
        <w:t>Rawshani</w:t>
      </w:r>
      <w:proofErr w:type="spellEnd"/>
      <w:r w:rsidRPr="00630256">
        <w:t xml:space="preserve"> et al., 2022). With demographic assumptions such as further population expansion among South Asian young adults and a further rise in older adults, prevalence in Tower Hamlets will increase by a further 1822 percent in the next one decade with no further prevention efforts (Misra et al., 2023).</w:t>
      </w:r>
    </w:p>
    <w:p w14:paraId="5821932A" w14:textId="77777777" w:rsidR="005762B5" w:rsidRDefault="00630256">
      <w:pPr>
        <w:pStyle w:val="Heading2"/>
      </w:pPr>
      <w:bookmarkStart w:id="15" w:name="_Toc228394701"/>
      <w:r w:rsidRPr="00630256">
        <w:rPr>
          <w:u w:val="single"/>
        </w:rPr>
        <w:t>Intervention Programme: Design and Evaluation</w:t>
      </w:r>
      <w:bookmarkEnd w:id="15"/>
    </w:p>
    <w:p w14:paraId="1B179145" w14:textId="77777777" w:rsidR="005762B5" w:rsidRDefault="00630256">
      <w:pPr>
        <w:spacing w:before="100" w:after="100"/>
        <w:jc w:val="both"/>
      </w:pPr>
      <w:r w:rsidRPr="00630256">
        <w:t>The intervention suggested (Community-Integrated Diabetes Prevention and Management Initiative (CIDPMI)) will tackle the issue of inequality in T2DM in Tower Hamlets by operating on a multi-level, culturally responsive level. Based on postulates of proportionate universalism and community co-production, the programme will focus on adults aged 35 70 years living in the three worst-off wards and focus on Bangladeshi and Black African/Caribbean communities</w:t>
      </w:r>
      <w:r w:rsidR="001E47E3">
        <w:t>.</w:t>
      </w:r>
    </w:p>
    <w:p w14:paraId="722CC3D4" w14:textId="77777777" w:rsidR="00630256" w:rsidRDefault="00630256">
      <w:pPr>
        <w:spacing w:before="100" w:after="100"/>
        <w:jc w:val="both"/>
      </w:pPr>
    </w:p>
    <w:p w14:paraId="3A618BF6" w14:textId="77777777" w:rsidR="005762B5" w:rsidRDefault="005762B5"/>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26"/>
      </w:tblGrid>
      <w:tr w:rsidR="005762B5" w14:paraId="52990CB1" w14:textId="77777777">
        <w:tc>
          <w:tcPr>
            <w:tcW w:w="2800" w:type="dxa"/>
            <w:tcBorders>
              <w:top w:val="single" w:sz="1" w:space="0" w:color="AAAAAA"/>
              <w:left w:val="single" w:sz="1" w:space="0" w:color="AAAAAA"/>
              <w:bottom w:val="single" w:sz="1" w:space="0" w:color="AAAAAA"/>
              <w:right w:val="single" w:sz="1" w:space="0" w:color="AAAAAA"/>
            </w:tcBorders>
            <w:shd w:val="clear" w:color="auto" w:fill="2E4057"/>
            <w:tcMar>
              <w:top w:w="100" w:type="dxa"/>
              <w:left w:w="120" w:type="dxa"/>
              <w:bottom w:w="100" w:type="dxa"/>
              <w:right w:w="120" w:type="dxa"/>
            </w:tcMar>
          </w:tcPr>
          <w:p w14:paraId="4B431E14" w14:textId="77777777" w:rsidR="005762B5" w:rsidRDefault="001E47E3">
            <w:r>
              <w:rPr>
                <w:b/>
                <w:bCs/>
                <w:color w:val="FFFFFF"/>
                <w:sz w:val="20"/>
                <w:szCs w:val="20"/>
              </w:rPr>
              <w:t>Programme Element</w:t>
            </w:r>
          </w:p>
        </w:tc>
        <w:tc>
          <w:tcPr>
            <w:tcW w:w="6226" w:type="dxa"/>
            <w:tcBorders>
              <w:top w:val="single" w:sz="1" w:space="0" w:color="AAAAAA"/>
              <w:left w:val="single" w:sz="1" w:space="0" w:color="AAAAAA"/>
              <w:bottom w:val="single" w:sz="1" w:space="0" w:color="AAAAAA"/>
              <w:right w:val="single" w:sz="1" w:space="0" w:color="AAAAAA"/>
            </w:tcBorders>
            <w:shd w:val="clear" w:color="auto" w:fill="2E4057"/>
            <w:tcMar>
              <w:top w:w="100" w:type="dxa"/>
              <w:left w:w="120" w:type="dxa"/>
              <w:bottom w:w="100" w:type="dxa"/>
              <w:right w:w="120" w:type="dxa"/>
            </w:tcMar>
          </w:tcPr>
          <w:p w14:paraId="68E5CA91" w14:textId="77777777" w:rsidR="005762B5" w:rsidRDefault="001E47E3">
            <w:r>
              <w:rPr>
                <w:b/>
                <w:bCs/>
                <w:color w:val="FFFFFF"/>
                <w:sz w:val="20"/>
                <w:szCs w:val="20"/>
              </w:rPr>
              <w:t>Detail</w:t>
            </w:r>
          </w:p>
        </w:tc>
      </w:tr>
      <w:tr w:rsidR="005762B5" w14:paraId="22C9E833" w14:textId="77777777">
        <w:tc>
          <w:tcPr>
            <w:tcW w:w="28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5488D158" w14:textId="77777777" w:rsidR="005762B5" w:rsidRDefault="001E47E3">
            <w:r>
              <w:rPr>
                <w:b/>
                <w:bCs/>
                <w:sz w:val="20"/>
                <w:szCs w:val="20"/>
              </w:rPr>
              <w:t>Programme Title</w:t>
            </w:r>
          </w:p>
        </w:tc>
        <w:tc>
          <w:tcPr>
            <w:tcW w:w="622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1FD3FE27" w14:textId="77777777" w:rsidR="005762B5" w:rsidRDefault="001E47E3">
            <w:r>
              <w:rPr>
                <w:sz w:val="20"/>
                <w:szCs w:val="20"/>
              </w:rPr>
              <w:t>Community-Integrated Diabetes Prevention and Management Initiative (CIDPMI)</w:t>
            </w:r>
          </w:p>
        </w:tc>
      </w:tr>
      <w:tr w:rsidR="005762B5" w14:paraId="17A088D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DDB1B0" w14:textId="77777777" w:rsidR="005762B5" w:rsidRDefault="001E47E3">
            <w:r>
              <w:rPr>
                <w:b/>
                <w:bCs/>
                <w:sz w:val="20"/>
                <w:szCs w:val="20"/>
              </w:rPr>
              <w:t>Primary Objective</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F67983" w14:textId="77777777" w:rsidR="005762B5" w:rsidRDefault="001E47E3">
            <w:r>
              <w:rPr>
                <w:sz w:val="20"/>
                <w:szCs w:val="20"/>
              </w:rPr>
              <w:t>Reduce T2DM incidence by 15% and improve glycaemic control in diagnosed adults within three years</w:t>
            </w:r>
          </w:p>
        </w:tc>
      </w:tr>
      <w:tr w:rsidR="005762B5" w14:paraId="1843E9BE" w14:textId="77777777">
        <w:tc>
          <w:tcPr>
            <w:tcW w:w="28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04AF138D" w14:textId="77777777" w:rsidR="005762B5" w:rsidRDefault="001E47E3">
            <w:r>
              <w:rPr>
                <w:b/>
                <w:bCs/>
                <w:sz w:val="20"/>
                <w:szCs w:val="20"/>
              </w:rPr>
              <w:t>Target Population</w:t>
            </w:r>
          </w:p>
        </w:tc>
        <w:tc>
          <w:tcPr>
            <w:tcW w:w="622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4B8DC178" w14:textId="77777777" w:rsidR="005762B5" w:rsidRDefault="001E47E3">
            <w:r>
              <w:rPr>
                <w:sz w:val="20"/>
                <w:szCs w:val="20"/>
              </w:rPr>
              <w:t>Adults aged 35–70 in the three most deprived wards of Tower Hamlets, with emphasis on Bangladeshi and Black African/Caribbean communities</w:t>
            </w:r>
          </w:p>
        </w:tc>
      </w:tr>
      <w:tr w:rsidR="005762B5" w14:paraId="6BD0583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6AED01" w14:textId="77777777" w:rsidR="005762B5" w:rsidRDefault="001E47E3">
            <w:r>
              <w:rPr>
                <w:b/>
                <w:bCs/>
                <w:sz w:val="20"/>
                <w:szCs w:val="20"/>
              </w:rPr>
              <w:t>Delivery Model</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12DDB6" w14:textId="77777777" w:rsidR="005762B5" w:rsidRDefault="001E47E3">
            <w:r>
              <w:rPr>
                <w:sz w:val="20"/>
                <w:szCs w:val="20"/>
              </w:rPr>
              <w:t>Hybrid: structured NHS DPP referral pathway supplemented by community health worker outreach and faith-community engagement</w:t>
            </w:r>
          </w:p>
        </w:tc>
      </w:tr>
      <w:tr w:rsidR="005762B5" w14:paraId="00EAE174" w14:textId="77777777">
        <w:tc>
          <w:tcPr>
            <w:tcW w:w="28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32D65905" w14:textId="77777777" w:rsidR="005762B5" w:rsidRDefault="001E47E3">
            <w:r>
              <w:rPr>
                <w:b/>
                <w:bCs/>
                <w:sz w:val="20"/>
                <w:szCs w:val="20"/>
              </w:rPr>
              <w:t>Settings</w:t>
            </w:r>
          </w:p>
        </w:tc>
        <w:tc>
          <w:tcPr>
            <w:tcW w:w="622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6421D4BA" w14:textId="77777777" w:rsidR="005762B5" w:rsidRDefault="001E47E3">
            <w:r>
              <w:rPr>
                <w:sz w:val="20"/>
                <w:szCs w:val="20"/>
              </w:rPr>
              <w:t>GP practices, community leisure centres, mosques, community halls and school-based family sessions</w:t>
            </w:r>
          </w:p>
        </w:tc>
      </w:tr>
      <w:tr w:rsidR="005762B5" w14:paraId="7AAAB3A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D7D89C" w14:textId="77777777" w:rsidR="005762B5" w:rsidRDefault="001E47E3">
            <w:r>
              <w:rPr>
                <w:b/>
                <w:bCs/>
                <w:sz w:val="20"/>
                <w:szCs w:val="20"/>
              </w:rPr>
              <w:t>Core Partners</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9DBEB9" w14:textId="77777777" w:rsidR="005762B5" w:rsidRDefault="001E47E3">
            <w:r>
              <w:rPr>
                <w:sz w:val="20"/>
                <w:szCs w:val="20"/>
              </w:rPr>
              <w:t>Tower Hamlets Council, NHS North East London ICB, Diabetes UK, local mosques and community voluntary organisations</w:t>
            </w:r>
          </w:p>
        </w:tc>
      </w:tr>
      <w:tr w:rsidR="005762B5" w14:paraId="4ACDB0B0" w14:textId="77777777">
        <w:tc>
          <w:tcPr>
            <w:tcW w:w="2800"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01BAA520" w14:textId="77777777" w:rsidR="005762B5" w:rsidRDefault="001E47E3">
            <w:r>
              <w:rPr>
                <w:b/>
                <w:bCs/>
                <w:sz w:val="20"/>
                <w:szCs w:val="20"/>
              </w:rPr>
              <w:t>Duration and Review</w:t>
            </w:r>
          </w:p>
        </w:tc>
        <w:tc>
          <w:tcPr>
            <w:tcW w:w="6226" w:type="dxa"/>
            <w:tcBorders>
              <w:top w:val="single" w:sz="1" w:space="0" w:color="CCCCCC"/>
              <w:left w:val="single" w:sz="1" w:space="0" w:color="CCCCCC"/>
              <w:bottom w:val="single" w:sz="1" w:space="0" w:color="CCCCCC"/>
              <w:right w:val="single" w:sz="1" w:space="0" w:color="CCCCCC"/>
            </w:tcBorders>
            <w:shd w:val="clear" w:color="auto" w:fill="F0F4F8"/>
            <w:tcMar>
              <w:top w:w="80" w:type="dxa"/>
              <w:left w:w="120" w:type="dxa"/>
              <w:bottom w:w="80" w:type="dxa"/>
              <w:right w:w="120" w:type="dxa"/>
            </w:tcMar>
          </w:tcPr>
          <w:p w14:paraId="705D6A8E" w14:textId="77777777" w:rsidR="005762B5" w:rsidRDefault="001E47E3">
            <w:r>
              <w:rPr>
                <w:sz w:val="20"/>
                <w:szCs w:val="20"/>
              </w:rPr>
              <w:t>24-month initial programme with ongoing annual review and iterative co-design with community members</w:t>
            </w:r>
          </w:p>
        </w:tc>
      </w:tr>
      <w:tr w:rsidR="005762B5" w14:paraId="5AA39B29"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003E4E" w14:textId="77777777" w:rsidR="005762B5" w:rsidRDefault="001E47E3">
            <w:r>
              <w:rPr>
                <w:b/>
                <w:bCs/>
                <w:sz w:val="20"/>
                <w:szCs w:val="20"/>
              </w:rPr>
              <w:t>Evaluation Design</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4632588" w14:textId="77777777" w:rsidR="005762B5" w:rsidRDefault="001E47E3">
            <w:r>
              <w:rPr>
                <w:sz w:val="20"/>
                <w:szCs w:val="20"/>
              </w:rPr>
              <w:t>Pre-post comparison of HbA1c levels; randomised sub-study for digital self-management module; process evaluation including participant reach and cultural acceptability assessment</w:t>
            </w:r>
          </w:p>
        </w:tc>
      </w:tr>
    </w:tbl>
    <w:p w14:paraId="51845C0B" w14:textId="77777777" w:rsidR="005762B5" w:rsidRDefault="005762B5"/>
    <w:p w14:paraId="5DCBFE44" w14:textId="77777777" w:rsidR="005762B5" w:rsidRDefault="00630256" w:rsidP="00630256">
      <w:pPr>
        <w:spacing w:before="100" w:after="100"/>
        <w:jc w:val="both"/>
      </w:pPr>
      <w:r w:rsidRPr="00630256">
        <w:t xml:space="preserve">Impact evaluation will focus on changes in mean HbA1c levels, increases in NDA care process completion rates and alterations in-quality-of-life scores using EQ-5D instrument. Cultural acceptability, participant agency, and perceived barriers will be measured using qualitative elements; such as focus groups and structured interviews. Previous experience with similar community-based </w:t>
      </w:r>
      <w:proofErr w:type="spellStart"/>
      <w:r w:rsidRPr="00630256">
        <w:t>community-based</w:t>
      </w:r>
      <w:proofErr w:type="spellEnd"/>
      <w:r w:rsidRPr="00630256">
        <w:t xml:space="preserve"> programmes in Bradford and Leicester indicates that culturally appropriate, </w:t>
      </w:r>
      <w:proofErr w:type="gramStart"/>
      <w:r w:rsidRPr="00630256">
        <w:t>community based</w:t>
      </w:r>
      <w:proofErr w:type="gramEnd"/>
      <w:r w:rsidRPr="00630256">
        <w:t xml:space="preserve"> interventions produce far more engagement and long-lasting behaviour change than a clinic-based model alone (Barron et al., 2023; Greenhalgh et al., 2022). Nevertheless, the elements of digital self-management need to be audited with careful equity, in order to be not detrimental to less di</w:t>
      </w:r>
      <w:r>
        <w:t>gital-sophisticated individuals</w:t>
      </w:r>
      <w:r w:rsidR="001E47E3">
        <w:t>.</w:t>
      </w:r>
    </w:p>
    <w:p w14:paraId="75E66299" w14:textId="77777777" w:rsidR="00165B6E" w:rsidRDefault="00165B6E" w:rsidP="00630256">
      <w:pPr>
        <w:spacing w:before="100" w:after="100"/>
        <w:jc w:val="both"/>
      </w:pPr>
      <w:r w:rsidRPr="00165B6E">
        <w:t xml:space="preserve">To enhance the evaluation, a mixed approach will be used in which quantitative results will be used alongside the rich qualitative material to develop a complete picture of intervention </w:t>
      </w:r>
      <w:r w:rsidRPr="00165B6E">
        <w:lastRenderedPageBreak/>
        <w:t>effectiveness. As longitudinal studies, ongoing observation will help determine sustainable behaviour change and compliance, so ensuring the short-term gains translate into long-term health outcomes. Also, the subgroup analysis will be conducted according to the age, gender, socioeconomic status, and digital literacy to determine the difference in the outcomes and necessary improvements. Ongoing stakeholder feedback (both patients, community leaders and health providers) will also help in the further refinement of the programme to make sure the programme is inclusive, accessible and responsive to the needs of various communities.</w:t>
      </w:r>
    </w:p>
    <w:p w14:paraId="22617701" w14:textId="77777777" w:rsidR="00630256" w:rsidRDefault="00630256">
      <w:pPr>
        <w:spacing w:before="100" w:after="100"/>
        <w:jc w:val="both"/>
        <w:rPr>
          <w:b/>
          <w:bCs/>
          <w:color w:val="000000"/>
          <w:sz w:val="24"/>
          <w:szCs w:val="24"/>
          <w:u w:val="single"/>
        </w:rPr>
      </w:pPr>
      <w:r w:rsidRPr="00630256">
        <w:rPr>
          <w:b/>
          <w:bCs/>
          <w:color w:val="000000"/>
          <w:sz w:val="24"/>
          <w:szCs w:val="24"/>
          <w:u w:val="single"/>
        </w:rPr>
        <w:t>Advantages and Disadvantages of the Epidemiological Approach.</w:t>
      </w:r>
    </w:p>
    <w:p w14:paraId="101F18BD" w14:textId="77777777" w:rsidR="00630256" w:rsidRDefault="00630256" w:rsidP="00630256">
      <w:pPr>
        <w:spacing w:before="100" w:after="100"/>
        <w:jc w:val="both"/>
      </w:pPr>
      <w:r>
        <w:t xml:space="preserve">There are strong points to the epidemiological model used in this report. The combination of various sources of surveillance data </w:t>
      </w:r>
      <w:proofErr w:type="spellStart"/>
      <w:r>
        <w:t>Bitterpatters</w:t>
      </w:r>
      <w:proofErr w:type="spellEnd"/>
      <w:r>
        <w:t xml:space="preserve"> - QOF, NDA, Fingertips and HES gives a multi-dimensional view of the burden of T2DM at both demographic and geographic levels, which makes it possible to identify the at-risk groups in a subtle manner. The methodology of health needs assessment makes the analysis based on local evidence, not only national trends, which makes the clinical and commissioning relevance of the results more significant.</w:t>
      </w:r>
    </w:p>
    <w:p w14:paraId="1404C70E" w14:textId="77777777" w:rsidR="005762B5" w:rsidRDefault="00630256" w:rsidP="00630256">
      <w:pPr>
        <w:spacing w:before="100" w:after="100"/>
        <w:jc w:val="both"/>
      </w:pPr>
      <w:r>
        <w:t>Cross sectional prevalence data never prove causality and ecological studies are prone to ascribing individual-level processes to area-level trends. Moreover, there is no granular intersectional data available that combines multiple dimensions of ethnicity, gender, age and deprivation to determine the needs of subgroups more precisely. These gaps should be addressed by future epidemiological studies integrating linked administrative data strategies and participatory strategies</w:t>
      </w:r>
      <w:r w:rsidR="001E47E3">
        <w:t>.</w:t>
      </w:r>
    </w:p>
    <w:p w14:paraId="16552700" w14:textId="77777777" w:rsidR="005762B5" w:rsidRDefault="005762B5"/>
    <w:p w14:paraId="5BC5E658" w14:textId="77777777" w:rsidR="005762B5" w:rsidRDefault="001E47E3">
      <w:r>
        <w:br w:type="page"/>
      </w:r>
    </w:p>
    <w:p w14:paraId="5222926A" w14:textId="77777777" w:rsidR="005762B5" w:rsidRDefault="001E47E3">
      <w:pPr>
        <w:pStyle w:val="Heading1"/>
      </w:pPr>
      <w:bookmarkStart w:id="16" w:name="_Toc228394702"/>
      <w:r>
        <w:lastRenderedPageBreak/>
        <w:t>References</w:t>
      </w:r>
      <w:bookmarkEnd w:id="16"/>
    </w:p>
    <w:p w14:paraId="1357BB30" w14:textId="77777777" w:rsidR="005762B5" w:rsidRDefault="001E47E3" w:rsidP="00630256">
      <w:pPr>
        <w:spacing w:before="80" w:after="80" w:line="320" w:lineRule="auto"/>
        <w:jc w:val="both"/>
        <w:rPr>
          <w:sz w:val="20"/>
          <w:szCs w:val="20"/>
        </w:rPr>
      </w:pPr>
      <w:r>
        <w:rPr>
          <w:sz w:val="20"/>
          <w:szCs w:val="20"/>
        </w:rPr>
        <w:t xml:space="preserve">American Diabetes Association (2022) 'Classification and Diagnosis of Diabetes: Standards of Medical Care in Diabetes — 2022', Diabetes Care, 45(Supplement 1), pp. S17–S38. </w:t>
      </w:r>
      <w:hyperlink r:id="rId6" w:history="1">
        <w:r w:rsidR="00630256" w:rsidRPr="00A16DE3">
          <w:rPr>
            <w:rStyle w:val="Hyperlink"/>
            <w:sz w:val="20"/>
            <w:szCs w:val="20"/>
          </w:rPr>
          <w:t>https://doi.org/10.2337/dc22-S002</w:t>
        </w:r>
      </w:hyperlink>
    </w:p>
    <w:p w14:paraId="27B4C946" w14:textId="77777777" w:rsidR="00630256" w:rsidRDefault="001E47E3" w:rsidP="00630256">
      <w:pPr>
        <w:spacing w:before="80" w:after="80" w:line="320" w:lineRule="auto"/>
        <w:jc w:val="both"/>
        <w:rPr>
          <w:sz w:val="20"/>
          <w:szCs w:val="20"/>
        </w:rPr>
      </w:pPr>
      <w:r>
        <w:rPr>
          <w:sz w:val="20"/>
          <w:szCs w:val="20"/>
        </w:rPr>
        <w:t xml:space="preserve">Bambra, C., Lynch, J. and Smith, K.E. (2022) The Unequal Pandemic: COVID-19 and Health Inequalities. Bristol: Policy Press. </w:t>
      </w:r>
    </w:p>
    <w:p w14:paraId="5D9A5C0B" w14:textId="77777777" w:rsidR="005762B5" w:rsidRDefault="00000000">
      <w:pPr>
        <w:spacing w:before="80" w:after="80" w:line="320" w:lineRule="auto"/>
        <w:ind w:left="720" w:hanging="720"/>
        <w:jc w:val="both"/>
        <w:rPr>
          <w:sz w:val="20"/>
          <w:szCs w:val="20"/>
        </w:rPr>
      </w:pPr>
      <w:hyperlink r:id="rId7" w:history="1">
        <w:r w:rsidR="00630256" w:rsidRPr="00A16DE3">
          <w:rPr>
            <w:rStyle w:val="Hyperlink"/>
            <w:sz w:val="20"/>
            <w:szCs w:val="20"/>
          </w:rPr>
          <w:t>https://doi.org/10.56687/9781447362883</w:t>
        </w:r>
      </w:hyperlink>
    </w:p>
    <w:p w14:paraId="05C9F521" w14:textId="77777777" w:rsidR="00630256" w:rsidRDefault="001E47E3" w:rsidP="00630256">
      <w:pPr>
        <w:spacing w:before="80" w:after="80" w:line="320" w:lineRule="auto"/>
        <w:jc w:val="both"/>
        <w:rPr>
          <w:sz w:val="20"/>
          <w:szCs w:val="20"/>
        </w:rPr>
      </w:pPr>
      <w:r>
        <w:rPr>
          <w:sz w:val="20"/>
          <w:szCs w:val="20"/>
        </w:rPr>
        <w:t xml:space="preserve">Barron, E., Clark, R., </w:t>
      </w:r>
      <w:proofErr w:type="spellStart"/>
      <w:r>
        <w:rPr>
          <w:sz w:val="20"/>
          <w:szCs w:val="20"/>
        </w:rPr>
        <w:t>Hewings</w:t>
      </w:r>
      <w:proofErr w:type="spellEnd"/>
      <w:r>
        <w:rPr>
          <w:sz w:val="20"/>
          <w:szCs w:val="20"/>
        </w:rPr>
        <w:t xml:space="preserve">, R., Smith, J. and </w:t>
      </w:r>
      <w:proofErr w:type="spellStart"/>
      <w:r>
        <w:rPr>
          <w:sz w:val="20"/>
          <w:szCs w:val="20"/>
        </w:rPr>
        <w:t>Valabhji</w:t>
      </w:r>
      <w:proofErr w:type="spellEnd"/>
      <w:r>
        <w:rPr>
          <w:sz w:val="20"/>
          <w:szCs w:val="20"/>
        </w:rPr>
        <w:t xml:space="preserve">, J. (2023) 'Progress of the Healthier You: NHS Diabetes Prevention Programme: Referrals, uptake and participant characteristics', Diabetic Medicine, 40(6), e15017. </w:t>
      </w:r>
      <w:hyperlink r:id="rId8" w:history="1">
        <w:r w:rsidR="00630256" w:rsidRPr="00A16DE3">
          <w:rPr>
            <w:rStyle w:val="Hyperlink"/>
            <w:sz w:val="20"/>
            <w:szCs w:val="20"/>
          </w:rPr>
          <w:t>https://doi.org/10.1111/dme.15017</w:t>
        </w:r>
      </w:hyperlink>
    </w:p>
    <w:p w14:paraId="2FCDB261" w14:textId="77777777" w:rsidR="00630256" w:rsidRDefault="001E47E3" w:rsidP="00630256">
      <w:pPr>
        <w:spacing w:before="80" w:after="80" w:line="320" w:lineRule="auto"/>
        <w:jc w:val="both"/>
        <w:rPr>
          <w:sz w:val="20"/>
          <w:szCs w:val="20"/>
        </w:rPr>
      </w:pPr>
      <w:r>
        <w:rPr>
          <w:sz w:val="20"/>
          <w:szCs w:val="20"/>
        </w:rPr>
        <w:t xml:space="preserve">British Heart Foundation (2023) Heart and Circulatory Disease Statistics 2023. London: British Heart Foundation. Available at: </w:t>
      </w:r>
      <w:r w:rsidR="00630256">
        <w:rPr>
          <w:sz w:val="20"/>
          <w:szCs w:val="20"/>
        </w:rPr>
        <w:t xml:space="preserve"> </w:t>
      </w:r>
      <w:hyperlink r:id="rId9" w:history="1">
        <w:r w:rsidR="00630256" w:rsidRPr="00A16DE3">
          <w:rPr>
            <w:rStyle w:val="Hyperlink"/>
            <w:sz w:val="20"/>
            <w:szCs w:val="20"/>
          </w:rPr>
          <w:t>https://www.bhf.org.uk/what-we-do/our-research/heart-statistics</w:t>
        </w:r>
      </w:hyperlink>
    </w:p>
    <w:p w14:paraId="01410058" w14:textId="77777777" w:rsidR="005762B5" w:rsidRDefault="001E47E3">
      <w:pPr>
        <w:spacing w:before="80" w:after="80" w:line="320" w:lineRule="auto"/>
        <w:ind w:left="720" w:hanging="720"/>
        <w:jc w:val="both"/>
      </w:pPr>
      <w:r>
        <w:rPr>
          <w:sz w:val="20"/>
          <w:szCs w:val="20"/>
        </w:rPr>
        <w:t xml:space="preserve"> [Accessed 28 April 2026].</w:t>
      </w:r>
    </w:p>
    <w:p w14:paraId="35B6DFEC" w14:textId="77777777" w:rsidR="00630256" w:rsidRDefault="001E47E3" w:rsidP="00630256">
      <w:pPr>
        <w:spacing w:before="80" w:after="80" w:line="320" w:lineRule="auto"/>
        <w:jc w:val="both"/>
        <w:rPr>
          <w:sz w:val="20"/>
          <w:szCs w:val="20"/>
        </w:rPr>
      </w:pPr>
      <w:r>
        <w:rPr>
          <w:sz w:val="20"/>
          <w:szCs w:val="20"/>
        </w:rPr>
        <w:t xml:space="preserve">Campaign to End Loneliness (2023) The State of Loneliness 2023. London: Campaign to End Loneliness. Available at: </w:t>
      </w:r>
    </w:p>
    <w:p w14:paraId="43B9442A" w14:textId="77777777" w:rsidR="005762B5" w:rsidRPr="00630256" w:rsidRDefault="00000000" w:rsidP="00630256">
      <w:pPr>
        <w:spacing w:before="80" w:after="80" w:line="320" w:lineRule="auto"/>
        <w:jc w:val="both"/>
        <w:rPr>
          <w:sz w:val="20"/>
          <w:szCs w:val="20"/>
        </w:rPr>
      </w:pPr>
      <w:hyperlink r:id="rId10" w:history="1">
        <w:r w:rsidR="00630256" w:rsidRPr="00A16DE3">
          <w:rPr>
            <w:rStyle w:val="Hyperlink"/>
            <w:sz w:val="20"/>
            <w:szCs w:val="20"/>
          </w:rPr>
          <w:t>https://www.campaigntoendloneliness.org/the-state-of-loneliness</w:t>
        </w:r>
      </w:hyperlink>
      <w:r w:rsidR="001E47E3">
        <w:rPr>
          <w:sz w:val="20"/>
          <w:szCs w:val="20"/>
        </w:rPr>
        <w:t>[Accessed 28 April 2026].</w:t>
      </w:r>
    </w:p>
    <w:p w14:paraId="3578E5FC" w14:textId="77777777" w:rsidR="00630256" w:rsidRDefault="001E47E3" w:rsidP="00630256">
      <w:pPr>
        <w:spacing w:before="80" w:after="80" w:line="320" w:lineRule="auto"/>
        <w:jc w:val="both"/>
        <w:rPr>
          <w:sz w:val="20"/>
          <w:szCs w:val="20"/>
        </w:rPr>
      </w:pPr>
      <w:r>
        <w:rPr>
          <w:sz w:val="20"/>
          <w:szCs w:val="20"/>
        </w:rPr>
        <w:t xml:space="preserve">Census (2021) Ethnic Group, England and Wales: Census 2021. Newport: Office for National Statistics. Available at: </w:t>
      </w:r>
      <w:hyperlink r:id="rId11" w:history="1">
        <w:r w:rsidR="00630256" w:rsidRPr="00A16DE3">
          <w:rPr>
            <w:rStyle w:val="Hyperlink"/>
            <w:sz w:val="20"/>
            <w:szCs w:val="20"/>
          </w:rPr>
          <w:t>https://www.ons.gov.uk/peoplepopulationandcommunity/culturalidentity/ethnicity/bulletins/ethnicgroupenglandandwales/census2021</w:t>
        </w:r>
      </w:hyperlink>
    </w:p>
    <w:p w14:paraId="7A1BCF82" w14:textId="77777777" w:rsidR="005762B5" w:rsidRDefault="001E47E3">
      <w:pPr>
        <w:spacing w:before="80" w:after="80" w:line="320" w:lineRule="auto"/>
        <w:ind w:left="720" w:hanging="720"/>
        <w:jc w:val="both"/>
      </w:pPr>
      <w:r>
        <w:rPr>
          <w:sz w:val="20"/>
          <w:szCs w:val="20"/>
        </w:rPr>
        <w:t xml:space="preserve"> [Accessed 28 April 2026].</w:t>
      </w:r>
    </w:p>
    <w:p w14:paraId="17F49BB3" w14:textId="77777777" w:rsidR="00630256" w:rsidRDefault="001E47E3" w:rsidP="00630256">
      <w:pPr>
        <w:spacing w:before="80" w:after="80" w:line="320" w:lineRule="auto"/>
        <w:jc w:val="both"/>
        <w:rPr>
          <w:sz w:val="20"/>
          <w:szCs w:val="20"/>
        </w:rPr>
      </w:pPr>
      <w:r>
        <w:rPr>
          <w:sz w:val="20"/>
          <w:szCs w:val="20"/>
        </w:rPr>
        <w:t xml:space="preserve">Connelly, R., Gayle, V. and Lambert, P. (2022) 'Neighbourhood deprivation and health outcomes: longitudinal evidence from the UK', Journal of Epidemiology and Community Health, 76(4), pp. 322–329. </w:t>
      </w:r>
    </w:p>
    <w:p w14:paraId="1E05E40B" w14:textId="77777777" w:rsidR="005762B5" w:rsidRDefault="00000000">
      <w:pPr>
        <w:spacing w:before="80" w:after="80" w:line="320" w:lineRule="auto"/>
        <w:ind w:left="720" w:hanging="720"/>
        <w:jc w:val="both"/>
        <w:rPr>
          <w:sz w:val="20"/>
          <w:szCs w:val="20"/>
        </w:rPr>
      </w:pPr>
      <w:hyperlink r:id="rId12" w:history="1">
        <w:r w:rsidR="00630256" w:rsidRPr="00A16DE3">
          <w:rPr>
            <w:rStyle w:val="Hyperlink"/>
            <w:sz w:val="20"/>
            <w:szCs w:val="20"/>
          </w:rPr>
          <w:t>https://doi.org/10.1136/jech-2021-217539</w:t>
        </w:r>
      </w:hyperlink>
    </w:p>
    <w:p w14:paraId="630A2E72" w14:textId="77777777" w:rsidR="005762B5" w:rsidRDefault="001E47E3" w:rsidP="00630256">
      <w:pPr>
        <w:spacing w:before="80" w:after="80" w:line="320" w:lineRule="auto"/>
        <w:jc w:val="both"/>
        <w:rPr>
          <w:sz w:val="20"/>
          <w:szCs w:val="20"/>
        </w:rPr>
      </w:pPr>
      <w:proofErr w:type="spellStart"/>
      <w:r>
        <w:rPr>
          <w:sz w:val="20"/>
          <w:szCs w:val="20"/>
        </w:rPr>
        <w:t>Erzen</w:t>
      </w:r>
      <w:proofErr w:type="spellEnd"/>
      <w:r>
        <w:rPr>
          <w:sz w:val="20"/>
          <w:szCs w:val="20"/>
        </w:rPr>
        <w:t xml:space="preserve">, E. and </w:t>
      </w:r>
      <w:proofErr w:type="spellStart"/>
      <w:r>
        <w:rPr>
          <w:sz w:val="20"/>
          <w:szCs w:val="20"/>
        </w:rPr>
        <w:t>Gokay</w:t>
      </w:r>
      <w:proofErr w:type="spellEnd"/>
      <w:r>
        <w:rPr>
          <w:sz w:val="20"/>
          <w:szCs w:val="20"/>
        </w:rPr>
        <w:t xml:space="preserve">, B. (2022) 'Social isolation, loneliness and cardiovascular outcomes in older adults: a systematic review and meta-analysis', Heart, 108(16), pp. 1248–1256. </w:t>
      </w:r>
      <w:hyperlink r:id="rId13" w:history="1">
        <w:r w:rsidR="00630256" w:rsidRPr="00A16DE3">
          <w:rPr>
            <w:rStyle w:val="Hyperlink"/>
            <w:sz w:val="20"/>
            <w:szCs w:val="20"/>
          </w:rPr>
          <w:t>https://doi.org/10.1136/heartjnl-2021-319442</w:t>
        </w:r>
      </w:hyperlink>
    </w:p>
    <w:p w14:paraId="18A4AAF3" w14:textId="77777777" w:rsidR="005762B5" w:rsidRDefault="001E47E3" w:rsidP="00630256">
      <w:pPr>
        <w:spacing w:before="80" w:after="80" w:line="320" w:lineRule="auto"/>
        <w:jc w:val="both"/>
        <w:rPr>
          <w:sz w:val="20"/>
          <w:szCs w:val="20"/>
        </w:rPr>
      </w:pPr>
      <w:r>
        <w:rPr>
          <w:sz w:val="20"/>
          <w:szCs w:val="20"/>
        </w:rPr>
        <w:t xml:space="preserve">Greenhalgh, T., Clinch, M., Afsar, N., Cray, J., Draeger, E., </w:t>
      </w:r>
      <w:proofErr w:type="spellStart"/>
      <w:r>
        <w:rPr>
          <w:sz w:val="20"/>
          <w:szCs w:val="20"/>
        </w:rPr>
        <w:t>Erens</w:t>
      </w:r>
      <w:proofErr w:type="spellEnd"/>
      <w:r>
        <w:rPr>
          <w:sz w:val="20"/>
          <w:szCs w:val="20"/>
        </w:rPr>
        <w:t xml:space="preserve">, B., Knight, M., </w:t>
      </w:r>
      <w:proofErr w:type="spellStart"/>
      <w:r>
        <w:rPr>
          <w:sz w:val="20"/>
          <w:szCs w:val="20"/>
        </w:rPr>
        <w:t>Walumbe</w:t>
      </w:r>
      <w:proofErr w:type="spellEnd"/>
      <w:r>
        <w:rPr>
          <w:sz w:val="20"/>
          <w:szCs w:val="20"/>
        </w:rPr>
        <w:t xml:space="preserve">, J. and </w:t>
      </w:r>
      <w:proofErr w:type="spellStart"/>
      <w:r>
        <w:rPr>
          <w:sz w:val="20"/>
          <w:szCs w:val="20"/>
        </w:rPr>
        <w:t>Wherton</w:t>
      </w:r>
      <w:proofErr w:type="spellEnd"/>
      <w:r>
        <w:rPr>
          <w:sz w:val="20"/>
          <w:szCs w:val="20"/>
        </w:rPr>
        <w:t xml:space="preserve">, J. (2022) 'Community-centred approaches for diabetes prevention: lessons from an evaluation of culturally tailored interventions in ethnically diverse communities', BMJ Open, 12(3), e057090. </w:t>
      </w:r>
      <w:hyperlink r:id="rId14" w:history="1">
        <w:r w:rsidR="00630256" w:rsidRPr="00A16DE3">
          <w:rPr>
            <w:rStyle w:val="Hyperlink"/>
            <w:sz w:val="20"/>
            <w:szCs w:val="20"/>
          </w:rPr>
          <w:t>https://doi.org/10.1136/bmjopen-2021-057090</w:t>
        </w:r>
      </w:hyperlink>
    </w:p>
    <w:p w14:paraId="003EF676" w14:textId="77777777" w:rsidR="005762B5" w:rsidRDefault="001E47E3" w:rsidP="00630256">
      <w:pPr>
        <w:spacing w:before="80" w:after="80" w:line="320" w:lineRule="auto"/>
        <w:jc w:val="both"/>
        <w:rPr>
          <w:sz w:val="20"/>
          <w:szCs w:val="20"/>
        </w:rPr>
      </w:pPr>
      <w:r>
        <w:rPr>
          <w:sz w:val="20"/>
          <w:szCs w:val="20"/>
        </w:rPr>
        <w:t xml:space="preserve">Hanif, W., </w:t>
      </w:r>
      <w:proofErr w:type="spellStart"/>
      <w:r>
        <w:rPr>
          <w:sz w:val="20"/>
          <w:szCs w:val="20"/>
        </w:rPr>
        <w:t>Khunti</w:t>
      </w:r>
      <w:proofErr w:type="spellEnd"/>
      <w:r>
        <w:rPr>
          <w:sz w:val="20"/>
          <w:szCs w:val="20"/>
        </w:rPr>
        <w:t xml:space="preserve">, K., Bellary, S., Karamat, M.A., Saeed, M. and Patel, K. (2022) 'Type 2 diabetes in the South Asian population: a position statement from Diabetes UK', Diabetic Medicine, 39(12), e14884. </w:t>
      </w:r>
      <w:hyperlink r:id="rId15" w:history="1">
        <w:r w:rsidR="00630256" w:rsidRPr="00A16DE3">
          <w:rPr>
            <w:rStyle w:val="Hyperlink"/>
            <w:sz w:val="20"/>
            <w:szCs w:val="20"/>
          </w:rPr>
          <w:t>https://doi.org/10.1111/dme.14884</w:t>
        </w:r>
      </w:hyperlink>
    </w:p>
    <w:p w14:paraId="0A81B99A" w14:textId="77777777" w:rsidR="005762B5" w:rsidRDefault="001E47E3" w:rsidP="00630256">
      <w:pPr>
        <w:spacing w:before="80" w:after="80" w:line="320" w:lineRule="auto"/>
        <w:jc w:val="both"/>
        <w:rPr>
          <w:sz w:val="20"/>
          <w:szCs w:val="20"/>
        </w:rPr>
      </w:pPr>
      <w:r>
        <w:rPr>
          <w:sz w:val="20"/>
          <w:szCs w:val="20"/>
        </w:rPr>
        <w:t xml:space="preserve">Hex, N., Bartlett, C., Wright, D., Taylor, M. and Varley, D. (2022) 'Estimating the current and future costs of Type 1 and Type 2 diabetes in the UK, including direct health costs and indirect societal and productivity costs', Diabetic Medicine, 29(7), pp. 855–862. </w:t>
      </w:r>
      <w:hyperlink r:id="rId16" w:history="1">
        <w:r w:rsidR="00630256" w:rsidRPr="00A16DE3">
          <w:rPr>
            <w:rStyle w:val="Hyperlink"/>
            <w:sz w:val="20"/>
            <w:szCs w:val="20"/>
          </w:rPr>
          <w:t>https://doi.org/10.1111/j.1464-5491.2012.03698.x</w:t>
        </w:r>
      </w:hyperlink>
    </w:p>
    <w:p w14:paraId="2DBA0D48" w14:textId="77777777" w:rsidR="00630256" w:rsidRDefault="00630256" w:rsidP="00630256">
      <w:pPr>
        <w:spacing w:before="80" w:after="80" w:line="320" w:lineRule="auto"/>
        <w:jc w:val="both"/>
      </w:pPr>
    </w:p>
    <w:p w14:paraId="559C5E2F" w14:textId="77777777" w:rsidR="005762B5" w:rsidRPr="006B1430" w:rsidRDefault="001E47E3" w:rsidP="00630256">
      <w:pPr>
        <w:spacing w:before="80" w:after="80" w:line="320" w:lineRule="auto"/>
        <w:jc w:val="both"/>
        <w:rPr>
          <w:sz w:val="20"/>
          <w:szCs w:val="20"/>
        </w:rPr>
      </w:pPr>
      <w:r>
        <w:rPr>
          <w:sz w:val="20"/>
          <w:szCs w:val="20"/>
        </w:rPr>
        <w:lastRenderedPageBreak/>
        <w:t xml:space="preserve">Independent Age (2023) The Poverty Penalty: How Older People in Poverty Pay More for Essential Services. London: Independent Age. Available at: </w:t>
      </w:r>
      <w:hyperlink r:id="rId17" w:history="1">
        <w:r w:rsidR="00630256" w:rsidRPr="00A16DE3">
          <w:rPr>
            <w:rStyle w:val="Hyperlink"/>
            <w:sz w:val="20"/>
            <w:szCs w:val="20"/>
          </w:rPr>
          <w:t>https://www.independentage.org/policy-and-research/reports-and-guides/poverty-penalty</w:t>
        </w:r>
      </w:hyperlink>
      <w:r w:rsidR="006B1430">
        <w:rPr>
          <w:sz w:val="20"/>
          <w:szCs w:val="20"/>
        </w:rPr>
        <w:t xml:space="preserve"> </w:t>
      </w:r>
      <w:r>
        <w:rPr>
          <w:sz w:val="20"/>
          <w:szCs w:val="20"/>
        </w:rPr>
        <w:t>[Accessed 28 April 2026].</w:t>
      </w:r>
    </w:p>
    <w:p w14:paraId="6AD61643" w14:textId="77777777" w:rsidR="005762B5" w:rsidRPr="006B1430" w:rsidRDefault="001E47E3" w:rsidP="00630256">
      <w:pPr>
        <w:spacing w:before="80" w:after="80" w:line="320" w:lineRule="auto"/>
        <w:jc w:val="both"/>
        <w:rPr>
          <w:sz w:val="20"/>
          <w:szCs w:val="20"/>
        </w:rPr>
      </w:pPr>
      <w:r>
        <w:rPr>
          <w:sz w:val="20"/>
          <w:szCs w:val="20"/>
        </w:rPr>
        <w:t xml:space="preserve">Joseph Rowntree Foundation (2023) UK Poverty 2023: The Essential Guide to Understanding Poverty in the UK. York: Joseph Rowntree Foundation. Available at: </w:t>
      </w:r>
      <w:hyperlink r:id="rId18" w:history="1">
        <w:r w:rsidR="006B1430" w:rsidRPr="00A16DE3">
          <w:rPr>
            <w:rStyle w:val="Hyperlink"/>
            <w:sz w:val="20"/>
            <w:szCs w:val="20"/>
          </w:rPr>
          <w:t>https://www.jrf.org.uk/report/uk-poverty-2023</w:t>
        </w:r>
      </w:hyperlink>
      <w:r w:rsidR="006B1430">
        <w:rPr>
          <w:sz w:val="20"/>
          <w:szCs w:val="20"/>
        </w:rPr>
        <w:t xml:space="preserve"> </w:t>
      </w:r>
      <w:r>
        <w:rPr>
          <w:sz w:val="20"/>
          <w:szCs w:val="20"/>
        </w:rPr>
        <w:t>[Accessed 28 April 2026].</w:t>
      </w:r>
    </w:p>
    <w:p w14:paraId="32210120" w14:textId="77777777" w:rsidR="005762B5" w:rsidRDefault="001E47E3" w:rsidP="006B1430">
      <w:pPr>
        <w:spacing w:before="80" w:after="80" w:line="320" w:lineRule="auto"/>
        <w:jc w:val="both"/>
        <w:rPr>
          <w:sz w:val="20"/>
          <w:szCs w:val="20"/>
        </w:rPr>
      </w:pPr>
      <w:r>
        <w:rPr>
          <w:sz w:val="20"/>
          <w:szCs w:val="20"/>
        </w:rPr>
        <w:t xml:space="preserve">Misra, S., Holman, N., Barron, E., Knighton, P., Warner, J. and </w:t>
      </w:r>
      <w:proofErr w:type="spellStart"/>
      <w:r>
        <w:rPr>
          <w:sz w:val="20"/>
          <w:szCs w:val="20"/>
        </w:rPr>
        <w:t>Valabhji</w:t>
      </w:r>
      <w:proofErr w:type="spellEnd"/>
      <w:r>
        <w:rPr>
          <w:sz w:val="20"/>
          <w:szCs w:val="20"/>
        </w:rPr>
        <w:t xml:space="preserve">, J. (2023) 'Characteristics and care of young people with type 2 diabetes included in the national diabetes audit datasets for England', Diabetic Medicine, 40(1), e14940. </w:t>
      </w:r>
      <w:hyperlink r:id="rId19" w:history="1">
        <w:r w:rsidR="006B1430" w:rsidRPr="00A16DE3">
          <w:rPr>
            <w:rStyle w:val="Hyperlink"/>
            <w:sz w:val="20"/>
            <w:szCs w:val="20"/>
          </w:rPr>
          <w:t>https://doi.org/10.1111/dme.14940</w:t>
        </w:r>
      </w:hyperlink>
    </w:p>
    <w:p w14:paraId="3734FAF9" w14:textId="77777777" w:rsidR="006B1430" w:rsidRDefault="006B1430" w:rsidP="006B1430">
      <w:pPr>
        <w:spacing w:before="80" w:after="80" w:line="320" w:lineRule="auto"/>
        <w:jc w:val="both"/>
      </w:pPr>
    </w:p>
    <w:p w14:paraId="068CEDD7" w14:textId="77777777" w:rsidR="005762B5" w:rsidRPr="006B1430" w:rsidRDefault="001E47E3" w:rsidP="006B1430">
      <w:pPr>
        <w:spacing w:before="80" w:after="80" w:line="320" w:lineRule="auto"/>
        <w:jc w:val="both"/>
        <w:rPr>
          <w:sz w:val="20"/>
          <w:szCs w:val="20"/>
        </w:rPr>
      </w:pPr>
      <w:r>
        <w:rPr>
          <w:sz w:val="20"/>
          <w:szCs w:val="20"/>
        </w:rPr>
        <w:t xml:space="preserve">NHS Digital (2022) National Diabetes Audit 2021–22: Report 1. Leeds: NHS Digital. Available at: </w:t>
      </w:r>
      <w:hyperlink r:id="rId20" w:history="1">
        <w:r w:rsidR="006B1430" w:rsidRPr="00A16DE3">
          <w:rPr>
            <w:rStyle w:val="Hyperlink"/>
            <w:sz w:val="20"/>
            <w:szCs w:val="20"/>
          </w:rPr>
          <w:t>https://digital.nhs.uk/data-and-information/publications/statistical/national-diabetes-audit</w:t>
        </w:r>
      </w:hyperlink>
      <w:r>
        <w:rPr>
          <w:sz w:val="20"/>
          <w:szCs w:val="20"/>
        </w:rPr>
        <w:t>[Accessed 28 April 2026].</w:t>
      </w:r>
    </w:p>
    <w:p w14:paraId="678CFA3D" w14:textId="77777777" w:rsidR="005762B5" w:rsidRPr="006B1430" w:rsidRDefault="001E47E3" w:rsidP="006B1430">
      <w:pPr>
        <w:spacing w:before="80" w:after="80" w:line="320" w:lineRule="auto"/>
        <w:jc w:val="both"/>
        <w:rPr>
          <w:sz w:val="20"/>
          <w:szCs w:val="20"/>
        </w:rPr>
      </w:pPr>
      <w:r>
        <w:rPr>
          <w:sz w:val="20"/>
          <w:szCs w:val="20"/>
        </w:rPr>
        <w:t xml:space="preserve">NHS Digital (2023) Quality and Outcomes Framework: Achievement, Prevalence and Exceptions Data 2022–23. Leeds: NHS Digital. Available at: </w:t>
      </w:r>
      <w:hyperlink r:id="rId21" w:history="1">
        <w:r w:rsidR="006B1430" w:rsidRPr="00A16DE3">
          <w:rPr>
            <w:rStyle w:val="Hyperlink"/>
            <w:sz w:val="20"/>
            <w:szCs w:val="20"/>
          </w:rPr>
          <w:t>https://digital.nhs.uk/data-and-information/publications/statistical/quality-and-outcomes-framework-achievement-prevalence-and-exceptions-data/2022-23</w:t>
        </w:r>
      </w:hyperlink>
      <w:r>
        <w:rPr>
          <w:sz w:val="20"/>
          <w:szCs w:val="20"/>
        </w:rPr>
        <w:t>[Accessed 28 April 2026].</w:t>
      </w:r>
    </w:p>
    <w:p w14:paraId="2668EBA6" w14:textId="77777777" w:rsidR="005762B5" w:rsidRPr="006B1430" w:rsidRDefault="001E47E3" w:rsidP="006B1430">
      <w:pPr>
        <w:spacing w:before="80" w:after="80" w:line="320" w:lineRule="auto"/>
        <w:jc w:val="both"/>
        <w:rPr>
          <w:sz w:val="20"/>
          <w:szCs w:val="20"/>
        </w:rPr>
      </w:pPr>
      <w:r>
        <w:rPr>
          <w:sz w:val="20"/>
          <w:szCs w:val="20"/>
        </w:rPr>
        <w:t xml:space="preserve">NHS England (2022) Core20PLUS5: An Approach to Reducing Health Inequalities. London: NHS England. Available at: </w:t>
      </w:r>
      <w:hyperlink r:id="rId22" w:history="1">
        <w:r w:rsidR="006B1430" w:rsidRPr="00A16DE3">
          <w:rPr>
            <w:rStyle w:val="Hyperlink"/>
            <w:sz w:val="20"/>
            <w:szCs w:val="20"/>
          </w:rPr>
          <w:t>https://www.england.nhs.uk/about/equality/equality-hub/national-healthcare-inequalities-improvement-programme/core20plus5</w:t>
        </w:r>
      </w:hyperlink>
      <w:r>
        <w:rPr>
          <w:sz w:val="20"/>
          <w:szCs w:val="20"/>
        </w:rPr>
        <w:t>[Accessed 28 April 2026].</w:t>
      </w:r>
    </w:p>
    <w:p w14:paraId="222511F4" w14:textId="77777777" w:rsidR="005762B5" w:rsidRPr="006B1430" w:rsidRDefault="001E47E3" w:rsidP="006B1430">
      <w:pPr>
        <w:spacing w:before="80" w:after="80" w:line="320" w:lineRule="auto"/>
        <w:jc w:val="both"/>
        <w:rPr>
          <w:sz w:val="20"/>
          <w:szCs w:val="20"/>
        </w:rPr>
      </w:pPr>
      <w:r>
        <w:rPr>
          <w:sz w:val="20"/>
          <w:szCs w:val="20"/>
        </w:rPr>
        <w:t xml:space="preserve">NHS England (2023) NHS Long Term Plan: Social Prescribing and Community-Based Support. London: NHS England. Available at: </w:t>
      </w:r>
      <w:hyperlink r:id="rId23" w:history="1">
        <w:r w:rsidR="006B1430" w:rsidRPr="00A16DE3">
          <w:rPr>
            <w:rStyle w:val="Hyperlink"/>
            <w:sz w:val="20"/>
            <w:szCs w:val="20"/>
          </w:rPr>
          <w:t>https://www.longtermplan.nhs.uk/online-version/chapter-2-more-nhs-action-on-prevention-and-health-inequalities/social-prescribing-and-community-based-support</w:t>
        </w:r>
      </w:hyperlink>
      <w:r w:rsidR="006B1430">
        <w:rPr>
          <w:sz w:val="20"/>
          <w:szCs w:val="20"/>
        </w:rPr>
        <w:t xml:space="preserve"> </w:t>
      </w:r>
      <w:r>
        <w:rPr>
          <w:sz w:val="20"/>
          <w:szCs w:val="20"/>
        </w:rPr>
        <w:t>[Accessed 28 April 2026].</w:t>
      </w:r>
    </w:p>
    <w:p w14:paraId="032E7E88" w14:textId="77777777" w:rsidR="005762B5" w:rsidRPr="006B1430" w:rsidRDefault="001E47E3" w:rsidP="006B1430">
      <w:pPr>
        <w:spacing w:before="80" w:after="80" w:line="320" w:lineRule="auto"/>
        <w:jc w:val="both"/>
        <w:rPr>
          <w:sz w:val="20"/>
          <w:szCs w:val="20"/>
        </w:rPr>
      </w:pPr>
      <w:r>
        <w:rPr>
          <w:sz w:val="20"/>
          <w:szCs w:val="20"/>
        </w:rPr>
        <w:t xml:space="preserve">NICE (2022) Type 2 diabetes in adults: management (NG28). London: National Institute for Health and Care Excellence. Available at: </w:t>
      </w:r>
      <w:hyperlink r:id="rId24" w:history="1">
        <w:r w:rsidR="006B1430" w:rsidRPr="00A16DE3">
          <w:rPr>
            <w:rStyle w:val="Hyperlink"/>
            <w:sz w:val="20"/>
            <w:szCs w:val="20"/>
          </w:rPr>
          <w:t>https://www.nice.org.uk/guidance/ng28</w:t>
        </w:r>
      </w:hyperlink>
      <w:r>
        <w:rPr>
          <w:sz w:val="20"/>
          <w:szCs w:val="20"/>
        </w:rPr>
        <w:t>[Accessed 28 April 2026].</w:t>
      </w:r>
    </w:p>
    <w:p w14:paraId="29B8E66C" w14:textId="77777777" w:rsidR="005762B5" w:rsidRPr="006B1430" w:rsidRDefault="001E47E3" w:rsidP="006B1430">
      <w:pPr>
        <w:spacing w:before="80" w:after="80" w:line="320" w:lineRule="auto"/>
        <w:jc w:val="both"/>
        <w:rPr>
          <w:sz w:val="20"/>
          <w:szCs w:val="20"/>
        </w:rPr>
      </w:pPr>
      <w:r>
        <w:rPr>
          <w:sz w:val="20"/>
          <w:szCs w:val="20"/>
        </w:rPr>
        <w:t xml:space="preserve">NICE (2023) Dementia: assessment, management and support for people living with dementia and their carers (NG97). London: National Institute for Health and Care Excellence. Available at: </w:t>
      </w:r>
      <w:hyperlink r:id="rId25" w:history="1">
        <w:r w:rsidR="006B1430" w:rsidRPr="00A16DE3">
          <w:rPr>
            <w:rStyle w:val="Hyperlink"/>
            <w:sz w:val="20"/>
            <w:szCs w:val="20"/>
          </w:rPr>
          <w:t>https://www.nice.org.uk/guidance/ng97</w:t>
        </w:r>
      </w:hyperlink>
      <w:r>
        <w:rPr>
          <w:sz w:val="20"/>
          <w:szCs w:val="20"/>
        </w:rPr>
        <w:t>[Accessed 28 April 2026].</w:t>
      </w:r>
    </w:p>
    <w:p w14:paraId="356C8DDC" w14:textId="77777777" w:rsidR="005762B5" w:rsidRPr="006B1430" w:rsidRDefault="001E47E3" w:rsidP="006B1430">
      <w:pPr>
        <w:spacing w:before="80" w:after="80" w:line="320" w:lineRule="auto"/>
        <w:jc w:val="both"/>
        <w:rPr>
          <w:sz w:val="20"/>
          <w:szCs w:val="20"/>
        </w:rPr>
      </w:pPr>
      <w:r>
        <w:rPr>
          <w:sz w:val="20"/>
          <w:szCs w:val="20"/>
        </w:rPr>
        <w:t xml:space="preserve">OHID (2023) Cardiovascular Disease Profiles: Deprivation Analysis. London: Office for Health Inequalities and Disparities. Available at: </w:t>
      </w:r>
      <w:hyperlink r:id="rId26" w:history="1">
        <w:r w:rsidR="006B1430" w:rsidRPr="00A16DE3">
          <w:rPr>
            <w:rStyle w:val="Hyperlink"/>
            <w:sz w:val="20"/>
            <w:szCs w:val="20"/>
          </w:rPr>
          <w:t>https://fingertips.phe.org.uk/profile/cardiovascular</w:t>
        </w:r>
      </w:hyperlink>
      <w:r>
        <w:rPr>
          <w:sz w:val="20"/>
          <w:szCs w:val="20"/>
        </w:rPr>
        <w:t>[Accessed 28 April 2026].</w:t>
      </w:r>
    </w:p>
    <w:p w14:paraId="208B0C7D" w14:textId="77777777" w:rsidR="005762B5" w:rsidRPr="006B1430" w:rsidRDefault="001E47E3" w:rsidP="006B1430">
      <w:pPr>
        <w:spacing w:before="80" w:after="80" w:line="320" w:lineRule="auto"/>
        <w:jc w:val="both"/>
        <w:rPr>
          <w:sz w:val="20"/>
          <w:szCs w:val="20"/>
        </w:rPr>
      </w:pPr>
      <w:r>
        <w:rPr>
          <w:sz w:val="20"/>
          <w:szCs w:val="20"/>
        </w:rPr>
        <w:t xml:space="preserve">ONS (2022) Internet Users, UK: 2022. Newport: Office for National Statistics. Available at: </w:t>
      </w:r>
      <w:hyperlink r:id="rId27" w:history="1">
        <w:r w:rsidR="006B1430" w:rsidRPr="00A16DE3">
          <w:rPr>
            <w:rStyle w:val="Hyperlink"/>
            <w:sz w:val="20"/>
            <w:szCs w:val="20"/>
          </w:rPr>
          <w:t>https://www.ons.gov.uk/businessindustryandtrade/itandinternetindustry/bulletins/internetusers/2022</w:t>
        </w:r>
      </w:hyperlink>
      <w:r w:rsidR="006B1430">
        <w:rPr>
          <w:sz w:val="20"/>
          <w:szCs w:val="20"/>
        </w:rPr>
        <w:t xml:space="preserve"> </w:t>
      </w:r>
      <w:r>
        <w:rPr>
          <w:sz w:val="20"/>
          <w:szCs w:val="20"/>
        </w:rPr>
        <w:t>[Accessed 28 April 2026].</w:t>
      </w:r>
    </w:p>
    <w:p w14:paraId="116AC98A" w14:textId="77777777" w:rsidR="005762B5" w:rsidRPr="006B1430" w:rsidRDefault="001E47E3" w:rsidP="006B1430">
      <w:pPr>
        <w:spacing w:before="80" w:after="80" w:line="320" w:lineRule="auto"/>
        <w:jc w:val="both"/>
        <w:rPr>
          <w:sz w:val="20"/>
          <w:szCs w:val="20"/>
        </w:rPr>
      </w:pPr>
      <w:r>
        <w:rPr>
          <w:sz w:val="20"/>
          <w:szCs w:val="20"/>
        </w:rPr>
        <w:t xml:space="preserve">ONS (2023) Health State Life Expectancies by National Deprivation Deciles, England: 2019 to 2021. Newport: Office for National Statistics. Available at: </w:t>
      </w:r>
      <w:hyperlink r:id="rId28" w:history="1">
        <w:r w:rsidR="006B1430" w:rsidRPr="00A16DE3">
          <w:rPr>
            <w:rStyle w:val="Hyperlink"/>
            <w:sz w:val="20"/>
            <w:szCs w:val="20"/>
          </w:rPr>
          <w:t>https://www.ons.gov.uk/peoplepopulationandcommunity/healthandsocialcare/healthinequalities/bulletins/healthstatelifeexpectanciesbyindexofmultipledeprivationimd/2019to2021</w:t>
        </w:r>
      </w:hyperlink>
      <w:r>
        <w:rPr>
          <w:sz w:val="20"/>
          <w:szCs w:val="20"/>
        </w:rPr>
        <w:t>[Accessed 28 April 2026].</w:t>
      </w:r>
    </w:p>
    <w:p w14:paraId="48C27A77" w14:textId="77777777" w:rsidR="005762B5" w:rsidRDefault="001E47E3" w:rsidP="006B1430">
      <w:pPr>
        <w:spacing w:before="80" w:after="80" w:line="320" w:lineRule="auto"/>
        <w:jc w:val="both"/>
        <w:rPr>
          <w:sz w:val="20"/>
          <w:szCs w:val="20"/>
        </w:rPr>
      </w:pPr>
      <w:r>
        <w:rPr>
          <w:sz w:val="20"/>
          <w:szCs w:val="20"/>
        </w:rPr>
        <w:t xml:space="preserve">Peat, G., Hill, J., </w:t>
      </w:r>
      <w:proofErr w:type="spellStart"/>
      <w:r>
        <w:rPr>
          <w:sz w:val="20"/>
          <w:szCs w:val="20"/>
        </w:rPr>
        <w:t>Protheroe</w:t>
      </w:r>
      <w:proofErr w:type="spellEnd"/>
      <w:r>
        <w:rPr>
          <w:sz w:val="20"/>
          <w:szCs w:val="20"/>
        </w:rPr>
        <w:t xml:space="preserve">, J. and Warburton, J. (2022) 'Inequalities in access to musculoskeletal services in England: a cross-sectional survey', Rheumatology, 61(5), pp. 1891–1900. </w:t>
      </w:r>
      <w:hyperlink r:id="rId29" w:history="1">
        <w:r w:rsidR="006B1430" w:rsidRPr="00A16DE3">
          <w:rPr>
            <w:rStyle w:val="Hyperlink"/>
            <w:sz w:val="20"/>
            <w:szCs w:val="20"/>
          </w:rPr>
          <w:t>https://doi.org/10.1093/rheumatology/keab729</w:t>
        </w:r>
      </w:hyperlink>
    </w:p>
    <w:p w14:paraId="67E0FE12" w14:textId="77777777" w:rsidR="006B1430" w:rsidRDefault="006B1430" w:rsidP="006B1430">
      <w:pPr>
        <w:spacing w:before="80" w:after="80" w:line="320" w:lineRule="auto"/>
        <w:jc w:val="both"/>
      </w:pPr>
    </w:p>
    <w:p w14:paraId="3D7FE662" w14:textId="77777777" w:rsidR="005762B5" w:rsidRDefault="001E47E3" w:rsidP="006B1430">
      <w:pPr>
        <w:spacing w:before="80" w:after="80" w:line="320" w:lineRule="auto"/>
        <w:jc w:val="both"/>
        <w:rPr>
          <w:sz w:val="20"/>
          <w:szCs w:val="20"/>
        </w:rPr>
      </w:pPr>
      <w:proofErr w:type="spellStart"/>
      <w:r>
        <w:rPr>
          <w:sz w:val="20"/>
          <w:szCs w:val="20"/>
        </w:rPr>
        <w:t>Rawshani</w:t>
      </w:r>
      <w:proofErr w:type="spellEnd"/>
      <w:r>
        <w:rPr>
          <w:sz w:val="20"/>
          <w:szCs w:val="20"/>
        </w:rPr>
        <w:t xml:space="preserve">, A., </w:t>
      </w:r>
      <w:proofErr w:type="spellStart"/>
      <w:r>
        <w:rPr>
          <w:sz w:val="20"/>
          <w:szCs w:val="20"/>
        </w:rPr>
        <w:t>Rawshani</w:t>
      </w:r>
      <w:proofErr w:type="spellEnd"/>
      <w:r>
        <w:rPr>
          <w:sz w:val="20"/>
          <w:szCs w:val="20"/>
        </w:rPr>
        <w:t xml:space="preserve">, A., Franzen, S., Sattar, N., Eliasson, B., Svensson, A.M., </w:t>
      </w:r>
      <w:proofErr w:type="spellStart"/>
      <w:r>
        <w:rPr>
          <w:sz w:val="20"/>
          <w:szCs w:val="20"/>
        </w:rPr>
        <w:t>Zethelius</w:t>
      </w:r>
      <w:proofErr w:type="spellEnd"/>
      <w:r>
        <w:rPr>
          <w:sz w:val="20"/>
          <w:szCs w:val="20"/>
        </w:rPr>
        <w:t xml:space="preserve">, B., </w:t>
      </w:r>
      <w:proofErr w:type="spellStart"/>
      <w:r>
        <w:rPr>
          <w:sz w:val="20"/>
          <w:szCs w:val="20"/>
        </w:rPr>
        <w:t>Miftaraj</w:t>
      </w:r>
      <w:proofErr w:type="spellEnd"/>
      <w:r>
        <w:rPr>
          <w:sz w:val="20"/>
          <w:szCs w:val="20"/>
        </w:rPr>
        <w:t xml:space="preserve">, M., McGuire, D.K., Rosengren, A. and </w:t>
      </w:r>
      <w:proofErr w:type="spellStart"/>
      <w:r>
        <w:rPr>
          <w:sz w:val="20"/>
          <w:szCs w:val="20"/>
        </w:rPr>
        <w:t>Gudbjornsdottir</w:t>
      </w:r>
      <w:proofErr w:type="spellEnd"/>
      <w:r>
        <w:rPr>
          <w:sz w:val="20"/>
          <w:szCs w:val="20"/>
        </w:rPr>
        <w:t xml:space="preserve">, S. (2022) 'Risk factors, mortality, and cardiovascular outcomes in patients with type 2 diabetes', New England Journal of Medicine, 379(7), pp. 633–644. </w:t>
      </w:r>
      <w:hyperlink r:id="rId30" w:history="1">
        <w:r w:rsidR="006B1430" w:rsidRPr="00A16DE3">
          <w:rPr>
            <w:rStyle w:val="Hyperlink"/>
            <w:sz w:val="20"/>
            <w:szCs w:val="20"/>
          </w:rPr>
          <w:t>https://doi.org/10.1056/NEJMoa1800256</w:t>
        </w:r>
      </w:hyperlink>
    </w:p>
    <w:p w14:paraId="6EB62261" w14:textId="77777777" w:rsidR="005762B5" w:rsidRDefault="001E47E3" w:rsidP="006B1430">
      <w:pPr>
        <w:spacing w:before="80" w:after="80" w:line="320" w:lineRule="auto"/>
        <w:jc w:val="both"/>
        <w:rPr>
          <w:sz w:val="20"/>
          <w:szCs w:val="20"/>
        </w:rPr>
      </w:pPr>
      <w:r>
        <w:rPr>
          <w:sz w:val="20"/>
          <w:szCs w:val="20"/>
        </w:rPr>
        <w:t xml:space="preserve">Stafford, J., Hann, M., Lunt, M., </w:t>
      </w:r>
      <w:proofErr w:type="spellStart"/>
      <w:r>
        <w:rPr>
          <w:sz w:val="20"/>
          <w:szCs w:val="20"/>
        </w:rPr>
        <w:t>Kontopantelis</w:t>
      </w:r>
      <w:proofErr w:type="spellEnd"/>
      <w:r>
        <w:rPr>
          <w:sz w:val="20"/>
          <w:szCs w:val="20"/>
        </w:rPr>
        <w:t xml:space="preserve">, E. and Parrott, S. (2022) 'Socioeconomic inequalities in dementia incidence: a systematic review and meta-analysis', The Lancet Regional Health – Europe, 14, p. 100307. </w:t>
      </w:r>
      <w:hyperlink r:id="rId31" w:history="1">
        <w:r w:rsidR="006B1430" w:rsidRPr="00A16DE3">
          <w:rPr>
            <w:rStyle w:val="Hyperlink"/>
            <w:sz w:val="20"/>
            <w:szCs w:val="20"/>
          </w:rPr>
          <w:t>https://doi.org/10.1016/j.lanepe.2022.100307</w:t>
        </w:r>
      </w:hyperlink>
    </w:p>
    <w:p w14:paraId="5C51C8D7" w14:textId="77777777" w:rsidR="005762B5" w:rsidRPr="006B1430" w:rsidRDefault="001E47E3" w:rsidP="006B1430">
      <w:pPr>
        <w:spacing w:before="80" w:after="80" w:line="320" w:lineRule="auto"/>
        <w:jc w:val="both"/>
        <w:rPr>
          <w:sz w:val="20"/>
          <w:szCs w:val="20"/>
        </w:rPr>
      </w:pPr>
      <w:r>
        <w:rPr>
          <w:sz w:val="20"/>
          <w:szCs w:val="20"/>
        </w:rPr>
        <w:t xml:space="preserve">Versus Arthritis (2023) The State of Musculoskeletal Health 2023. Chesterfield: Versus Arthritis. Available at: </w:t>
      </w:r>
      <w:hyperlink r:id="rId32" w:history="1">
        <w:r w:rsidR="006B1430" w:rsidRPr="00A16DE3">
          <w:rPr>
            <w:rStyle w:val="Hyperlink"/>
            <w:sz w:val="20"/>
            <w:szCs w:val="20"/>
          </w:rPr>
          <w:t>https://www.versusarthritis.org/about-arthritis/data-and-statistics/the-state-of-musculoskeletal-health</w:t>
        </w:r>
      </w:hyperlink>
      <w:r>
        <w:rPr>
          <w:sz w:val="20"/>
          <w:szCs w:val="20"/>
        </w:rPr>
        <w:t>[Accessed 28 April 2026].</w:t>
      </w:r>
    </w:p>
    <w:sectPr w:rsidR="005762B5" w:rsidRPr="006B143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C1CB4"/>
    <w:multiLevelType w:val="hybridMultilevel"/>
    <w:tmpl w:val="C164BD22"/>
    <w:lvl w:ilvl="0" w:tplc="72523A42">
      <w:start w:val="1"/>
      <w:numFmt w:val="bullet"/>
      <w:lvlText w:val="●"/>
      <w:lvlJc w:val="left"/>
      <w:pPr>
        <w:ind w:left="720" w:hanging="360"/>
      </w:pPr>
    </w:lvl>
    <w:lvl w:ilvl="1" w:tplc="6B7C09DC">
      <w:start w:val="1"/>
      <w:numFmt w:val="bullet"/>
      <w:lvlText w:val="○"/>
      <w:lvlJc w:val="left"/>
      <w:pPr>
        <w:ind w:left="1440" w:hanging="360"/>
      </w:pPr>
    </w:lvl>
    <w:lvl w:ilvl="2" w:tplc="AEFED9FA">
      <w:start w:val="1"/>
      <w:numFmt w:val="bullet"/>
      <w:lvlText w:val="■"/>
      <w:lvlJc w:val="left"/>
      <w:pPr>
        <w:ind w:left="2160" w:hanging="360"/>
      </w:pPr>
    </w:lvl>
    <w:lvl w:ilvl="3" w:tplc="CFF22670">
      <w:start w:val="1"/>
      <w:numFmt w:val="bullet"/>
      <w:lvlText w:val="●"/>
      <w:lvlJc w:val="left"/>
      <w:pPr>
        <w:ind w:left="2880" w:hanging="360"/>
      </w:pPr>
    </w:lvl>
    <w:lvl w:ilvl="4" w:tplc="E8E64712">
      <w:start w:val="1"/>
      <w:numFmt w:val="bullet"/>
      <w:lvlText w:val="○"/>
      <w:lvlJc w:val="left"/>
      <w:pPr>
        <w:ind w:left="3600" w:hanging="360"/>
      </w:pPr>
    </w:lvl>
    <w:lvl w:ilvl="5" w:tplc="EF1A8278">
      <w:start w:val="1"/>
      <w:numFmt w:val="bullet"/>
      <w:lvlText w:val="■"/>
      <w:lvlJc w:val="left"/>
      <w:pPr>
        <w:ind w:left="4320" w:hanging="360"/>
      </w:pPr>
    </w:lvl>
    <w:lvl w:ilvl="6" w:tplc="DD9A00C2">
      <w:start w:val="1"/>
      <w:numFmt w:val="bullet"/>
      <w:lvlText w:val="●"/>
      <w:lvlJc w:val="left"/>
      <w:pPr>
        <w:ind w:left="5040" w:hanging="360"/>
      </w:pPr>
    </w:lvl>
    <w:lvl w:ilvl="7" w:tplc="792602C6">
      <w:start w:val="1"/>
      <w:numFmt w:val="bullet"/>
      <w:lvlText w:val="●"/>
      <w:lvlJc w:val="left"/>
      <w:pPr>
        <w:ind w:left="5760" w:hanging="360"/>
      </w:pPr>
    </w:lvl>
    <w:lvl w:ilvl="8" w:tplc="AF107910">
      <w:start w:val="1"/>
      <w:numFmt w:val="bullet"/>
      <w:lvlText w:val="●"/>
      <w:lvlJc w:val="left"/>
      <w:pPr>
        <w:ind w:left="6480" w:hanging="360"/>
      </w:pPr>
    </w:lvl>
  </w:abstractNum>
  <w:num w:numId="1" w16cid:durableId="11027282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2B5"/>
    <w:rsid w:val="000B743A"/>
    <w:rsid w:val="00165B6E"/>
    <w:rsid w:val="001E47E3"/>
    <w:rsid w:val="003111C8"/>
    <w:rsid w:val="00347F4F"/>
    <w:rsid w:val="00464051"/>
    <w:rsid w:val="005762B5"/>
    <w:rsid w:val="00630256"/>
    <w:rsid w:val="0067054F"/>
    <w:rsid w:val="006B1430"/>
    <w:rsid w:val="00722108"/>
    <w:rsid w:val="008B767F"/>
    <w:rsid w:val="00977DCA"/>
    <w:rsid w:val="00B42F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DC8D8"/>
  <w15:docId w15:val="{DFD0CF87-D3C8-47F8-BC62-BDC5A51E7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256"/>
    <w:pPr>
      <w:spacing w:line="360" w:lineRule="auto"/>
    </w:pPr>
  </w:style>
  <w:style w:type="paragraph" w:styleId="Heading1">
    <w:name w:val="heading 1"/>
    <w:qFormat/>
    <w:pPr>
      <w:spacing w:before="300" w:after="120"/>
      <w:outlineLvl w:val="0"/>
    </w:pPr>
    <w:rPr>
      <w:b/>
      <w:bCs/>
      <w:color w:val="000000"/>
      <w:sz w:val="26"/>
      <w:szCs w:val="26"/>
    </w:rPr>
  </w:style>
  <w:style w:type="paragraph" w:styleId="Heading2">
    <w:name w:val="heading 2"/>
    <w:qFormat/>
    <w:pPr>
      <w:spacing w:before="240" w:after="100"/>
      <w:outlineLvl w:val="1"/>
    </w:pPr>
    <w:rPr>
      <w:b/>
      <w:bCs/>
      <w:color w:val="000000"/>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6B1430"/>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6B1430"/>
    <w:pPr>
      <w:spacing w:after="100"/>
    </w:pPr>
  </w:style>
  <w:style w:type="paragraph" w:styleId="TOC2">
    <w:name w:val="toc 2"/>
    <w:basedOn w:val="Normal"/>
    <w:next w:val="Normal"/>
    <w:autoRedefine/>
    <w:uiPriority w:val="39"/>
    <w:unhideWhenUsed/>
    <w:rsid w:val="006B14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36/heartjnl-2021-319442" TargetMode="External"/><Relationship Id="rId18" Type="http://schemas.openxmlformats.org/officeDocument/2006/relationships/hyperlink" Target="https://www.jrf.org.uk/report/uk-poverty-2023" TargetMode="External"/><Relationship Id="rId26" Type="http://schemas.openxmlformats.org/officeDocument/2006/relationships/hyperlink" Target="https://fingertips.phe.org.uk/profile/cardiovascular"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quality-and-outcomes-framework-achievement-prevalence-and-exceptions-data/2022-23" TargetMode="External"/><Relationship Id="rId34" Type="http://schemas.openxmlformats.org/officeDocument/2006/relationships/theme" Target="theme/theme1.xml"/><Relationship Id="rId7" Type="http://schemas.openxmlformats.org/officeDocument/2006/relationships/hyperlink" Target="https://doi.org/10.56687/9781447362883" TargetMode="External"/><Relationship Id="rId12" Type="http://schemas.openxmlformats.org/officeDocument/2006/relationships/hyperlink" Target="https://doi.org/10.1136/jech-2021-217539" TargetMode="External"/><Relationship Id="rId17" Type="http://schemas.openxmlformats.org/officeDocument/2006/relationships/hyperlink" Target="https://www.independentage.org/policy-and-research/reports-and-guides/poverty-penalty" TargetMode="External"/><Relationship Id="rId25" Type="http://schemas.openxmlformats.org/officeDocument/2006/relationships/hyperlink" Target="https://www.nice.org.uk/guidance/ng9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j.1464-5491.2012.03698.x" TargetMode="External"/><Relationship Id="rId20" Type="http://schemas.openxmlformats.org/officeDocument/2006/relationships/hyperlink" Target="https://digital.nhs.uk/data-and-information/publications/statistical/national-diabetes-audit" TargetMode="External"/><Relationship Id="rId29" Type="http://schemas.openxmlformats.org/officeDocument/2006/relationships/hyperlink" Target="https://doi.org/10.1093/rheumatology/keab729" TargetMode="External"/><Relationship Id="rId1" Type="http://schemas.openxmlformats.org/officeDocument/2006/relationships/customXml" Target="../customXml/item1.xml"/><Relationship Id="rId6" Type="http://schemas.openxmlformats.org/officeDocument/2006/relationships/hyperlink" Target="https://doi.org/10.2337/dc22-S002" TargetMode="External"/><Relationship Id="rId11" Type="http://schemas.openxmlformats.org/officeDocument/2006/relationships/hyperlink" Target="https://www.ons.gov.uk/peoplepopulationandcommunity/culturalidentity/ethnicity/bulletins/ethnicgroupenglandandwales/census2021" TargetMode="External"/><Relationship Id="rId24" Type="http://schemas.openxmlformats.org/officeDocument/2006/relationships/hyperlink" Target="https://www.nice.org.uk/guidance/ng28" TargetMode="External"/><Relationship Id="rId32" Type="http://schemas.openxmlformats.org/officeDocument/2006/relationships/hyperlink" Target="https://www.versusarthritis.org/about-arthritis/data-and-statistics/the-state-of-musculoskeletal-health" TargetMode="External"/><Relationship Id="rId5" Type="http://schemas.openxmlformats.org/officeDocument/2006/relationships/webSettings" Target="webSettings.xml"/><Relationship Id="rId15" Type="http://schemas.openxmlformats.org/officeDocument/2006/relationships/hyperlink" Target="https://doi.org/10.1111/dme.14884" TargetMode="External"/><Relationship Id="rId23" Type="http://schemas.openxmlformats.org/officeDocument/2006/relationships/hyperlink" Target="https://www.longtermplan.nhs.uk/online-version/chapter-2-more-nhs-action-on-prevention-and-health-inequalities/social-prescribing-and-community-based-support" TargetMode="External"/><Relationship Id="rId28" Type="http://schemas.openxmlformats.org/officeDocument/2006/relationships/hyperlink" Target="https://www.ons.gov.uk/peoplepopulationandcommunity/healthandsocialcare/healthinequalities/bulletins/healthstatelifeexpectanciesbyindexofmultipledeprivationimd/2019to2021" TargetMode="External"/><Relationship Id="rId10" Type="http://schemas.openxmlformats.org/officeDocument/2006/relationships/hyperlink" Target="https://www.campaigntoendloneliness.org/the-state-of-loneliness" TargetMode="External"/><Relationship Id="rId19" Type="http://schemas.openxmlformats.org/officeDocument/2006/relationships/hyperlink" Target="https://doi.org/10.1111/dme.14940" TargetMode="External"/><Relationship Id="rId31" Type="http://schemas.openxmlformats.org/officeDocument/2006/relationships/hyperlink" Target="https://doi.org/10.1016/j.lanepe.2022.100307" TargetMode="External"/><Relationship Id="rId4" Type="http://schemas.openxmlformats.org/officeDocument/2006/relationships/settings" Target="settings.xml"/><Relationship Id="rId9" Type="http://schemas.openxmlformats.org/officeDocument/2006/relationships/hyperlink" Target="https://www.bhf.org.uk/what-we-do/our-research/heart-statistics" TargetMode="External"/><Relationship Id="rId14" Type="http://schemas.openxmlformats.org/officeDocument/2006/relationships/hyperlink" Target="https://doi.org/10.1136/bmjopen-2021-057090" TargetMode="External"/><Relationship Id="rId22" Type="http://schemas.openxmlformats.org/officeDocument/2006/relationships/hyperlink" Target="https://www.england.nhs.uk/about/equality/equality-hub/national-healthcare-inequalities-improvement-programme/core20plus5" TargetMode="External"/><Relationship Id="rId27" Type="http://schemas.openxmlformats.org/officeDocument/2006/relationships/hyperlink" Target="https://www.ons.gov.uk/businessindustryandtrade/itandinternetindustry/bulletins/internetusers/2022" TargetMode="External"/><Relationship Id="rId30" Type="http://schemas.openxmlformats.org/officeDocument/2006/relationships/hyperlink" Target="https://doi.org/10.1056/NEJMoa1800256" TargetMode="External"/><Relationship Id="rId8" Type="http://schemas.openxmlformats.org/officeDocument/2006/relationships/hyperlink" Target="https://doi.org/10.1111/dme.15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ECA47-306A-4664-85CF-CB97D69C2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4225</Words>
  <Characters>24088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Meera wharehouse</cp:lastModifiedBy>
  <cp:revision>2</cp:revision>
  <dcterms:created xsi:type="dcterms:W3CDTF">2026-05-01T10:25:00Z</dcterms:created>
  <dcterms:modified xsi:type="dcterms:W3CDTF">2026-05-01T10:25:00Z</dcterms:modified>
</cp:coreProperties>
</file>