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5EE0B" w14:textId="1CF36788" w:rsidR="008D4C98" w:rsidRPr="00E150A3" w:rsidRDefault="008D4C98" w:rsidP="008D4C98">
      <w:pPr>
        <w:pStyle w:val="NormalWeb"/>
        <w:rPr>
          <w:rFonts w:ascii="Arial" w:hAnsi="Arial" w:cs="Arial"/>
          <w:sz w:val="22"/>
          <w:szCs w:val="22"/>
        </w:rPr>
      </w:pPr>
      <w:r w:rsidRPr="00E150A3">
        <w:rPr>
          <w:rFonts w:ascii="Arial" w:hAnsi="Arial" w:cs="Arial"/>
          <w:sz w:val="22"/>
          <w:szCs w:val="22"/>
        </w:rPr>
        <w:t xml:space="preserve">    </w:t>
      </w:r>
      <w:r w:rsidRPr="00E150A3">
        <w:rPr>
          <w:rFonts w:ascii="Arial" w:hAnsi="Arial" w:cs="Arial"/>
          <w:noProof/>
          <w:sz w:val="22"/>
          <w:szCs w:val="22"/>
        </w:rPr>
        <w:drawing>
          <wp:inline distT="0" distB="0" distL="0" distR="0" wp14:anchorId="516FF3CC" wp14:editId="023D456C">
            <wp:extent cx="895350" cy="609600"/>
            <wp:effectExtent l="0" t="0" r="0" b="0"/>
            <wp:docPr id="821971353" name="Picture 1" descr="Mechanical Engineering BEng Hons -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chanical Engineering BEng Hons - University of Wales Trinity Sain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609600"/>
                    </a:xfrm>
                    <a:prstGeom prst="rect">
                      <a:avLst/>
                    </a:prstGeom>
                    <a:noFill/>
                    <a:ln>
                      <a:noFill/>
                    </a:ln>
                  </pic:spPr>
                </pic:pic>
              </a:graphicData>
            </a:graphic>
          </wp:inline>
        </w:drawing>
      </w:r>
      <w:r w:rsidRPr="00E150A3">
        <w:rPr>
          <w:rFonts w:ascii="Arial" w:hAnsi="Arial" w:cs="Arial"/>
          <w:sz w:val="22"/>
          <w:szCs w:val="22"/>
        </w:rPr>
        <w:t xml:space="preserve"> LCHS4010</w:t>
      </w:r>
    </w:p>
    <w:p w14:paraId="7469E2A7" w14:textId="77777777" w:rsidR="008D4C98" w:rsidRPr="00E150A3" w:rsidRDefault="008D4C98" w:rsidP="008D4C98">
      <w:pPr>
        <w:pStyle w:val="NormalWeb"/>
        <w:rPr>
          <w:rFonts w:ascii="Arial" w:hAnsi="Arial" w:cs="Arial"/>
          <w:b/>
          <w:bCs/>
          <w:sz w:val="22"/>
          <w:szCs w:val="22"/>
        </w:rPr>
      </w:pPr>
      <w:r w:rsidRPr="00E150A3">
        <w:rPr>
          <w:rFonts w:ascii="Arial" w:hAnsi="Arial" w:cs="Arial"/>
          <w:b/>
          <w:bCs/>
          <w:sz w:val="22"/>
          <w:szCs w:val="22"/>
        </w:rPr>
        <w:t>Psychology in Health and Social Care</w:t>
      </w:r>
    </w:p>
    <w:p w14:paraId="1D290586" w14:textId="77777777" w:rsidR="008D4C98" w:rsidRPr="00E150A3" w:rsidRDefault="008D4C98" w:rsidP="008D4C98">
      <w:pPr>
        <w:pStyle w:val="NormalWeb"/>
        <w:rPr>
          <w:rFonts w:ascii="Arial" w:hAnsi="Arial" w:cs="Arial"/>
          <w:b/>
          <w:bCs/>
          <w:sz w:val="22"/>
          <w:szCs w:val="22"/>
        </w:rPr>
      </w:pPr>
      <w:r w:rsidRPr="00E150A3">
        <w:rPr>
          <w:rFonts w:ascii="Arial" w:hAnsi="Arial" w:cs="Arial"/>
          <w:b/>
          <w:bCs/>
          <w:sz w:val="22"/>
          <w:szCs w:val="22"/>
        </w:rPr>
        <w:t>Student name: Diana Asare Adu</w:t>
      </w:r>
    </w:p>
    <w:p w14:paraId="49C5AC09" w14:textId="77777777" w:rsidR="008D4C98" w:rsidRPr="00E150A3" w:rsidRDefault="008D4C98" w:rsidP="008D4C98">
      <w:pPr>
        <w:pStyle w:val="NormalWeb"/>
        <w:rPr>
          <w:rFonts w:ascii="Arial" w:hAnsi="Arial" w:cs="Arial"/>
          <w:b/>
          <w:bCs/>
          <w:sz w:val="22"/>
          <w:szCs w:val="22"/>
        </w:rPr>
      </w:pPr>
      <w:r w:rsidRPr="00E150A3">
        <w:rPr>
          <w:rFonts w:ascii="Arial" w:hAnsi="Arial" w:cs="Arial"/>
          <w:b/>
          <w:bCs/>
          <w:sz w:val="22"/>
          <w:szCs w:val="22"/>
        </w:rPr>
        <w:t>Student number: 2427141</w:t>
      </w:r>
    </w:p>
    <w:p w14:paraId="3F65C49D" w14:textId="77777777" w:rsidR="008D4C98" w:rsidRPr="00E150A3" w:rsidRDefault="008D4C98" w:rsidP="008D4C98">
      <w:pPr>
        <w:pStyle w:val="NormalWeb"/>
        <w:rPr>
          <w:rFonts w:ascii="Arial" w:hAnsi="Arial" w:cs="Arial"/>
          <w:b/>
          <w:bCs/>
          <w:sz w:val="22"/>
          <w:szCs w:val="22"/>
        </w:rPr>
      </w:pPr>
      <w:r w:rsidRPr="00E150A3">
        <w:rPr>
          <w:rFonts w:ascii="Arial" w:hAnsi="Arial" w:cs="Arial"/>
          <w:b/>
          <w:bCs/>
          <w:sz w:val="22"/>
          <w:szCs w:val="22"/>
        </w:rPr>
        <w:t>Lecturers name: Farah Wiiita</w:t>
      </w:r>
    </w:p>
    <w:p w14:paraId="3E3491BA" w14:textId="31900420" w:rsidR="008D4C98" w:rsidRPr="00E150A3" w:rsidRDefault="008D4C98" w:rsidP="008D4C98">
      <w:pPr>
        <w:pStyle w:val="NormalWeb"/>
        <w:rPr>
          <w:rFonts w:ascii="Arial" w:hAnsi="Arial" w:cs="Arial"/>
          <w:sz w:val="22"/>
          <w:szCs w:val="22"/>
        </w:rPr>
      </w:pPr>
      <w:r w:rsidRPr="00E150A3">
        <w:rPr>
          <w:rFonts w:ascii="Arial" w:hAnsi="Arial" w:cs="Arial"/>
          <w:sz w:val="22"/>
          <w:szCs w:val="22"/>
        </w:rPr>
        <w:t xml:space="preserve">1 </w:t>
      </w:r>
      <w:r w:rsidRPr="00E150A3">
        <w:rPr>
          <w:rStyle w:val="Strong"/>
          <w:rFonts w:ascii="Arial" w:eastAsiaTheme="majorEastAsia" w:hAnsi="Arial" w:cs="Arial"/>
          <w:sz w:val="22"/>
          <w:szCs w:val="22"/>
        </w:rPr>
        <w:t xml:space="preserve">Eriksons Psychosocial Theory </w:t>
      </w:r>
    </w:p>
    <w:p w14:paraId="5E5BEF9C" w14:textId="77777777" w:rsidR="00C536C9" w:rsidRDefault="008D4C98" w:rsidP="00C536C9">
      <w:pPr>
        <w:pStyle w:val="NormalWeb"/>
        <w:rPr>
          <w:rStyle w:val="Strong"/>
          <w:rFonts w:ascii="Arial" w:eastAsiaTheme="majorEastAsia" w:hAnsi="Arial" w:cs="Arial"/>
          <w:sz w:val="22"/>
          <w:szCs w:val="22"/>
        </w:rPr>
      </w:pPr>
      <w:r w:rsidRPr="00E150A3">
        <w:rPr>
          <w:rFonts w:ascii="Arial" w:hAnsi="Arial" w:cs="Arial"/>
          <w:sz w:val="22"/>
          <w:szCs w:val="22"/>
        </w:rPr>
        <w:t xml:space="preserve">2 </w:t>
      </w:r>
      <w:r w:rsidR="00C536C9" w:rsidRPr="00C536C9">
        <w:rPr>
          <w:rStyle w:val="Strong"/>
          <w:rFonts w:ascii="Arial" w:eastAsiaTheme="majorEastAsia" w:hAnsi="Arial" w:cs="Arial"/>
          <w:sz w:val="22"/>
          <w:szCs w:val="22"/>
        </w:rPr>
        <w:t>Havighurst’s Activity Theory.</w:t>
      </w:r>
    </w:p>
    <w:p w14:paraId="0893EF49" w14:textId="7767A618" w:rsidR="00EA2E1C" w:rsidRDefault="00EA2E1C" w:rsidP="00C536C9">
      <w:pPr>
        <w:pStyle w:val="NormalWeb"/>
        <w:rPr>
          <w:rStyle w:val="Strong"/>
          <w:rFonts w:ascii="Arial" w:hAnsi="Arial" w:cs="Arial"/>
          <w:sz w:val="22"/>
          <w:szCs w:val="22"/>
        </w:rPr>
      </w:pPr>
      <w:r w:rsidRPr="00E150A3">
        <w:rPr>
          <w:rStyle w:val="Strong"/>
          <w:rFonts w:ascii="Arial" w:hAnsi="Arial" w:cs="Arial"/>
          <w:sz w:val="22"/>
          <w:szCs w:val="22"/>
        </w:rPr>
        <w:t>Psychology in Health and Social Care: Application of Lifespan Development Theories in a Dementia Care Home</w:t>
      </w:r>
      <w:r w:rsidR="008D46D4">
        <w:rPr>
          <w:rStyle w:val="Strong"/>
          <w:rFonts w:ascii="Arial" w:hAnsi="Arial" w:cs="Arial"/>
          <w:sz w:val="22"/>
          <w:szCs w:val="22"/>
        </w:rPr>
        <w:t xml:space="preserve"> using </w:t>
      </w:r>
      <w:r w:rsidR="008D46D4" w:rsidRPr="00E150A3">
        <w:rPr>
          <w:rStyle w:val="Strong"/>
          <w:rFonts w:ascii="Arial" w:hAnsi="Arial" w:cs="Arial"/>
          <w:sz w:val="22"/>
          <w:szCs w:val="22"/>
        </w:rPr>
        <w:t>Erikson’s psychosocial theory and Havighurst’s Activity Theory</w:t>
      </w:r>
      <w:r w:rsidR="008D46D4">
        <w:rPr>
          <w:rStyle w:val="Strong"/>
          <w:rFonts w:ascii="Arial" w:hAnsi="Arial" w:cs="Arial"/>
          <w:sz w:val="22"/>
          <w:szCs w:val="22"/>
        </w:rPr>
        <w:t>.</w:t>
      </w:r>
    </w:p>
    <w:p w14:paraId="7877C7D2" w14:textId="77777777" w:rsidR="008D46D4" w:rsidRPr="00E150A3" w:rsidRDefault="008D46D4" w:rsidP="008D46D4">
      <w:pPr>
        <w:rPr>
          <w:rStyle w:val="Strong"/>
          <w:rFonts w:ascii="Arial" w:hAnsi="Arial" w:cs="Arial"/>
          <w:sz w:val="22"/>
          <w:szCs w:val="22"/>
        </w:rPr>
      </w:pPr>
    </w:p>
    <w:p w14:paraId="2E4F878E" w14:textId="77777777" w:rsidR="00EA2E1C" w:rsidRPr="00E150A3" w:rsidRDefault="00EA2E1C" w:rsidP="00EA2E1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Psychology in health and social care for aged adults of about 65 years and over is needed to help people cope with factors such as loneliness, stress, and possible cognitive decline.</w:t>
      </w:r>
    </w:p>
    <w:p w14:paraId="2F70F1B6" w14:textId="77777777" w:rsidR="00EA2E1C" w:rsidRPr="00E150A3" w:rsidRDefault="00EA2E1C" w:rsidP="00EA2E1C">
      <w:pPr>
        <w:rPr>
          <w:rStyle w:val="Strong"/>
          <w:rFonts w:ascii="Arial" w:hAnsi="Arial" w:cs="Arial"/>
          <w:b w:val="0"/>
          <w:bCs w:val="0"/>
          <w:kern w:val="0"/>
          <w:sz w:val="22"/>
          <w:szCs w:val="22"/>
          <w:lang w:eastAsia="en-GB"/>
          <w14:ligatures w14:val="none"/>
        </w:rPr>
      </w:pPr>
    </w:p>
    <w:p w14:paraId="355E8E6C" w14:textId="77777777" w:rsidR="007A2D05" w:rsidRPr="00E150A3" w:rsidRDefault="00EA2E1C" w:rsidP="007A2D05">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Recent elderly care studies use lifespan development theories, which recognise that old age care is affected by biological, psychological, and social factors (National Academies of Sciences, Engineering &amp; Medicine, 2024). This biopsychosocial approach addresses the issue that aged adults have mental health needs in addition to their physical health needs. Such care also improves the dignity and quality of life of aged adults who are being cared for (World Health Organization, 2022).</w:t>
      </w:r>
    </w:p>
    <w:p w14:paraId="6D2AA061" w14:textId="77777777" w:rsidR="007A2D05" w:rsidRPr="00E150A3" w:rsidRDefault="007A2D05" w:rsidP="007A2D05">
      <w:pPr>
        <w:rPr>
          <w:rStyle w:val="Strong"/>
          <w:rFonts w:ascii="Arial" w:hAnsi="Arial" w:cs="Arial"/>
          <w:b w:val="0"/>
          <w:bCs w:val="0"/>
          <w:kern w:val="0"/>
          <w:sz w:val="22"/>
          <w:szCs w:val="22"/>
          <w:lang w:eastAsia="en-GB"/>
          <w14:ligatures w14:val="none"/>
        </w:rPr>
      </w:pPr>
    </w:p>
    <w:p w14:paraId="667981B7" w14:textId="77777777" w:rsidR="007A2D05" w:rsidRPr="00E150A3" w:rsidRDefault="00EA2E1C" w:rsidP="007A2D05">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The application of lifespan development theories in a dementia care home provides professionals with a framework for understanding how individuals change physically, cognitively, and psychosocially throughout their lives as they age. Theories of later life are essential for effective elderly care practice. Understanding adult development in later life is crucial for delivering effective care. Two important concepts frequently applied to individuals aged 65 and older are Erikson’s Psychosocial Theory of Development and Havighurst’s Activity Theory. Each can be used to explain how older adults can cope with the emotional, cognitive, and behavioural challenges of ageing.</w:t>
      </w:r>
    </w:p>
    <w:p w14:paraId="600BE10F" w14:textId="77777777" w:rsidR="007A2D05" w:rsidRPr="00E150A3" w:rsidRDefault="007A2D05" w:rsidP="007A2D05">
      <w:pPr>
        <w:rPr>
          <w:rStyle w:val="Strong"/>
          <w:rFonts w:ascii="Arial" w:hAnsi="Arial" w:cs="Arial"/>
          <w:b w:val="0"/>
          <w:bCs w:val="0"/>
          <w:kern w:val="0"/>
          <w:sz w:val="22"/>
          <w:szCs w:val="22"/>
          <w:lang w:eastAsia="en-GB"/>
          <w14:ligatures w14:val="none"/>
        </w:rPr>
      </w:pPr>
    </w:p>
    <w:p w14:paraId="1C93B8B8" w14:textId="77777777" w:rsidR="0010628A" w:rsidRPr="00E150A3" w:rsidRDefault="00EA2E1C" w:rsidP="0010628A">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Lifespan development theories are essential within health and social care, as they guide practitioners in interpreting age-related changes and behaviours (Erikson, 1963; Piaget, 1977). These theories guide practitioners in interpreting age-related behaviours and changes (Hendricks et al., 2021; Ready &amp; Kane, 2020) and support the delivery of person-centred and developmentally appropriate care (Kitwood, 1997).</w:t>
      </w:r>
    </w:p>
    <w:p w14:paraId="3EC8E9B9" w14:textId="77777777" w:rsidR="0010628A" w:rsidRPr="00E150A3" w:rsidRDefault="0010628A" w:rsidP="0010628A">
      <w:pPr>
        <w:rPr>
          <w:rStyle w:val="Strong"/>
          <w:rFonts w:ascii="Arial" w:hAnsi="Arial" w:cs="Arial"/>
          <w:b w:val="0"/>
          <w:bCs w:val="0"/>
          <w:kern w:val="0"/>
          <w:sz w:val="22"/>
          <w:szCs w:val="22"/>
          <w:lang w:eastAsia="en-GB"/>
          <w14:ligatures w14:val="none"/>
        </w:rPr>
      </w:pPr>
    </w:p>
    <w:p w14:paraId="4C6CA5AE" w14:textId="77777777" w:rsidR="0010628A" w:rsidRPr="00E150A3" w:rsidRDefault="00EA2E1C" w:rsidP="0010628A">
      <w:pPr>
        <w:rPr>
          <w:rStyle w:val="Strong"/>
          <w:rFonts w:ascii="Arial" w:hAnsi="Arial" w:cs="Arial"/>
          <w:kern w:val="0"/>
          <w:sz w:val="22"/>
          <w:szCs w:val="22"/>
          <w:lang w:eastAsia="en-GB"/>
          <w14:ligatures w14:val="none"/>
        </w:rPr>
      </w:pPr>
      <w:r w:rsidRPr="00E150A3">
        <w:rPr>
          <w:rStyle w:val="Strong"/>
          <w:rFonts w:ascii="Arial" w:hAnsi="Arial" w:cs="Arial"/>
          <w:kern w:val="0"/>
          <w:sz w:val="22"/>
          <w:szCs w:val="22"/>
          <w:lang w:eastAsia="en-GB"/>
          <w14:ligatures w14:val="none"/>
        </w:rPr>
        <w:t>Erikson’s Psychosocial Theory</w:t>
      </w:r>
    </w:p>
    <w:p w14:paraId="1259E092" w14:textId="77777777" w:rsidR="0010628A" w:rsidRPr="00E150A3" w:rsidRDefault="0010628A" w:rsidP="0010628A">
      <w:pPr>
        <w:rPr>
          <w:rStyle w:val="Strong"/>
          <w:rFonts w:ascii="Arial" w:hAnsi="Arial" w:cs="Arial"/>
          <w:kern w:val="0"/>
          <w:sz w:val="22"/>
          <w:szCs w:val="22"/>
          <w:lang w:eastAsia="en-GB"/>
          <w14:ligatures w14:val="none"/>
        </w:rPr>
      </w:pPr>
    </w:p>
    <w:p w14:paraId="58A99623" w14:textId="77777777" w:rsidR="0010628A" w:rsidRPr="00E150A3" w:rsidRDefault="00EA2E1C" w:rsidP="0010628A">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 xml:space="preserve">Understanding the ageing process and developmental needs enables caregivers to provide support that maintains dignity, autonomy, and overall wellbeing, particularly as dementia profoundly affects cognitive functioning, identity, and social interaction (Aguirre et al., 2019; American Psychiatric Association, 2013). Several lifespan development theories are </w:t>
      </w:r>
      <w:r w:rsidRPr="00E150A3">
        <w:rPr>
          <w:rStyle w:val="Strong"/>
          <w:rFonts w:ascii="Arial" w:hAnsi="Arial" w:cs="Arial"/>
          <w:b w:val="0"/>
          <w:bCs w:val="0"/>
          <w:kern w:val="0"/>
          <w:sz w:val="22"/>
          <w:szCs w:val="22"/>
          <w:lang w:eastAsia="en-GB"/>
          <w14:ligatures w14:val="none"/>
        </w:rPr>
        <w:lastRenderedPageBreak/>
        <w:t>especially relevant to dementia care practice, including Baltes’ lifespan theory, Piaget’s cognitive development theory and its later adaptations, and Erikson’s psychosocial theory.</w:t>
      </w:r>
    </w:p>
    <w:p w14:paraId="5A3DE1DC" w14:textId="77777777" w:rsidR="0010628A" w:rsidRPr="00E150A3" w:rsidRDefault="0010628A" w:rsidP="0010628A">
      <w:pPr>
        <w:rPr>
          <w:rStyle w:val="Strong"/>
          <w:rFonts w:ascii="Arial" w:hAnsi="Arial" w:cs="Arial"/>
          <w:b w:val="0"/>
          <w:bCs w:val="0"/>
          <w:kern w:val="0"/>
          <w:sz w:val="22"/>
          <w:szCs w:val="22"/>
          <w:lang w:eastAsia="en-GB"/>
          <w14:ligatures w14:val="none"/>
        </w:rPr>
      </w:pPr>
    </w:p>
    <w:p w14:paraId="225594CD"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Erikson’s psychosocial theory outlines eight stages of development across the lifespan, with the final stage—integrity versus despair—being relevant in late adulthood, as individuals reflect on their lives to achieve meaning and coherence (Erikson, 1963). Practitioners may support this through life story work, reminiscence therapy, and deep conversations about past experiences, helping residents maintain identity and feel valued despite memory loss (Subramaniam &amp; Woods, 2016).</w:t>
      </w:r>
    </w:p>
    <w:p w14:paraId="7C3164BB"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4CA2AF3C"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Displaying personal items, such as photographs and memory boxes, can promote self-recognition, continuity, and reduced anxiety, while compassionate validation improves psychological wellbeing and reduces hopelessness (Erikson, 1963; Spector et al., 2015). According to Erikson’s theory, caregivers should prioritise identity preservation, emotional support, and compassionate communication (Erikson, 1963).</w:t>
      </w:r>
    </w:p>
    <w:p w14:paraId="091D732F"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0EBE38DB"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45A067CA"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Conversely, if older adults feel their lives have been wasted or remain troubled by regrets, they may experience despair, which can manifest as depression, withdrawal, or anxiety (Erikson, 1963). Erikson’s philosophy emphasises the value of promoting identity, agency, and emotional expression in health and social care settings.</w:t>
      </w:r>
    </w:p>
    <w:p w14:paraId="522A094C"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44849A97"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Feelings of integrity can be strengthened through techniques such as life story work, reminiscence therapy, and fostering discussion about significant experiences. When dealing with health issues or cognitive decline, these approaches help older adults maintain their sense of self. According to Wildenstein (2006), carers who are aware of this developmental stage are better able to support older individuals’ dignity, validate their feelings, and help them find purpose during late-life transitions.</w:t>
      </w:r>
    </w:p>
    <w:p w14:paraId="500A5BF6"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2E68EE15" w14:textId="77777777" w:rsidR="003C55A7" w:rsidRPr="00E150A3" w:rsidRDefault="00EA2E1C" w:rsidP="003C55A7">
      <w:pPr>
        <w:rPr>
          <w:rStyle w:val="Strong"/>
          <w:rFonts w:ascii="Arial" w:hAnsi="Arial" w:cs="Arial"/>
          <w:kern w:val="0"/>
          <w:sz w:val="22"/>
          <w:szCs w:val="22"/>
          <w:lang w:eastAsia="en-GB"/>
          <w14:ligatures w14:val="none"/>
        </w:rPr>
      </w:pPr>
      <w:r w:rsidRPr="00E150A3">
        <w:rPr>
          <w:rStyle w:val="Strong"/>
          <w:rFonts w:ascii="Arial" w:hAnsi="Arial" w:cs="Arial"/>
          <w:kern w:val="0"/>
          <w:sz w:val="22"/>
          <w:szCs w:val="22"/>
          <w:lang w:eastAsia="en-GB"/>
          <w14:ligatures w14:val="none"/>
        </w:rPr>
        <w:t>Havighurst’s Activity Theory</w:t>
      </w:r>
    </w:p>
    <w:p w14:paraId="45C81D78" w14:textId="77777777" w:rsidR="003C55A7" w:rsidRPr="00E150A3" w:rsidRDefault="003C55A7" w:rsidP="003C55A7">
      <w:pPr>
        <w:rPr>
          <w:rStyle w:val="Strong"/>
          <w:rFonts w:ascii="Arial" w:hAnsi="Arial" w:cs="Arial"/>
          <w:kern w:val="0"/>
          <w:sz w:val="22"/>
          <w:szCs w:val="22"/>
          <w:lang w:eastAsia="en-GB"/>
          <w14:ligatures w14:val="none"/>
        </w:rPr>
      </w:pPr>
    </w:p>
    <w:p w14:paraId="69C66BFB"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Robert J. Havighurst’s Activity Theory is still very important in today’s health and social care, especially in homes for people with dementia. The theory states that successful ageing occurs when individuals sustain physical, social, and psychological engagement, resulting in enhanced wellbeing and life satisfaction (Havighurst, 1961). Recent studies support this perspective, indicating that active participation may mitigate cognitive and functional deterioration in older people (Cohen-Mansfield &amp; Perach, 2023).</w:t>
      </w:r>
    </w:p>
    <w:p w14:paraId="5CC40896"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035666C0"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Using Activity Theory in dementia care facilities entails creating person-centred activities that consider residents’ prior responsibilities, interests, and skills. Memory loss and decreased independence are common in people with dementia; yet meaningful activities such as music therapy, social engagement, and reminiscence can enhance emotional wellbeing and preserve identity (Livingston et al., 2020). By encouraging continuity and adaptation, these strategies support lifelong development.</w:t>
      </w:r>
    </w:p>
    <w:p w14:paraId="213E04E5"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6CA473FF"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Activity Theory encourages people to replace lost responsibilities with new ones from a lifelong perspective. For example, residents can participate in group events or simplified daily tasks to help them maintain their social connections and sense of purpose. According to studies, this kind of involvement enhances quality of life in care settings and lessens loneliness (World Health Organization, 2022).</w:t>
      </w:r>
    </w:p>
    <w:p w14:paraId="188F0157"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6C7B8CFD" w14:textId="77777777"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However, the theory needs to be applied with flexibility due to physical constraints or the severity of the condition. Not every person with dementia is able to participate equally. To maintain inclusion and dignity, care providers must customise activities to each person’s requirements.</w:t>
      </w:r>
    </w:p>
    <w:p w14:paraId="61028B37"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0F3A3E9C" w14:textId="2391A27F" w:rsidR="003C55A7" w:rsidRPr="00E150A3" w:rsidRDefault="00EA2E1C" w:rsidP="003C55A7">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Havighurst’s Activity Theory</w:t>
      </w:r>
      <w:r w:rsidR="003C55A7" w:rsidRPr="00E150A3">
        <w:rPr>
          <w:rStyle w:val="Strong"/>
          <w:rFonts w:ascii="Arial" w:hAnsi="Arial" w:cs="Arial"/>
          <w:b w:val="0"/>
          <w:bCs w:val="0"/>
          <w:kern w:val="0"/>
          <w:sz w:val="22"/>
          <w:szCs w:val="22"/>
          <w:lang w:eastAsia="en-GB"/>
          <w14:ligatures w14:val="none"/>
        </w:rPr>
        <w:t xml:space="preserve"> therefore </w:t>
      </w:r>
      <w:r w:rsidRPr="00E150A3">
        <w:rPr>
          <w:rStyle w:val="Strong"/>
          <w:rFonts w:ascii="Arial" w:hAnsi="Arial" w:cs="Arial"/>
          <w:b w:val="0"/>
          <w:bCs w:val="0"/>
          <w:kern w:val="0"/>
          <w:sz w:val="22"/>
          <w:szCs w:val="22"/>
          <w:lang w:eastAsia="en-GB"/>
          <w14:ligatures w14:val="none"/>
        </w:rPr>
        <w:t>provides a valuable framework for dementia care by promoting meaningful engagement and supporting wellbeing across the lifespan.</w:t>
      </w:r>
    </w:p>
    <w:p w14:paraId="08AF1518" w14:textId="77777777" w:rsidR="003C55A7" w:rsidRPr="00E150A3" w:rsidRDefault="003C55A7" w:rsidP="003C55A7">
      <w:pPr>
        <w:rPr>
          <w:rStyle w:val="Strong"/>
          <w:rFonts w:ascii="Arial" w:hAnsi="Arial" w:cs="Arial"/>
          <w:b w:val="0"/>
          <w:bCs w:val="0"/>
          <w:kern w:val="0"/>
          <w:sz w:val="22"/>
          <w:szCs w:val="22"/>
          <w:lang w:eastAsia="en-GB"/>
          <w14:ligatures w14:val="none"/>
        </w:rPr>
      </w:pPr>
    </w:p>
    <w:p w14:paraId="0AF9F7D5" w14:textId="77777777" w:rsidR="003C55A7" w:rsidRPr="00E150A3" w:rsidRDefault="00EA2E1C" w:rsidP="003C55A7">
      <w:pPr>
        <w:rPr>
          <w:rStyle w:val="Strong"/>
          <w:rFonts w:ascii="Arial" w:hAnsi="Arial" w:cs="Arial"/>
          <w:kern w:val="0"/>
          <w:sz w:val="22"/>
          <w:szCs w:val="22"/>
          <w:lang w:eastAsia="en-GB"/>
          <w14:ligatures w14:val="none"/>
        </w:rPr>
      </w:pPr>
      <w:r w:rsidRPr="00E150A3">
        <w:rPr>
          <w:rStyle w:val="Strong"/>
          <w:rFonts w:ascii="Arial" w:hAnsi="Arial" w:cs="Arial"/>
          <w:kern w:val="0"/>
          <w:sz w:val="22"/>
          <w:szCs w:val="22"/>
          <w:lang w:eastAsia="en-GB"/>
          <w14:ligatures w14:val="none"/>
        </w:rPr>
        <w:t>Academic perspectives on Erikson’s psychosocial theory and Havighurst’s Activity Theory</w:t>
      </w:r>
    </w:p>
    <w:p w14:paraId="0C9D366C" w14:textId="77777777" w:rsidR="003C55A7" w:rsidRPr="00E150A3" w:rsidRDefault="003C55A7" w:rsidP="003C55A7">
      <w:pPr>
        <w:rPr>
          <w:rStyle w:val="Strong"/>
          <w:rFonts w:ascii="Arial" w:hAnsi="Arial" w:cs="Arial"/>
          <w:kern w:val="0"/>
          <w:sz w:val="22"/>
          <w:szCs w:val="22"/>
          <w:lang w:eastAsia="en-GB"/>
          <w14:ligatures w14:val="none"/>
        </w:rPr>
      </w:pPr>
    </w:p>
    <w:p w14:paraId="2451343D"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The theories of Erik Erikson and Robert J. Havighurst are frequently cited in academic perspectives on adult development in health and social care. According to Erikson’s psychosocial theory, development is a continuous process that is formed by stages, each of which involves a psychological conflict that affects wellbeing. Important phases in development include generativity versus stagnation, intimacy versus isolation, and integrity versus despair. According to recent studies, “generativity”—the desire to give back to future generations—remains essential to wellbeing and social engagement in later life (Kim, 2022). This demonstrates the applicability of Erikson’s theory in fostering mental health and purposeful ageing in care environments.</w:t>
      </w:r>
    </w:p>
    <w:p w14:paraId="7571735F"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7CFB4A27"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Havighurst’s Activity Theory, on the other hand, emphasises behavioural involvement and argues that maintaining social roles and activities increases life satisfaction. According to recent research, older individuals’ physical, emotional, and psychological wellbeing is enhanced by actively participating in meaningful programmes such as community or nature-based therapies (Woods et al., 2026). According to current cross-cultural studies, developmental activities including lifelong learning and social responsibility persist into adulthood and are associated with wellbeing (Jankowiak et al., 2025).</w:t>
      </w:r>
    </w:p>
    <w:p w14:paraId="1BC44B4F"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3335493D"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Both theories are complementary in the fields of health and social care. While Havighurst offers practical advice on sustaining activity and social involvement, Erikson offers a psychological framework for understanding identity, purpose, and emotional development. To support both generativity and active ageing, care providers might, for instance, promote volunteering or group interaction.</w:t>
      </w:r>
    </w:p>
    <w:p w14:paraId="35CD4774"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54E307E0"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Critics argue that, since not everyone can stay active or attain stage-based objectives, these theories might not accurately represent diverse experiences. Professionals must therefore use them flexibly within a person-centred care approach.</w:t>
      </w:r>
    </w:p>
    <w:p w14:paraId="5CF42E7C"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7F94465F"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In conclusion, Erikson’s and Havighurst’s theories remain influential in understanding adult development and wellbeing. Their combined application supports holistic, evidence-based approaches in modern health and social care.</w:t>
      </w:r>
    </w:p>
    <w:p w14:paraId="5BC90354"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3789D857" w14:textId="77777777" w:rsidR="006848DC" w:rsidRPr="00E150A3" w:rsidRDefault="00EA2E1C" w:rsidP="006848DC">
      <w:pPr>
        <w:rPr>
          <w:rStyle w:val="Strong"/>
          <w:rFonts w:ascii="Arial" w:hAnsi="Arial" w:cs="Arial"/>
          <w:kern w:val="0"/>
          <w:sz w:val="22"/>
          <w:szCs w:val="22"/>
          <w:lang w:eastAsia="en-GB"/>
          <w14:ligatures w14:val="none"/>
        </w:rPr>
      </w:pPr>
      <w:r w:rsidRPr="00E150A3">
        <w:rPr>
          <w:rStyle w:val="Strong"/>
          <w:rFonts w:ascii="Arial" w:hAnsi="Arial" w:cs="Arial"/>
          <w:kern w:val="0"/>
          <w:sz w:val="22"/>
          <w:szCs w:val="22"/>
          <w:lang w:eastAsia="en-GB"/>
          <w14:ligatures w14:val="none"/>
        </w:rPr>
        <w:t>Application of the Theories in a Health and Social Care Context for Older Adults</w:t>
      </w:r>
    </w:p>
    <w:p w14:paraId="4FBF5A8E" w14:textId="77777777" w:rsidR="006848DC" w:rsidRPr="00E150A3" w:rsidRDefault="006848DC" w:rsidP="006848DC">
      <w:pPr>
        <w:rPr>
          <w:rStyle w:val="Strong"/>
          <w:rFonts w:ascii="Arial" w:hAnsi="Arial" w:cs="Arial"/>
          <w:kern w:val="0"/>
          <w:sz w:val="22"/>
          <w:szCs w:val="22"/>
          <w:lang w:eastAsia="en-GB"/>
          <w14:ligatures w14:val="none"/>
        </w:rPr>
      </w:pPr>
    </w:p>
    <w:p w14:paraId="7672F316"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Understanding psychological theories of ageing is necessary to support older people in health and social care settings because these frameworks guide interventions that address emotional, behavioural, and cognitive needs.</w:t>
      </w:r>
    </w:p>
    <w:p w14:paraId="01BCA748"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59BA82F3"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According to Erikson (1982), older people evaluate their life accomplishments; a negative evaluation can lead to despair, whereas a positive evaluation offers a sense of fulfilment.</w:t>
      </w:r>
    </w:p>
    <w:p w14:paraId="71CEFBAB"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508933D0"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Havighurst’s Activity Theory can be used to foster independence and reduce loneliness. Caregivers can encourage involvement in hobbies, group activities, and mild exercise programmes. Person-centred approaches ensure that activities consider individuals’ skills and interests. This helps preserve identity, confidence, and overall quality of life, which is especially helpful for those at risk of loneliness or conditions such as dementia.</w:t>
      </w:r>
    </w:p>
    <w:p w14:paraId="15242982"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5B937D57" w14:textId="77777777" w:rsidR="006848DC" w:rsidRPr="00E150A3" w:rsidRDefault="00EA2E1C" w:rsidP="006848DC">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lastRenderedPageBreak/>
        <w:t>The discussed theories can be put into practice by caregivers through memory-based activities including reminiscence therapy, life review interventions, and encouraging older individuals to share important life experiences. In a residential care setting, a support worker could facilitate weekly recollection sessions in which patients share pictures and personal stories to foster identity and reduce depressive symptoms. However, those with traumatic pasts or cognitive impairments that make introspection distressing may face difficulties.</w:t>
      </w:r>
    </w:p>
    <w:p w14:paraId="5B27A23C" w14:textId="77777777" w:rsidR="006848DC" w:rsidRPr="00E150A3" w:rsidRDefault="006848DC" w:rsidP="006848DC">
      <w:pPr>
        <w:rPr>
          <w:rStyle w:val="Strong"/>
          <w:rFonts w:ascii="Arial" w:hAnsi="Arial" w:cs="Arial"/>
          <w:b w:val="0"/>
          <w:bCs w:val="0"/>
          <w:kern w:val="0"/>
          <w:sz w:val="22"/>
          <w:szCs w:val="22"/>
          <w:lang w:eastAsia="en-GB"/>
          <w14:ligatures w14:val="none"/>
        </w:rPr>
      </w:pPr>
    </w:p>
    <w:p w14:paraId="2326457F" w14:textId="77777777" w:rsidR="006848DC" w:rsidRPr="00E150A3" w:rsidRDefault="00EA2E1C" w:rsidP="006848DC">
      <w:pPr>
        <w:rPr>
          <w:rStyle w:val="Strong"/>
          <w:rFonts w:ascii="Arial" w:hAnsi="Arial" w:cs="Arial"/>
          <w:kern w:val="0"/>
          <w:sz w:val="22"/>
          <w:szCs w:val="22"/>
          <w:lang w:eastAsia="en-GB"/>
          <w14:ligatures w14:val="none"/>
        </w:rPr>
      </w:pPr>
      <w:r w:rsidRPr="00E150A3">
        <w:rPr>
          <w:rStyle w:val="Strong"/>
          <w:rFonts w:ascii="Arial" w:hAnsi="Arial" w:cs="Arial"/>
          <w:kern w:val="0"/>
          <w:sz w:val="22"/>
          <w:szCs w:val="22"/>
          <w:lang w:eastAsia="en-GB"/>
          <w14:ligatures w14:val="none"/>
        </w:rPr>
        <w:t>Conclusion</w:t>
      </w:r>
    </w:p>
    <w:p w14:paraId="01A3C69D" w14:textId="77777777" w:rsidR="006848DC" w:rsidRPr="00E150A3" w:rsidRDefault="006848DC" w:rsidP="006848DC">
      <w:pPr>
        <w:rPr>
          <w:rStyle w:val="Strong"/>
          <w:rFonts w:ascii="Arial" w:hAnsi="Arial" w:cs="Arial"/>
          <w:kern w:val="0"/>
          <w:sz w:val="22"/>
          <w:szCs w:val="22"/>
          <w:lang w:eastAsia="en-GB"/>
          <w14:ligatures w14:val="none"/>
        </w:rPr>
      </w:pPr>
    </w:p>
    <w:p w14:paraId="306158E8" w14:textId="3309E5C0" w:rsidR="004C58D4" w:rsidRPr="00E150A3" w:rsidRDefault="004C58D4" w:rsidP="00C71D3D">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 xml:space="preserve">In conclusion, combining Havighurst's Activity Theory and Erikson's psychosocial theory improves social and medical treatment for persons with dementia. Erikson supports person-centered care that focuses life review and emotional wellbeing by emphasising the preservation of dignity, identity, and integrity in later life. Havighurst focuses on how crucial it is to keep up meaningful activities to maintain fulfilment and purpose. </w:t>
      </w:r>
    </w:p>
    <w:p w14:paraId="0B750BC3" w14:textId="77777777" w:rsidR="004C58D4" w:rsidRPr="00E150A3" w:rsidRDefault="004C58D4" w:rsidP="00C71D3D">
      <w:pPr>
        <w:rPr>
          <w:rStyle w:val="Strong"/>
          <w:rFonts w:ascii="Arial" w:hAnsi="Arial" w:cs="Arial"/>
          <w:b w:val="0"/>
          <w:bCs w:val="0"/>
          <w:kern w:val="0"/>
          <w:sz w:val="22"/>
          <w:szCs w:val="22"/>
          <w:lang w:eastAsia="en-GB"/>
          <w14:ligatures w14:val="none"/>
        </w:rPr>
      </w:pPr>
    </w:p>
    <w:p w14:paraId="240A11CE" w14:textId="5E7EF2E5" w:rsidR="00C71D3D" w:rsidRPr="00E150A3" w:rsidRDefault="004C58D4" w:rsidP="00C71D3D">
      <w:pPr>
        <w:rPr>
          <w:rStyle w:val="Strong"/>
          <w:rFonts w:ascii="Arial" w:hAnsi="Arial" w:cs="Arial"/>
          <w:b w:val="0"/>
          <w:bCs w:val="0"/>
          <w:kern w:val="0"/>
          <w:sz w:val="22"/>
          <w:szCs w:val="22"/>
          <w:lang w:eastAsia="en-GB"/>
          <w14:ligatures w14:val="none"/>
        </w:rPr>
      </w:pPr>
      <w:r w:rsidRPr="00E150A3">
        <w:rPr>
          <w:rStyle w:val="Strong"/>
          <w:rFonts w:ascii="Arial" w:hAnsi="Arial" w:cs="Arial"/>
          <w:b w:val="0"/>
          <w:bCs w:val="0"/>
          <w:kern w:val="0"/>
          <w:sz w:val="22"/>
          <w:szCs w:val="22"/>
          <w:lang w:eastAsia="en-GB"/>
          <w14:ligatures w14:val="none"/>
        </w:rPr>
        <w:t>The combination of these frameworks support services that facilitate social engagement, autonomy, and adaptive assistance despite cognitive loss. Providers can improve quality of life, lessen loneliness, and promote helpful aging outcomes for people with dementia by combining psychological knowledge with active engagement strategies.</w:t>
      </w:r>
    </w:p>
    <w:p w14:paraId="74DA1AB6" w14:textId="77777777" w:rsidR="004C58D4" w:rsidRPr="00E150A3" w:rsidRDefault="004C58D4" w:rsidP="00C71D3D">
      <w:pPr>
        <w:rPr>
          <w:rStyle w:val="Strong"/>
          <w:rFonts w:ascii="Arial" w:hAnsi="Arial" w:cs="Arial"/>
          <w:b w:val="0"/>
          <w:bCs w:val="0"/>
          <w:kern w:val="0"/>
          <w:sz w:val="22"/>
          <w:szCs w:val="22"/>
          <w:lang w:eastAsia="en-GB"/>
          <w14:ligatures w14:val="none"/>
        </w:rPr>
      </w:pPr>
    </w:p>
    <w:p w14:paraId="6438101E" w14:textId="39DBD33C" w:rsidR="00B453B5" w:rsidRPr="00E150A3" w:rsidRDefault="00B453B5" w:rsidP="00B453B5">
      <w:pPr>
        <w:spacing w:before="100" w:beforeAutospacing="1" w:after="100" w:afterAutospacing="1"/>
        <w:rPr>
          <w:rFonts w:ascii="Arial" w:hAnsi="Arial" w:cs="Arial"/>
          <w:sz w:val="22"/>
          <w:szCs w:val="22"/>
        </w:rPr>
      </w:pPr>
      <w:r w:rsidRPr="00E150A3">
        <w:rPr>
          <w:rFonts w:ascii="Arial" w:eastAsia="Times New Roman" w:hAnsi="Arial" w:cs="Arial"/>
          <w:b/>
          <w:bCs/>
          <w:kern w:val="0"/>
          <w:sz w:val="22"/>
          <w:szCs w:val="22"/>
          <w:lang w:eastAsia="en-GB"/>
          <w14:ligatures w14:val="none"/>
        </w:rPr>
        <w:t>References</w:t>
      </w:r>
    </w:p>
    <w:p w14:paraId="55CF3CBE"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American Psychiatric Association (2013) </w:t>
      </w:r>
      <w:r w:rsidRPr="00E150A3">
        <w:rPr>
          <w:rFonts w:ascii="Arial" w:hAnsi="Arial" w:cs="Arial"/>
          <w:i/>
          <w:iCs/>
          <w:color w:val="002060"/>
          <w:sz w:val="22"/>
          <w:szCs w:val="22"/>
        </w:rPr>
        <w:t>Diagnostic and statistical manual of mental disorders</w:t>
      </w:r>
      <w:r w:rsidRPr="00E150A3">
        <w:rPr>
          <w:rFonts w:ascii="Arial" w:hAnsi="Arial" w:cs="Arial"/>
          <w:color w:val="002060"/>
          <w:sz w:val="22"/>
          <w:szCs w:val="22"/>
        </w:rPr>
        <w:t>, 5th ed., Arlington, VA: American Psychiatric Association.</w:t>
      </w:r>
    </w:p>
    <w:p w14:paraId="0A5A29CE"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Hendricks, J., Gomez, C., &amp; Johnson, P. (2021) ‘Understanding cognitive changes in aging populations’, </w:t>
      </w:r>
      <w:r w:rsidRPr="00E150A3">
        <w:rPr>
          <w:rFonts w:ascii="Arial" w:hAnsi="Arial" w:cs="Arial"/>
          <w:i/>
          <w:iCs/>
          <w:color w:val="002060"/>
          <w:sz w:val="22"/>
          <w:szCs w:val="22"/>
        </w:rPr>
        <w:t>International Journal of Geriatric Psychiatry</w:t>
      </w:r>
      <w:r w:rsidRPr="00E150A3">
        <w:rPr>
          <w:rFonts w:ascii="Arial" w:hAnsi="Arial" w:cs="Arial"/>
          <w:color w:val="002060"/>
          <w:sz w:val="22"/>
          <w:szCs w:val="22"/>
        </w:rPr>
        <w:t>, 36(7), pp. 1013–1022.</w:t>
      </w:r>
    </w:p>
    <w:p w14:paraId="40028313"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Kitwood, T. (1997) </w:t>
      </w:r>
      <w:r w:rsidRPr="00E150A3">
        <w:rPr>
          <w:rFonts w:ascii="Arial" w:hAnsi="Arial" w:cs="Arial"/>
          <w:i/>
          <w:iCs/>
          <w:color w:val="002060"/>
          <w:sz w:val="22"/>
          <w:szCs w:val="22"/>
        </w:rPr>
        <w:t>Dementia reconsidered: The person comes first</w:t>
      </w:r>
      <w:r w:rsidRPr="00E150A3">
        <w:rPr>
          <w:rFonts w:ascii="Arial" w:hAnsi="Arial" w:cs="Arial"/>
          <w:color w:val="002060"/>
          <w:sz w:val="22"/>
          <w:szCs w:val="22"/>
        </w:rPr>
        <w:t>, Buckingham: Open University Press.</w:t>
      </w:r>
    </w:p>
    <w:p w14:paraId="3B6B556E"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National Academies of Sciences, Engineering &amp; Medicine (2024) </w:t>
      </w:r>
      <w:r w:rsidRPr="00E150A3">
        <w:rPr>
          <w:rFonts w:ascii="Arial" w:hAnsi="Arial" w:cs="Arial"/>
          <w:i/>
          <w:iCs/>
          <w:color w:val="002060"/>
          <w:sz w:val="22"/>
          <w:szCs w:val="22"/>
        </w:rPr>
        <w:t>Health and social care for older adults: Integrating biological, psychological, and social factors</w:t>
      </w:r>
      <w:r w:rsidRPr="00E150A3">
        <w:rPr>
          <w:rFonts w:ascii="Arial" w:hAnsi="Arial" w:cs="Arial"/>
          <w:color w:val="002060"/>
          <w:sz w:val="22"/>
          <w:szCs w:val="22"/>
        </w:rPr>
        <w:t>, Washington, DC: National Academies Press.</w:t>
      </w:r>
    </w:p>
    <w:p w14:paraId="1FB93B86"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Piaget, J. (1977) </w:t>
      </w:r>
      <w:r w:rsidRPr="00E150A3">
        <w:rPr>
          <w:rFonts w:ascii="Arial" w:hAnsi="Arial" w:cs="Arial"/>
          <w:i/>
          <w:iCs/>
          <w:color w:val="002060"/>
          <w:sz w:val="22"/>
          <w:szCs w:val="22"/>
        </w:rPr>
        <w:t>The development of thought: Equilibration of cognitive structures</w:t>
      </w:r>
      <w:r w:rsidRPr="00E150A3">
        <w:rPr>
          <w:rFonts w:ascii="Arial" w:hAnsi="Arial" w:cs="Arial"/>
          <w:color w:val="002060"/>
          <w:sz w:val="22"/>
          <w:szCs w:val="22"/>
        </w:rPr>
        <w:t>, New York: Viking Press.</w:t>
      </w:r>
    </w:p>
    <w:p w14:paraId="202D4000"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Subramaniam, P. &amp; Woods, B. (2016) ‘The impact of reminiscence therapy on dementia: A systematic review’, </w:t>
      </w:r>
      <w:r w:rsidRPr="00E150A3">
        <w:rPr>
          <w:rFonts w:ascii="Arial" w:hAnsi="Arial" w:cs="Arial"/>
          <w:i/>
          <w:iCs/>
          <w:color w:val="002060"/>
          <w:sz w:val="22"/>
          <w:szCs w:val="22"/>
        </w:rPr>
        <w:t>International Psychogeriatrics</w:t>
      </w:r>
      <w:r w:rsidRPr="00E150A3">
        <w:rPr>
          <w:rFonts w:ascii="Arial" w:hAnsi="Arial" w:cs="Arial"/>
          <w:color w:val="002060"/>
          <w:sz w:val="22"/>
          <w:szCs w:val="22"/>
        </w:rPr>
        <w:t>, 28(2), pp. 275–286.</w:t>
      </w:r>
    </w:p>
    <w:p w14:paraId="02FCFBF2"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Wildenstein, A. (2006) ‘Supporting psychosocial development in older adults’, </w:t>
      </w:r>
      <w:r w:rsidRPr="00E150A3">
        <w:rPr>
          <w:rFonts w:ascii="Arial" w:hAnsi="Arial" w:cs="Arial"/>
          <w:i/>
          <w:iCs/>
          <w:color w:val="002060"/>
          <w:sz w:val="22"/>
          <w:szCs w:val="22"/>
        </w:rPr>
        <w:t>Journal of Gerontological Nursing</w:t>
      </w:r>
      <w:r w:rsidRPr="00E150A3">
        <w:rPr>
          <w:rFonts w:ascii="Arial" w:hAnsi="Arial" w:cs="Arial"/>
          <w:color w:val="002060"/>
          <w:sz w:val="22"/>
          <w:szCs w:val="22"/>
        </w:rPr>
        <w:t>, 32(4), pp. 12–19.</w:t>
      </w:r>
    </w:p>
    <w:p w14:paraId="3E5A3261"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World Health Organization (2022) </w:t>
      </w:r>
      <w:r w:rsidRPr="00E150A3">
        <w:rPr>
          <w:rFonts w:ascii="Arial" w:hAnsi="Arial" w:cs="Arial"/>
          <w:i/>
          <w:iCs/>
          <w:color w:val="002060"/>
          <w:sz w:val="22"/>
          <w:szCs w:val="22"/>
        </w:rPr>
        <w:t>World report on ageing and health 2022</w:t>
      </w:r>
      <w:r w:rsidRPr="00E150A3">
        <w:rPr>
          <w:rFonts w:ascii="Arial" w:hAnsi="Arial" w:cs="Arial"/>
          <w:color w:val="002060"/>
          <w:sz w:val="22"/>
          <w:szCs w:val="22"/>
        </w:rPr>
        <w:t>, Geneva: WHO.</w:t>
      </w:r>
    </w:p>
    <w:p w14:paraId="254B8750"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Cohen-Mansfield, J. and Perach, R. (2023) ‘Interventions for alleviating loneliness among older persons: a critical review’, </w:t>
      </w:r>
      <w:r w:rsidRPr="00E150A3">
        <w:rPr>
          <w:rFonts w:ascii="Arial" w:hAnsi="Arial" w:cs="Arial"/>
          <w:i/>
          <w:iCs/>
          <w:color w:val="002060"/>
          <w:sz w:val="22"/>
          <w:szCs w:val="22"/>
        </w:rPr>
        <w:t>American Journal of Health Promotion</w:t>
      </w:r>
      <w:r w:rsidRPr="00E150A3">
        <w:rPr>
          <w:rFonts w:ascii="Arial" w:hAnsi="Arial" w:cs="Arial"/>
          <w:color w:val="002060"/>
          <w:sz w:val="22"/>
          <w:szCs w:val="22"/>
        </w:rPr>
        <w:t>, 37(2), pp. 1–12.</w:t>
      </w:r>
    </w:p>
    <w:p w14:paraId="5D92CAE6"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Havighurst, R.J. (1961) ‘Successful aging’, </w:t>
      </w:r>
      <w:r w:rsidRPr="00E150A3">
        <w:rPr>
          <w:rFonts w:ascii="Arial" w:hAnsi="Arial" w:cs="Arial"/>
          <w:i/>
          <w:iCs/>
          <w:color w:val="002060"/>
          <w:sz w:val="22"/>
          <w:szCs w:val="22"/>
        </w:rPr>
        <w:t>The Gerontologist</w:t>
      </w:r>
      <w:r w:rsidRPr="00E150A3">
        <w:rPr>
          <w:rFonts w:ascii="Arial" w:hAnsi="Arial" w:cs="Arial"/>
          <w:color w:val="002060"/>
          <w:sz w:val="22"/>
          <w:szCs w:val="22"/>
        </w:rPr>
        <w:t>, 1(1), pp. 8–13.</w:t>
      </w:r>
    </w:p>
    <w:p w14:paraId="637EB44A" w14:textId="77777777" w:rsidR="00B453B5" w:rsidRPr="00E150A3"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lastRenderedPageBreak/>
        <w:t xml:space="preserve">Livingston, G. et al. (2020) ‘Dementia prevention, intervention, and care: 2020 report’, </w:t>
      </w:r>
      <w:r w:rsidRPr="00E150A3">
        <w:rPr>
          <w:rFonts w:ascii="Arial" w:hAnsi="Arial" w:cs="Arial"/>
          <w:i/>
          <w:iCs/>
          <w:color w:val="002060"/>
          <w:sz w:val="22"/>
          <w:szCs w:val="22"/>
        </w:rPr>
        <w:t>The Lancet</w:t>
      </w:r>
      <w:r w:rsidRPr="00E150A3">
        <w:rPr>
          <w:rFonts w:ascii="Arial" w:hAnsi="Arial" w:cs="Arial"/>
          <w:color w:val="002060"/>
          <w:sz w:val="22"/>
          <w:szCs w:val="22"/>
        </w:rPr>
        <w:t>, 396(10248), pp. 413–446.</w:t>
      </w:r>
    </w:p>
    <w:p w14:paraId="0ED779D1" w14:textId="77777777" w:rsidR="00B453B5" w:rsidRDefault="00B453B5" w:rsidP="00B453B5">
      <w:pPr>
        <w:spacing w:before="100" w:beforeAutospacing="1" w:after="100" w:afterAutospacing="1"/>
        <w:rPr>
          <w:rFonts w:ascii="Arial" w:hAnsi="Arial" w:cs="Arial"/>
          <w:color w:val="002060"/>
          <w:sz w:val="22"/>
          <w:szCs w:val="22"/>
        </w:rPr>
      </w:pPr>
      <w:r w:rsidRPr="00E150A3">
        <w:rPr>
          <w:rFonts w:ascii="Arial" w:hAnsi="Arial" w:cs="Arial"/>
          <w:color w:val="002060"/>
          <w:sz w:val="22"/>
          <w:szCs w:val="22"/>
        </w:rPr>
        <w:t xml:space="preserve">World Health Organization (2022) </w:t>
      </w:r>
      <w:r w:rsidRPr="00E150A3">
        <w:rPr>
          <w:rFonts w:ascii="Arial" w:hAnsi="Arial" w:cs="Arial"/>
          <w:i/>
          <w:iCs/>
          <w:color w:val="002060"/>
          <w:sz w:val="22"/>
          <w:szCs w:val="22"/>
        </w:rPr>
        <w:t>Global report on ageism</w:t>
      </w:r>
      <w:r w:rsidRPr="00E150A3">
        <w:rPr>
          <w:rFonts w:ascii="Arial" w:hAnsi="Arial" w:cs="Arial"/>
          <w:color w:val="002060"/>
          <w:sz w:val="22"/>
          <w:szCs w:val="22"/>
        </w:rPr>
        <w:t>. Geneva: WHO.</w:t>
      </w:r>
    </w:p>
    <w:p w14:paraId="74E15C79" w14:textId="77777777" w:rsidR="00963100" w:rsidRPr="00963100" w:rsidRDefault="00963100" w:rsidP="00963100">
      <w:pPr>
        <w:spacing w:before="100" w:beforeAutospacing="1" w:after="100" w:afterAutospacing="1"/>
        <w:rPr>
          <w:rFonts w:ascii="Arial" w:hAnsi="Arial" w:cs="Arial"/>
          <w:color w:val="002060"/>
          <w:sz w:val="22"/>
          <w:szCs w:val="22"/>
        </w:rPr>
      </w:pPr>
      <w:r w:rsidRPr="00963100">
        <w:rPr>
          <w:rFonts w:ascii="Arial" w:hAnsi="Arial" w:cs="Arial"/>
          <w:color w:val="002060"/>
          <w:sz w:val="22"/>
          <w:szCs w:val="22"/>
        </w:rPr>
        <w:t xml:space="preserve">Erikson, E.H. (1963) </w:t>
      </w:r>
      <w:r w:rsidRPr="00963100">
        <w:rPr>
          <w:rFonts w:ascii="Arial" w:hAnsi="Arial" w:cs="Arial"/>
          <w:i/>
          <w:iCs/>
          <w:color w:val="002060"/>
          <w:sz w:val="22"/>
          <w:szCs w:val="22"/>
        </w:rPr>
        <w:t>Childhood and society</w:t>
      </w:r>
      <w:r w:rsidRPr="00963100">
        <w:rPr>
          <w:rFonts w:ascii="Arial" w:hAnsi="Arial" w:cs="Arial"/>
          <w:color w:val="002060"/>
          <w:sz w:val="22"/>
          <w:szCs w:val="22"/>
        </w:rPr>
        <w:t>. 2nd edn. New York: W.W. Norton &amp; Company.</w:t>
      </w:r>
    </w:p>
    <w:p w14:paraId="04A58B9E" w14:textId="77777777" w:rsidR="00963100" w:rsidRPr="00963100" w:rsidRDefault="00963100" w:rsidP="00963100">
      <w:pPr>
        <w:spacing w:before="100" w:beforeAutospacing="1" w:after="100" w:afterAutospacing="1"/>
        <w:rPr>
          <w:rFonts w:ascii="Arial" w:hAnsi="Arial" w:cs="Arial"/>
          <w:color w:val="002060"/>
          <w:sz w:val="22"/>
          <w:szCs w:val="22"/>
        </w:rPr>
      </w:pPr>
      <w:r w:rsidRPr="00963100">
        <w:rPr>
          <w:rFonts w:ascii="Arial" w:hAnsi="Arial" w:cs="Arial"/>
          <w:color w:val="002060"/>
          <w:sz w:val="22"/>
          <w:szCs w:val="22"/>
        </w:rPr>
        <w:t xml:space="preserve">Spector, A., Orrell, M. and Woods, B. (2015) </w:t>
      </w:r>
      <w:r w:rsidRPr="00963100">
        <w:rPr>
          <w:rFonts w:ascii="Arial" w:hAnsi="Arial" w:cs="Arial"/>
          <w:i/>
          <w:iCs/>
          <w:color w:val="002060"/>
          <w:sz w:val="22"/>
          <w:szCs w:val="22"/>
        </w:rPr>
        <w:t>Cognitive stimulation therapy for dementia: history, evolution and internationalisation</w:t>
      </w:r>
      <w:r w:rsidRPr="00963100">
        <w:rPr>
          <w:rFonts w:ascii="Arial" w:hAnsi="Arial" w:cs="Arial"/>
          <w:color w:val="002060"/>
          <w:sz w:val="22"/>
          <w:szCs w:val="22"/>
        </w:rPr>
        <w:t>. London: Routledge.</w:t>
      </w:r>
    </w:p>
    <w:p w14:paraId="50DC3BA6" w14:textId="77777777" w:rsidR="00963100" w:rsidRPr="00E150A3" w:rsidRDefault="00963100" w:rsidP="00B453B5">
      <w:pPr>
        <w:spacing w:before="100" w:beforeAutospacing="1" w:after="100" w:afterAutospacing="1"/>
        <w:rPr>
          <w:rFonts w:ascii="Arial" w:hAnsi="Arial" w:cs="Arial"/>
          <w:color w:val="002060"/>
          <w:sz w:val="22"/>
          <w:szCs w:val="22"/>
        </w:rPr>
      </w:pPr>
    </w:p>
    <w:p w14:paraId="03110C49" w14:textId="77777777" w:rsidR="008D4C98" w:rsidRPr="00E150A3" w:rsidRDefault="008D4C98" w:rsidP="00B453B5">
      <w:pPr>
        <w:spacing w:before="100" w:beforeAutospacing="1" w:after="100" w:afterAutospacing="1"/>
        <w:rPr>
          <w:rFonts w:ascii="Arial" w:hAnsi="Arial" w:cs="Arial"/>
          <w:color w:val="002060"/>
          <w:sz w:val="22"/>
          <w:szCs w:val="22"/>
        </w:rPr>
      </w:pPr>
    </w:p>
    <w:sectPr w:rsidR="008D4C98" w:rsidRPr="00E150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AC403" w14:textId="77777777" w:rsidR="005E4A84" w:rsidRDefault="005E4A84" w:rsidP="00AA3125">
      <w:r>
        <w:separator/>
      </w:r>
    </w:p>
  </w:endnote>
  <w:endnote w:type="continuationSeparator" w:id="0">
    <w:p w14:paraId="185AB5BA" w14:textId="77777777" w:rsidR="005E4A84" w:rsidRDefault="005E4A84" w:rsidP="00AA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4F2CF" w14:textId="77777777" w:rsidR="005E4A84" w:rsidRDefault="005E4A84" w:rsidP="00AA3125">
      <w:r>
        <w:separator/>
      </w:r>
    </w:p>
  </w:footnote>
  <w:footnote w:type="continuationSeparator" w:id="0">
    <w:p w14:paraId="5D58184D" w14:textId="77777777" w:rsidR="005E4A84" w:rsidRDefault="005E4A84" w:rsidP="00AA31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C98"/>
    <w:rsid w:val="00046416"/>
    <w:rsid w:val="00051CA2"/>
    <w:rsid w:val="0006138A"/>
    <w:rsid w:val="00077EED"/>
    <w:rsid w:val="000E761B"/>
    <w:rsid w:val="00102AAD"/>
    <w:rsid w:val="0010628A"/>
    <w:rsid w:val="00122863"/>
    <w:rsid w:val="00147B63"/>
    <w:rsid w:val="001522AF"/>
    <w:rsid w:val="001A60D9"/>
    <w:rsid w:val="001B29C0"/>
    <w:rsid w:val="001D5D31"/>
    <w:rsid w:val="00202BEF"/>
    <w:rsid w:val="00263894"/>
    <w:rsid w:val="00277516"/>
    <w:rsid w:val="002973EB"/>
    <w:rsid w:val="002A6B18"/>
    <w:rsid w:val="002B64D7"/>
    <w:rsid w:val="002D156A"/>
    <w:rsid w:val="002D2DE3"/>
    <w:rsid w:val="002E24A4"/>
    <w:rsid w:val="00315B76"/>
    <w:rsid w:val="003956AE"/>
    <w:rsid w:val="003A1AEC"/>
    <w:rsid w:val="003A59AF"/>
    <w:rsid w:val="003A5D9E"/>
    <w:rsid w:val="003C55A7"/>
    <w:rsid w:val="00433CBC"/>
    <w:rsid w:val="00462B30"/>
    <w:rsid w:val="004A2D98"/>
    <w:rsid w:val="004B4AAF"/>
    <w:rsid w:val="004C58D4"/>
    <w:rsid w:val="00577FC6"/>
    <w:rsid w:val="00582695"/>
    <w:rsid w:val="005A6C8E"/>
    <w:rsid w:val="005E4A84"/>
    <w:rsid w:val="00624DFB"/>
    <w:rsid w:val="00640350"/>
    <w:rsid w:val="00650504"/>
    <w:rsid w:val="00651F7D"/>
    <w:rsid w:val="006848DC"/>
    <w:rsid w:val="00703250"/>
    <w:rsid w:val="00766CFD"/>
    <w:rsid w:val="00772891"/>
    <w:rsid w:val="007772FD"/>
    <w:rsid w:val="007820BA"/>
    <w:rsid w:val="007874EB"/>
    <w:rsid w:val="007A1366"/>
    <w:rsid w:val="007A2D05"/>
    <w:rsid w:val="007B3456"/>
    <w:rsid w:val="008361A5"/>
    <w:rsid w:val="0089274D"/>
    <w:rsid w:val="00893365"/>
    <w:rsid w:val="008D3833"/>
    <w:rsid w:val="008D46D4"/>
    <w:rsid w:val="008D4C98"/>
    <w:rsid w:val="00920BF5"/>
    <w:rsid w:val="00933197"/>
    <w:rsid w:val="00963100"/>
    <w:rsid w:val="00976123"/>
    <w:rsid w:val="00994843"/>
    <w:rsid w:val="009C4DA1"/>
    <w:rsid w:val="009D0C41"/>
    <w:rsid w:val="009E5E27"/>
    <w:rsid w:val="00A30DA2"/>
    <w:rsid w:val="00A34F53"/>
    <w:rsid w:val="00A430B1"/>
    <w:rsid w:val="00A85BB7"/>
    <w:rsid w:val="00A95BB8"/>
    <w:rsid w:val="00AA3125"/>
    <w:rsid w:val="00AB01CE"/>
    <w:rsid w:val="00AB5DEB"/>
    <w:rsid w:val="00AC3675"/>
    <w:rsid w:val="00AE17BA"/>
    <w:rsid w:val="00B00F63"/>
    <w:rsid w:val="00B412F6"/>
    <w:rsid w:val="00B453B5"/>
    <w:rsid w:val="00B51E41"/>
    <w:rsid w:val="00B52E94"/>
    <w:rsid w:val="00B61F33"/>
    <w:rsid w:val="00B8497C"/>
    <w:rsid w:val="00BA6BE9"/>
    <w:rsid w:val="00BB275A"/>
    <w:rsid w:val="00BC2E39"/>
    <w:rsid w:val="00BE5F8D"/>
    <w:rsid w:val="00C517AA"/>
    <w:rsid w:val="00C536C9"/>
    <w:rsid w:val="00C56242"/>
    <w:rsid w:val="00C71D3D"/>
    <w:rsid w:val="00C80EFF"/>
    <w:rsid w:val="00CC706B"/>
    <w:rsid w:val="00D1273F"/>
    <w:rsid w:val="00D54DA5"/>
    <w:rsid w:val="00D845FF"/>
    <w:rsid w:val="00D8774D"/>
    <w:rsid w:val="00DC0A45"/>
    <w:rsid w:val="00DC29BC"/>
    <w:rsid w:val="00DC7EB9"/>
    <w:rsid w:val="00DE3E6A"/>
    <w:rsid w:val="00E150A3"/>
    <w:rsid w:val="00E2012A"/>
    <w:rsid w:val="00E40BC3"/>
    <w:rsid w:val="00E74AE3"/>
    <w:rsid w:val="00EA2E1C"/>
    <w:rsid w:val="00ED6014"/>
    <w:rsid w:val="00EE0D9C"/>
    <w:rsid w:val="00EE1D6C"/>
    <w:rsid w:val="00EE726A"/>
    <w:rsid w:val="00F156EB"/>
    <w:rsid w:val="00F24A76"/>
    <w:rsid w:val="00F50B60"/>
    <w:rsid w:val="00F95019"/>
    <w:rsid w:val="00FE2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9E16"/>
  <w15:chartTrackingRefBased/>
  <w15:docId w15:val="{2EDCEED5-D366-4B8D-832C-E5914DB23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C98"/>
    <w:pPr>
      <w:spacing w:after="0" w:line="240" w:lineRule="auto"/>
    </w:pPr>
  </w:style>
  <w:style w:type="paragraph" w:styleId="Heading1">
    <w:name w:val="heading 1"/>
    <w:basedOn w:val="Normal"/>
    <w:next w:val="Normal"/>
    <w:link w:val="Heading1Char"/>
    <w:uiPriority w:val="9"/>
    <w:qFormat/>
    <w:rsid w:val="008D4C9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C9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C98"/>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C98"/>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C98"/>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C98"/>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C98"/>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C98"/>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C98"/>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C98"/>
    <w:rPr>
      <w:rFonts w:eastAsiaTheme="majorEastAsia" w:cstheme="majorBidi"/>
      <w:color w:val="272727" w:themeColor="text1" w:themeTint="D8"/>
    </w:rPr>
  </w:style>
  <w:style w:type="paragraph" w:styleId="Title">
    <w:name w:val="Title"/>
    <w:basedOn w:val="Normal"/>
    <w:next w:val="Normal"/>
    <w:link w:val="TitleChar"/>
    <w:uiPriority w:val="10"/>
    <w:qFormat/>
    <w:rsid w:val="008D4C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C98"/>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C98"/>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8D4C98"/>
    <w:rPr>
      <w:i/>
      <w:iCs/>
      <w:color w:val="404040" w:themeColor="text1" w:themeTint="BF"/>
    </w:rPr>
  </w:style>
  <w:style w:type="paragraph" w:styleId="ListParagraph">
    <w:name w:val="List Paragraph"/>
    <w:basedOn w:val="Normal"/>
    <w:uiPriority w:val="34"/>
    <w:qFormat/>
    <w:rsid w:val="008D4C98"/>
    <w:pPr>
      <w:spacing w:after="160" w:line="278" w:lineRule="auto"/>
      <w:ind w:left="720"/>
      <w:contextualSpacing/>
    </w:pPr>
  </w:style>
  <w:style w:type="character" w:styleId="IntenseEmphasis">
    <w:name w:val="Intense Emphasis"/>
    <w:basedOn w:val="DefaultParagraphFont"/>
    <w:uiPriority w:val="21"/>
    <w:qFormat/>
    <w:rsid w:val="008D4C98"/>
    <w:rPr>
      <w:i/>
      <w:iCs/>
      <w:color w:val="0F4761" w:themeColor="accent1" w:themeShade="BF"/>
    </w:rPr>
  </w:style>
  <w:style w:type="paragraph" w:styleId="IntenseQuote">
    <w:name w:val="Intense Quote"/>
    <w:basedOn w:val="Normal"/>
    <w:next w:val="Normal"/>
    <w:link w:val="IntenseQuoteChar"/>
    <w:uiPriority w:val="30"/>
    <w:qFormat/>
    <w:rsid w:val="008D4C9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C98"/>
    <w:rPr>
      <w:i/>
      <w:iCs/>
      <w:color w:val="0F4761" w:themeColor="accent1" w:themeShade="BF"/>
    </w:rPr>
  </w:style>
  <w:style w:type="character" w:styleId="IntenseReference">
    <w:name w:val="Intense Reference"/>
    <w:basedOn w:val="DefaultParagraphFont"/>
    <w:uiPriority w:val="32"/>
    <w:qFormat/>
    <w:rsid w:val="008D4C98"/>
    <w:rPr>
      <w:b/>
      <w:bCs/>
      <w:smallCaps/>
      <w:color w:val="0F4761" w:themeColor="accent1" w:themeShade="BF"/>
      <w:spacing w:val="5"/>
    </w:rPr>
  </w:style>
  <w:style w:type="character" w:customStyle="1" w:styleId="muibox-root">
    <w:name w:val="muibox-root"/>
    <w:basedOn w:val="DefaultParagraphFont"/>
    <w:rsid w:val="008D4C98"/>
  </w:style>
  <w:style w:type="character" w:customStyle="1" w:styleId="extn-css-0">
    <w:name w:val="extn-css-0"/>
    <w:basedOn w:val="DefaultParagraphFont"/>
    <w:rsid w:val="008D4C98"/>
  </w:style>
  <w:style w:type="character" w:customStyle="1" w:styleId="extn-css-1tmeul0">
    <w:name w:val="extn-css-1tmeul0"/>
    <w:basedOn w:val="DefaultParagraphFont"/>
    <w:rsid w:val="008D4C98"/>
  </w:style>
  <w:style w:type="character" w:customStyle="1" w:styleId="extn-css-1g9q2al">
    <w:name w:val="extn-css-1g9q2al"/>
    <w:basedOn w:val="DefaultParagraphFont"/>
    <w:rsid w:val="008D4C98"/>
  </w:style>
  <w:style w:type="character" w:customStyle="1" w:styleId="extn-css-10o52y0">
    <w:name w:val="extn-css-10o52y0"/>
    <w:basedOn w:val="DefaultParagraphFont"/>
    <w:rsid w:val="008D4C98"/>
  </w:style>
  <w:style w:type="character" w:customStyle="1" w:styleId="extn-css-h5d7i9">
    <w:name w:val="extn-css-h5d7i9"/>
    <w:basedOn w:val="DefaultParagraphFont"/>
    <w:rsid w:val="008D4C98"/>
  </w:style>
  <w:style w:type="paragraph" w:styleId="NormalWeb">
    <w:name w:val="Normal (Web)"/>
    <w:basedOn w:val="Normal"/>
    <w:uiPriority w:val="99"/>
    <w:unhideWhenUsed/>
    <w:rsid w:val="008D4C9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D4C98"/>
    <w:rPr>
      <w:b/>
      <w:bCs/>
    </w:rPr>
  </w:style>
  <w:style w:type="character" w:styleId="Emphasis">
    <w:name w:val="Emphasis"/>
    <w:basedOn w:val="DefaultParagraphFont"/>
    <w:uiPriority w:val="20"/>
    <w:qFormat/>
    <w:rsid w:val="00651F7D"/>
    <w:rPr>
      <w:i/>
      <w:iCs/>
    </w:rPr>
  </w:style>
  <w:style w:type="paragraph" w:styleId="Header">
    <w:name w:val="header"/>
    <w:basedOn w:val="Normal"/>
    <w:link w:val="HeaderChar"/>
    <w:uiPriority w:val="99"/>
    <w:unhideWhenUsed/>
    <w:rsid w:val="00AA3125"/>
    <w:pPr>
      <w:tabs>
        <w:tab w:val="center" w:pos="4513"/>
        <w:tab w:val="right" w:pos="9026"/>
      </w:tabs>
    </w:pPr>
  </w:style>
  <w:style w:type="character" w:customStyle="1" w:styleId="HeaderChar">
    <w:name w:val="Header Char"/>
    <w:basedOn w:val="DefaultParagraphFont"/>
    <w:link w:val="Header"/>
    <w:uiPriority w:val="99"/>
    <w:rsid w:val="00AA3125"/>
  </w:style>
  <w:style w:type="paragraph" w:styleId="Footer">
    <w:name w:val="footer"/>
    <w:basedOn w:val="Normal"/>
    <w:link w:val="FooterChar"/>
    <w:uiPriority w:val="99"/>
    <w:unhideWhenUsed/>
    <w:rsid w:val="00AA3125"/>
    <w:pPr>
      <w:tabs>
        <w:tab w:val="center" w:pos="4513"/>
        <w:tab w:val="right" w:pos="9026"/>
      </w:tabs>
    </w:pPr>
  </w:style>
  <w:style w:type="character" w:customStyle="1" w:styleId="FooterChar">
    <w:name w:val="Footer Char"/>
    <w:basedOn w:val="DefaultParagraphFont"/>
    <w:link w:val="Footer"/>
    <w:uiPriority w:val="99"/>
    <w:rsid w:val="00AA3125"/>
  </w:style>
  <w:style w:type="character" w:styleId="Hyperlink">
    <w:name w:val="Hyperlink"/>
    <w:basedOn w:val="DefaultParagraphFont"/>
    <w:uiPriority w:val="99"/>
    <w:unhideWhenUsed/>
    <w:rsid w:val="00703250"/>
    <w:rPr>
      <w:color w:val="467886" w:themeColor="hyperlink"/>
      <w:u w:val="single"/>
    </w:rPr>
  </w:style>
  <w:style w:type="character" w:customStyle="1" w:styleId="UnresolvedMention1">
    <w:name w:val="Unresolved Mention1"/>
    <w:basedOn w:val="DefaultParagraphFont"/>
    <w:uiPriority w:val="99"/>
    <w:semiHidden/>
    <w:unhideWhenUsed/>
    <w:rsid w:val="00703250"/>
    <w:rPr>
      <w:color w:val="605E5C"/>
      <w:shd w:val="clear" w:color="auto" w:fill="E1DFDD"/>
    </w:rPr>
  </w:style>
  <w:style w:type="character" w:customStyle="1" w:styleId="whitespace-normal">
    <w:name w:val="whitespace-normal"/>
    <w:basedOn w:val="DefaultParagraphFont"/>
    <w:rsid w:val="002A6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038EA-7980-407B-8FD0-6E28511B6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Asare Adu (2427141)</dc:creator>
  <cp:keywords/>
  <dc:description/>
  <cp:lastModifiedBy>diana asare</cp:lastModifiedBy>
  <cp:revision>24</cp:revision>
  <dcterms:created xsi:type="dcterms:W3CDTF">2026-04-15T15:08:00Z</dcterms:created>
  <dcterms:modified xsi:type="dcterms:W3CDTF">2026-04-17T12:10:00Z</dcterms:modified>
</cp:coreProperties>
</file>