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46A2F9" w14:textId="77777777" w:rsidR="00234B85" w:rsidRDefault="00234B85" w:rsidP="00254BDF">
      <w:pPr>
        <w:spacing w:after="0" w:line="360" w:lineRule="auto"/>
        <w:jc w:val="center"/>
        <w:rPr>
          <w:rFonts w:ascii="Arial" w:hAnsi="Arial" w:cs="Arial"/>
          <w:b/>
        </w:rPr>
      </w:pPr>
    </w:p>
    <w:p w14:paraId="437B2FE5" w14:textId="77777777" w:rsidR="00234B85" w:rsidRDefault="00234B85" w:rsidP="00254BDF">
      <w:pPr>
        <w:spacing w:after="0" w:line="360" w:lineRule="auto"/>
        <w:jc w:val="center"/>
        <w:rPr>
          <w:rFonts w:ascii="Arial" w:hAnsi="Arial" w:cs="Arial"/>
          <w:b/>
        </w:rPr>
      </w:pPr>
    </w:p>
    <w:p w14:paraId="0977C5DE" w14:textId="50E6DB62" w:rsidR="005C23BA" w:rsidRDefault="00254BDF" w:rsidP="00254BDF">
      <w:pPr>
        <w:spacing w:after="0" w:line="360" w:lineRule="auto"/>
        <w:jc w:val="center"/>
        <w:rPr>
          <w:rFonts w:ascii="Arial" w:hAnsi="Arial" w:cs="Arial"/>
          <w:b/>
        </w:rPr>
      </w:pPr>
      <w:r>
        <w:rPr>
          <w:noProof/>
        </w:rPr>
        <w:drawing>
          <wp:inline distT="0" distB="0" distL="0" distR="0" wp14:anchorId="76560107" wp14:editId="5C726BEB">
            <wp:extent cx="2529236" cy="1001920"/>
            <wp:effectExtent l="0" t="0" r="0" b="1905"/>
            <wp:docPr id="1572473858"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73858" name="Picture 1" descr="A close up of black text&#10;&#10;Description automatically generated"/>
                    <pic:cNvPicPr/>
                  </pic:nvPicPr>
                  <pic:blipFill>
                    <a:blip r:embed="rId8"/>
                    <a:stretch>
                      <a:fillRect/>
                    </a:stretch>
                  </pic:blipFill>
                  <pic:spPr>
                    <a:xfrm>
                      <a:off x="0" y="0"/>
                      <a:ext cx="2548530" cy="1009563"/>
                    </a:xfrm>
                    <a:prstGeom prst="rect">
                      <a:avLst/>
                    </a:prstGeom>
                  </pic:spPr>
                </pic:pic>
              </a:graphicData>
            </a:graphic>
          </wp:inline>
        </w:drawing>
      </w:r>
    </w:p>
    <w:p w14:paraId="52EE7BA3" w14:textId="77777777" w:rsidR="00824803" w:rsidRDefault="00824803" w:rsidP="00375689">
      <w:pPr>
        <w:spacing w:after="0" w:line="360" w:lineRule="auto"/>
        <w:jc w:val="both"/>
        <w:rPr>
          <w:rFonts w:ascii="Arial" w:hAnsi="Arial" w:cs="Arial"/>
          <w:b/>
        </w:rPr>
      </w:pPr>
    </w:p>
    <w:p w14:paraId="2209F994" w14:textId="77777777" w:rsidR="00824803" w:rsidRDefault="00824803" w:rsidP="00375689">
      <w:pPr>
        <w:spacing w:after="0" w:line="360" w:lineRule="auto"/>
        <w:jc w:val="both"/>
        <w:rPr>
          <w:rFonts w:ascii="Arial" w:hAnsi="Arial" w:cs="Arial"/>
          <w:b/>
        </w:rPr>
      </w:pPr>
    </w:p>
    <w:p w14:paraId="73B862AD" w14:textId="77777777" w:rsidR="00824803" w:rsidRDefault="00824803" w:rsidP="00375689">
      <w:pPr>
        <w:spacing w:after="0" w:line="360" w:lineRule="auto"/>
        <w:jc w:val="both"/>
        <w:rPr>
          <w:rFonts w:ascii="Arial" w:hAnsi="Arial" w:cs="Arial"/>
          <w:b/>
        </w:rPr>
      </w:pPr>
    </w:p>
    <w:p w14:paraId="71054201" w14:textId="77777777" w:rsidR="009D6479" w:rsidRDefault="009D6479" w:rsidP="00375689">
      <w:pPr>
        <w:spacing w:after="0" w:line="360" w:lineRule="auto"/>
        <w:jc w:val="both"/>
        <w:rPr>
          <w:rFonts w:ascii="Arial" w:hAnsi="Arial" w:cs="Arial"/>
          <w:b/>
        </w:rPr>
      </w:pPr>
    </w:p>
    <w:p w14:paraId="59A6E4A2" w14:textId="77777777" w:rsidR="00234B85" w:rsidRDefault="00234B85" w:rsidP="00375689">
      <w:pPr>
        <w:spacing w:after="0" w:line="360" w:lineRule="auto"/>
        <w:jc w:val="both"/>
        <w:rPr>
          <w:rFonts w:ascii="Arial" w:hAnsi="Arial" w:cs="Arial"/>
          <w:b/>
        </w:rPr>
      </w:pPr>
    </w:p>
    <w:p w14:paraId="30877E8F" w14:textId="77777777" w:rsidR="00234B85" w:rsidRDefault="00234B85" w:rsidP="00375689">
      <w:pPr>
        <w:spacing w:after="0" w:line="360" w:lineRule="auto"/>
        <w:jc w:val="both"/>
        <w:rPr>
          <w:rFonts w:ascii="Arial" w:hAnsi="Arial" w:cs="Arial"/>
          <w:b/>
        </w:rPr>
      </w:pPr>
    </w:p>
    <w:p w14:paraId="325A0701" w14:textId="77777777" w:rsidR="00234B85" w:rsidRDefault="00234B85" w:rsidP="00375689">
      <w:pPr>
        <w:spacing w:after="0" w:line="360" w:lineRule="auto"/>
        <w:jc w:val="both"/>
        <w:rPr>
          <w:rFonts w:ascii="Arial" w:hAnsi="Arial" w:cs="Arial"/>
          <w:b/>
        </w:rPr>
      </w:pPr>
    </w:p>
    <w:p w14:paraId="3B323CD8" w14:textId="77777777" w:rsidR="009D6479" w:rsidRDefault="009D6479" w:rsidP="00375689">
      <w:pPr>
        <w:spacing w:after="0" w:line="360" w:lineRule="auto"/>
        <w:jc w:val="both"/>
        <w:rPr>
          <w:rFonts w:ascii="Arial" w:hAnsi="Arial" w:cs="Arial"/>
          <w:b/>
        </w:rPr>
      </w:pPr>
    </w:p>
    <w:p w14:paraId="03AE84BB" w14:textId="77777777" w:rsidR="00824803" w:rsidRDefault="00824803" w:rsidP="00375689">
      <w:pPr>
        <w:spacing w:after="0" w:line="360" w:lineRule="auto"/>
        <w:jc w:val="both"/>
        <w:rPr>
          <w:rFonts w:ascii="Arial" w:hAnsi="Arial" w:cs="Arial"/>
          <w:b/>
        </w:rPr>
      </w:pPr>
    </w:p>
    <w:p w14:paraId="5926B367" w14:textId="77777777" w:rsidR="00824803" w:rsidRDefault="00824803" w:rsidP="00375689">
      <w:pPr>
        <w:spacing w:after="0" w:line="360" w:lineRule="auto"/>
        <w:jc w:val="both"/>
        <w:rPr>
          <w:rFonts w:ascii="Arial" w:hAnsi="Arial" w:cs="Arial"/>
          <w:b/>
        </w:rPr>
      </w:pPr>
    </w:p>
    <w:p w14:paraId="3CBD5C79" w14:textId="77777777" w:rsidR="00824803" w:rsidRPr="00234B85" w:rsidRDefault="00824803" w:rsidP="00375689">
      <w:pPr>
        <w:spacing w:after="0" w:line="360" w:lineRule="auto"/>
        <w:jc w:val="both"/>
        <w:rPr>
          <w:rFonts w:ascii="Arial" w:hAnsi="Arial" w:cs="Arial"/>
          <w:b/>
          <w:i/>
          <w:iCs/>
        </w:rPr>
      </w:pPr>
    </w:p>
    <w:p w14:paraId="47915091" w14:textId="460D8F4F" w:rsidR="00824803" w:rsidRPr="00234B85" w:rsidRDefault="00254BDF" w:rsidP="00254BDF">
      <w:pPr>
        <w:spacing w:after="0" w:line="360" w:lineRule="auto"/>
        <w:jc w:val="center"/>
        <w:rPr>
          <w:rFonts w:ascii="Arial" w:hAnsi="Arial" w:cs="Arial"/>
          <w:b/>
          <w:i/>
          <w:iCs/>
          <w:sz w:val="28"/>
          <w:szCs w:val="28"/>
          <w:u w:val="single"/>
        </w:rPr>
      </w:pPr>
      <w:r w:rsidRPr="00234B85">
        <w:rPr>
          <w:rFonts w:ascii="Arial" w:hAnsi="Arial" w:cs="Arial"/>
          <w:b/>
          <w:i/>
          <w:iCs/>
          <w:sz w:val="36"/>
          <w:szCs w:val="36"/>
          <w:u w:val="single"/>
        </w:rPr>
        <w:t>INTERNATIONAL FINANCIAL MANAGEMENT</w:t>
      </w:r>
    </w:p>
    <w:p w14:paraId="2CCCB6E0" w14:textId="77777777" w:rsidR="00824803" w:rsidRPr="00234B85" w:rsidRDefault="00824803" w:rsidP="00375689">
      <w:pPr>
        <w:spacing w:after="0" w:line="360" w:lineRule="auto"/>
        <w:jc w:val="both"/>
        <w:rPr>
          <w:rFonts w:ascii="Arial" w:hAnsi="Arial" w:cs="Arial"/>
          <w:b/>
        </w:rPr>
      </w:pPr>
    </w:p>
    <w:p w14:paraId="73D683B9" w14:textId="4C1E0D46" w:rsidR="005C23BA" w:rsidRPr="00234B85" w:rsidRDefault="009D6479" w:rsidP="00234B85">
      <w:pPr>
        <w:spacing w:after="0" w:line="360" w:lineRule="auto"/>
        <w:jc w:val="center"/>
        <w:rPr>
          <w:rFonts w:ascii="Arial" w:hAnsi="Arial" w:cs="Arial"/>
          <w:b/>
        </w:rPr>
      </w:pPr>
      <w:r w:rsidRPr="00234B85">
        <w:rPr>
          <w:rFonts w:ascii="Arial" w:hAnsi="Arial" w:cs="Arial"/>
          <w:b/>
        </w:rPr>
        <w:t xml:space="preserve">Assessment </w:t>
      </w:r>
      <w:r w:rsidR="00234B85" w:rsidRPr="00234B85">
        <w:rPr>
          <w:rFonts w:ascii="Arial" w:hAnsi="Arial" w:cs="Arial"/>
          <w:b/>
        </w:rPr>
        <w:t>1</w:t>
      </w:r>
    </w:p>
    <w:p w14:paraId="078853DC" w14:textId="77777777" w:rsidR="005C23BA" w:rsidRPr="00234B85" w:rsidRDefault="005C23BA" w:rsidP="00375689">
      <w:pPr>
        <w:spacing w:after="0" w:line="360" w:lineRule="auto"/>
        <w:jc w:val="both"/>
        <w:rPr>
          <w:rFonts w:ascii="Arial" w:hAnsi="Arial" w:cs="Arial"/>
          <w:b/>
        </w:rPr>
      </w:pPr>
    </w:p>
    <w:p w14:paraId="1405D7F2" w14:textId="77777777" w:rsidR="005C23BA" w:rsidRPr="00234B85" w:rsidRDefault="005C23BA" w:rsidP="00375689">
      <w:pPr>
        <w:spacing w:after="0" w:line="360" w:lineRule="auto"/>
        <w:jc w:val="both"/>
        <w:rPr>
          <w:rFonts w:ascii="Arial" w:hAnsi="Arial" w:cs="Arial"/>
          <w:b/>
        </w:rPr>
      </w:pPr>
    </w:p>
    <w:p w14:paraId="3F3A1B28" w14:textId="77777777" w:rsidR="005C23BA" w:rsidRPr="00234B85" w:rsidRDefault="005C23BA" w:rsidP="00375689">
      <w:pPr>
        <w:spacing w:after="0" w:line="360" w:lineRule="auto"/>
        <w:jc w:val="both"/>
        <w:rPr>
          <w:rFonts w:ascii="Arial" w:hAnsi="Arial" w:cs="Arial"/>
          <w:b/>
          <w:sz w:val="24"/>
          <w:szCs w:val="24"/>
        </w:rPr>
      </w:pPr>
    </w:p>
    <w:p w14:paraId="3330A8DF" w14:textId="77777777" w:rsidR="005C23BA" w:rsidRPr="00234B85" w:rsidRDefault="005C23BA" w:rsidP="00375689">
      <w:pPr>
        <w:spacing w:after="0" w:line="360" w:lineRule="auto"/>
        <w:jc w:val="both"/>
        <w:rPr>
          <w:rFonts w:ascii="Arial" w:hAnsi="Arial" w:cs="Arial"/>
          <w:b/>
        </w:rPr>
      </w:pPr>
    </w:p>
    <w:p w14:paraId="4AFA5F47" w14:textId="77777777" w:rsidR="00824803" w:rsidRPr="00234B85" w:rsidRDefault="00824803" w:rsidP="00375689">
      <w:pPr>
        <w:spacing w:after="0" w:line="360" w:lineRule="auto"/>
        <w:jc w:val="both"/>
        <w:rPr>
          <w:rFonts w:ascii="Arial" w:hAnsi="Arial" w:cs="Arial"/>
          <w:b/>
        </w:rPr>
      </w:pPr>
    </w:p>
    <w:p w14:paraId="0225FC97" w14:textId="77777777" w:rsidR="00824803" w:rsidRPr="00234B85" w:rsidRDefault="00824803" w:rsidP="00375689">
      <w:pPr>
        <w:spacing w:after="0" w:line="360" w:lineRule="auto"/>
        <w:jc w:val="both"/>
        <w:rPr>
          <w:rFonts w:ascii="Arial" w:hAnsi="Arial" w:cs="Arial"/>
          <w:b/>
        </w:rPr>
      </w:pPr>
    </w:p>
    <w:p w14:paraId="0657DF83" w14:textId="77777777" w:rsidR="00824803" w:rsidRPr="00234B85" w:rsidRDefault="00824803" w:rsidP="00375689">
      <w:pPr>
        <w:spacing w:after="0" w:line="360" w:lineRule="auto"/>
        <w:jc w:val="both"/>
        <w:rPr>
          <w:rFonts w:ascii="Arial" w:hAnsi="Arial" w:cs="Arial"/>
          <w:b/>
        </w:rPr>
      </w:pPr>
    </w:p>
    <w:p w14:paraId="386BBEB9" w14:textId="77777777" w:rsidR="00254BDF" w:rsidRPr="00234B85" w:rsidRDefault="00254BDF" w:rsidP="00254BDF">
      <w:pPr>
        <w:pStyle w:val="Normal1"/>
        <w:spacing w:line="360" w:lineRule="auto"/>
        <w:jc w:val="center"/>
        <w:rPr>
          <w:rFonts w:eastAsia="Times New Roman"/>
          <w:b/>
          <w:sz w:val="28"/>
          <w:szCs w:val="28"/>
          <w:lang w:val="en-GB"/>
        </w:rPr>
      </w:pPr>
    </w:p>
    <w:p w14:paraId="18809FA4" w14:textId="37E3A715" w:rsidR="00254BDF" w:rsidRPr="00234B85" w:rsidRDefault="00254BDF" w:rsidP="00234B85">
      <w:pPr>
        <w:ind w:left="720"/>
        <w:rPr>
          <w:rFonts w:ascii="Arial" w:hAnsi="Arial" w:cs="Arial"/>
          <w:b/>
          <w:bCs/>
          <w:i/>
          <w:iCs/>
          <w:color w:val="000000" w:themeColor="text1"/>
        </w:rPr>
      </w:pPr>
      <w:r w:rsidRPr="00234B85">
        <w:rPr>
          <w:rFonts w:ascii="Arial" w:hAnsi="Arial" w:cs="Arial"/>
          <w:b/>
          <w:bCs/>
          <w:i/>
          <w:iCs/>
          <w:color w:val="000000" w:themeColor="text1"/>
        </w:rPr>
        <w:t xml:space="preserve">Module: </w:t>
      </w:r>
      <w:r w:rsidR="009D6479" w:rsidRPr="00234B85">
        <w:rPr>
          <w:rFonts w:ascii="Arial" w:hAnsi="Arial" w:cs="Arial"/>
          <w:b/>
          <w:bCs/>
          <w:i/>
          <w:iCs/>
          <w:color w:val="000000" w:themeColor="text1"/>
        </w:rPr>
        <w:t>International financial management</w:t>
      </w:r>
    </w:p>
    <w:p w14:paraId="197927A7" w14:textId="5DA365D3" w:rsidR="00254BDF" w:rsidRPr="00234B85" w:rsidRDefault="00254BDF" w:rsidP="00234B85">
      <w:pPr>
        <w:ind w:left="720"/>
        <w:rPr>
          <w:rFonts w:ascii="Arial" w:hAnsi="Arial" w:cs="Arial"/>
          <w:b/>
          <w:bCs/>
          <w:i/>
          <w:iCs/>
          <w:color w:val="000000" w:themeColor="text1"/>
        </w:rPr>
      </w:pPr>
      <w:r w:rsidRPr="00234B85">
        <w:rPr>
          <w:rFonts w:ascii="Arial" w:hAnsi="Arial" w:cs="Arial"/>
          <w:b/>
          <w:bCs/>
          <w:i/>
          <w:iCs/>
          <w:color w:val="000000" w:themeColor="text1"/>
        </w:rPr>
        <w:t>Code: LCBB</w:t>
      </w:r>
      <w:r w:rsidR="009D6479" w:rsidRPr="00234B85">
        <w:rPr>
          <w:rFonts w:ascii="Arial" w:hAnsi="Arial" w:cs="Arial"/>
          <w:b/>
          <w:bCs/>
          <w:i/>
          <w:iCs/>
          <w:color w:val="000000" w:themeColor="text1"/>
        </w:rPr>
        <w:t>6002</w:t>
      </w:r>
    </w:p>
    <w:p w14:paraId="4A709C12" w14:textId="6A9A7CC2" w:rsidR="00254BDF" w:rsidRPr="00234B85" w:rsidRDefault="00254BDF" w:rsidP="00234B85">
      <w:pPr>
        <w:ind w:left="720"/>
        <w:rPr>
          <w:rFonts w:ascii="Arial" w:hAnsi="Arial" w:cs="Arial"/>
          <w:b/>
          <w:bCs/>
          <w:i/>
          <w:iCs/>
          <w:color w:val="000000" w:themeColor="text1"/>
        </w:rPr>
      </w:pPr>
      <w:r w:rsidRPr="00234B85">
        <w:rPr>
          <w:rFonts w:ascii="Arial" w:hAnsi="Arial" w:cs="Arial"/>
          <w:b/>
          <w:bCs/>
          <w:i/>
          <w:iCs/>
          <w:color w:val="000000" w:themeColor="text1"/>
        </w:rPr>
        <w:t xml:space="preserve">Lecturer: </w:t>
      </w:r>
      <w:r w:rsidR="006E32C6">
        <w:rPr>
          <w:rFonts w:ascii="Arial" w:hAnsi="Arial" w:cs="Arial"/>
          <w:b/>
          <w:bCs/>
          <w:i/>
          <w:iCs/>
          <w:color w:val="000000" w:themeColor="text1"/>
        </w:rPr>
        <w:t xml:space="preserve">Dr </w:t>
      </w:r>
      <w:r w:rsidRPr="00234B85">
        <w:rPr>
          <w:rFonts w:ascii="Arial" w:hAnsi="Arial" w:cs="Arial"/>
          <w:b/>
          <w:bCs/>
          <w:i/>
          <w:iCs/>
          <w:color w:val="000000" w:themeColor="text1"/>
        </w:rPr>
        <w:t xml:space="preserve"> Andry Rakotovololona</w:t>
      </w:r>
    </w:p>
    <w:p w14:paraId="1F612AAE" w14:textId="1D330C6E" w:rsidR="00254BDF" w:rsidRPr="00234B85" w:rsidRDefault="00254BDF" w:rsidP="00234B85">
      <w:pPr>
        <w:ind w:left="720"/>
        <w:rPr>
          <w:rFonts w:ascii="Arial" w:hAnsi="Arial" w:cs="Arial"/>
          <w:b/>
          <w:bCs/>
          <w:i/>
          <w:iCs/>
          <w:color w:val="000000" w:themeColor="text1"/>
        </w:rPr>
      </w:pPr>
      <w:r w:rsidRPr="00234B85">
        <w:rPr>
          <w:rFonts w:ascii="Arial" w:hAnsi="Arial" w:cs="Arial"/>
          <w:b/>
          <w:bCs/>
          <w:i/>
          <w:iCs/>
          <w:color w:val="000000" w:themeColor="text1"/>
        </w:rPr>
        <w:t>Name: Simona Vitelaru</w:t>
      </w:r>
    </w:p>
    <w:p w14:paraId="6DAF1DF7" w14:textId="77777777" w:rsidR="00254BDF" w:rsidRPr="00234B85" w:rsidRDefault="00254BDF" w:rsidP="00234B85">
      <w:pPr>
        <w:spacing w:line="360" w:lineRule="auto"/>
        <w:ind w:left="720"/>
        <w:rPr>
          <w:rFonts w:ascii="Arial" w:hAnsi="Arial" w:cs="Arial"/>
          <w:b/>
          <w:bCs/>
          <w:i/>
          <w:iCs/>
          <w:color w:val="000000" w:themeColor="text1"/>
        </w:rPr>
      </w:pPr>
      <w:r w:rsidRPr="00234B85">
        <w:rPr>
          <w:rFonts w:ascii="Arial" w:hAnsi="Arial" w:cs="Arial"/>
          <w:b/>
          <w:bCs/>
          <w:i/>
          <w:iCs/>
          <w:color w:val="000000" w:themeColor="text1"/>
        </w:rPr>
        <w:t>Student ID: 2133624</w:t>
      </w:r>
    </w:p>
    <w:p w14:paraId="74264FF9" w14:textId="77777777" w:rsidR="00824803" w:rsidRPr="00375689" w:rsidRDefault="00824803" w:rsidP="00375689">
      <w:pPr>
        <w:spacing w:after="0" w:line="360" w:lineRule="auto"/>
        <w:jc w:val="both"/>
        <w:rPr>
          <w:rFonts w:ascii="Arial" w:hAnsi="Arial" w:cs="Arial"/>
          <w:b/>
        </w:rPr>
      </w:pPr>
    </w:p>
    <w:p w14:paraId="7CD6FACF" w14:textId="77777777" w:rsidR="005C23BA" w:rsidRDefault="005C23BA" w:rsidP="00375689">
      <w:pPr>
        <w:spacing w:after="0" w:line="360" w:lineRule="auto"/>
        <w:jc w:val="both"/>
        <w:rPr>
          <w:rFonts w:ascii="Arial" w:hAnsi="Arial" w:cs="Arial"/>
          <w:b/>
        </w:rPr>
      </w:pPr>
    </w:p>
    <w:p w14:paraId="5E60DD65" w14:textId="77777777" w:rsidR="00824803" w:rsidRDefault="00824803" w:rsidP="00375689">
      <w:pPr>
        <w:spacing w:after="0" w:line="360" w:lineRule="auto"/>
        <w:jc w:val="both"/>
        <w:rPr>
          <w:rFonts w:ascii="Arial" w:hAnsi="Arial" w:cs="Arial"/>
          <w:b/>
        </w:rPr>
      </w:pPr>
    </w:p>
    <w:p w14:paraId="451A51D2" w14:textId="77777777" w:rsidR="00824803" w:rsidRDefault="00824803" w:rsidP="00375689">
      <w:pPr>
        <w:spacing w:after="0" w:line="360" w:lineRule="auto"/>
        <w:jc w:val="both"/>
        <w:rPr>
          <w:rFonts w:ascii="Arial" w:hAnsi="Arial" w:cs="Arial"/>
          <w:b/>
        </w:rPr>
      </w:pPr>
    </w:p>
    <w:p w14:paraId="1DC1AEDF" w14:textId="77777777" w:rsidR="00824803" w:rsidRDefault="00824803" w:rsidP="00375689">
      <w:pPr>
        <w:spacing w:after="0" w:line="360" w:lineRule="auto"/>
        <w:jc w:val="both"/>
        <w:rPr>
          <w:rFonts w:ascii="Arial" w:hAnsi="Arial" w:cs="Arial"/>
          <w:b/>
        </w:rPr>
      </w:pPr>
    </w:p>
    <w:p w14:paraId="3B750A5B" w14:textId="77777777" w:rsidR="00824803" w:rsidRDefault="00824803" w:rsidP="00375689">
      <w:pPr>
        <w:spacing w:after="0" w:line="360" w:lineRule="auto"/>
        <w:jc w:val="both"/>
        <w:rPr>
          <w:rFonts w:ascii="Arial" w:hAnsi="Arial" w:cs="Arial"/>
          <w:b/>
        </w:rPr>
      </w:pPr>
    </w:p>
    <w:sdt>
      <w:sdtPr>
        <w:rPr>
          <w:rFonts w:asciiTheme="minorHAnsi" w:eastAsiaTheme="minorEastAsia" w:hAnsiTheme="minorHAnsi" w:cstheme="minorBidi"/>
          <w:b w:val="0"/>
          <w:bCs w:val="0"/>
          <w:color w:val="auto"/>
          <w:sz w:val="22"/>
          <w:szCs w:val="22"/>
          <w:lang w:val="en-GB" w:eastAsia="en-GB"/>
        </w:rPr>
        <w:id w:val="664980001"/>
        <w:docPartObj>
          <w:docPartGallery w:val="Table of Contents"/>
          <w:docPartUnique/>
        </w:docPartObj>
      </w:sdtPr>
      <w:sdtEndPr>
        <w:rPr>
          <w:noProof/>
        </w:rPr>
      </w:sdtEndPr>
      <w:sdtContent>
        <w:p w14:paraId="6E2D84E4" w14:textId="02370542" w:rsidR="009D6479" w:rsidRPr="009D6479" w:rsidRDefault="009D6479" w:rsidP="009D6479">
          <w:pPr>
            <w:pStyle w:val="TOCHeading"/>
            <w:jc w:val="center"/>
            <w:rPr>
              <w:color w:val="000000" w:themeColor="text1"/>
            </w:rPr>
          </w:pPr>
          <w:r w:rsidRPr="009D6479">
            <w:rPr>
              <w:color w:val="000000" w:themeColor="text1"/>
            </w:rPr>
            <w:t>Table of Contents</w:t>
          </w:r>
        </w:p>
        <w:p w14:paraId="7240AD95" w14:textId="6258D4E0" w:rsidR="009D6479" w:rsidRPr="009D6479" w:rsidRDefault="009D6479">
          <w:pPr>
            <w:pStyle w:val="TOC1"/>
            <w:tabs>
              <w:tab w:val="right" w:leader="dot" w:pos="10456"/>
            </w:tabs>
            <w:rPr>
              <w:rFonts w:cstheme="minorBidi"/>
              <w:b w:val="0"/>
              <w:bCs w:val="0"/>
              <w:caps w:val="0"/>
              <w:noProof/>
              <w:kern w:val="2"/>
              <w:sz w:val="24"/>
              <w:szCs w:val="24"/>
            </w:rPr>
          </w:pPr>
          <w:r>
            <w:rPr>
              <w:b w:val="0"/>
              <w:bCs w:val="0"/>
            </w:rPr>
            <w:fldChar w:fldCharType="begin"/>
          </w:r>
          <w:r>
            <w:instrText xml:space="preserve"> TOC \o "1-3" \h \z \u </w:instrText>
          </w:r>
          <w:r>
            <w:rPr>
              <w:b w:val="0"/>
              <w:bCs w:val="0"/>
            </w:rPr>
            <w:fldChar w:fldCharType="separate"/>
          </w:r>
          <w:hyperlink w:anchor="_Toc175126655" w:history="1">
            <w:r w:rsidRPr="00F471F2">
              <w:rPr>
                <w:rStyle w:val="Hyperlink"/>
                <w:rFonts w:cs="Arial"/>
                <w:i/>
                <w:iCs/>
                <w:noProof/>
              </w:rPr>
              <w:t>1.Introduction</w:t>
            </w:r>
            <w:r>
              <w:rPr>
                <w:noProof/>
                <w:webHidden/>
              </w:rPr>
              <w:tab/>
            </w:r>
            <w:r>
              <w:rPr>
                <w:noProof/>
                <w:webHidden/>
              </w:rPr>
              <w:fldChar w:fldCharType="begin"/>
            </w:r>
            <w:r>
              <w:rPr>
                <w:noProof/>
                <w:webHidden/>
              </w:rPr>
              <w:instrText xml:space="preserve"> PAGEREF _Toc175126655 \h </w:instrText>
            </w:r>
            <w:r>
              <w:rPr>
                <w:noProof/>
                <w:webHidden/>
              </w:rPr>
            </w:r>
            <w:r>
              <w:rPr>
                <w:noProof/>
                <w:webHidden/>
              </w:rPr>
              <w:fldChar w:fldCharType="separate"/>
            </w:r>
            <w:r>
              <w:rPr>
                <w:noProof/>
                <w:webHidden/>
              </w:rPr>
              <w:t>3</w:t>
            </w:r>
            <w:r>
              <w:rPr>
                <w:noProof/>
                <w:webHidden/>
              </w:rPr>
              <w:fldChar w:fldCharType="end"/>
            </w:r>
          </w:hyperlink>
        </w:p>
        <w:p w14:paraId="36501BCD" w14:textId="7279687E" w:rsidR="009D6479" w:rsidRPr="009D6479" w:rsidRDefault="00000000">
          <w:pPr>
            <w:pStyle w:val="TOC2"/>
            <w:tabs>
              <w:tab w:val="left" w:pos="880"/>
              <w:tab w:val="right" w:leader="dot" w:pos="10456"/>
            </w:tabs>
            <w:rPr>
              <w:rFonts w:cstheme="minorBidi"/>
              <w:smallCaps w:val="0"/>
              <w:noProof/>
              <w:kern w:val="2"/>
              <w:sz w:val="24"/>
              <w:szCs w:val="24"/>
            </w:rPr>
          </w:pPr>
          <w:hyperlink w:anchor="_Toc175126656" w:history="1">
            <w:r w:rsidR="009D6479" w:rsidRPr="00F471F2">
              <w:rPr>
                <w:rStyle w:val="Hyperlink"/>
                <w:rFonts w:cs="Arial"/>
                <w:noProof/>
              </w:rPr>
              <w:t>1.1</w:t>
            </w:r>
            <w:r w:rsidR="009D6479" w:rsidRPr="009D6479">
              <w:rPr>
                <w:rFonts w:cstheme="minorBidi"/>
                <w:smallCaps w:val="0"/>
                <w:noProof/>
                <w:kern w:val="2"/>
                <w:sz w:val="24"/>
                <w:szCs w:val="24"/>
              </w:rPr>
              <w:tab/>
            </w:r>
            <w:r w:rsidR="009D6479" w:rsidRPr="00F471F2">
              <w:rPr>
                <w:rStyle w:val="Hyperlink"/>
                <w:rFonts w:cs="Arial"/>
                <w:noProof/>
              </w:rPr>
              <w:t>Overview of Foreign Exchange Risk</w:t>
            </w:r>
            <w:r w:rsidR="009D6479">
              <w:rPr>
                <w:noProof/>
                <w:webHidden/>
              </w:rPr>
              <w:tab/>
            </w:r>
            <w:r w:rsidR="009D6479">
              <w:rPr>
                <w:noProof/>
                <w:webHidden/>
              </w:rPr>
              <w:fldChar w:fldCharType="begin"/>
            </w:r>
            <w:r w:rsidR="009D6479">
              <w:rPr>
                <w:noProof/>
                <w:webHidden/>
              </w:rPr>
              <w:instrText xml:space="preserve"> PAGEREF _Toc175126656 \h </w:instrText>
            </w:r>
            <w:r w:rsidR="009D6479">
              <w:rPr>
                <w:noProof/>
                <w:webHidden/>
              </w:rPr>
            </w:r>
            <w:r w:rsidR="009D6479">
              <w:rPr>
                <w:noProof/>
                <w:webHidden/>
              </w:rPr>
              <w:fldChar w:fldCharType="separate"/>
            </w:r>
            <w:r w:rsidR="009D6479">
              <w:rPr>
                <w:noProof/>
                <w:webHidden/>
              </w:rPr>
              <w:t>3</w:t>
            </w:r>
            <w:r w:rsidR="009D6479">
              <w:rPr>
                <w:noProof/>
                <w:webHidden/>
              </w:rPr>
              <w:fldChar w:fldCharType="end"/>
            </w:r>
          </w:hyperlink>
        </w:p>
        <w:p w14:paraId="3A4745E3" w14:textId="6526DF18" w:rsidR="009D6479" w:rsidRPr="009D6479" w:rsidRDefault="00000000">
          <w:pPr>
            <w:pStyle w:val="TOC2"/>
            <w:tabs>
              <w:tab w:val="left" w:pos="880"/>
              <w:tab w:val="right" w:leader="dot" w:pos="10456"/>
            </w:tabs>
            <w:rPr>
              <w:rFonts w:cstheme="minorBidi"/>
              <w:smallCaps w:val="0"/>
              <w:noProof/>
              <w:kern w:val="2"/>
              <w:sz w:val="24"/>
              <w:szCs w:val="24"/>
            </w:rPr>
          </w:pPr>
          <w:hyperlink w:anchor="_Toc175126657" w:history="1">
            <w:r w:rsidR="009D6479" w:rsidRPr="00F471F2">
              <w:rPr>
                <w:rStyle w:val="Hyperlink"/>
                <w:rFonts w:cs="Arial"/>
                <w:noProof/>
              </w:rPr>
              <w:t>1.2</w:t>
            </w:r>
            <w:r w:rsidR="009D6479" w:rsidRPr="009D6479">
              <w:rPr>
                <w:rFonts w:cstheme="minorBidi"/>
                <w:smallCaps w:val="0"/>
                <w:noProof/>
                <w:kern w:val="2"/>
                <w:sz w:val="24"/>
                <w:szCs w:val="24"/>
              </w:rPr>
              <w:tab/>
            </w:r>
            <w:r w:rsidR="009D6479" w:rsidRPr="00F471F2">
              <w:rPr>
                <w:rStyle w:val="Hyperlink"/>
                <w:rFonts w:cs="Arial"/>
                <w:noProof/>
              </w:rPr>
              <w:t>Importance for Multinational Corporations</w:t>
            </w:r>
            <w:r w:rsidR="009D6479">
              <w:rPr>
                <w:noProof/>
                <w:webHidden/>
              </w:rPr>
              <w:tab/>
            </w:r>
            <w:r w:rsidR="009D6479">
              <w:rPr>
                <w:noProof/>
                <w:webHidden/>
              </w:rPr>
              <w:fldChar w:fldCharType="begin"/>
            </w:r>
            <w:r w:rsidR="009D6479">
              <w:rPr>
                <w:noProof/>
                <w:webHidden/>
              </w:rPr>
              <w:instrText xml:space="preserve"> PAGEREF _Toc175126657 \h </w:instrText>
            </w:r>
            <w:r w:rsidR="009D6479">
              <w:rPr>
                <w:noProof/>
                <w:webHidden/>
              </w:rPr>
            </w:r>
            <w:r w:rsidR="009D6479">
              <w:rPr>
                <w:noProof/>
                <w:webHidden/>
              </w:rPr>
              <w:fldChar w:fldCharType="separate"/>
            </w:r>
            <w:r w:rsidR="009D6479">
              <w:rPr>
                <w:noProof/>
                <w:webHidden/>
              </w:rPr>
              <w:t>3</w:t>
            </w:r>
            <w:r w:rsidR="009D6479">
              <w:rPr>
                <w:noProof/>
                <w:webHidden/>
              </w:rPr>
              <w:fldChar w:fldCharType="end"/>
            </w:r>
          </w:hyperlink>
        </w:p>
        <w:p w14:paraId="5B50FB11" w14:textId="6B8C6F70" w:rsidR="009D6479" w:rsidRPr="009D6479" w:rsidRDefault="00000000">
          <w:pPr>
            <w:pStyle w:val="TOC1"/>
            <w:tabs>
              <w:tab w:val="right" w:leader="dot" w:pos="10456"/>
            </w:tabs>
            <w:rPr>
              <w:rFonts w:cstheme="minorBidi"/>
              <w:b w:val="0"/>
              <w:bCs w:val="0"/>
              <w:caps w:val="0"/>
              <w:noProof/>
              <w:kern w:val="2"/>
              <w:sz w:val="24"/>
              <w:szCs w:val="24"/>
            </w:rPr>
          </w:pPr>
          <w:hyperlink w:anchor="_Toc175126658" w:history="1">
            <w:r w:rsidR="009D6479" w:rsidRPr="00F471F2">
              <w:rPr>
                <w:rStyle w:val="Hyperlink"/>
                <w:i/>
                <w:iCs/>
                <w:noProof/>
              </w:rPr>
              <w:t>2. Literature Review</w:t>
            </w:r>
            <w:r w:rsidR="009D6479">
              <w:rPr>
                <w:noProof/>
                <w:webHidden/>
              </w:rPr>
              <w:tab/>
            </w:r>
            <w:r w:rsidR="009D6479">
              <w:rPr>
                <w:noProof/>
                <w:webHidden/>
              </w:rPr>
              <w:fldChar w:fldCharType="begin"/>
            </w:r>
            <w:r w:rsidR="009D6479">
              <w:rPr>
                <w:noProof/>
                <w:webHidden/>
              </w:rPr>
              <w:instrText xml:space="preserve"> PAGEREF _Toc175126658 \h </w:instrText>
            </w:r>
            <w:r w:rsidR="009D6479">
              <w:rPr>
                <w:noProof/>
                <w:webHidden/>
              </w:rPr>
            </w:r>
            <w:r w:rsidR="009D6479">
              <w:rPr>
                <w:noProof/>
                <w:webHidden/>
              </w:rPr>
              <w:fldChar w:fldCharType="separate"/>
            </w:r>
            <w:r w:rsidR="009D6479">
              <w:rPr>
                <w:noProof/>
                <w:webHidden/>
              </w:rPr>
              <w:t>4</w:t>
            </w:r>
            <w:r w:rsidR="009D6479">
              <w:rPr>
                <w:noProof/>
                <w:webHidden/>
              </w:rPr>
              <w:fldChar w:fldCharType="end"/>
            </w:r>
          </w:hyperlink>
        </w:p>
        <w:p w14:paraId="4CBCA0B4" w14:textId="4D9B253C" w:rsidR="009D6479" w:rsidRPr="009D6479" w:rsidRDefault="00000000">
          <w:pPr>
            <w:pStyle w:val="TOC2"/>
            <w:tabs>
              <w:tab w:val="left" w:pos="880"/>
              <w:tab w:val="right" w:leader="dot" w:pos="10456"/>
            </w:tabs>
            <w:rPr>
              <w:rFonts w:cstheme="minorBidi"/>
              <w:smallCaps w:val="0"/>
              <w:noProof/>
              <w:kern w:val="2"/>
              <w:sz w:val="24"/>
              <w:szCs w:val="24"/>
            </w:rPr>
          </w:pPr>
          <w:hyperlink w:anchor="_Toc175126659" w:history="1">
            <w:r w:rsidR="009D6479" w:rsidRPr="00F471F2">
              <w:rPr>
                <w:rStyle w:val="Hyperlink"/>
                <w:noProof/>
              </w:rPr>
              <w:t>2.1</w:t>
            </w:r>
            <w:r w:rsidR="009D6479" w:rsidRPr="009D6479">
              <w:rPr>
                <w:rFonts w:cstheme="minorBidi"/>
                <w:smallCaps w:val="0"/>
                <w:noProof/>
                <w:kern w:val="2"/>
                <w:sz w:val="24"/>
                <w:szCs w:val="24"/>
              </w:rPr>
              <w:tab/>
            </w:r>
            <w:r w:rsidR="009D6479" w:rsidRPr="00F471F2">
              <w:rPr>
                <w:rStyle w:val="Hyperlink"/>
                <w:noProof/>
              </w:rPr>
              <w:t>Theoretical Frameworks in International Financial Management</w:t>
            </w:r>
            <w:r w:rsidR="009D6479">
              <w:rPr>
                <w:noProof/>
                <w:webHidden/>
              </w:rPr>
              <w:tab/>
            </w:r>
            <w:r w:rsidR="009D6479">
              <w:rPr>
                <w:noProof/>
                <w:webHidden/>
              </w:rPr>
              <w:fldChar w:fldCharType="begin"/>
            </w:r>
            <w:r w:rsidR="009D6479">
              <w:rPr>
                <w:noProof/>
                <w:webHidden/>
              </w:rPr>
              <w:instrText xml:space="preserve"> PAGEREF _Toc175126659 \h </w:instrText>
            </w:r>
            <w:r w:rsidR="009D6479">
              <w:rPr>
                <w:noProof/>
                <w:webHidden/>
              </w:rPr>
            </w:r>
            <w:r w:rsidR="009D6479">
              <w:rPr>
                <w:noProof/>
                <w:webHidden/>
              </w:rPr>
              <w:fldChar w:fldCharType="separate"/>
            </w:r>
            <w:r w:rsidR="009D6479">
              <w:rPr>
                <w:noProof/>
                <w:webHidden/>
              </w:rPr>
              <w:t>4</w:t>
            </w:r>
            <w:r w:rsidR="009D6479">
              <w:rPr>
                <w:noProof/>
                <w:webHidden/>
              </w:rPr>
              <w:fldChar w:fldCharType="end"/>
            </w:r>
          </w:hyperlink>
        </w:p>
        <w:p w14:paraId="7B6DF7F2" w14:textId="30EEC69B" w:rsidR="009D6479" w:rsidRPr="009D6479" w:rsidRDefault="00000000">
          <w:pPr>
            <w:pStyle w:val="TOC2"/>
            <w:tabs>
              <w:tab w:val="left" w:pos="880"/>
              <w:tab w:val="right" w:leader="dot" w:pos="10456"/>
            </w:tabs>
            <w:rPr>
              <w:rFonts w:cstheme="minorBidi"/>
              <w:smallCaps w:val="0"/>
              <w:noProof/>
              <w:kern w:val="2"/>
              <w:sz w:val="24"/>
              <w:szCs w:val="24"/>
            </w:rPr>
          </w:pPr>
          <w:hyperlink w:anchor="_Toc175126660" w:history="1">
            <w:r w:rsidR="009D6479" w:rsidRPr="00F471F2">
              <w:rPr>
                <w:rStyle w:val="Hyperlink"/>
                <w:noProof/>
              </w:rPr>
              <w:t>2.2</w:t>
            </w:r>
            <w:r w:rsidR="009D6479" w:rsidRPr="009D6479">
              <w:rPr>
                <w:rFonts w:cstheme="minorBidi"/>
                <w:smallCaps w:val="0"/>
                <w:noProof/>
                <w:kern w:val="2"/>
                <w:sz w:val="24"/>
                <w:szCs w:val="24"/>
              </w:rPr>
              <w:tab/>
            </w:r>
            <w:r w:rsidR="009D6479" w:rsidRPr="00F471F2">
              <w:rPr>
                <w:rStyle w:val="Hyperlink"/>
                <w:noProof/>
              </w:rPr>
              <w:t>Types of Foreign Exchange Risks</w:t>
            </w:r>
            <w:r w:rsidR="009D6479">
              <w:rPr>
                <w:noProof/>
                <w:webHidden/>
              </w:rPr>
              <w:tab/>
            </w:r>
            <w:r w:rsidR="009D6479">
              <w:rPr>
                <w:noProof/>
                <w:webHidden/>
              </w:rPr>
              <w:fldChar w:fldCharType="begin"/>
            </w:r>
            <w:r w:rsidR="009D6479">
              <w:rPr>
                <w:noProof/>
                <w:webHidden/>
              </w:rPr>
              <w:instrText xml:space="preserve"> PAGEREF _Toc175126660 \h </w:instrText>
            </w:r>
            <w:r w:rsidR="009D6479">
              <w:rPr>
                <w:noProof/>
                <w:webHidden/>
              </w:rPr>
            </w:r>
            <w:r w:rsidR="009D6479">
              <w:rPr>
                <w:noProof/>
                <w:webHidden/>
              </w:rPr>
              <w:fldChar w:fldCharType="separate"/>
            </w:r>
            <w:r w:rsidR="009D6479">
              <w:rPr>
                <w:noProof/>
                <w:webHidden/>
              </w:rPr>
              <w:t>6</w:t>
            </w:r>
            <w:r w:rsidR="009D6479">
              <w:rPr>
                <w:noProof/>
                <w:webHidden/>
              </w:rPr>
              <w:fldChar w:fldCharType="end"/>
            </w:r>
          </w:hyperlink>
        </w:p>
        <w:p w14:paraId="44CE07F5" w14:textId="5D1D736A" w:rsidR="009D6479" w:rsidRPr="009D6479" w:rsidRDefault="00000000">
          <w:pPr>
            <w:pStyle w:val="TOC1"/>
            <w:tabs>
              <w:tab w:val="right" w:leader="dot" w:pos="10456"/>
            </w:tabs>
            <w:rPr>
              <w:rFonts w:cstheme="minorBidi"/>
              <w:b w:val="0"/>
              <w:bCs w:val="0"/>
              <w:caps w:val="0"/>
              <w:noProof/>
              <w:kern w:val="2"/>
              <w:sz w:val="24"/>
              <w:szCs w:val="24"/>
            </w:rPr>
          </w:pPr>
          <w:hyperlink w:anchor="_Toc175126661" w:history="1">
            <w:r w:rsidR="009D6479" w:rsidRPr="00F471F2">
              <w:rPr>
                <w:rStyle w:val="Hyperlink"/>
                <w:i/>
                <w:iCs/>
                <w:noProof/>
              </w:rPr>
              <w:t>3. Strategies for Managing Foreign Exchange Risks</w:t>
            </w:r>
            <w:r w:rsidR="009D6479">
              <w:rPr>
                <w:noProof/>
                <w:webHidden/>
              </w:rPr>
              <w:tab/>
            </w:r>
            <w:r w:rsidR="009D6479">
              <w:rPr>
                <w:noProof/>
                <w:webHidden/>
              </w:rPr>
              <w:fldChar w:fldCharType="begin"/>
            </w:r>
            <w:r w:rsidR="009D6479">
              <w:rPr>
                <w:noProof/>
                <w:webHidden/>
              </w:rPr>
              <w:instrText xml:space="preserve"> PAGEREF _Toc175126661 \h </w:instrText>
            </w:r>
            <w:r w:rsidR="009D6479">
              <w:rPr>
                <w:noProof/>
                <w:webHidden/>
              </w:rPr>
            </w:r>
            <w:r w:rsidR="009D6479">
              <w:rPr>
                <w:noProof/>
                <w:webHidden/>
              </w:rPr>
              <w:fldChar w:fldCharType="separate"/>
            </w:r>
            <w:r w:rsidR="009D6479">
              <w:rPr>
                <w:noProof/>
                <w:webHidden/>
              </w:rPr>
              <w:t>6</w:t>
            </w:r>
            <w:r w:rsidR="009D6479">
              <w:rPr>
                <w:noProof/>
                <w:webHidden/>
              </w:rPr>
              <w:fldChar w:fldCharType="end"/>
            </w:r>
          </w:hyperlink>
        </w:p>
        <w:p w14:paraId="2F142463" w14:textId="0488113C" w:rsidR="009D6479" w:rsidRPr="009D6479" w:rsidRDefault="00000000">
          <w:pPr>
            <w:pStyle w:val="TOC2"/>
            <w:tabs>
              <w:tab w:val="left" w:pos="880"/>
              <w:tab w:val="right" w:leader="dot" w:pos="10456"/>
            </w:tabs>
            <w:rPr>
              <w:rFonts w:cstheme="minorBidi"/>
              <w:smallCaps w:val="0"/>
              <w:noProof/>
              <w:kern w:val="2"/>
              <w:sz w:val="24"/>
              <w:szCs w:val="24"/>
            </w:rPr>
          </w:pPr>
          <w:hyperlink w:anchor="_Toc175126662" w:history="1">
            <w:r w:rsidR="009D6479" w:rsidRPr="00F471F2">
              <w:rPr>
                <w:rStyle w:val="Hyperlink"/>
                <w:noProof/>
              </w:rPr>
              <w:t>3.1</w:t>
            </w:r>
            <w:r w:rsidR="009D6479" w:rsidRPr="009D6479">
              <w:rPr>
                <w:rFonts w:cstheme="minorBidi"/>
                <w:smallCaps w:val="0"/>
                <w:noProof/>
                <w:kern w:val="2"/>
                <w:sz w:val="24"/>
                <w:szCs w:val="24"/>
              </w:rPr>
              <w:tab/>
            </w:r>
            <w:r w:rsidR="009D6479" w:rsidRPr="00F471F2">
              <w:rPr>
                <w:rStyle w:val="Hyperlink"/>
                <w:noProof/>
              </w:rPr>
              <w:t>Internal Hedging Strategies</w:t>
            </w:r>
            <w:r w:rsidR="009D6479">
              <w:rPr>
                <w:noProof/>
                <w:webHidden/>
              </w:rPr>
              <w:tab/>
            </w:r>
            <w:r w:rsidR="009D6479">
              <w:rPr>
                <w:noProof/>
                <w:webHidden/>
              </w:rPr>
              <w:fldChar w:fldCharType="begin"/>
            </w:r>
            <w:r w:rsidR="009D6479">
              <w:rPr>
                <w:noProof/>
                <w:webHidden/>
              </w:rPr>
              <w:instrText xml:space="preserve"> PAGEREF _Toc175126662 \h </w:instrText>
            </w:r>
            <w:r w:rsidR="009D6479">
              <w:rPr>
                <w:noProof/>
                <w:webHidden/>
              </w:rPr>
            </w:r>
            <w:r w:rsidR="009D6479">
              <w:rPr>
                <w:noProof/>
                <w:webHidden/>
              </w:rPr>
              <w:fldChar w:fldCharType="separate"/>
            </w:r>
            <w:r w:rsidR="009D6479">
              <w:rPr>
                <w:noProof/>
                <w:webHidden/>
              </w:rPr>
              <w:t>6</w:t>
            </w:r>
            <w:r w:rsidR="009D6479">
              <w:rPr>
                <w:noProof/>
                <w:webHidden/>
              </w:rPr>
              <w:fldChar w:fldCharType="end"/>
            </w:r>
          </w:hyperlink>
        </w:p>
        <w:p w14:paraId="32C4B066" w14:textId="4EF07B36" w:rsidR="009D6479" w:rsidRPr="009D6479" w:rsidRDefault="00000000">
          <w:pPr>
            <w:pStyle w:val="TOC2"/>
            <w:tabs>
              <w:tab w:val="left" w:pos="880"/>
              <w:tab w:val="right" w:leader="dot" w:pos="10456"/>
            </w:tabs>
            <w:rPr>
              <w:rFonts w:cstheme="minorBidi"/>
              <w:smallCaps w:val="0"/>
              <w:noProof/>
              <w:kern w:val="2"/>
              <w:sz w:val="24"/>
              <w:szCs w:val="24"/>
            </w:rPr>
          </w:pPr>
          <w:hyperlink w:anchor="_Toc175126663" w:history="1">
            <w:r w:rsidR="009D6479" w:rsidRPr="00F471F2">
              <w:rPr>
                <w:rStyle w:val="Hyperlink"/>
                <w:noProof/>
              </w:rPr>
              <w:t>3.2</w:t>
            </w:r>
            <w:r w:rsidR="009D6479" w:rsidRPr="009D6479">
              <w:rPr>
                <w:rFonts w:cstheme="minorBidi"/>
                <w:smallCaps w:val="0"/>
                <w:noProof/>
                <w:kern w:val="2"/>
                <w:sz w:val="24"/>
                <w:szCs w:val="24"/>
              </w:rPr>
              <w:tab/>
            </w:r>
            <w:r w:rsidR="009D6479" w:rsidRPr="00F471F2">
              <w:rPr>
                <w:rStyle w:val="Hyperlink"/>
                <w:noProof/>
              </w:rPr>
              <w:t>External Hedging Strategies</w:t>
            </w:r>
            <w:r w:rsidR="009D6479">
              <w:rPr>
                <w:noProof/>
                <w:webHidden/>
              </w:rPr>
              <w:tab/>
            </w:r>
            <w:r w:rsidR="009D6479">
              <w:rPr>
                <w:noProof/>
                <w:webHidden/>
              </w:rPr>
              <w:fldChar w:fldCharType="begin"/>
            </w:r>
            <w:r w:rsidR="009D6479">
              <w:rPr>
                <w:noProof/>
                <w:webHidden/>
              </w:rPr>
              <w:instrText xml:space="preserve"> PAGEREF _Toc175126663 \h </w:instrText>
            </w:r>
            <w:r w:rsidR="009D6479">
              <w:rPr>
                <w:noProof/>
                <w:webHidden/>
              </w:rPr>
            </w:r>
            <w:r w:rsidR="009D6479">
              <w:rPr>
                <w:noProof/>
                <w:webHidden/>
              </w:rPr>
              <w:fldChar w:fldCharType="separate"/>
            </w:r>
            <w:r w:rsidR="009D6479">
              <w:rPr>
                <w:noProof/>
                <w:webHidden/>
              </w:rPr>
              <w:t>7</w:t>
            </w:r>
            <w:r w:rsidR="009D6479">
              <w:rPr>
                <w:noProof/>
                <w:webHidden/>
              </w:rPr>
              <w:fldChar w:fldCharType="end"/>
            </w:r>
          </w:hyperlink>
        </w:p>
        <w:p w14:paraId="3EB00901" w14:textId="55E92516" w:rsidR="009D6479" w:rsidRPr="009D6479" w:rsidRDefault="00000000">
          <w:pPr>
            <w:pStyle w:val="TOC1"/>
            <w:tabs>
              <w:tab w:val="right" w:leader="dot" w:pos="10456"/>
            </w:tabs>
            <w:rPr>
              <w:rFonts w:cstheme="minorBidi"/>
              <w:b w:val="0"/>
              <w:bCs w:val="0"/>
              <w:caps w:val="0"/>
              <w:noProof/>
              <w:kern w:val="2"/>
              <w:sz w:val="24"/>
              <w:szCs w:val="24"/>
            </w:rPr>
          </w:pPr>
          <w:hyperlink w:anchor="_Toc175126664" w:history="1">
            <w:r w:rsidR="009D6479" w:rsidRPr="00F471F2">
              <w:rPr>
                <w:rStyle w:val="Hyperlink"/>
                <w:i/>
                <w:iCs/>
                <w:noProof/>
              </w:rPr>
              <w:t>4.Critical Analysis and Evaluation</w:t>
            </w:r>
            <w:r w:rsidR="009D6479">
              <w:rPr>
                <w:noProof/>
                <w:webHidden/>
              </w:rPr>
              <w:tab/>
            </w:r>
            <w:r w:rsidR="009D6479">
              <w:rPr>
                <w:noProof/>
                <w:webHidden/>
              </w:rPr>
              <w:fldChar w:fldCharType="begin"/>
            </w:r>
            <w:r w:rsidR="009D6479">
              <w:rPr>
                <w:noProof/>
                <w:webHidden/>
              </w:rPr>
              <w:instrText xml:space="preserve"> PAGEREF _Toc175126664 \h </w:instrText>
            </w:r>
            <w:r w:rsidR="009D6479">
              <w:rPr>
                <w:noProof/>
                <w:webHidden/>
              </w:rPr>
            </w:r>
            <w:r w:rsidR="009D6479">
              <w:rPr>
                <w:noProof/>
                <w:webHidden/>
              </w:rPr>
              <w:fldChar w:fldCharType="separate"/>
            </w:r>
            <w:r w:rsidR="009D6479">
              <w:rPr>
                <w:noProof/>
                <w:webHidden/>
              </w:rPr>
              <w:t>8</w:t>
            </w:r>
            <w:r w:rsidR="009D6479">
              <w:rPr>
                <w:noProof/>
                <w:webHidden/>
              </w:rPr>
              <w:fldChar w:fldCharType="end"/>
            </w:r>
          </w:hyperlink>
        </w:p>
        <w:p w14:paraId="02563DF0" w14:textId="1F8F2E50" w:rsidR="009D6479" w:rsidRPr="009D6479" w:rsidRDefault="00000000">
          <w:pPr>
            <w:pStyle w:val="TOC1"/>
            <w:tabs>
              <w:tab w:val="right" w:leader="dot" w:pos="10456"/>
            </w:tabs>
            <w:rPr>
              <w:rFonts w:cstheme="minorBidi"/>
              <w:b w:val="0"/>
              <w:bCs w:val="0"/>
              <w:caps w:val="0"/>
              <w:noProof/>
              <w:kern w:val="2"/>
              <w:sz w:val="24"/>
              <w:szCs w:val="24"/>
            </w:rPr>
          </w:pPr>
          <w:hyperlink w:anchor="_Toc175126665" w:history="1">
            <w:r w:rsidR="009D6479" w:rsidRPr="00F471F2">
              <w:rPr>
                <w:rStyle w:val="Hyperlink"/>
                <w:noProof/>
              </w:rPr>
              <w:t>Conclusion</w:t>
            </w:r>
            <w:r w:rsidR="009D6479">
              <w:rPr>
                <w:noProof/>
                <w:webHidden/>
              </w:rPr>
              <w:tab/>
            </w:r>
            <w:r w:rsidR="009D6479">
              <w:rPr>
                <w:noProof/>
                <w:webHidden/>
              </w:rPr>
              <w:fldChar w:fldCharType="begin"/>
            </w:r>
            <w:r w:rsidR="009D6479">
              <w:rPr>
                <w:noProof/>
                <w:webHidden/>
              </w:rPr>
              <w:instrText xml:space="preserve"> PAGEREF _Toc175126665 \h </w:instrText>
            </w:r>
            <w:r w:rsidR="009D6479">
              <w:rPr>
                <w:noProof/>
                <w:webHidden/>
              </w:rPr>
            </w:r>
            <w:r w:rsidR="009D6479">
              <w:rPr>
                <w:noProof/>
                <w:webHidden/>
              </w:rPr>
              <w:fldChar w:fldCharType="separate"/>
            </w:r>
            <w:r w:rsidR="009D6479">
              <w:rPr>
                <w:noProof/>
                <w:webHidden/>
              </w:rPr>
              <w:t>9</w:t>
            </w:r>
            <w:r w:rsidR="009D6479">
              <w:rPr>
                <w:noProof/>
                <w:webHidden/>
              </w:rPr>
              <w:fldChar w:fldCharType="end"/>
            </w:r>
          </w:hyperlink>
        </w:p>
        <w:p w14:paraId="4192DA1B" w14:textId="586BB38D" w:rsidR="009D6479" w:rsidRPr="009D6479" w:rsidRDefault="00000000">
          <w:pPr>
            <w:pStyle w:val="TOC1"/>
            <w:tabs>
              <w:tab w:val="right" w:leader="dot" w:pos="10456"/>
            </w:tabs>
            <w:rPr>
              <w:rFonts w:cstheme="minorBidi"/>
              <w:b w:val="0"/>
              <w:bCs w:val="0"/>
              <w:caps w:val="0"/>
              <w:noProof/>
              <w:kern w:val="2"/>
              <w:sz w:val="24"/>
              <w:szCs w:val="24"/>
            </w:rPr>
          </w:pPr>
          <w:hyperlink w:anchor="_Toc175126666" w:history="1">
            <w:r w:rsidR="009D6479" w:rsidRPr="00F471F2">
              <w:rPr>
                <w:rStyle w:val="Hyperlink"/>
                <w:noProof/>
              </w:rPr>
              <w:t>References</w:t>
            </w:r>
            <w:r w:rsidR="009D6479">
              <w:rPr>
                <w:noProof/>
                <w:webHidden/>
              </w:rPr>
              <w:tab/>
            </w:r>
            <w:r w:rsidR="009D6479">
              <w:rPr>
                <w:noProof/>
                <w:webHidden/>
              </w:rPr>
              <w:fldChar w:fldCharType="begin"/>
            </w:r>
            <w:r w:rsidR="009D6479">
              <w:rPr>
                <w:noProof/>
                <w:webHidden/>
              </w:rPr>
              <w:instrText xml:space="preserve"> PAGEREF _Toc175126666 \h </w:instrText>
            </w:r>
            <w:r w:rsidR="009D6479">
              <w:rPr>
                <w:noProof/>
                <w:webHidden/>
              </w:rPr>
            </w:r>
            <w:r w:rsidR="009D6479">
              <w:rPr>
                <w:noProof/>
                <w:webHidden/>
              </w:rPr>
              <w:fldChar w:fldCharType="separate"/>
            </w:r>
            <w:r w:rsidR="009D6479">
              <w:rPr>
                <w:noProof/>
                <w:webHidden/>
              </w:rPr>
              <w:t>10</w:t>
            </w:r>
            <w:r w:rsidR="009D6479">
              <w:rPr>
                <w:noProof/>
                <w:webHidden/>
              </w:rPr>
              <w:fldChar w:fldCharType="end"/>
            </w:r>
          </w:hyperlink>
        </w:p>
        <w:p w14:paraId="6350179D" w14:textId="36D41BB0" w:rsidR="009D6479" w:rsidRDefault="009D6479">
          <w:r>
            <w:rPr>
              <w:b/>
              <w:bCs/>
              <w:noProof/>
            </w:rPr>
            <w:fldChar w:fldCharType="end"/>
          </w:r>
        </w:p>
      </w:sdtContent>
    </w:sdt>
    <w:p w14:paraId="20B97AB3" w14:textId="77777777" w:rsidR="00824803" w:rsidRDefault="00824803" w:rsidP="00375689">
      <w:pPr>
        <w:spacing w:after="0" w:line="360" w:lineRule="auto"/>
        <w:jc w:val="both"/>
        <w:rPr>
          <w:rFonts w:ascii="Arial" w:hAnsi="Arial" w:cs="Arial"/>
          <w:b/>
        </w:rPr>
      </w:pPr>
    </w:p>
    <w:p w14:paraId="06A4F0EF" w14:textId="77777777" w:rsidR="000924CC" w:rsidRDefault="000924CC" w:rsidP="00375689">
      <w:pPr>
        <w:spacing w:after="0" w:line="360" w:lineRule="auto"/>
        <w:jc w:val="both"/>
        <w:rPr>
          <w:rFonts w:ascii="Arial" w:hAnsi="Arial" w:cs="Arial"/>
          <w:b/>
        </w:rPr>
      </w:pPr>
    </w:p>
    <w:p w14:paraId="00BBB461" w14:textId="77777777" w:rsidR="000924CC" w:rsidRDefault="000924CC" w:rsidP="00375689">
      <w:pPr>
        <w:spacing w:after="0" w:line="360" w:lineRule="auto"/>
        <w:jc w:val="both"/>
        <w:rPr>
          <w:rFonts w:ascii="Arial" w:hAnsi="Arial" w:cs="Arial"/>
          <w:b/>
        </w:rPr>
      </w:pPr>
    </w:p>
    <w:p w14:paraId="3C039F84" w14:textId="77777777" w:rsidR="000924CC" w:rsidRDefault="000924CC" w:rsidP="00375689">
      <w:pPr>
        <w:spacing w:after="0" w:line="360" w:lineRule="auto"/>
        <w:jc w:val="both"/>
        <w:rPr>
          <w:rFonts w:ascii="Arial" w:hAnsi="Arial" w:cs="Arial"/>
          <w:b/>
        </w:rPr>
      </w:pPr>
    </w:p>
    <w:p w14:paraId="720B6038" w14:textId="77777777" w:rsidR="000924CC" w:rsidRDefault="000924CC" w:rsidP="00375689">
      <w:pPr>
        <w:spacing w:after="0" w:line="360" w:lineRule="auto"/>
        <w:jc w:val="both"/>
        <w:rPr>
          <w:rFonts w:ascii="Arial" w:hAnsi="Arial" w:cs="Arial"/>
          <w:b/>
        </w:rPr>
      </w:pPr>
    </w:p>
    <w:p w14:paraId="397744C6" w14:textId="77777777" w:rsidR="000924CC" w:rsidRDefault="000924CC" w:rsidP="00375689">
      <w:pPr>
        <w:spacing w:after="0" w:line="360" w:lineRule="auto"/>
        <w:jc w:val="both"/>
        <w:rPr>
          <w:rFonts w:ascii="Arial" w:hAnsi="Arial" w:cs="Arial"/>
          <w:b/>
        </w:rPr>
      </w:pPr>
    </w:p>
    <w:p w14:paraId="2F962025" w14:textId="77777777" w:rsidR="000924CC" w:rsidRDefault="000924CC" w:rsidP="00375689">
      <w:pPr>
        <w:spacing w:after="0" w:line="360" w:lineRule="auto"/>
        <w:jc w:val="both"/>
        <w:rPr>
          <w:rFonts w:ascii="Arial" w:hAnsi="Arial" w:cs="Arial"/>
          <w:b/>
        </w:rPr>
      </w:pPr>
    </w:p>
    <w:p w14:paraId="2D5BF878" w14:textId="77777777" w:rsidR="000924CC" w:rsidRDefault="000924CC" w:rsidP="00375689">
      <w:pPr>
        <w:spacing w:after="0" w:line="360" w:lineRule="auto"/>
        <w:jc w:val="both"/>
        <w:rPr>
          <w:rFonts w:ascii="Arial" w:hAnsi="Arial" w:cs="Arial"/>
          <w:b/>
        </w:rPr>
      </w:pPr>
    </w:p>
    <w:p w14:paraId="3C57E2F2" w14:textId="77777777" w:rsidR="000924CC" w:rsidRDefault="000924CC" w:rsidP="00375689">
      <w:pPr>
        <w:spacing w:after="0" w:line="360" w:lineRule="auto"/>
        <w:jc w:val="both"/>
        <w:rPr>
          <w:rFonts w:ascii="Arial" w:hAnsi="Arial" w:cs="Arial"/>
          <w:b/>
        </w:rPr>
      </w:pPr>
    </w:p>
    <w:p w14:paraId="12AA1F1B" w14:textId="77777777" w:rsidR="000924CC" w:rsidRDefault="000924CC" w:rsidP="00375689">
      <w:pPr>
        <w:spacing w:after="0" w:line="360" w:lineRule="auto"/>
        <w:jc w:val="both"/>
        <w:rPr>
          <w:rFonts w:ascii="Arial" w:hAnsi="Arial" w:cs="Arial"/>
          <w:b/>
        </w:rPr>
      </w:pPr>
    </w:p>
    <w:p w14:paraId="23780356" w14:textId="77777777" w:rsidR="000924CC" w:rsidRDefault="000924CC" w:rsidP="00375689">
      <w:pPr>
        <w:spacing w:after="0" w:line="360" w:lineRule="auto"/>
        <w:jc w:val="both"/>
        <w:rPr>
          <w:rFonts w:ascii="Arial" w:hAnsi="Arial" w:cs="Arial"/>
          <w:b/>
        </w:rPr>
      </w:pPr>
    </w:p>
    <w:p w14:paraId="4E24BA61" w14:textId="77777777" w:rsidR="000924CC" w:rsidRDefault="000924CC" w:rsidP="00375689">
      <w:pPr>
        <w:spacing w:after="0" w:line="360" w:lineRule="auto"/>
        <w:jc w:val="both"/>
        <w:rPr>
          <w:rFonts w:ascii="Arial" w:hAnsi="Arial" w:cs="Arial"/>
          <w:b/>
        </w:rPr>
      </w:pPr>
    </w:p>
    <w:p w14:paraId="720F07A8" w14:textId="77777777" w:rsidR="000924CC" w:rsidRDefault="000924CC" w:rsidP="00375689">
      <w:pPr>
        <w:spacing w:after="0" w:line="360" w:lineRule="auto"/>
        <w:jc w:val="both"/>
        <w:rPr>
          <w:rFonts w:ascii="Arial" w:hAnsi="Arial" w:cs="Arial"/>
          <w:b/>
        </w:rPr>
      </w:pPr>
    </w:p>
    <w:p w14:paraId="3BD864C8" w14:textId="77777777" w:rsidR="000924CC" w:rsidRDefault="000924CC" w:rsidP="00375689">
      <w:pPr>
        <w:spacing w:after="0" w:line="360" w:lineRule="auto"/>
        <w:jc w:val="both"/>
        <w:rPr>
          <w:rFonts w:ascii="Arial" w:hAnsi="Arial" w:cs="Arial"/>
          <w:b/>
        </w:rPr>
      </w:pPr>
    </w:p>
    <w:p w14:paraId="779F29B7" w14:textId="77777777" w:rsidR="000924CC" w:rsidRPr="00375689" w:rsidRDefault="000924CC" w:rsidP="00375689">
      <w:pPr>
        <w:spacing w:after="0" w:line="360" w:lineRule="auto"/>
        <w:jc w:val="both"/>
        <w:rPr>
          <w:rFonts w:ascii="Arial" w:hAnsi="Arial" w:cs="Arial"/>
          <w:b/>
        </w:rPr>
      </w:pPr>
    </w:p>
    <w:p w14:paraId="30104240" w14:textId="28E9337E" w:rsidR="005C23BA" w:rsidRDefault="009D6479" w:rsidP="00375689">
      <w:pPr>
        <w:pStyle w:val="Heading1"/>
        <w:spacing w:line="360" w:lineRule="auto"/>
        <w:jc w:val="both"/>
        <w:rPr>
          <w:rFonts w:cs="Arial"/>
          <w:i/>
          <w:iCs/>
          <w:u w:val="single"/>
        </w:rPr>
      </w:pPr>
      <w:bookmarkStart w:id="0" w:name="_Toc175126655"/>
      <w:r w:rsidRPr="009D6479">
        <w:rPr>
          <w:rFonts w:cs="Arial"/>
          <w:i/>
          <w:iCs/>
          <w:u w:val="single"/>
        </w:rPr>
        <w:t>1.</w:t>
      </w:r>
      <w:r w:rsidR="00375689" w:rsidRPr="009D6479">
        <w:rPr>
          <w:rFonts w:cs="Arial"/>
          <w:i/>
          <w:iCs/>
          <w:u w:val="single"/>
        </w:rPr>
        <w:t>Introduction</w:t>
      </w:r>
      <w:bookmarkEnd w:id="0"/>
      <w:r w:rsidR="00375689" w:rsidRPr="009D6479">
        <w:rPr>
          <w:rFonts w:cs="Arial"/>
          <w:i/>
          <w:iCs/>
          <w:u w:val="single"/>
        </w:rPr>
        <w:t xml:space="preserve"> </w:t>
      </w:r>
    </w:p>
    <w:p w14:paraId="01A918A9" w14:textId="77777777" w:rsidR="009D6479" w:rsidRPr="009D6479" w:rsidRDefault="009D6479" w:rsidP="009D6479"/>
    <w:p w14:paraId="7ACA52F5" w14:textId="72C9571A" w:rsidR="005C23BA" w:rsidRPr="00375689" w:rsidRDefault="009D6479" w:rsidP="009D6479">
      <w:pPr>
        <w:pStyle w:val="Heading2"/>
        <w:numPr>
          <w:ilvl w:val="1"/>
          <w:numId w:val="6"/>
        </w:numPr>
        <w:spacing w:line="360" w:lineRule="auto"/>
        <w:jc w:val="both"/>
        <w:rPr>
          <w:rFonts w:cs="Arial"/>
        </w:rPr>
      </w:pPr>
      <w:r>
        <w:rPr>
          <w:rFonts w:cs="Arial"/>
        </w:rPr>
        <w:t xml:space="preserve"> </w:t>
      </w:r>
      <w:bookmarkStart w:id="1" w:name="_Toc175126656"/>
      <w:r w:rsidR="005C23BA" w:rsidRPr="00375689">
        <w:rPr>
          <w:rFonts w:cs="Arial"/>
        </w:rPr>
        <w:t>Overview of Foreign Exchange Risk</w:t>
      </w:r>
      <w:bookmarkEnd w:id="1"/>
    </w:p>
    <w:p w14:paraId="3EDD8CAC" w14:textId="77777777" w:rsidR="00375689" w:rsidRPr="00375689" w:rsidRDefault="00375689" w:rsidP="00375689">
      <w:pPr>
        <w:spacing w:after="0" w:line="360" w:lineRule="auto"/>
        <w:jc w:val="both"/>
        <w:rPr>
          <w:rFonts w:ascii="Arial" w:eastAsia="Times New Roman" w:hAnsi="Arial" w:cs="Arial"/>
          <w:sz w:val="24"/>
          <w:szCs w:val="24"/>
        </w:rPr>
      </w:pPr>
      <w:r w:rsidRPr="00375689">
        <w:rPr>
          <w:rFonts w:ascii="Arial" w:eastAsia="Times New Roman" w:hAnsi="Arial" w:cs="Arial"/>
          <w:sz w:val="24"/>
          <w:szCs w:val="24"/>
        </w:rPr>
        <w:t>For multinational corporations (MNCs) in the very complex and continually shifting field of international finance, foreign exchange risk is a major issue. Linked with fluctuations in the value of currencies, this risk can have significant consequences for the financial situation and profitability of companies all around. MNCs are more likely to be impacted by these kinds of hazards since they operate in several countries. Bad fluctuations in currencies can affect their revenues, enlarge their debt, and distort their market positioning. Foreign currency risk is so complex that it requires robust management strategies grounded on thorough knowledge of both market forces and how global economic policies interact (</w:t>
      </w:r>
      <w:proofErr w:type="spellStart"/>
      <w:r w:rsidRPr="00375689">
        <w:rPr>
          <w:rFonts w:ascii="Arial" w:eastAsia="Times New Roman" w:hAnsi="Arial" w:cs="Arial"/>
          <w:sz w:val="24"/>
          <w:szCs w:val="24"/>
        </w:rPr>
        <w:t>Brunnermeier</w:t>
      </w:r>
      <w:proofErr w:type="spellEnd"/>
      <w:r w:rsidRPr="00375689">
        <w:rPr>
          <w:rFonts w:ascii="Arial" w:eastAsia="Times New Roman" w:hAnsi="Arial" w:cs="Arial"/>
          <w:sz w:val="24"/>
          <w:szCs w:val="24"/>
        </w:rPr>
        <w:t xml:space="preserve">, Nagel, and Pedersen, 2019). </w:t>
      </w:r>
    </w:p>
    <w:p w14:paraId="546A6C23" w14:textId="72F89AF5" w:rsidR="00375689" w:rsidRPr="00375689" w:rsidRDefault="009D6479" w:rsidP="009D6479">
      <w:pPr>
        <w:pStyle w:val="Heading2"/>
        <w:numPr>
          <w:ilvl w:val="1"/>
          <w:numId w:val="6"/>
        </w:numPr>
        <w:spacing w:line="360" w:lineRule="auto"/>
        <w:jc w:val="both"/>
        <w:rPr>
          <w:rFonts w:cs="Arial"/>
        </w:rPr>
      </w:pPr>
      <w:r>
        <w:rPr>
          <w:rFonts w:cs="Arial"/>
        </w:rPr>
        <w:t xml:space="preserve"> </w:t>
      </w:r>
      <w:bookmarkStart w:id="2" w:name="_Toc175126657"/>
      <w:r w:rsidR="00375689" w:rsidRPr="00375689">
        <w:rPr>
          <w:rFonts w:cs="Arial"/>
        </w:rPr>
        <w:t>Importance for Multinational Corporations</w:t>
      </w:r>
      <w:bookmarkEnd w:id="2"/>
    </w:p>
    <w:p w14:paraId="11C369C3" w14:textId="77777777" w:rsidR="00375689" w:rsidRDefault="00375689" w:rsidP="00375689">
      <w:pPr>
        <w:spacing w:after="0" w:line="360" w:lineRule="auto"/>
        <w:jc w:val="both"/>
        <w:rPr>
          <w:rFonts w:ascii="Arial" w:eastAsia="Times New Roman" w:hAnsi="Arial" w:cs="Arial"/>
          <w:sz w:val="24"/>
          <w:szCs w:val="24"/>
        </w:rPr>
      </w:pPr>
      <w:r w:rsidRPr="00375689">
        <w:rPr>
          <w:rFonts w:ascii="Arial" w:eastAsia="Times New Roman" w:hAnsi="Arial" w:cs="Arial"/>
          <w:sz w:val="24"/>
          <w:szCs w:val="24"/>
        </w:rPr>
        <w:t xml:space="preserve">Given the possibility of large losses, it is impossible to enough emphasise the need of properly managing foreign exchange risk. It is not only a defensive action; it is also a strategy required of MNCs to simultaneously safeguard their interests and seize favourable market conditions. As </w:t>
      </w:r>
      <w:proofErr w:type="spellStart"/>
      <w:r w:rsidRPr="00375689">
        <w:rPr>
          <w:rFonts w:ascii="Arial" w:eastAsia="Times New Roman" w:hAnsi="Arial" w:cs="Arial"/>
          <w:sz w:val="24"/>
          <w:szCs w:val="24"/>
        </w:rPr>
        <w:t>Jorion</w:t>
      </w:r>
      <w:proofErr w:type="spellEnd"/>
      <w:r w:rsidRPr="00375689">
        <w:rPr>
          <w:rFonts w:ascii="Arial" w:eastAsia="Times New Roman" w:hAnsi="Arial" w:cs="Arial"/>
          <w:sz w:val="24"/>
          <w:szCs w:val="24"/>
        </w:rPr>
        <w:t xml:space="preserve"> (2019) points out, an MNC's capacity to forecast and lower currency risk determines its long-term success in a society growingly intertwined.</w:t>
      </w:r>
    </w:p>
    <w:p w14:paraId="433FE349" w14:textId="77777777" w:rsidR="009D6479" w:rsidRDefault="009D6479" w:rsidP="00375689">
      <w:pPr>
        <w:spacing w:after="0" w:line="360" w:lineRule="auto"/>
        <w:jc w:val="both"/>
        <w:rPr>
          <w:rFonts w:ascii="Arial" w:eastAsia="Times New Roman" w:hAnsi="Arial" w:cs="Arial"/>
          <w:sz w:val="24"/>
          <w:szCs w:val="24"/>
        </w:rPr>
      </w:pPr>
    </w:p>
    <w:p w14:paraId="51979FC8" w14:textId="77777777" w:rsidR="009D6479" w:rsidRDefault="009D6479" w:rsidP="00375689">
      <w:pPr>
        <w:spacing w:after="0" w:line="360" w:lineRule="auto"/>
        <w:jc w:val="both"/>
        <w:rPr>
          <w:rFonts w:ascii="Arial" w:eastAsia="Times New Roman" w:hAnsi="Arial" w:cs="Arial"/>
          <w:sz w:val="24"/>
          <w:szCs w:val="24"/>
        </w:rPr>
      </w:pPr>
    </w:p>
    <w:p w14:paraId="35E72724" w14:textId="77777777" w:rsidR="009D6479" w:rsidRDefault="009D6479" w:rsidP="00375689">
      <w:pPr>
        <w:spacing w:after="0" w:line="360" w:lineRule="auto"/>
        <w:jc w:val="both"/>
        <w:rPr>
          <w:rFonts w:ascii="Arial" w:eastAsia="Times New Roman" w:hAnsi="Arial" w:cs="Arial"/>
          <w:sz w:val="24"/>
          <w:szCs w:val="24"/>
        </w:rPr>
      </w:pPr>
    </w:p>
    <w:p w14:paraId="7DE6D172" w14:textId="77777777" w:rsidR="009D6479" w:rsidRDefault="009D6479" w:rsidP="00375689">
      <w:pPr>
        <w:spacing w:after="0" w:line="360" w:lineRule="auto"/>
        <w:jc w:val="both"/>
        <w:rPr>
          <w:rFonts w:ascii="Arial" w:eastAsia="Times New Roman" w:hAnsi="Arial" w:cs="Arial"/>
          <w:sz w:val="24"/>
          <w:szCs w:val="24"/>
        </w:rPr>
      </w:pPr>
    </w:p>
    <w:p w14:paraId="3F4EBA3C" w14:textId="77777777" w:rsidR="009D6479" w:rsidRDefault="009D6479" w:rsidP="00375689">
      <w:pPr>
        <w:spacing w:after="0" w:line="360" w:lineRule="auto"/>
        <w:jc w:val="both"/>
        <w:rPr>
          <w:rFonts w:ascii="Arial" w:eastAsia="Times New Roman" w:hAnsi="Arial" w:cs="Arial"/>
          <w:sz w:val="24"/>
          <w:szCs w:val="24"/>
        </w:rPr>
      </w:pPr>
    </w:p>
    <w:p w14:paraId="59639BAA" w14:textId="77777777" w:rsidR="009D6479" w:rsidRDefault="009D6479" w:rsidP="00375689">
      <w:pPr>
        <w:spacing w:after="0" w:line="360" w:lineRule="auto"/>
        <w:jc w:val="both"/>
        <w:rPr>
          <w:rFonts w:ascii="Arial" w:eastAsia="Times New Roman" w:hAnsi="Arial" w:cs="Arial"/>
          <w:sz w:val="24"/>
          <w:szCs w:val="24"/>
        </w:rPr>
      </w:pPr>
    </w:p>
    <w:p w14:paraId="5F574BD6" w14:textId="77777777" w:rsidR="009D6479" w:rsidRDefault="009D6479" w:rsidP="00375689">
      <w:pPr>
        <w:spacing w:after="0" w:line="360" w:lineRule="auto"/>
        <w:jc w:val="both"/>
        <w:rPr>
          <w:rFonts w:ascii="Arial" w:eastAsia="Times New Roman" w:hAnsi="Arial" w:cs="Arial"/>
          <w:sz w:val="24"/>
          <w:szCs w:val="24"/>
        </w:rPr>
      </w:pPr>
    </w:p>
    <w:p w14:paraId="3F50857A" w14:textId="77777777" w:rsidR="009D6479" w:rsidRDefault="009D6479" w:rsidP="00375689">
      <w:pPr>
        <w:spacing w:after="0" w:line="360" w:lineRule="auto"/>
        <w:jc w:val="both"/>
        <w:rPr>
          <w:rFonts w:ascii="Arial" w:eastAsia="Times New Roman" w:hAnsi="Arial" w:cs="Arial"/>
          <w:sz w:val="24"/>
          <w:szCs w:val="24"/>
        </w:rPr>
      </w:pPr>
    </w:p>
    <w:p w14:paraId="74AF703D" w14:textId="77777777" w:rsidR="009D6479" w:rsidRDefault="009D6479" w:rsidP="00375689">
      <w:pPr>
        <w:spacing w:after="0" w:line="360" w:lineRule="auto"/>
        <w:jc w:val="both"/>
        <w:rPr>
          <w:rFonts w:ascii="Arial" w:eastAsia="Times New Roman" w:hAnsi="Arial" w:cs="Arial"/>
          <w:sz w:val="24"/>
          <w:szCs w:val="24"/>
        </w:rPr>
      </w:pPr>
    </w:p>
    <w:p w14:paraId="790C38F8" w14:textId="77777777" w:rsidR="009D6479" w:rsidRDefault="009D6479" w:rsidP="00375689">
      <w:pPr>
        <w:spacing w:after="0" w:line="360" w:lineRule="auto"/>
        <w:jc w:val="both"/>
        <w:rPr>
          <w:rFonts w:ascii="Arial" w:eastAsia="Times New Roman" w:hAnsi="Arial" w:cs="Arial"/>
          <w:sz w:val="24"/>
          <w:szCs w:val="24"/>
        </w:rPr>
      </w:pPr>
    </w:p>
    <w:p w14:paraId="3A9748AD" w14:textId="77777777" w:rsidR="009D6479" w:rsidRDefault="009D6479" w:rsidP="00375689">
      <w:pPr>
        <w:spacing w:after="0" w:line="360" w:lineRule="auto"/>
        <w:jc w:val="both"/>
        <w:rPr>
          <w:rFonts w:ascii="Arial" w:eastAsia="Times New Roman" w:hAnsi="Arial" w:cs="Arial"/>
          <w:sz w:val="24"/>
          <w:szCs w:val="24"/>
        </w:rPr>
      </w:pPr>
    </w:p>
    <w:p w14:paraId="753FF0A9" w14:textId="77777777" w:rsidR="009D6479" w:rsidRDefault="009D6479" w:rsidP="00375689">
      <w:pPr>
        <w:spacing w:after="0" w:line="360" w:lineRule="auto"/>
        <w:jc w:val="both"/>
        <w:rPr>
          <w:rFonts w:ascii="Arial" w:eastAsia="Times New Roman" w:hAnsi="Arial" w:cs="Arial"/>
          <w:sz w:val="24"/>
          <w:szCs w:val="24"/>
        </w:rPr>
      </w:pPr>
    </w:p>
    <w:p w14:paraId="6DEF613B" w14:textId="77777777" w:rsidR="009D6479" w:rsidRDefault="009D6479" w:rsidP="00375689">
      <w:pPr>
        <w:spacing w:after="0" w:line="360" w:lineRule="auto"/>
        <w:jc w:val="both"/>
        <w:rPr>
          <w:rFonts w:ascii="Arial" w:eastAsia="Times New Roman" w:hAnsi="Arial" w:cs="Arial"/>
          <w:sz w:val="24"/>
          <w:szCs w:val="24"/>
        </w:rPr>
      </w:pPr>
    </w:p>
    <w:p w14:paraId="62EA5219" w14:textId="77777777" w:rsidR="009D6479" w:rsidRDefault="009D6479" w:rsidP="00375689">
      <w:pPr>
        <w:spacing w:after="0" w:line="360" w:lineRule="auto"/>
        <w:jc w:val="both"/>
        <w:rPr>
          <w:rFonts w:ascii="Arial" w:eastAsia="Times New Roman" w:hAnsi="Arial" w:cs="Arial"/>
          <w:sz w:val="24"/>
          <w:szCs w:val="24"/>
        </w:rPr>
      </w:pPr>
    </w:p>
    <w:p w14:paraId="0F4703F7" w14:textId="77777777" w:rsidR="009D6479" w:rsidRDefault="009D6479" w:rsidP="00375689">
      <w:pPr>
        <w:spacing w:after="0" w:line="360" w:lineRule="auto"/>
        <w:jc w:val="both"/>
        <w:rPr>
          <w:rFonts w:ascii="Arial" w:eastAsia="Times New Roman" w:hAnsi="Arial" w:cs="Arial"/>
          <w:sz w:val="24"/>
          <w:szCs w:val="24"/>
        </w:rPr>
      </w:pPr>
    </w:p>
    <w:p w14:paraId="76CDE6C6" w14:textId="77777777" w:rsidR="009D6479" w:rsidRPr="00375689" w:rsidRDefault="009D6479" w:rsidP="00375689">
      <w:pPr>
        <w:spacing w:after="0" w:line="360" w:lineRule="auto"/>
        <w:jc w:val="both"/>
        <w:rPr>
          <w:rFonts w:ascii="Arial" w:eastAsia="Times New Roman" w:hAnsi="Arial" w:cs="Arial"/>
          <w:sz w:val="24"/>
          <w:szCs w:val="24"/>
        </w:rPr>
      </w:pPr>
    </w:p>
    <w:p w14:paraId="10BD18A9" w14:textId="465DA3F6" w:rsidR="005C23BA" w:rsidRPr="009D6479" w:rsidRDefault="009D6479" w:rsidP="009D6479">
      <w:pPr>
        <w:pStyle w:val="Heading1"/>
        <w:rPr>
          <w:i/>
          <w:iCs/>
        </w:rPr>
      </w:pPr>
      <w:bookmarkStart w:id="3" w:name="_Toc175126658"/>
      <w:r w:rsidRPr="009D6479">
        <w:rPr>
          <w:i/>
          <w:iCs/>
        </w:rPr>
        <w:t>2</w:t>
      </w:r>
      <w:r w:rsidRPr="009D6479">
        <w:rPr>
          <w:i/>
          <w:iCs/>
          <w:u w:val="single"/>
        </w:rPr>
        <w:t xml:space="preserve">. </w:t>
      </w:r>
      <w:r w:rsidR="005C23BA" w:rsidRPr="009D6479">
        <w:rPr>
          <w:i/>
          <w:iCs/>
          <w:u w:val="single"/>
        </w:rPr>
        <w:t>Literature R</w:t>
      </w:r>
      <w:r w:rsidR="00386D52" w:rsidRPr="009D6479">
        <w:rPr>
          <w:i/>
          <w:iCs/>
          <w:u w:val="single"/>
        </w:rPr>
        <w:t>eview</w:t>
      </w:r>
      <w:bookmarkEnd w:id="3"/>
    </w:p>
    <w:p w14:paraId="2CE83B55" w14:textId="77777777" w:rsidR="009D6479" w:rsidRPr="009D6479" w:rsidRDefault="009D6479" w:rsidP="009D6479"/>
    <w:p w14:paraId="47CEA4CE" w14:textId="260D9F96" w:rsidR="009D6479" w:rsidRDefault="009D6479" w:rsidP="009D6479">
      <w:pPr>
        <w:pStyle w:val="Heading2"/>
        <w:numPr>
          <w:ilvl w:val="1"/>
          <w:numId w:val="5"/>
        </w:numPr>
      </w:pPr>
      <w:r>
        <w:t xml:space="preserve"> </w:t>
      </w:r>
      <w:bookmarkStart w:id="4" w:name="_Toc175126659"/>
      <w:r w:rsidR="005C23BA" w:rsidRPr="003D7FCB">
        <w:t>Theoretical Frameworks in Inte</w:t>
      </w:r>
      <w:r w:rsidR="00386D52" w:rsidRPr="003D7FCB">
        <w:t>rnational Financial Management</w:t>
      </w:r>
      <w:bookmarkEnd w:id="4"/>
      <w:r w:rsidR="00386D52" w:rsidRPr="003D7FCB">
        <w:t xml:space="preserve"> </w:t>
      </w:r>
    </w:p>
    <w:p w14:paraId="4D0CC2AD" w14:textId="77777777" w:rsidR="009D6479" w:rsidRPr="009D6479" w:rsidRDefault="009D6479" w:rsidP="009D6479"/>
    <w:p w14:paraId="47737BC2" w14:textId="3376EE0D" w:rsidR="00521BA2" w:rsidRDefault="009D6479" w:rsidP="00521BA2">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521BA2" w:rsidRPr="00521BA2">
        <w:rPr>
          <w:rFonts w:ascii="Arial" w:eastAsia="Times New Roman" w:hAnsi="Arial" w:cs="Arial"/>
          <w:sz w:val="24"/>
          <w:szCs w:val="24"/>
        </w:rPr>
        <w:t xml:space="preserve">Understanding cross-border financial management requires understanding International Financial Management (IFM) theoretical frameworks. These frameworks help multinational businesses (MNCs) negotiate currency changes, international capital flows, and financial rules. Purchasing Power Parity (PPP), which states that exchange rates should reflect price increases between currencies, is a popular theory. </w:t>
      </w:r>
    </w:p>
    <w:p w14:paraId="7F0FD52E" w14:textId="77777777" w:rsidR="009D6479" w:rsidRDefault="009D6479" w:rsidP="00521BA2">
      <w:pPr>
        <w:spacing w:after="0" w:line="360" w:lineRule="auto"/>
        <w:jc w:val="center"/>
        <w:rPr>
          <w:rFonts w:ascii="Arial" w:eastAsia="Times New Roman" w:hAnsi="Arial" w:cs="Arial"/>
          <w:sz w:val="24"/>
          <w:szCs w:val="24"/>
        </w:rPr>
      </w:pPr>
    </w:p>
    <w:p w14:paraId="430DDDE6" w14:textId="77777777" w:rsidR="009D6479" w:rsidRDefault="009D6479" w:rsidP="00521BA2">
      <w:pPr>
        <w:spacing w:after="0" w:line="360" w:lineRule="auto"/>
        <w:jc w:val="center"/>
        <w:rPr>
          <w:rFonts w:ascii="Arial" w:eastAsia="Times New Roman" w:hAnsi="Arial" w:cs="Arial"/>
          <w:sz w:val="24"/>
          <w:szCs w:val="24"/>
        </w:rPr>
      </w:pPr>
    </w:p>
    <w:p w14:paraId="4358A927" w14:textId="77777777" w:rsidR="009D6479" w:rsidRDefault="009D6479" w:rsidP="00521BA2">
      <w:pPr>
        <w:spacing w:after="0" w:line="360" w:lineRule="auto"/>
        <w:jc w:val="center"/>
        <w:rPr>
          <w:rFonts w:ascii="Arial" w:eastAsia="Times New Roman" w:hAnsi="Arial" w:cs="Arial"/>
          <w:sz w:val="24"/>
          <w:szCs w:val="24"/>
        </w:rPr>
      </w:pPr>
    </w:p>
    <w:p w14:paraId="22FBE108" w14:textId="77777777" w:rsidR="009D6479" w:rsidRDefault="009D6479" w:rsidP="00521BA2">
      <w:pPr>
        <w:spacing w:after="0" w:line="360" w:lineRule="auto"/>
        <w:jc w:val="center"/>
        <w:rPr>
          <w:rFonts w:ascii="Arial" w:eastAsia="Times New Roman" w:hAnsi="Arial" w:cs="Arial"/>
          <w:sz w:val="24"/>
          <w:szCs w:val="24"/>
        </w:rPr>
      </w:pPr>
    </w:p>
    <w:p w14:paraId="345F8E0E" w14:textId="3B5E1296" w:rsidR="00521BA2" w:rsidRDefault="00521BA2" w:rsidP="00521BA2">
      <w:pPr>
        <w:spacing w:after="0" w:line="360" w:lineRule="auto"/>
        <w:jc w:val="center"/>
        <w:rPr>
          <w:rFonts w:ascii="Arial" w:eastAsia="Times New Roman" w:hAnsi="Arial" w:cs="Arial"/>
          <w:sz w:val="24"/>
          <w:szCs w:val="24"/>
        </w:rPr>
      </w:pPr>
      <w:r>
        <w:rPr>
          <w:rFonts w:ascii="Arial" w:eastAsia="Times New Roman" w:hAnsi="Arial" w:cs="Arial"/>
          <w:noProof/>
          <w:sz w:val="24"/>
          <w:szCs w:val="24"/>
        </w:rPr>
        <w:drawing>
          <wp:inline distT="0" distB="0" distL="0" distR="0" wp14:anchorId="11C977A6" wp14:editId="78FFDE83">
            <wp:extent cx="5758180" cy="309449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58180" cy="3094496"/>
                    </a:xfrm>
                    <a:prstGeom prst="rect">
                      <a:avLst/>
                    </a:prstGeom>
                    <a:noFill/>
                    <a:ln w="9525">
                      <a:noFill/>
                      <a:miter lim="800000"/>
                      <a:headEnd/>
                      <a:tailEnd/>
                    </a:ln>
                  </pic:spPr>
                </pic:pic>
              </a:graphicData>
            </a:graphic>
          </wp:inline>
        </w:drawing>
      </w:r>
    </w:p>
    <w:p w14:paraId="50D97AFD" w14:textId="77777777" w:rsidR="00521BA2" w:rsidRDefault="00521BA2" w:rsidP="00521BA2">
      <w:pPr>
        <w:spacing w:after="0" w:line="360" w:lineRule="auto"/>
        <w:jc w:val="both"/>
        <w:rPr>
          <w:rFonts w:ascii="Arial" w:eastAsia="Times New Roman" w:hAnsi="Arial" w:cs="Arial"/>
          <w:sz w:val="24"/>
          <w:szCs w:val="24"/>
        </w:rPr>
      </w:pPr>
      <w:r w:rsidRPr="00521BA2">
        <w:rPr>
          <w:rFonts w:ascii="Arial" w:eastAsia="Times New Roman" w:hAnsi="Arial" w:cs="Arial"/>
          <w:sz w:val="24"/>
          <w:szCs w:val="24"/>
        </w:rPr>
        <w:t xml:space="preserve">This foundational theory has weaknesses, especially in the short run, where market flaws and speculative activities typically deviate from equilibrium (Madura, Hoque and </w:t>
      </w:r>
      <w:proofErr w:type="spellStart"/>
      <w:r w:rsidRPr="00521BA2">
        <w:rPr>
          <w:rFonts w:ascii="Arial" w:eastAsia="Times New Roman" w:hAnsi="Arial" w:cs="Arial"/>
          <w:sz w:val="24"/>
          <w:szCs w:val="24"/>
        </w:rPr>
        <w:t>Krishnamrti</w:t>
      </w:r>
      <w:proofErr w:type="spellEnd"/>
      <w:r w:rsidRPr="00521BA2">
        <w:rPr>
          <w:rFonts w:ascii="Arial" w:eastAsia="Times New Roman" w:hAnsi="Arial" w:cs="Arial"/>
          <w:sz w:val="24"/>
          <w:szCs w:val="24"/>
        </w:rPr>
        <w:t>, 2023).</w:t>
      </w:r>
    </w:p>
    <w:p w14:paraId="425015D3" w14:textId="5668168F" w:rsidR="00521BA2" w:rsidRDefault="00521BA2" w:rsidP="00521BA2">
      <w:pPr>
        <w:spacing w:after="0" w:line="360" w:lineRule="auto"/>
        <w:jc w:val="both"/>
        <w:rPr>
          <w:rFonts w:ascii="Arial" w:eastAsia="Times New Roman" w:hAnsi="Arial" w:cs="Arial"/>
          <w:sz w:val="24"/>
          <w:szCs w:val="24"/>
        </w:rPr>
      </w:pPr>
      <w:r w:rsidRPr="00521BA2">
        <w:rPr>
          <w:rFonts w:ascii="Arial" w:eastAsia="Times New Roman" w:hAnsi="Arial" w:cs="Arial"/>
          <w:sz w:val="24"/>
          <w:szCs w:val="24"/>
        </w:rPr>
        <w:br/>
      </w:r>
      <w:r w:rsidR="009D6479">
        <w:rPr>
          <w:rFonts w:ascii="Arial" w:eastAsia="Times New Roman" w:hAnsi="Arial" w:cs="Arial"/>
          <w:sz w:val="24"/>
          <w:szCs w:val="24"/>
        </w:rPr>
        <w:t xml:space="preserve">                </w:t>
      </w:r>
      <w:r w:rsidRPr="00521BA2">
        <w:rPr>
          <w:rFonts w:ascii="Arial" w:eastAsia="Times New Roman" w:hAnsi="Arial" w:cs="Arial"/>
          <w:sz w:val="24"/>
          <w:szCs w:val="24"/>
        </w:rPr>
        <w:t xml:space="preserve">The Interest Rate Parity (IRP) theory that future and spot exchange rates reflect interest rate differences across countries is another important concept. This theory explains why forward contracts are used to hedge foreign exchange risk, making it essential to understanding hedging methods. </w:t>
      </w:r>
    </w:p>
    <w:p w14:paraId="1562184C" w14:textId="77777777" w:rsidR="00521BA2" w:rsidRDefault="00521BA2" w:rsidP="00521BA2">
      <w:pPr>
        <w:spacing w:after="0" w:line="360" w:lineRule="auto"/>
        <w:jc w:val="center"/>
        <w:rPr>
          <w:rFonts w:ascii="Arial" w:eastAsia="Times New Roman" w:hAnsi="Arial" w:cs="Arial"/>
          <w:sz w:val="24"/>
          <w:szCs w:val="24"/>
        </w:rPr>
      </w:pPr>
      <w:r>
        <w:rPr>
          <w:rFonts w:ascii="Arial" w:eastAsia="Times New Roman" w:hAnsi="Arial" w:cs="Arial"/>
          <w:noProof/>
          <w:sz w:val="24"/>
          <w:szCs w:val="24"/>
        </w:rPr>
        <w:lastRenderedPageBreak/>
        <w:drawing>
          <wp:inline distT="0" distB="0" distL="0" distR="0" wp14:anchorId="0B08452C" wp14:editId="57526CF1">
            <wp:extent cx="4537710" cy="253433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537710" cy="2534330"/>
                    </a:xfrm>
                    <a:prstGeom prst="rect">
                      <a:avLst/>
                    </a:prstGeom>
                    <a:noFill/>
                    <a:ln w="9525">
                      <a:noFill/>
                      <a:miter lim="800000"/>
                      <a:headEnd/>
                      <a:tailEnd/>
                    </a:ln>
                  </pic:spPr>
                </pic:pic>
              </a:graphicData>
            </a:graphic>
          </wp:inline>
        </w:drawing>
      </w:r>
    </w:p>
    <w:p w14:paraId="6F4ACA83" w14:textId="77777777" w:rsidR="00521BA2" w:rsidRDefault="00521BA2" w:rsidP="00521BA2">
      <w:pPr>
        <w:spacing w:after="0" w:line="360" w:lineRule="auto"/>
        <w:jc w:val="both"/>
        <w:rPr>
          <w:rFonts w:ascii="Arial" w:eastAsia="Times New Roman" w:hAnsi="Arial" w:cs="Arial"/>
          <w:sz w:val="24"/>
          <w:szCs w:val="24"/>
        </w:rPr>
      </w:pPr>
      <w:r w:rsidRPr="00521BA2">
        <w:rPr>
          <w:rFonts w:ascii="Arial" w:eastAsia="Times New Roman" w:hAnsi="Arial" w:cs="Arial"/>
          <w:sz w:val="24"/>
          <w:szCs w:val="24"/>
        </w:rPr>
        <w:t xml:space="preserve">Transaction costs and capital regulations may limit arbitrage opportunities when applying IRP (Shapiro and </w:t>
      </w:r>
      <w:proofErr w:type="spellStart"/>
      <w:r w:rsidRPr="00521BA2">
        <w:rPr>
          <w:rFonts w:ascii="Arial" w:eastAsia="Times New Roman" w:hAnsi="Arial" w:cs="Arial"/>
          <w:sz w:val="24"/>
          <w:szCs w:val="24"/>
        </w:rPr>
        <w:t>Hanouna</w:t>
      </w:r>
      <w:proofErr w:type="spellEnd"/>
      <w:r w:rsidRPr="00521BA2">
        <w:rPr>
          <w:rFonts w:ascii="Arial" w:eastAsia="Times New Roman" w:hAnsi="Arial" w:cs="Arial"/>
          <w:sz w:val="24"/>
          <w:szCs w:val="24"/>
        </w:rPr>
        <w:t>, 2020).</w:t>
      </w:r>
    </w:p>
    <w:p w14:paraId="2347F88E" w14:textId="77777777" w:rsidR="002D67DE" w:rsidRDefault="00521BA2" w:rsidP="00521BA2">
      <w:pPr>
        <w:spacing w:after="0" w:line="360" w:lineRule="auto"/>
        <w:jc w:val="both"/>
        <w:rPr>
          <w:rFonts w:ascii="Arial" w:eastAsia="Times New Roman" w:hAnsi="Arial" w:cs="Arial"/>
          <w:sz w:val="24"/>
          <w:szCs w:val="24"/>
        </w:rPr>
      </w:pPr>
      <w:r w:rsidRPr="00521BA2">
        <w:rPr>
          <w:rFonts w:ascii="Arial" w:eastAsia="Times New Roman" w:hAnsi="Arial" w:cs="Arial"/>
          <w:sz w:val="24"/>
          <w:szCs w:val="24"/>
        </w:rPr>
        <w:br/>
        <w:t xml:space="preserve">By including cross-border investment complexity, the Capital Asset Pricing Model (CAPM) becomes more relevant internationally. CAPM helps MNCs evaluate international investment returns by considering country systemic risks (Adler and Dumas, 2019). </w:t>
      </w:r>
    </w:p>
    <w:p w14:paraId="1B1727E5" w14:textId="77777777" w:rsidR="002D67DE" w:rsidRDefault="002D67DE" w:rsidP="002D67DE">
      <w:pPr>
        <w:spacing w:after="0" w:line="360" w:lineRule="auto"/>
        <w:jc w:val="center"/>
        <w:rPr>
          <w:rFonts w:ascii="Arial" w:eastAsia="Times New Roman" w:hAnsi="Arial" w:cs="Arial"/>
          <w:sz w:val="24"/>
          <w:szCs w:val="24"/>
        </w:rPr>
      </w:pPr>
      <w:r>
        <w:rPr>
          <w:rFonts w:ascii="Arial" w:eastAsia="Times New Roman" w:hAnsi="Arial" w:cs="Arial"/>
          <w:noProof/>
          <w:sz w:val="24"/>
          <w:szCs w:val="24"/>
        </w:rPr>
        <w:drawing>
          <wp:inline distT="0" distB="0" distL="0" distR="0" wp14:anchorId="102A5017" wp14:editId="424F4378">
            <wp:extent cx="5300980" cy="4107419"/>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300980" cy="4107419"/>
                    </a:xfrm>
                    <a:prstGeom prst="rect">
                      <a:avLst/>
                    </a:prstGeom>
                    <a:noFill/>
                    <a:ln w="9525">
                      <a:noFill/>
                      <a:miter lim="800000"/>
                      <a:headEnd/>
                      <a:tailEnd/>
                    </a:ln>
                  </pic:spPr>
                </pic:pic>
              </a:graphicData>
            </a:graphic>
          </wp:inline>
        </w:drawing>
      </w:r>
    </w:p>
    <w:p w14:paraId="62623A88" w14:textId="77777777" w:rsidR="002D67DE" w:rsidRPr="002D67DE" w:rsidRDefault="002D67DE" w:rsidP="002D67DE">
      <w:pPr>
        <w:spacing w:after="0" w:line="240" w:lineRule="auto"/>
        <w:jc w:val="center"/>
        <w:rPr>
          <w:rFonts w:ascii="Arial" w:eastAsia="Times New Roman" w:hAnsi="Arial" w:cs="Arial"/>
          <w:sz w:val="24"/>
          <w:szCs w:val="24"/>
        </w:rPr>
      </w:pPr>
      <w:r w:rsidRPr="002D67DE">
        <w:rPr>
          <w:rFonts w:ascii="Arial" w:eastAsia="Times New Roman" w:hAnsi="Arial" w:cs="Arial"/>
          <w:sz w:val="24"/>
          <w:szCs w:val="24"/>
        </w:rPr>
        <w:t>(CFI Team, 2022)</w:t>
      </w:r>
    </w:p>
    <w:p w14:paraId="6D6C520A" w14:textId="77777777" w:rsidR="002D67DE" w:rsidRDefault="002D67DE" w:rsidP="002D67DE">
      <w:pPr>
        <w:spacing w:after="0" w:line="360" w:lineRule="auto"/>
        <w:jc w:val="center"/>
        <w:rPr>
          <w:rFonts w:ascii="Arial" w:eastAsia="Times New Roman" w:hAnsi="Arial" w:cs="Arial"/>
          <w:sz w:val="24"/>
          <w:szCs w:val="24"/>
        </w:rPr>
      </w:pPr>
    </w:p>
    <w:p w14:paraId="6F943347" w14:textId="77777777" w:rsidR="00521BA2" w:rsidRPr="00521BA2" w:rsidRDefault="00521BA2" w:rsidP="00521BA2">
      <w:pPr>
        <w:spacing w:after="0" w:line="360" w:lineRule="auto"/>
        <w:jc w:val="both"/>
        <w:rPr>
          <w:rFonts w:ascii="Arial" w:eastAsia="Times New Roman" w:hAnsi="Arial" w:cs="Arial"/>
          <w:sz w:val="24"/>
          <w:szCs w:val="24"/>
        </w:rPr>
      </w:pPr>
      <w:r w:rsidRPr="00521BA2">
        <w:rPr>
          <w:rFonts w:ascii="Arial" w:eastAsia="Times New Roman" w:hAnsi="Arial" w:cs="Arial"/>
          <w:sz w:val="24"/>
          <w:szCs w:val="24"/>
        </w:rPr>
        <w:t>These ideas and models constitute the foundation of IFM, providing MNCs with a conceptual framework and practical instruments for global financial management.</w:t>
      </w:r>
    </w:p>
    <w:p w14:paraId="23802F58" w14:textId="25AEC51E" w:rsidR="005C23BA" w:rsidRDefault="009D6479" w:rsidP="009D6479">
      <w:pPr>
        <w:pStyle w:val="Heading2"/>
        <w:numPr>
          <w:ilvl w:val="1"/>
          <w:numId w:val="5"/>
        </w:numPr>
      </w:pPr>
      <w:r>
        <w:lastRenderedPageBreak/>
        <w:t xml:space="preserve"> </w:t>
      </w:r>
      <w:bookmarkStart w:id="5" w:name="_Toc175126660"/>
      <w:r w:rsidR="005C23BA" w:rsidRPr="003D7FCB">
        <w:t>T</w:t>
      </w:r>
      <w:r w:rsidR="00A92632" w:rsidRPr="003D7FCB">
        <w:t>ypes of Foreign Exchange Risks</w:t>
      </w:r>
      <w:bookmarkEnd w:id="5"/>
      <w:r w:rsidR="00A92632" w:rsidRPr="003D7FCB">
        <w:t xml:space="preserve"> </w:t>
      </w:r>
    </w:p>
    <w:p w14:paraId="5B977403" w14:textId="77777777" w:rsidR="009D6479" w:rsidRPr="009D6479" w:rsidRDefault="009D6479" w:rsidP="009D6479"/>
    <w:p w14:paraId="07A502E3" w14:textId="22420071" w:rsidR="00A92632" w:rsidRPr="00A92632" w:rsidRDefault="009D6479" w:rsidP="00A92632">
      <w:pPr>
        <w:spacing w:after="0" w:line="360" w:lineRule="auto"/>
        <w:jc w:val="both"/>
        <w:rPr>
          <w:rFonts w:ascii="Arial" w:hAnsi="Arial" w:cs="Arial"/>
          <w:sz w:val="24"/>
          <w:szCs w:val="24"/>
        </w:rPr>
      </w:pPr>
      <w:r>
        <w:rPr>
          <w:rFonts w:ascii="Arial" w:hAnsi="Arial" w:cs="Arial"/>
          <w:sz w:val="24"/>
          <w:szCs w:val="24"/>
        </w:rPr>
        <w:t xml:space="preserve">                </w:t>
      </w:r>
      <w:r w:rsidR="00A92632" w:rsidRPr="00A92632">
        <w:rPr>
          <w:rFonts w:ascii="Arial" w:hAnsi="Arial" w:cs="Arial"/>
          <w:sz w:val="24"/>
          <w:szCs w:val="24"/>
        </w:rPr>
        <w:t>Foreign exchange risks are inherent in the operations of international organisations and can be roughly classified as transaction, translation, and economic hazards. Transaction risk is caused by the time lag between entering into a contract and settling it, during which exchange rate variations might affect the value of expected cash flows. This risk is especially high in companies with long payment cycles, where currency fluctuations can severely reduce profitability (</w:t>
      </w:r>
      <w:proofErr w:type="spellStart"/>
      <w:r w:rsidR="00A92632" w:rsidRPr="00A92632">
        <w:rPr>
          <w:rFonts w:ascii="Arial" w:hAnsi="Arial" w:cs="Arial"/>
          <w:sz w:val="24"/>
          <w:szCs w:val="24"/>
        </w:rPr>
        <w:t>Bernoth</w:t>
      </w:r>
      <w:proofErr w:type="spellEnd"/>
      <w:r w:rsidR="00A92632" w:rsidRPr="00A92632">
        <w:rPr>
          <w:rFonts w:ascii="Arial" w:hAnsi="Arial" w:cs="Arial"/>
          <w:sz w:val="24"/>
          <w:szCs w:val="24"/>
        </w:rPr>
        <w:t xml:space="preserve"> and </w:t>
      </w:r>
      <w:proofErr w:type="spellStart"/>
      <w:r w:rsidR="00A92632" w:rsidRPr="00A92632">
        <w:rPr>
          <w:rFonts w:ascii="Arial" w:hAnsi="Arial" w:cs="Arial"/>
          <w:sz w:val="24"/>
          <w:szCs w:val="24"/>
        </w:rPr>
        <w:t>Herwartz</w:t>
      </w:r>
      <w:proofErr w:type="spellEnd"/>
      <w:r w:rsidR="00A92632" w:rsidRPr="00A92632">
        <w:rPr>
          <w:rFonts w:ascii="Arial" w:hAnsi="Arial" w:cs="Arial"/>
          <w:sz w:val="24"/>
          <w:szCs w:val="24"/>
        </w:rPr>
        <w:t>, 2021).</w:t>
      </w:r>
    </w:p>
    <w:p w14:paraId="606C6F9E" w14:textId="1045DEFA" w:rsidR="00A92632" w:rsidRPr="00A92632" w:rsidRDefault="009D6479" w:rsidP="009D6479">
      <w:pPr>
        <w:spacing w:after="0" w:line="360" w:lineRule="auto"/>
        <w:jc w:val="both"/>
        <w:rPr>
          <w:rFonts w:ascii="Arial" w:hAnsi="Arial" w:cs="Arial"/>
          <w:sz w:val="24"/>
          <w:szCs w:val="24"/>
        </w:rPr>
      </w:pPr>
      <w:r>
        <w:rPr>
          <w:rFonts w:ascii="Arial" w:hAnsi="Arial" w:cs="Arial"/>
          <w:sz w:val="24"/>
          <w:szCs w:val="24"/>
        </w:rPr>
        <w:t xml:space="preserve">              </w:t>
      </w:r>
      <w:r w:rsidR="00A92632" w:rsidRPr="00A92632">
        <w:rPr>
          <w:rFonts w:ascii="Arial" w:hAnsi="Arial" w:cs="Arial"/>
          <w:sz w:val="24"/>
          <w:szCs w:val="24"/>
        </w:rPr>
        <w:t>In contrast, translation risk refers to the impact of currency rate swings on a multinational corporation's consolidated financial statements. When overseas subsidiaries' financial statements are converted into the parent company's reporting currency, exchange rate fluctuations can cause differences in reported earnings and equity, even if the underlying economic situation stays unchanged.</w:t>
      </w:r>
    </w:p>
    <w:p w14:paraId="3B02E03B" w14:textId="4AC5C1E4" w:rsidR="005C23BA" w:rsidRPr="00A92632" w:rsidRDefault="009D6479" w:rsidP="00A92632">
      <w:pPr>
        <w:spacing w:after="0" w:line="360" w:lineRule="auto"/>
        <w:jc w:val="both"/>
        <w:rPr>
          <w:rFonts w:ascii="Arial" w:hAnsi="Arial" w:cs="Arial"/>
          <w:sz w:val="24"/>
          <w:szCs w:val="24"/>
        </w:rPr>
      </w:pPr>
      <w:r>
        <w:rPr>
          <w:rFonts w:ascii="Arial" w:hAnsi="Arial" w:cs="Arial"/>
          <w:sz w:val="24"/>
          <w:szCs w:val="24"/>
        </w:rPr>
        <w:t xml:space="preserve">              </w:t>
      </w:r>
      <w:r w:rsidR="00A92632">
        <w:rPr>
          <w:rFonts w:ascii="Arial" w:hAnsi="Arial" w:cs="Arial"/>
          <w:sz w:val="24"/>
          <w:szCs w:val="24"/>
        </w:rPr>
        <w:t>E</w:t>
      </w:r>
      <w:r w:rsidR="00A92632" w:rsidRPr="00A92632">
        <w:rPr>
          <w:rFonts w:ascii="Arial" w:hAnsi="Arial" w:cs="Arial"/>
          <w:sz w:val="24"/>
          <w:szCs w:val="24"/>
        </w:rPr>
        <w:t>conomic risk refers to the long-term impact of exchange rate fluctuations on a company's market value and competitive position. Unlike transaction and translation risks, economic risk is more subtle and pervasive, with the ability to disrupt the corporation's future cash flows and strategic outlook as exchange rates influence costs, pricing, and demand in international markets (</w:t>
      </w:r>
      <w:proofErr w:type="spellStart"/>
      <w:r w:rsidR="00A92632" w:rsidRPr="00A92632">
        <w:rPr>
          <w:rFonts w:ascii="Arial" w:hAnsi="Arial" w:cs="Arial"/>
          <w:sz w:val="24"/>
          <w:szCs w:val="24"/>
        </w:rPr>
        <w:t>Maggiori</w:t>
      </w:r>
      <w:proofErr w:type="spellEnd"/>
      <w:r w:rsidR="00A92632" w:rsidRPr="00A92632">
        <w:rPr>
          <w:rFonts w:ascii="Arial" w:hAnsi="Arial" w:cs="Arial"/>
          <w:sz w:val="24"/>
          <w:szCs w:val="24"/>
        </w:rPr>
        <w:t>, Neiman, and Schreger, 2019).</w:t>
      </w:r>
    </w:p>
    <w:p w14:paraId="78611D7C" w14:textId="55EDD879" w:rsidR="005C23BA" w:rsidRPr="009D6479" w:rsidRDefault="004E3F9D" w:rsidP="00E439FC">
      <w:pPr>
        <w:pStyle w:val="Heading1"/>
        <w:rPr>
          <w:i/>
          <w:iCs/>
          <w:u w:val="single"/>
        </w:rPr>
      </w:pPr>
      <w:bookmarkStart w:id="6" w:name="_Toc175126661"/>
      <w:r w:rsidRPr="009D6479">
        <w:rPr>
          <w:i/>
          <w:iCs/>
          <w:u w:val="single"/>
        </w:rPr>
        <w:t xml:space="preserve">3. </w:t>
      </w:r>
      <w:r w:rsidR="005C23BA" w:rsidRPr="009D6479">
        <w:rPr>
          <w:i/>
          <w:iCs/>
          <w:u w:val="single"/>
        </w:rPr>
        <w:t>Strategies for M</w:t>
      </w:r>
      <w:r w:rsidR="00E439FC" w:rsidRPr="009D6479">
        <w:rPr>
          <w:i/>
          <w:iCs/>
          <w:u w:val="single"/>
        </w:rPr>
        <w:t>anaging Foreign Exchange Risks</w:t>
      </w:r>
      <w:bookmarkEnd w:id="6"/>
      <w:r w:rsidR="00E439FC" w:rsidRPr="009D6479">
        <w:rPr>
          <w:i/>
          <w:iCs/>
          <w:u w:val="single"/>
        </w:rPr>
        <w:t xml:space="preserve"> </w:t>
      </w:r>
    </w:p>
    <w:p w14:paraId="13BD8FAD" w14:textId="77777777" w:rsidR="004E3F9D" w:rsidRPr="009D6479" w:rsidRDefault="004E3F9D" w:rsidP="004E3F9D"/>
    <w:p w14:paraId="40B50706" w14:textId="5F0A7583" w:rsidR="005C23BA" w:rsidRPr="009D6479" w:rsidRDefault="004E3F9D" w:rsidP="004E3F9D">
      <w:pPr>
        <w:pStyle w:val="Heading2"/>
        <w:numPr>
          <w:ilvl w:val="1"/>
          <w:numId w:val="2"/>
        </w:numPr>
      </w:pPr>
      <w:r w:rsidRPr="009D6479">
        <w:t xml:space="preserve"> </w:t>
      </w:r>
      <w:bookmarkStart w:id="7" w:name="_Toc175126662"/>
      <w:r w:rsidR="00E439FC" w:rsidRPr="009D6479">
        <w:t>Internal Hedging Strategies</w:t>
      </w:r>
      <w:bookmarkEnd w:id="7"/>
      <w:r w:rsidR="00E439FC" w:rsidRPr="009D6479">
        <w:t xml:space="preserve"> </w:t>
      </w:r>
    </w:p>
    <w:p w14:paraId="2E513258" w14:textId="77777777" w:rsidR="009D6479" w:rsidRPr="009D6479" w:rsidRDefault="009D6479" w:rsidP="009D6479"/>
    <w:p w14:paraId="7BDB3716" w14:textId="04DFE419" w:rsidR="00E439FC" w:rsidRDefault="009D6479" w:rsidP="00E439FC">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E439FC" w:rsidRPr="00E439FC">
        <w:rPr>
          <w:rFonts w:ascii="Arial" w:eastAsia="Times New Roman" w:hAnsi="Arial" w:cs="Arial"/>
          <w:sz w:val="24"/>
          <w:szCs w:val="24"/>
        </w:rPr>
        <w:t>Managing foreign exchange risks in multinational companies depends on internal hedging techniques in great part. Unlike external hedging, which uses derivatives or other financial instruments, internal hedging frequently with more flexibility and cost-effectiveness uses the operational elements of a company to reduce currency risk.</w:t>
      </w:r>
    </w:p>
    <w:p w14:paraId="23DD32E4" w14:textId="249F5718" w:rsidR="00E439FC" w:rsidRDefault="009D6479" w:rsidP="00E439FC">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E439FC" w:rsidRPr="00E439FC">
        <w:rPr>
          <w:rFonts w:ascii="Arial" w:eastAsia="Times New Roman" w:hAnsi="Arial" w:cs="Arial"/>
          <w:sz w:val="24"/>
          <w:szCs w:val="24"/>
        </w:rPr>
        <w:t>One such tactic is natural hedging, in which a company deliberately arranges its income and expenditure sources to balance possible currency swings. Matching money inflows and outflows helps the business to lower its sensitivity to negative exchange rate fluctuations. For instance, a US dollar-based company can try to incur expenses in the same currency, therefore negating the impact of exchange rate changes on its profitability (</w:t>
      </w:r>
      <w:proofErr w:type="spellStart"/>
      <w:r w:rsidR="00E439FC" w:rsidRPr="00E439FC">
        <w:rPr>
          <w:rFonts w:ascii="Arial" w:eastAsia="Times New Roman" w:hAnsi="Arial" w:cs="Arial"/>
          <w:sz w:val="24"/>
          <w:szCs w:val="24"/>
        </w:rPr>
        <w:t>Vernimmen</w:t>
      </w:r>
      <w:proofErr w:type="spellEnd"/>
      <w:r w:rsidR="00E439FC" w:rsidRPr="00E439FC">
        <w:rPr>
          <w:rFonts w:ascii="Arial" w:eastAsia="Times New Roman" w:hAnsi="Arial" w:cs="Arial"/>
          <w:sz w:val="24"/>
          <w:szCs w:val="24"/>
        </w:rPr>
        <w:t xml:space="preserve"> et al., 2012). </w:t>
      </w:r>
      <w:r>
        <w:rPr>
          <w:rFonts w:ascii="Arial" w:eastAsia="Times New Roman" w:hAnsi="Arial" w:cs="Arial"/>
          <w:sz w:val="24"/>
          <w:szCs w:val="24"/>
        </w:rPr>
        <w:t xml:space="preserve">      </w:t>
      </w:r>
      <w:r w:rsidR="00E439FC" w:rsidRPr="00E439FC">
        <w:rPr>
          <w:rFonts w:ascii="Arial" w:eastAsia="Times New Roman" w:hAnsi="Arial" w:cs="Arial"/>
          <w:sz w:val="24"/>
          <w:szCs w:val="24"/>
        </w:rPr>
        <w:t>Although this method is efficient, it depends on proper alignment of the operational structure and financial plan of the company to guarantee maximum use of natural hedging possibilities.</w:t>
      </w:r>
      <w:r w:rsidR="00E439FC" w:rsidRPr="00E439FC">
        <w:rPr>
          <w:rFonts w:ascii="Arial" w:eastAsia="Times New Roman" w:hAnsi="Arial" w:cs="Arial"/>
          <w:sz w:val="24"/>
          <w:szCs w:val="24"/>
        </w:rPr>
        <w:br/>
        <w:t xml:space="preserve">Leading and lagging is another internal tactic whereby </w:t>
      </w:r>
      <w:proofErr w:type="gramStart"/>
      <w:r w:rsidR="00E439FC" w:rsidRPr="00E439FC">
        <w:rPr>
          <w:rFonts w:ascii="Arial" w:eastAsia="Times New Roman" w:hAnsi="Arial" w:cs="Arial"/>
          <w:sz w:val="24"/>
          <w:szCs w:val="24"/>
        </w:rPr>
        <w:t>one time</w:t>
      </w:r>
      <w:proofErr w:type="gramEnd"/>
      <w:r w:rsidR="00E439FC" w:rsidRPr="00E439FC">
        <w:rPr>
          <w:rFonts w:ascii="Arial" w:eastAsia="Times New Roman" w:hAnsi="Arial" w:cs="Arial"/>
          <w:sz w:val="24"/>
          <w:szCs w:val="24"/>
        </w:rPr>
        <w:t xml:space="preserve"> payments and receipts to maximise </w:t>
      </w:r>
      <w:r w:rsidR="00E439FC" w:rsidRPr="00E439FC">
        <w:rPr>
          <w:rFonts w:ascii="Arial" w:eastAsia="Times New Roman" w:hAnsi="Arial" w:cs="Arial"/>
          <w:sz w:val="24"/>
          <w:szCs w:val="24"/>
        </w:rPr>
        <w:lastRenderedPageBreak/>
        <w:t xml:space="preserve">expected currency changes. A corporation may decide to accelerate (lead) its receivables or postpone (lag) its payables in times of predicted devaluation of a foreign currency so optimising the exchange rates (Larcker and </w:t>
      </w:r>
      <w:proofErr w:type="spellStart"/>
      <w:r w:rsidR="00E439FC" w:rsidRPr="00E439FC">
        <w:rPr>
          <w:rFonts w:ascii="Arial" w:eastAsia="Times New Roman" w:hAnsi="Arial" w:cs="Arial"/>
          <w:sz w:val="24"/>
          <w:szCs w:val="24"/>
        </w:rPr>
        <w:t>Tayan</w:t>
      </w:r>
      <w:proofErr w:type="spellEnd"/>
      <w:r w:rsidR="00E439FC" w:rsidRPr="00E439FC">
        <w:rPr>
          <w:rFonts w:ascii="Arial" w:eastAsia="Times New Roman" w:hAnsi="Arial" w:cs="Arial"/>
          <w:sz w:val="24"/>
          <w:szCs w:val="24"/>
        </w:rPr>
        <w:t>, 2020). Although this approach can have benefits, it depends on precise prediction of currency trends and strong knowledge of the cash flow dynamics of the company to prevent unneeded liquidity problems.</w:t>
      </w:r>
    </w:p>
    <w:p w14:paraId="77F61DE1" w14:textId="1A86AE41" w:rsidR="00E439FC" w:rsidRPr="00E439FC" w:rsidRDefault="00E439FC" w:rsidP="00E439FC">
      <w:pPr>
        <w:spacing w:after="0" w:line="360" w:lineRule="auto"/>
        <w:jc w:val="both"/>
        <w:rPr>
          <w:rFonts w:ascii="Arial" w:eastAsia="Times New Roman" w:hAnsi="Arial" w:cs="Arial"/>
          <w:sz w:val="24"/>
          <w:szCs w:val="24"/>
        </w:rPr>
      </w:pPr>
      <w:r w:rsidRPr="00E439FC">
        <w:rPr>
          <w:rFonts w:ascii="Arial" w:eastAsia="Times New Roman" w:hAnsi="Arial" w:cs="Arial"/>
          <w:sz w:val="24"/>
          <w:szCs w:val="24"/>
        </w:rPr>
        <w:t xml:space="preserve">A more advanced internal method, especially helpful for international companies with significant cross-company exchanges is currency netting. Consolidating several foreign exchange transactions helps to lower the number of individual currency conversions needed, hence lowering transaction expenses and the risk to currency volatility (Bartram, Brown and Conrad, 2021). </w:t>
      </w:r>
      <w:r w:rsidR="009D6479">
        <w:rPr>
          <w:rFonts w:ascii="Arial" w:eastAsia="Times New Roman" w:hAnsi="Arial" w:cs="Arial"/>
          <w:sz w:val="24"/>
          <w:szCs w:val="24"/>
        </w:rPr>
        <w:t xml:space="preserve">      </w:t>
      </w:r>
      <w:r w:rsidRPr="00E439FC">
        <w:rPr>
          <w:rFonts w:ascii="Arial" w:eastAsia="Times New Roman" w:hAnsi="Arial" w:cs="Arial"/>
          <w:sz w:val="24"/>
          <w:szCs w:val="24"/>
        </w:rPr>
        <w:t>Through netting out offsetting positions across the group, the business can significantly lower the total volume of currency transactions, so lowering the risk involved in every transaction.</w:t>
      </w:r>
      <w:r w:rsidRPr="00E439FC">
        <w:rPr>
          <w:rFonts w:ascii="Arial" w:eastAsia="Times New Roman" w:hAnsi="Arial" w:cs="Arial"/>
          <w:sz w:val="24"/>
          <w:szCs w:val="24"/>
        </w:rPr>
        <w:br/>
      </w:r>
      <w:r w:rsidR="009D6479">
        <w:rPr>
          <w:rFonts w:ascii="Arial" w:eastAsia="Times New Roman" w:hAnsi="Arial" w:cs="Arial"/>
          <w:sz w:val="24"/>
          <w:szCs w:val="24"/>
        </w:rPr>
        <w:t xml:space="preserve">              T</w:t>
      </w:r>
      <w:r w:rsidRPr="00E439FC">
        <w:rPr>
          <w:rFonts w:ascii="Arial" w:eastAsia="Times New Roman" w:hAnsi="Arial" w:cs="Arial"/>
          <w:sz w:val="24"/>
          <w:szCs w:val="24"/>
        </w:rPr>
        <w:t>hese internal hedging techniques taken together give multinational companies the means to control their foreign exchange risks in a way that fits their operating flow. When used well, they can be a wonderful addition to outside hedging strategies, helping companies to negotiate the complexity of international finance with more assurance and stability.</w:t>
      </w:r>
    </w:p>
    <w:p w14:paraId="37E544C3" w14:textId="77777777" w:rsidR="005C23BA" w:rsidRDefault="005C23BA" w:rsidP="00375689">
      <w:pPr>
        <w:spacing w:after="0" w:line="360" w:lineRule="auto"/>
        <w:jc w:val="both"/>
        <w:rPr>
          <w:rFonts w:ascii="Arial" w:hAnsi="Arial" w:cs="Arial"/>
        </w:rPr>
      </w:pPr>
    </w:p>
    <w:p w14:paraId="40BFA2CF" w14:textId="77777777" w:rsidR="004E3F9D" w:rsidRPr="00375689" w:rsidRDefault="004E3F9D" w:rsidP="00375689">
      <w:pPr>
        <w:spacing w:after="0" w:line="360" w:lineRule="auto"/>
        <w:jc w:val="both"/>
        <w:rPr>
          <w:rFonts w:ascii="Arial" w:hAnsi="Arial" w:cs="Arial"/>
        </w:rPr>
      </w:pPr>
    </w:p>
    <w:p w14:paraId="718BC8A0" w14:textId="12D5B5AB" w:rsidR="005C23BA" w:rsidRDefault="004E3F9D" w:rsidP="004E3F9D">
      <w:pPr>
        <w:pStyle w:val="Heading2"/>
        <w:numPr>
          <w:ilvl w:val="1"/>
          <w:numId w:val="2"/>
        </w:numPr>
      </w:pPr>
      <w:r>
        <w:t xml:space="preserve"> </w:t>
      </w:r>
      <w:bookmarkStart w:id="8" w:name="_Toc175126663"/>
      <w:r w:rsidR="00970AF2" w:rsidRPr="003D7FCB">
        <w:t>External Hedging Strategies</w:t>
      </w:r>
      <w:bookmarkEnd w:id="8"/>
      <w:r w:rsidR="00970AF2" w:rsidRPr="003D7FCB">
        <w:t xml:space="preserve"> </w:t>
      </w:r>
    </w:p>
    <w:p w14:paraId="10774CB0" w14:textId="77777777" w:rsidR="004E3F9D" w:rsidRPr="004E3F9D" w:rsidRDefault="004E3F9D" w:rsidP="004E3F9D">
      <w:pPr>
        <w:pStyle w:val="ListParagraph"/>
        <w:ind w:left="1080"/>
      </w:pPr>
    </w:p>
    <w:p w14:paraId="1A9C8F86" w14:textId="72B43A93" w:rsidR="00FE74CB" w:rsidRDefault="009D6479" w:rsidP="00FE74CB">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FE74CB" w:rsidRPr="00FE74CB">
        <w:rPr>
          <w:rFonts w:ascii="Arial" w:eastAsia="Times New Roman" w:hAnsi="Arial" w:cs="Arial"/>
          <w:sz w:val="24"/>
          <w:szCs w:val="24"/>
        </w:rPr>
        <w:t xml:space="preserve">For multinational companies trying to control foreign exchange risks in a disciplined and proactive way, external hedging techniques are </w:t>
      </w:r>
      <w:proofErr w:type="gramStart"/>
      <w:r w:rsidR="00FE74CB" w:rsidRPr="00FE74CB">
        <w:rPr>
          <w:rFonts w:ascii="Arial" w:eastAsia="Times New Roman" w:hAnsi="Arial" w:cs="Arial"/>
          <w:sz w:val="24"/>
          <w:szCs w:val="24"/>
        </w:rPr>
        <w:t>absolutely essential</w:t>
      </w:r>
      <w:proofErr w:type="gramEnd"/>
      <w:r w:rsidR="00FE74CB" w:rsidRPr="00FE74CB">
        <w:rPr>
          <w:rFonts w:ascii="Arial" w:eastAsia="Times New Roman" w:hAnsi="Arial" w:cs="Arial"/>
          <w:sz w:val="24"/>
          <w:szCs w:val="24"/>
        </w:rPr>
        <w:t xml:space="preserve"> tools. Unlike internal strategies, which depend on operational changes, external strategies use financial instruments meant to minimise the effect of negative currency movements on the financial situation of a company.</w:t>
      </w:r>
      <w:r w:rsidR="00FE74CB" w:rsidRPr="00FE74CB">
        <w:rPr>
          <w:rFonts w:ascii="Arial" w:eastAsia="Times New Roman" w:hAnsi="Arial" w:cs="Arial"/>
          <w:sz w:val="24"/>
          <w:szCs w:val="24"/>
        </w:rPr>
        <w:br/>
        <w:t>Among the most often utilised instruments in external hedging are forward contracts. These agreements let a business fix an exchange rate for a future purchase, therefore removing the uncertainty related to currency values. Through a forward contract, a company can guarantee a certain rate and hence ensure that unanticipated exchange rate fluctuations have no negative impact on future cash flows. Companies who have a lot of foreign exchange exposure especially benefit from this strategy since it offers some degree of financial planning consistency (Jacque, 2020).</w:t>
      </w:r>
      <w:r w:rsidR="00FE74CB" w:rsidRPr="00FE74CB">
        <w:rPr>
          <w:rFonts w:ascii="Arial" w:eastAsia="Times New Roman" w:hAnsi="Arial" w:cs="Arial"/>
          <w:sz w:val="24"/>
          <w:szCs w:val="24"/>
        </w:rPr>
        <w:br/>
        <w:t xml:space="preserve">With each having different strategic uses, options and futures provide still another level of security. Although they give the buyer the right but not the duty to exchange money at a designated rate on or before a given date, currency options do This adaptability lets companies profit from positive changes in the exchange rates and provide protection against negative ones. Conversely, futures contracts are uniform agreements sold on exchanges that bind the holder to exchange money at a </w:t>
      </w:r>
      <w:r w:rsidR="00FE74CB" w:rsidRPr="00FE74CB">
        <w:rPr>
          <w:rFonts w:ascii="Arial" w:eastAsia="Times New Roman" w:hAnsi="Arial" w:cs="Arial"/>
          <w:sz w:val="24"/>
          <w:szCs w:val="24"/>
        </w:rPr>
        <w:lastRenderedPageBreak/>
        <w:t>designated rate on a designated date. Although they provide less flexibility than options, futures are helpful for companies trying to hedge against currency risk in a highly regulated, open market (Hsiao and Tsai, 2019).</w:t>
      </w:r>
    </w:p>
    <w:p w14:paraId="033AC2A7" w14:textId="77777777" w:rsidR="00FE74CB" w:rsidRPr="00FE74CB" w:rsidRDefault="00FE74CB" w:rsidP="00FE74CB">
      <w:pPr>
        <w:spacing w:after="0" w:line="360" w:lineRule="auto"/>
        <w:jc w:val="both"/>
        <w:rPr>
          <w:rFonts w:ascii="Arial" w:eastAsia="Times New Roman" w:hAnsi="Arial" w:cs="Arial"/>
          <w:sz w:val="24"/>
          <w:szCs w:val="24"/>
        </w:rPr>
      </w:pPr>
      <w:r w:rsidRPr="00FE74CB">
        <w:rPr>
          <w:rFonts w:ascii="Arial" w:eastAsia="Times New Roman" w:hAnsi="Arial" w:cs="Arial"/>
          <w:sz w:val="24"/>
          <w:szCs w:val="24"/>
        </w:rPr>
        <w:t xml:space="preserve">More complicated products, currency swaps entail two parties exchanging </w:t>
      </w:r>
      <w:proofErr w:type="gramStart"/>
      <w:r w:rsidRPr="00FE74CB">
        <w:rPr>
          <w:rFonts w:ascii="Arial" w:eastAsia="Times New Roman" w:hAnsi="Arial" w:cs="Arial"/>
          <w:sz w:val="24"/>
          <w:szCs w:val="24"/>
        </w:rPr>
        <w:t>principle</w:t>
      </w:r>
      <w:proofErr w:type="gramEnd"/>
      <w:r w:rsidRPr="00FE74CB">
        <w:rPr>
          <w:rFonts w:ascii="Arial" w:eastAsia="Times New Roman" w:hAnsi="Arial" w:cs="Arial"/>
          <w:sz w:val="24"/>
          <w:szCs w:val="24"/>
        </w:rPr>
        <w:t xml:space="preserve"> and interest payments in different currencies. Companies with long-term foreign exchange exposures especially benefit from these swaps since they permit management of both currency risk and interest rate risk at once. Companies can efficiently control their long-term exposure to currency volatility by switching cash flows in one currency for those in another, thereby maybe obtaining access to more favourable interest rates in other markets (James, Leister and Rieger, 2023).</w:t>
      </w:r>
      <w:r w:rsidRPr="00FE74CB">
        <w:rPr>
          <w:rFonts w:ascii="Arial" w:eastAsia="Times New Roman" w:hAnsi="Arial" w:cs="Arial"/>
          <w:sz w:val="24"/>
          <w:szCs w:val="24"/>
        </w:rPr>
        <w:br/>
        <w:t>By means of these external hedging techniques, multinational companies can reduce the risks related to currency fluctuation, therefore safeguarding their financial stability and improving their strategic agility in the worldwide market (</w:t>
      </w:r>
      <w:proofErr w:type="spellStart"/>
      <w:r w:rsidRPr="00FE74CB">
        <w:rPr>
          <w:rFonts w:ascii="Arial" w:eastAsia="Times New Roman" w:hAnsi="Arial" w:cs="Arial"/>
          <w:sz w:val="24"/>
          <w:szCs w:val="24"/>
        </w:rPr>
        <w:t>Allayannis</w:t>
      </w:r>
      <w:proofErr w:type="spellEnd"/>
      <w:r w:rsidRPr="00FE74CB">
        <w:rPr>
          <w:rFonts w:ascii="Arial" w:eastAsia="Times New Roman" w:hAnsi="Arial" w:cs="Arial"/>
          <w:sz w:val="24"/>
          <w:szCs w:val="24"/>
        </w:rPr>
        <w:t xml:space="preserve"> and Weston, 2020).</w:t>
      </w:r>
    </w:p>
    <w:p w14:paraId="004A3246" w14:textId="369C4DA6" w:rsidR="005C23BA" w:rsidRPr="009D6479" w:rsidRDefault="009D6479" w:rsidP="00E472FF">
      <w:pPr>
        <w:pStyle w:val="Heading1"/>
        <w:rPr>
          <w:i/>
          <w:iCs/>
          <w:u w:val="single"/>
        </w:rPr>
      </w:pPr>
      <w:bookmarkStart w:id="9" w:name="_Toc175126664"/>
      <w:r w:rsidRPr="009D6479">
        <w:rPr>
          <w:i/>
          <w:iCs/>
          <w:u w:val="single"/>
        </w:rPr>
        <w:t>4.</w:t>
      </w:r>
      <w:r w:rsidR="005C23BA" w:rsidRPr="009D6479">
        <w:rPr>
          <w:i/>
          <w:iCs/>
          <w:u w:val="single"/>
        </w:rPr>
        <w:t>Cr</w:t>
      </w:r>
      <w:r w:rsidR="00E472FF" w:rsidRPr="009D6479">
        <w:rPr>
          <w:i/>
          <w:iCs/>
          <w:u w:val="single"/>
        </w:rPr>
        <w:t>itical Analysis and Evaluation</w:t>
      </w:r>
      <w:bookmarkEnd w:id="9"/>
      <w:r w:rsidR="00E472FF" w:rsidRPr="009D6479">
        <w:rPr>
          <w:i/>
          <w:iCs/>
          <w:u w:val="single"/>
        </w:rPr>
        <w:t xml:space="preserve"> </w:t>
      </w:r>
    </w:p>
    <w:p w14:paraId="6526F0F4" w14:textId="77777777" w:rsidR="004E3F9D" w:rsidRPr="004E3F9D" w:rsidRDefault="004E3F9D" w:rsidP="004E3F9D"/>
    <w:p w14:paraId="39776459" w14:textId="37D2E20E" w:rsidR="00E472FF" w:rsidRDefault="009D6479" w:rsidP="00E472FF">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E472FF" w:rsidRPr="00E472FF">
        <w:rPr>
          <w:rFonts w:ascii="Arial" w:eastAsia="Times New Roman" w:hAnsi="Arial" w:cs="Arial"/>
          <w:sz w:val="24"/>
          <w:szCs w:val="24"/>
        </w:rPr>
        <w:t xml:space="preserve">Foreign exchange risk management depends on market conditions. Stable markets with predicted currency movements perform well for internal and external hedging methods. Companies can reliably safeguard themselves from exchange rate movements. In turbulent or unpredictable markets, these strategies may not work. Forward contracts and options can safeguard you in unpredictable markets if you can foresee when things will happen. Options costs can exceed their benefits in unpredictable markets (Chance and Brooks, 2021). </w:t>
      </w:r>
    </w:p>
    <w:p w14:paraId="34518EA8" w14:textId="1D7BFB74" w:rsidR="00E472FF" w:rsidRDefault="00E472FF" w:rsidP="00E472FF">
      <w:pPr>
        <w:spacing w:after="0" w:line="360" w:lineRule="auto"/>
        <w:jc w:val="both"/>
        <w:rPr>
          <w:rFonts w:ascii="Arial" w:eastAsia="Times New Roman" w:hAnsi="Arial" w:cs="Arial"/>
          <w:sz w:val="24"/>
          <w:szCs w:val="24"/>
        </w:rPr>
      </w:pPr>
      <w:r w:rsidRPr="00E472FF">
        <w:rPr>
          <w:rFonts w:ascii="Arial" w:eastAsia="Times New Roman" w:hAnsi="Arial" w:cs="Arial"/>
          <w:sz w:val="24"/>
          <w:szCs w:val="24"/>
        </w:rPr>
        <w:t xml:space="preserve">These tactics can be effective when applied judiciously, especially for long-term currency risk exposure. Researchers concluded that companies that hedge internally and externally are more financially secure and </w:t>
      </w:r>
      <w:r w:rsidR="004E3F9D" w:rsidRPr="00E472FF">
        <w:rPr>
          <w:rFonts w:ascii="Arial" w:eastAsia="Times New Roman" w:hAnsi="Arial" w:cs="Arial"/>
          <w:sz w:val="24"/>
          <w:szCs w:val="24"/>
        </w:rPr>
        <w:t>market ready</w:t>
      </w:r>
      <w:r w:rsidRPr="00E472FF">
        <w:rPr>
          <w:rFonts w:ascii="Arial" w:eastAsia="Times New Roman" w:hAnsi="Arial" w:cs="Arial"/>
          <w:sz w:val="24"/>
          <w:szCs w:val="24"/>
        </w:rPr>
        <w:t>. Forward contracts and currency swaps help corporations manage long-term risks, according to studies. This can boost firm value and reduce bankruptcy risk (Hang et al., 2018). These methods aren't always effective. The company's business, geographic distribution, and currencies affect these methods' success. Foreign exchange risk management plans must be properly designed and tailored to each organisation and market to operate well.</w:t>
      </w:r>
    </w:p>
    <w:p w14:paraId="6C7D85B7" w14:textId="77777777" w:rsidR="004E3F9D" w:rsidRDefault="004E3F9D" w:rsidP="00E472FF">
      <w:pPr>
        <w:spacing w:after="0" w:line="360" w:lineRule="auto"/>
        <w:jc w:val="both"/>
        <w:rPr>
          <w:rFonts w:ascii="Arial" w:eastAsia="Times New Roman" w:hAnsi="Arial" w:cs="Arial"/>
          <w:sz w:val="24"/>
          <w:szCs w:val="24"/>
        </w:rPr>
      </w:pPr>
    </w:p>
    <w:p w14:paraId="122CF70E" w14:textId="77777777" w:rsidR="004E3F9D" w:rsidRDefault="004E3F9D" w:rsidP="00E472FF">
      <w:pPr>
        <w:spacing w:after="0" w:line="360" w:lineRule="auto"/>
        <w:jc w:val="both"/>
        <w:rPr>
          <w:rFonts w:ascii="Arial" w:eastAsia="Times New Roman" w:hAnsi="Arial" w:cs="Arial"/>
          <w:sz w:val="24"/>
          <w:szCs w:val="24"/>
        </w:rPr>
      </w:pPr>
    </w:p>
    <w:p w14:paraId="4CCF2CD0" w14:textId="77777777" w:rsidR="004E3F9D" w:rsidRDefault="004E3F9D" w:rsidP="00E472FF">
      <w:pPr>
        <w:spacing w:after="0" w:line="360" w:lineRule="auto"/>
        <w:jc w:val="both"/>
        <w:rPr>
          <w:rFonts w:ascii="Arial" w:eastAsia="Times New Roman" w:hAnsi="Arial" w:cs="Arial"/>
          <w:sz w:val="24"/>
          <w:szCs w:val="24"/>
        </w:rPr>
      </w:pPr>
    </w:p>
    <w:p w14:paraId="6F84731E" w14:textId="77777777" w:rsidR="004E3F9D" w:rsidRDefault="004E3F9D" w:rsidP="00E472FF">
      <w:pPr>
        <w:spacing w:after="0" w:line="360" w:lineRule="auto"/>
        <w:jc w:val="both"/>
        <w:rPr>
          <w:rFonts w:ascii="Arial" w:eastAsia="Times New Roman" w:hAnsi="Arial" w:cs="Arial"/>
          <w:sz w:val="24"/>
          <w:szCs w:val="24"/>
        </w:rPr>
      </w:pPr>
    </w:p>
    <w:p w14:paraId="0B33B0DB" w14:textId="77777777" w:rsidR="004E3F9D" w:rsidRDefault="004E3F9D" w:rsidP="00E472FF">
      <w:pPr>
        <w:spacing w:after="0" w:line="360" w:lineRule="auto"/>
        <w:jc w:val="both"/>
        <w:rPr>
          <w:rFonts w:ascii="Arial" w:eastAsia="Times New Roman" w:hAnsi="Arial" w:cs="Arial"/>
          <w:sz w:val="24"/>
          <w:szCs w:val="24"/>
        </w:rPr>
      </w:pPr>
    </w:p>
    <w:p w14:paraId="4B67336E" w14:textId="77777777" w:rsidR="009D6479" w:rsidRDefault="009D6479" w:rsidP="009D6479">
      <w:pPr>
        <w:pStyle w:val="Heading1"/>
      </w:pPr>
    </w:p>
    <w:p w14:paraId="37DA94EE" w14:textId="255BBCD0" w:rsidR="005C23BA" w:rsidRDefault="00B35682" w:rsidP="009D6479">
      <w:pPr>
        <w:pStyle w:val="Heading1"/>
      </w:pPr>
      <w:bookmarkStart w:id="10" w:name="_Toc175126665"/>
      <w:r>
        <w:t>Conclusion</w:t>
      </w:r>
      <w:bookmarkEnd w:id="10"/>
    </w:p>
    <w:p w14:paraId="4B2203CC" w14:textId="77777777" w:rsidR="004E3F9D" w:rsidRDefault="004E3F9D" w:rsidP="004E3F9D"/>
    <w:p w14:paraId="4262BA59" w14:textId="77777777" w:rsidR="004E3F9D" w:rsidRPr="004E3F9D" w:rsidRDefault="004E3F9D" w:rsidP="004E3F9D"/>
    <w:p w14:paraId="57903664" w14:textId="5F89E0C5" w:rsidR="00B35682" w:rsidRDefault="009D6479" w:rsidP="00B35682">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B35682" w:rsidRPr="00B35682">
        <w:rPr>
          <w:rFonts w:ascii="Arial" w:eastAsia="Times New Roman" w:hAnsi="Arial" w:cs="Arial"/>
          <w:sz w:val="24"/>
          <w:szCs w:val="24"/>
        </w:rPr>
        <w:t xml:space="preserve">All things considered, global companies </w:t>
      </w:r>
      <w:proofErr w:type="gramStart"/>
      <w:r w:rsidR="00B35682" w:rsidRPr="00B35682">
        <w:rPr>
          <w:rFonts w:ascii="Arial" w:eastAsia="Times New Roman" w:hAnsi="Arial" w:cs="Arial"/>
          <w:sz w:val="24"/>
          <w:szCs w:val="24"/>
        </w:rPr>
        <w:t>have to</w:t>
      </w:r>
      <w:proofErr w:type="gramEnd"/>
      <w:r w:rsidR="00B35682" w:rsidRPr="00B35682">
        <w:rPr>
          <w:rFonts w:ascii="Arial" w:eastAsia="Times New Roman" w:hAnsi="Arial" w:cs="Arial"/>
          <w:sz w:val="24"/>
          <w:szCs w:val="24"/>
        </w:rPr>
        <w:t xml:space="preserve"> give management of foreign exchange top priority as changes in currencies could affect their financial stability and competitive position. As this study shows, internal and external hedging techniques offer different benefits depending on the type of exposure the company has and the particular state of the market. Cost-effective and functionally integrated solutions abound from internal tactics like natural hedging and currency netting. Forward contracts and currency swaps are among outside options that offer strong defence against more erratic and volatile market conditions.</w:t>
      </w:r>
    </w:p>
    <w:p w14:paraId="5283828D" w14:textId="77777777" w:rsidR="00B35682" w:rsidRPr="00B35682" w:rsidRDefault="00B35682" w:rsidP="00B35682">
      <w:pPr>
        <w:spacing w:after="0" w:line="360" w:lineRule="auto"/>
        <w:jc w:val="both"/>
        <w:rPr>
          <w:rFonts w:ascii="Arial" w:eastAsia="Times New Roman" w:hAnsi="Arial" w:cs="Arial"/>
          <w:sz w:val="24"/>
          <w:szCs w:val="24"/>
        </w:rPr>
      </w:pPr>
      <w:r w:rsidRPr="00B35682">
        <w:rPr>
          <w:rFonts w:ascii="Arial" w:eastAsia="Times New Roman" w:hAnsi="Arial" w:cs="Arial"/>
          <w:sz w:val="24"/>
          <w:szCs w:val="24"/>
        </w:rPr>
        <w:t>Still, the effectiveness of these approaches is not always assured; they must be painstakingly tailored to the particular situation of the company. To build a complete risk management system, multinational companies are encouraged to apply a balanced approach including both internal and external hedging techniques. This approach should be constantly assessed and adjusted to fit changing market conditions, therefore ensuring that the company stays flexible and strong in the presence of world financial uncertainty.</w:t>
      </w:r>
    </w:p>
    <w:p w14:paraId="1A344E77" w14:textId="77777777" w:rsidR="00F563CD" w:rsidRDefault="00F563CD" w:rsidP="00375689">
      <w:pPr>
        <w:spacing w:after="0" w:line="360" w:lineRule="auto"/>
        <w:jc w:val="both"/>
        <w:rPr>
          <w:rFonts w:ascii="Arial" w:hAnsi="Arial" w:cs="Arial"/>
        </w:rPr>
      </w:pPr>
    </w:p>
    <w:p w14:paraId="63B2ECA4" w14:textId="77777777" w:rsidR="00050371" w:rsidRDefault="00050371" w:rsidP="00375689">
      <w:pPr>
        <w:spacing w:after="0" w:line="360" w:lineRule="auto"/>
        <w:jc w:val="both"/>
        <w:rPr>
          <w:rFonts w:ascii="Arial" w:hAnsi="Arial" w:cs="Arial"/>
        </w:rPr>
      </w:pPr>
    </w:p>
    <w:p w14:paraId="622D3F5F" w14:textId="77777777" w:rsidR="00050371" w:rsidRDefault="00050371" w:rsidP="00375689">
      <w:pPr>
        <w:spacing w:after="0" w:line="360" w:lineRule="auto"/>
        <w:jc w:val="both"/>
        <w:rPr>
          <w:rFonts w:ascii="Arial" w:hAnsi="Arial" w:cs="Arial"/>
        </w:rPr>
      </w:pPr>
    </w:p>
    <w:p w14:paraId="7CE4F9A6" w14:textId="77777777" w:rsidR="00050371" w:rsidRDefault="00050371" w:rsidP="00375689">
      <w:pPr>
        <w:spacing w:after="0" w:line="360" w:lineRule="auto"/>
        <w:jc w:val="both"/>
        <w:rPr>
          <w:rFonts w:ascii="Arial" w:hAnsi="Arial" w:cs="Arial"/>
        </w:rPr>
      </w:pPr>
    </w:p>
    <w:p w14:paraId="774A42D9" w14:textId="77777777" w:rsidR="00050371" w:rsidRDefault="00050371" w:rsidP="00375689">
      <w:pPr>
        <w:spacing w:after="0" w:line="360" w:lineRule="auto"/>
        <w:jc w:val="both"/>
        <w:rPr>
          <w:rFonts w:ascii="Arial" w:hAnsi="Arial" w:cs="Arial"/>
        </w:rPr>
      </w:pPr>
    </w:p>
    <w:p w14:paraId="76F36E19" w14:textId="77777777" w:rsidR="00050371" w:rsidRDefault="00050371" w:rsidP="00375689">
      <w:pPr>
        <w:spacing w:after="0" w:line="360" w:lineRule="auto"/>
        <w:jc w:val="both"/>
        <w:rPr>
          <w:rFonts w:ascii="Arial" w:hAnsi="Arial" w:cs="Arial"/>
        </w:rPr>
      </w:pPr>
    </w:p>
    <w:p w14:paraId="3CDB4E24" w14:textId="77777777" w:rsidR="004E3F9D" w:rsidRDefault="004E3F9D" w:rsidP="00375689">
      <w:pPr>
        <w:spacing w:after="0" w:line="360" w:lineRule="auto"/>
        <w:jc w:val="both"/>
        <w:rPr>
          <w:rFonts w:ascii="Arial" w:hAnsi="Arial" w:cs="Arial"/>
        </w:rPr>
      </w:pPr>
    </w:p>
    <w:p w14:paraId="55E7DCBD" w14:textId="77777777" w:rsidR="004E3F9D" w:rsidRDefault="004E3F9D" w:rsidP="00375689">
      <w:pPr>
        <w:spacing w:after="0" w:line="360" w:lineRule="auto"/>
        <w:jc w:val="both"/>
        <w:rPr>
          <w:rFonts w:ascii="Arial" w:hAnsi="Arial" w:cs="Arial"/>
        </w:rPr>
      </w:pPr>
    </w:p>
    <w:p w14:paraId="5AEF2E57" w14:textId="77777777" w:rsidR="004E3F9D" w:rsidRDefault="004E3F9D" w:rsidP="00375689">
      <w:pPr>
        <w:spacing w:after="0" w:line="360" w:lineRule="auto"/>
        <w:jc w:val="both"/>
        <w:rPr>
          <w:rFonts w:ascii="Arial" w:hAnsi="Arial" w:cs="Arial"/>
        </w:rPr>
      </w:pPr>
    </w:p>
    <w:p w14:paraId="1CB58583" w14:textId="77777777" w:rsidR="004E3F9D" w:rsidRDefault="004E3F9D" w:rsidP="00375689">
      <w:pPr>
        <w:spacing w:after="0" w:line="360" w:lineRule="auto"/>
        <w:jc w:val="both"/>
        <w:rPr>
          <w:rFonts w:ascii="Arial" w:hAnsi="Arial" w:cs="Arial"/>
        </w:rPr>
      </w:pPr>
    </w:p>
    <w:p w14:paraId="0EE88066" w14:textId="77777777" w:rsidR="004E3F9D" w:rsidRDefault="004E3F9D" w:rsidP="00375689">
      <w:pPr>
        <w:spacing w:after="0" w:line="360" w:lineRule="auto"/>
        <w:jc w:val="both"/>
        <w:rPr>
          <w:rFonts w:ascii="Arial" w:hAnsi="Arial" w:cs="Arial"/>
        </w:rPr>
      </w:pPr>
    </w:p>
    <w:p w14:paraId="7625060F" w14:textId="77777777" w:rsidR="004E3F9D" w:rsidRDefault="004E3F9D" w:rsidP="00375689">
      <w:pPr>
        <w:spacing w:after="0" w:line="360" w:lineRule="auto"/>
        <w:jc w:val="both"/>
        <w:rPr>
          <w:rFonts w:ascii="Arial" w:hAnsi="Arial" w:cs="Arial"/>
        </w:rPr>
      </w:pPr>
    </w:p>
    <w:p w14:paraId="4452FF62" w14:textId="77777777" w:rsidR="004E3F9D" w:rsidRDefault="004E3F9D" w:rsidP="00375689">
      <w:pPr>
        <w:spacing w:after="0" w:line="360" w:lineRule="auto"/>
        <w:jc w:val="both"/>
        <w:rPr>
          <w:rFonts w:ascii="Arial" w:hAnsi="Arial" w:cs="Arial"/>
        </w:rPr>
      </w:pPr>
    </w:p>
    <w:p w14:paraId="35916BDB" w14:textId="77777777" w:rsidR="004E3F9D" w:rsidRDefault="004E3F9D" w:rsidP="00375689">
      <w:pPr>
        <w:spacing w:after="0" w:line="360" w:lineRule="auto"/>
        <w:jc w:val="both"/>
        <w:rPr>
          <w:rFonts w:ascii="Arial" w:hAnsi="Arial" w:cs="Arial"/>
        </w:rPr>
      </w:pPr>
    </w:p>
    <w:p w14:paraId="7FB4BA14" w14:textId="77777777" w:rsidR="004E3F9D" w:rsidRDefault="004E3F9D" w:rsidP="00375689">
      <w:pPr>
        <w:spacing w:after="0" w:line="360" w:lineRule="auto"/>
        <w:jc w:val="both"/>
        <w:rPr>
          <w:rFonts w:ascii="Arial" w:hAnsi="Arial" w:cs="Arial"/>
        </w:rPr>
      </w:pPr>
    </w:p>
    <w:p w14:paraId="4A258190" w14:textId="77777777" w:rsidR="004E3F9D" w:rsidRDefault="004E3F9D" w:rsidP="00375689">
      <w:pPr>
        <w:spacing w:after="0" w:line="360" w:lineRule="auto"/>
        <w:jc w:val="both"/>
        <w:rPr>
          <w:rFonts w:ascii="Arial" w:hAnsi="Arial" w:cs="Arial"/>
        </w:rPr>
      </w:pPr>
    </w:p>
    <w:p w14:paraId="3C4CA9AC" w14:textId="77777777" w:rsidR="004E3F9D" w:rsidRDefault="004E3F9D" w:rsidP="00375689">
      <w:pPr>
        <w:spacing w:after="0" w:line="360" w:lineRule="auto"/>
        <w:jc w:val="both"/>
        <w:rPr>
          <w:rFonts w:ascii="Arial" w:hAnsi="Arial" w:cs="Arial"/>
        </w:rPr>
      </w:pPr>
    </w:p>
    <w:p w14:paraId="1A5D5499" w14:textId="77777777" w:rsidR="00050371" w:rsidRDefault="00050371" w:rsidP="00375689">
      <w:pPr>
        <w:spacing w:after="0" w:line="360" w:lineRule="auto"/>
        <w:jc w:val="both"/>
        <w:rPr>
          <w:rFonts w:ascii="Arial" w:hAnsi="Arial" w:cs="Arial"/>
        </w:rPr>
      </w:pPr>
    </w:p>
    <w:p w14:paraId="09833ACA" w14:textId="77777777" w:rsidR="00050371" w:rsidRDefault="00050371" w:rsidP="00375689">
      <w:pPr>
        <w:spacing w:after="0" w:line="360" w:lineRule="auto"/>
        <w:jc w:val="both"/>
        <w:rPr>
          <w:rFonts w:ascii="Arial" w:hAnsi="Arial" w:cs="Arial"/>
        </w:rPr>
      </w:pPr>
    </w:p>
    <w:p w14:paraId="2DAA9B68" w14:textId="77777777" w:rsidR="00234B85" w:rsidRDefault="00234B85" w:rsidP="004E3F9D">
      <w:pPr>
        <w:pStyle w:val="Heading1"/>
        <w:jc w:val="center"/>
      </w:pPr>
      <w:bookmarkStart w:id="11" w:name="_Toc175126666"/>
    </w:p>
    <w:p w14:paraId="0A731C9F" w14:textId="2A663276" w:rsidR="003D7FCB" w:rsidRDefault="003D7FCB" w:rsidP="004E3F9D">
      <w:pPr>
        <w:pStyle w:val="Heading1"/>
        <w:jc w:val="center"/>
      </w:pPr>
      <w:r>
        <w:t>References</w:t>
      </w:r>
      <w:bookmarkEnd w:id="11"/>
    </w:p>
    <w:p w14:paraId="4402AD4B" w14:textId="77777777" w:rsidR="004E3F9D" w:rsidRDefault="004E3F9D" w:rsidP="004E3F9D"/>
    <w:p w14:paraId="78A2F272" w14:textId="77777777" w:rsidR="004E3F9D" w:rsidRPr="004E3F9D" w:rsidRDefault="004E3F9D" w:rsidP="004E3F9D">
      <w:pPr>
        <w:jc w:val="both"/>
      </w:pPr>
    </w:p>
    <w:p w14:paraId="7D1DACF1"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t xml:space="preserve">Adler, M. and Dumas, B. (2019) The Exposure of Long-Term Foreign Currency Bonds. </w:t>
      </w:r>
      <w:r w:rsidRPr="00262380">
        <w:rPr>
          <w:rFonts w:ascii="Arial" w:hAnsi="Arial" w:cs="Arial"/>
          <w:i/>
          <w:iCs/>
        </w:rPr>
        <w:t>The Journal of Financial and Quantitative Analysis</w:t>
      </w:r>
      <w:r w:rsidRPr="00262380">
        <w:rPr>
          <w:rFonts w:ascii="Arial" w:hAnsi="Arial" w:cs="Arial"/>
        </w:rPr>
        <w:t xml:space="preserve">, 15(4), p.973. </w:t>
      </w:r>
      <w:proofErr w:type="spellStart"/>
      <w:proofErr w:type="gramStart"/>
      <w:r w:rsidRPr="00262380">
        <w:rPr>
          <w:rFonts w:ascii="Arial" w:hAnsi="Arial" w:cs="Arial"/>
        </w:rPr>
        <w:t>doi:https</w:t>
      </w:r>
      <w:proofErr w:type="spellEnd"/>
      <w:r w:rsidRPr="00262380">
        <w:rPr>
          <w:rFonts w:ascii="Arial" w:hAnsi="Arial" w:cs="Arial"/>
        </w:rPr>
        <w:t>://doi.org/10.2307/2330573</w:t>
      </w:r>
      <w:proofErr w:type="gramEnd"/>
      <w:r w:rsidRPr="00262380">
        <w:rPr>
          <w:rFonts w:ascii="Arial" w:hAnsi="Arial" w:cs="Arial"/>
        </w:rPr>
        <w:t>.</w:t>
      </w:r>
    </w:p>
    <w:p w14:paraId="768087B1"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proofErr w:type="spellStart"/>
      <w:r w:rsidRPr="00262380">
        <w:rPr>
          <w:rFonts w:ascii="Arial" w:hAnsi="Arial" w:cs="Arial"/>
        </w:rPr>
        <w:t>Allayannis</w:t>
      </w:r>
      <w:proofErr w:type="spellEnd"/>
      <w:r w:rsidRPr="00262380">
        <w:rPr>
          <w:rFonts w:ascii="Arial" w:hAnsi="Arial" w:cs="Arial"/>
        </w:rPr>
        <w:t xml:space="preserve">, G. and Weston, J.P. (2020) The Use of Foreign Currency Derivatives and Firm Market Value. </w:t>
      </w:r>
      <w:r w:rsidRPr="00262380">
        <w:rPr>
          <w:rFonts w:ascii="Arial" w:hAnsi="Arial" w:cs="Arial"/>
          <w:i/>
          <w:iCs/>
        </w:rPr>
        <w:t>Review of Financial Studies</w:t>
      </w:r>
      <w:r w:rsidRPr="00262380">
        <w:rPr>
          <w:rFonts w:ascii="Arial" w:hAnsi="Arial" w:cs="Arial"/>
        </w:rPr>
        <w:t xml:space="preserve">, 14(1), pp.243–276. </w:t>
      </w:r>
      <w:proofErr w:type="spellStart"/>
      <w:proofErr w:type="gramStart"/>
      <w:r w:rsidRPr="00262380">
        <w:rPr>
          <w:rFonts w:ascii="Arial" w:hAnsi="Arial" w:cs="Arial"/>
        </w:rPr>
        <w:t>doi:https</w:t>
      </w:r>
      <w:proofErr w:type="spellEnd"/>
      <w:r w:rsidRPr="00262380">
        <w:rPr>
          <w:rFonts w:ascii="Arial" w:hAnsi="Arial" w:cs="Arial"/>
        </w:rPr>
        <w:t>://doi.org/10.1093/</w:t>
      </w:r>
      <w:proofErr w:type="spellStart"/>
      <w:r w:rsidRPr="00262380">
        <w:rPr>
          <w:rFonts w:ascii="Arial" w:hAnsi="Arial" w:cs="Arial"/>
        </w:rPr>
        <w:t>rfs</w:t>
      </w:r>
      <w:proofErr w:type="spellEnd"/>
      <w:r w:rsidRPr="00262380">
        <w:rPr>
          <w:rFonts w:ascii="Arial" w:hAnsi="Arial" w:cs="Arial"/>
        </w:rPr>
        <w:t>/14.1.243</w:t>
      </w:r>
      <w:proofErr w:type="gramEnd"/>
      <w:r w:rsidRPr="00262380">
        <w:rPr>
          <w:rFonts w:ascii="Arial" w:hAnsi="Arial" w:cs="Arial"/>
        </w:rPr>
        <w:t>.</w:t>
      </w:r>
    </w:p>
    <w:p w14:paraId="3BE291F4"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t xml:space="preserve">Bartram, S.M., Brown, G.W. and Conrad, J. (2021) The Effects of Derivatives on Firm Risk and Value. </w:t>
      </w:r>
      <w:r w:rsidRPr="00262380">
        <w:rPr>
          <w:rFonts w:ascii="Arial" w:hAnsi="Arial" w:cs="Arial"/>
          <w:i/>
          <w:iCs/>
        </w:rPr>
        <w:t>Journal of Financial and Quantitative Analysis</w:t>
      </w:r>
      <w:r w:rsidRPr="00262380">
        <w:rPr>
          <w:rFonts w:ascii="Arial" w:hAnsi="Arial" w:cs="Arial"/>
        </w:rPr>
        <w:t xml:space="preserve">, [online] 46(04), pp.967–999. </w:t>
      </w:r>
      <w:proofErr w:type="spellStart"/>
      <w:proofErr w:type="gramStart"/>
      <w:r w:rsidRPr="00262380">
        <w:rPr>
          <w:rFonts w:ascii="Arial" w:hAnsi="Arial" w:cs="Arial"/>
        </w:rPr>
        <w:t>doi:https</w:t>
      </w:r>
      <w:proofErr w:type="spellEnd"/>
      <w:r w:rsidRPr="00262380">
        <w:rPr>
          <w:rFonts w:ascii="Arial" w:hAnsi="Arial" w:cs="Arial"/>
        </w:rPr>
        <w:t>://doi.org/10.1017/s0022109011000275</w:t>
      </w:r>
      <w:proofErr w:type="gramEnd"/>
      <w:r w:rsidRPr="00262380">
        <w:rPr>
          <w:rFonts w:ascii="Arial" w:hAnsi="Arial" w:cs="Arial"/>
        </w:rPr>
        <w:t>.</w:t>
      </w:r>
    </w:p>
    <w:p w14:paraId="7E0612D5"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proofErr w:type="spellStart"/>
      <w:r w:rsidRPr="00262380">
        <w:rPr>
          <w:rFonts w:ascii="Arial" w:hAnsi="Arial" w:cs="Arial"/>
        </w:rPr>
        <w:t>Bernoth</w:t>
      </w:r>
      <w:proofErr w:type="spellEnd"/>
      <w:r w:rsidRPr="00262380">
        <w:rPr>
          <w:rFonts w:ascii="Arial" w:hAnsi="Arial" w:cs="Arial"/>
        </w:rPr>
        <w:t xml:space="preserve">, K. and </w:t>
      </w:r>
      <w:proofErr w:type="spellStart"/>
      <w:r w:rsidRPr="00262380">
        <w:rPr>
          <w:rFonts w:ascii="Arial" w:hAnsi="Arial" w:cs="Arial"/>
        </w:rPr>
        <w:t>Herwartz</w:t>
      </w:r>
      <w:proofErr w:type="spellEnd"/>
      <w:r w:rsidRPr="00262380">
        <w:rPr>
          <w:rFonts w:ascii="Arial" w:hAnsi="Arial" w:cs="Arial"/>
        </w:rPr>
        <w:t xml:space="preserve">, H. (2021) Exchange rates, foreign currency exposure and sovereign risk. </w:t>
      </w:r>
      <w:r w:rsidRPr="00262380">
        <w:rPr>
          <w:rFonts w:ascii="Arial" w:hAnsi="Arial" w:cs="Arial"/>
          <w:i/>
          <w:iCs/>
        </w:rPr>
        <w:t>Journal of International Money and Finance</w:t>
      </w:r>
      <w:r w:rsidRPr="00262380">
        <w:rPr>
          <w:rFonts w:ascii="Arial" w:hAnsi="Arial" w:cs="Arial"/>
        </w:rPr>
        <w:t xml:space="preserve">, 117, p.102454. </w:t>
      </w:r>
      <w:proofErr w:type="spellStart"/>
      <w:proofErr w:type="gramStart"/>
      <w:r w:rsidRPr="00262380">
        <w:rPr>
          <w:rFonts w:ascii="Arial" w:hAnsi="Arial" w:cs="Arial"/>
        </w:rPr>
        <w:t>doi:https</w:t>
      </w:r>
      <w:proofErr w:type="spellEnd"/>
      <w:r w:rsidRPr="00262380">
        <w:rPr>
          <w:rFonts w:ascii="Arial" w:hAnsi="Arial" w:cs="Arial"/>
        </w:rPr>
        <w:t>://doi.org/10.1016/j.jimonfin.2021.102454</w:t>
      </w:r>
      <w:proofErr w:type="gramEnd"/>
      <w:r w:rsidRPr="00262380">
        <w:rPr>
          <w:rFonts w:ascii="Arial" w:hAnsi="Arial" w:cs="Arial"/>
        </w:rPr>
        <w:t>.</w:t>
      </w:r>
    </w:p>
    <w:p w14:paraId="4A0D6360"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proofErr w:type="spellStart"/>
      <w:r w:rsidRPr="00262380">
        <w:rPr>
          <w:rFonts w:ascii="Arial" w:hAnsi="Arial" w:cs="Arial"/>
        </w:rPr>
        <w:t>Brunnermeier</w:t>
      </w:r>
      <w:proofErr w:type="spellEnd"/>
      <w:r w:rsidRPr="00262380">
        <w:rPr>
          <w:rFonts w:ascii="Arial" w:hAnsi="Arial" w:cs="Arial"/>
        </w:rPr>
        <w:t xml:space="preserve">, M.K., Nagel, S. and Pedersen, L.H. (2019) Carry Trades and Currency Crashes. </w:t>
      </w:r>
      <w:r w:rsidRPr="00262380">
        <w:rPr>
          <w:rFonts w:ascii="Arial" w:hAnsi="Arial" w:cs="Arial"/>
          <w:i/>
          <w:iCs/>
        </w:rPr>
        <w:t>NBER Macroeconomics Annual</w:t>
      </w:r>
      <w:r w:rsidRPr="00262380">
        <w:rPr>
          <w:rFonts w:ascii="Arial" w:hAnsi="Arial" w:cs="Arial"/>
        </w:rPr>
        <w:t xml:space="preserve">, [online] 23(1), pp.313–348. </w:t>
      </w:r>
      <w:proofErr w:type="spellStart"/>
      <w:proofErr w:type="gramStart"/>
      <w:r w:rsidRPr="00262380">
        <w:rPr>
          <w:rFonts w:ascii="Arial" w:hAnsi="Arial" w:cs="Arial"/>
        </w:rPr>
        <w:t>doi:https</w:t>
      </w:r>
      <w:proofErr w:type="spellEnd"/>
      <w:r w:rsidRPr="00262380">
        <w:rPr>
          <w:rFonts w:ascii="Arial" w:hAnsi="Arial" w:cs="Arial"/>
        </w:rPr>
        <w:t>://doi.org/10.1086/593088</w:t>
      </w:r>
      <w:proofErr w:type="gramEnd"/>
      <w:r w:rsidRPr="00262380">
        <w:rPr>
          <w:rFonts w:ascii="Arial" w:hAnsi="Arial" w:cs="Arial"/>
        </w:rPr>
        <w:t>.</w:t>
      </w:r>
    </w:p>
    <w:p w14:paraId="7EAA2639"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t xml:space="preserve">CFI Team (2022) </w:t>
      </w:r>
      <w:r w:rsidRPr="00262380">
        <w:rPr>
          <w:rFonts w:ascii="Arial" w:hAnsi="Arial" w:cs="Arial"/>
          <w:i/>
          <w:iCs/>
        </w:rPr>
        <w:t>Capital Asset Pricing Model (CAPM)</w:t>
      </w:r>
      <w:r w:rsidRPr="00262380">
        <w:rPr>
          <w:rFonts w:ascii="Arial" w:hAnsi="Arial" w:cs="Arial"/>
        </w:rPr>
        <w:t>. [online] Corporate Finance Institute. Available at: https://corporatefinanceinstitute.com/resources/valuation/what-is-capm-formula/.</w:t>
      </w:r>
    </w:p>
    <w:p w14:paraId="60895C6E"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t xml:space="preserve">Chance, D.M. and Brooks, R. (2021) </w:t>
      </w:r>
      <w:r w:rsidRPr="00262380">
        <w:rPr>
          <w:rFonts w:ascii="Arial" w:hAnsi="Arial" w:cs="Arial"/>
          <w:i/>
          <w:iCs/>
        </w:rPr>
        <w:t>An introduction to derivatives and risk management</w:t>
      </w:r>
      <w:r w:rsidRPr="00262380">
        <w:rPr>
          <w:rFonts w:ascii="Arial" w:hAnsi="Arial" w:cs="Arial"/>
        </w:rPr>
        <w:t>. 8th ed. Boston, Ma: Cengage.</w:t>
      </w:r>
    </w:p>
    <w:p w14:paraId="10ABCE3E"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t>Hang, M., Geyer-</w:t>
      </w:r>
      <w:proofErr w:type="spellStart"/>
      <w:r w:rsidRPr="00262380">
        <w:rPr>
          <w:rFonts w:ascii="Arial" w:hAnsi="Arial" w:cs="Arial"/>
        </w:rPr>
        <w:t>Klingeberg</w:t>
      </w:r>
      <w:proofErr w:type="spellEnd"/>
      <w:r w:rsidRPr="00262380">
        <w:rPr>
          <w:rFonts w:ascii="Arial" w:hAnsi="Arial" w:cs="Arial"/>
        </w:rPr>
        <w:t xml:space="preserve">, J., Rathgeber, A.W. and </w:t>
      </w:r>
      <w:proofErr w:type="spellStart"/>
      <w:r w:rsidRPr="00262380">
        <w:rPr>
          <w:rFonts w:ascii="Arial" w:hAnsi="Arial" w:cs="Arial"/>
        </w:rPr>
        <w:t>Stöckl</w:t>
      </w:r>
      <w:proofErr w:type="spellEnd"/>
      <w:r w:rsidRPr="00262380">
        <w:rPr>
          <w:rFonts w:ascii="Arial" w:hAnsi="Arial" w:cs="Arial"/>
        </w:rPr>
        <w:t xml:space="preserve">, S. (2018) Measurement matters—A meta-study of the determinants of corporate capital structure. </w:t>
      </w:r>
      <w:r w:rsidRPr="00262380">
        <w:rPr>
          <w:rFonts w:ascii="Arial" w:hAnsi="Arial" w:cs="Arial"/>
          <w:i/>
          <w:iCs/>
        </w:rPr>
        <w:t>The Quarterly Review of Economics and Finance</w:t>
      </w:r>
      <w:r w:rsidRPr="00262380">
        <w:rPr>
          <w:rFonts w:ascii="Arial" w:hAnsi="Arial" w:cs="Arial"/>
        </w:rPr>
        <w:t xml:space="preserve">, 68, pp.211–225. </w:t>
      </w:r>
      <w:proofErr w:type="spellStart"/>
      <w:proofErr w:type="gramStart"/>
      <w:r w:rsidRPr="00262380">
        <w:rPr>
          <w:rFonts w:ascii="Arial" w:hAnsi="Arial" w:cs="Arial"/>
        </w:rPr>
        <w:t>doi:https</w:t>
      </w:r>
      <w:proofErr w:type="spellEnd"/>
      <w:r w:rsidRPr="00262380">
        <w:rPr>
          <w:rFonts w:ascii="Arial" w:hAnsi="Arial" w:cs="Arial"/>
        </w:rPr>
        <w:t>://doi.org/10.1016/j.qref.2017.11.011</w:t>
      </w:r>
      <w:proofErr w:type="gramEnd"/>
      <w:r w:rsidRPr="00262380">
        <w:rPr>
          <w:rFonts w:ascii="Arial" w:hAnsi="Arial" w:cs="Arial"/>
        </w:rPr>
        <w:t>.</w:t>
      </w:r>
    </w:p>
    <w:p w14:paraId="2A13D1AE"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lastRenderedPageBreak/>
        <w:t xml:space="preserve">Hsiao, Y.-J. and Tsai, W.-C. (2019) Financial literacy and participation in the derivatives markets. </w:t>
      </w:r>
      <w:r w:rsidRPr="00262380">
        <w:rPr>
          <w:rFonts w:ascii="Arial" w:hAnsi="Arial" w:cs="Arial"/>
          <w:i/>
          <w:iCs/>
        </w:rPr>
        <w:t>Journal of Banking &amp; Finance</w:t>
      </w:r>
      <w:r w:rsidRPr="00262380">
        <w:rPr>
          <w:rFonts w:ascii="Arial" w:hAnsi="Arial" w:cs="Arial"/>
        </w:rPr>
        <w:t xml:space="preserve">, 88, pp.15–29. </w:t>
      </w:r>
      <w:proofErr w:type="spellStart"/>
      <w:proofErr w:type="gramStart"/>
      <w:r w:rsidRPr="00262380">
        <w:rPr>
          <w:rFonts w:ascii="Arial" w:hAnsi="Arial" w:cs="Arial"/>
        </w:rPr>
        <w:t>doi:https</w:t>
      </w:r>
      <w:proofErr w:type="spellEnd"/>
      <w:r w:rsidRPr="00262380">
        <w:rPr>
          <w:rFonts w:ascii="Arial" w:hAnsi="Arial" w:cs="Arial"/>
        </w:rPr>
        <w:t>://doi.org/10.1016/j.jbankfin.2017.11.006</w:t>
      </w:r>
      <w:proofErr w:type="gramEnd"/>
      <w:r w:rsidRPr="00262380">
        <w:rPr>
          <w:rFonts w:ascii="Arial" w:hAnsi="Arial" w:cs="Arial"/>
        </w:rPr>
        <w:t>.</w:t>
      </w:r>
    </w:p>
    <w:p w14:paraId="555FB9AE"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t xml:space="preserve">Jacque, L.L. (2020) </w:t>
      </w:r>
      <w:r w:rsidRPr="00262380">
        <w:rPr>
          <w:rFonts w:ascii="Arial" w:hAnsi="Arial" w:cs="Arial"/>
          <w:i/>
          <w:iCs/>
        </w:rPr>
        <w:t xml:space="preserve">International corporate </w:t>
      </w:r>
      <w:proofErr w:type="gramStart"/>
      <w:r w:rsidRPr="00262380">
        <w:rPr>
          <w:rFonts w:ascii="Arial" w:hAnsi="Arial" w:cs="Arial"/>
          <w:i/>
          <w:iCs/>
        </w:rPr>
        <w:t>finance :</w:t>
      </w:r>
      <w:proofErr w:type="gramEnd"/>
      <w:r w:rsidRPr="00262380">
        <w:rPr>
          <w:rFonts w:ascii="Arial" w:hAnsi="Arial" w:cs="Arial"/>
          <w:i/>
          <w:iCs/>
        </w:rPr>
        <w:t xml:space="preserve"> value creation with currency derivatives in global capital markets</w:t>
      </w:r>
      <w:r w:rsidRPr="00262380">
        <w:rPr>
          <w:rFonts w:ascii="Arial" w:hAnsi="Arial" w:cs="Arial"/>
        </w:rPr>
        <w:t>. Hoboken, New Jersey: John Wiley &amp; Sons, Inc.</w:t>
      </w:r>
    </w:p>
    <w:p w14:paraId="54632E43"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t xml:space="preserve">James, J., Leister, M. and Rieger, C. (2023) </w:t>
      </w:r>
      <w:r w:rsidRPr="00262380">
        <w:rPr>
          <w:rFonts w:ascii="Arial" w:hAnsi="Arial" w:cs="Arial"/>
          <w:i/>
          <w:iCs/>
        </w:rPr>
        <w:t>Inflation-Linked Bonds and Derivatives</w:t>
      </w:r>
      <w:r w:rsidRPr="00262380">
        <w:rPr>
          <w:rFonts w:ascii="Arial" w:hAnsi="Arial" w:cs="Arial"/>
        </w:rPr>
        <w:t>. Walter de Gruyter GmbH &amp; Co KG.</w:t>
      </w:r>
    </w:p>
    <w:p w14:paraId="7BF2A950" w14:textId="77777777" w:rsidR="00050371" w:rsidRPr="004E3F9D" w:rsidRDefault="00050371" w:rsidP="004E3F9D">
      <w:pPr>
        <w:pStyle w:val="ListParagraph"/>
        <w:numPr>
          <w:ilvl w:val="0"/>
          <w:numId w:val="3"/>
        </w:numPr>
        <w:spacing w:line="360" w:lineRule="auto"/>
        <w:jc w:val="both"/>
        <w:rPr>
          <w:rFonts w:ascii="Arial" w:hAnsi="Arial" w:cs="Arial"/>
          <w:sz w:val="24"/>
          <w:szCs w:val="24"/>
        </w:rPr>
      </w:pPr>
      <w:proofErr w:type="spellStart"/>
      <w:r w:rsidRPr="004E3F9D">
        <w:rPr>
          <w:rFonts w:ascii="Arial" w:hAnsi="Arial" w:cs="Arial"/>
          <w:sz w:val="24"/>
          <w:szCs w:val="24"/>
        </w:rPr>
        <w:t>Jorion</w:t>
      </w:r>
      <w:proofErr w:type="spellEnd"/>
      <w:r w:rsidRPr="004E3F9D">
        <w:rPr>
          <w:rFonts w:ascii="Arial" w:hAnsi="Arial" w:cs="Arial"/>
          <w:sz w:val="24"/>
          <w:szCs w:val="24"/>
        </w:rPr>
        <w:t xml:space="preserve">, P. (2019) Value at risk: The new benchmark for managing financial risk, 4th </w:t>
      </w:r>
      <w:proofErr w:type="spellStart"/>
      <w:r w:rsidRPr="004E3F9D">
        <w:rPr>
          <w:rFonts w:ascii="Arial" w:hAnsi="Arial" w:cs="Arial"/>
          <w:sz w:val="24"/>
          <w:szCs w:val="24"/>
        </w:rPr>
        <w:t>edn</w:t>
      </w:r>
      <w:proofErr w:type="spellEnd"/>
      <w:r w:rsidRPr="004E3F9D">
        <w:rPr>
          <w:rFonts w:ascii="Arial" w:hAnsi="Arial" w:cs="Arial"/>
          <w:sz w:val="24"/>
          <w:szCs w:val="24"/>
        </w:rPr>
        <w:t>. New York: McGraw-Hill.</w:t>
      </w:r>
    </w:p>
    <w:p w14:paraId="27564E43"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t xml:space="preserve">Larcker, D. and </w:t>
      </w:r>
      <w:proofErr w:type="spellStart"/>
      <w:r w:rsidRPr="00262380">
        <w:rPr>
          <w:rFonts w:ascii="Arial" w:hAnsi="Arial" w:cs="Arial"/>
        </w:rPr>
        <w:t>Tayan</w:t>
      </w:r>
      <w:proofErr w:type="spellEnd"/>
      <w:r w:rsidRPr="00262380">
        <w:rPr>
          <w:rFonts w:ascii="Arial" w:hAnsi="Arial" w:cs="Arial"/>
        </w:rPr>
        <w:t xml:space="preserve">, B. (2020) </w:t>
      </w:r>
      <w:r w:rsidRPr="00262380">
        <w:rPr>
          <w:rFonts w:ascii="Arial" w:hAnsi="Arial" w:cs="Arial"/>
          <w:i/>
          <w:iCs/>
        </w:rPr>
        <w:t xml:space="preserve">CORPORATE GOVERNANCE </w:t>
      </w:r>
      <w:proofErr w:type="gramStart"/>
      <w:r w:rsidRPr="00262380">
        <w:rPr>
          <w:rFonts w:ascii="Arial" w:hAnsi="Arial" w:cs="Arial"/>
          <w:i/>
          <w:iCs/>
        </w:rPr>
        <w:t>MATTERS :</w:t>
      </w:r>
      <w:proofErr w:type="gramEnd"/>
      <w:r w:rsidRPr="00262380">
        <w:rPr>
          <w:rFonts w:ascii="Arial" w:hAnsi="Arial" w:cs="Arial"/>
          <w:i/>
          <w:iCs/>
        </w:rPr>
        <w:t xml:space="preserve"> A CLOSER LOOK AT ORGANIZATIONAL CHOICES AND THEIR CONSEQUENCES</w:t>
      </w:r>
      <w:r w:rsidRPr="00262380">
        <w:rPr>
          <w:rFonts w:ascii="Arial" w:hAnsi="Arial" w:cs="Arial"/>
        </w:rPr>
        <w:t>. 3rd ed. Old Tappan, New Jersey: Pearson Education.</w:t>
      </w:r>
    </w:p>
    <w:p w14:paraId="35051EE8"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t xml:space="preserve">Madura, J., Hoque, A. and </w:t>
      </w:r>
      <w:proofErr w:type="spellStart"/>
      <w:r w:rsidRPr="00262380">
        <w:rPr>
          <w:rFonts w:ascii="Arial" w:hAnsi="Arial" w:cs="Arial"/>
        </w:rPr>
        <w:t>Krishnamrti</w:t>
      </w:r>
      <w:proofErr w:type="spellEnd"/>
      <w:r w:rsidRPr="00262380">
        <w:rPr>
          <w:rFonts w:ascii="Arial" w:hAnsi="Arial" w:cs="Arial"/>
        </w:rPr>
        <w:t xml:space="preserve">, C. (2023) </w:t>
      </w:r>
      <w:r w:rsidRPr="00262380">
        <w:rPr>
          <w:rFonts w:ascii="Arial" w:hAnsi="Arial" w:cs="Arial"/>
          <w:i/>
          <w:iCs/>
        </w:rPr>
        <w:t>International financial management</w:t>
      </w:r>
      <w:r w:rsidRPr="00262380">
        <w:rPr>
          <w:rFonts w:ascii="Arial" w:hAnsi="Arial" w:cs="Arial"/>
        </w:rPr>
        <w:t>. 13th ed. South Melbourne, Australia: Cengage Learning Australia.</w:t>
      </w:r>
    </w:p>
    <w:p w14:paraId="207F7776"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proofErr w:type="spellStart"/>
      <w:r w:rsidRPr="00262380">
        <w:rPr>
          <w:rFonts w:ascii="Arial" w:hAnsi="Arial" w:cs="Arial"/>
        </w:rPr>
        <w:t>Maggiori</w:t>
      </w:r>
      <w:proofErr w:type="spellEnd"/>
      <w:r w:rsidRPr="00262380">
        <w:rPr>
          <w:rFonts w:ascii="Arial" w:hAnsi="Arial" w:cs="Arial"/>
        </w:rPr>
        <w:t xml:space="preserve">, M., Neiman, B. and Schreger, J. (2019) International Currencies and Capital Allocation. </w:t>
      </w:r>
      <w:r w:rsidRPr="00262380">
        <w:rPr>
          <w:rFonts w:ascii="Arial" w:hAnsi="Arial" w:cs="Arial"/>
          <w:i/>
          <w:iCs/>
        </w:rPr>
        <w:t>Journal of Political Economy</w:t>
      </w:r>
      <w:r w:rsidRPr="00262380">
        <w:rPr>
          <w:rFonts w:ascii="Arial" w:hAnsi="Arial" w:cs="Arial"/>
        </w:rPr>
        <w:t xml:space="preserve">. </w:t>
      </w:r>
      <w:proofErr w:type="spellStart"/>
      <w:proofErr w:type="gramStart"/>
      <w:r w:rsidRPr="00262380">
        <w:rPr>
          <w:rFonts w:ascii="Arial" w:hAnsi="Arial" w:cs="Arial"/>
        </w:rPr>
        <w:t>doi:https</w:t>
      </w:r>
      <w:proofErr w:type="spellEnd"/>
      <w:r w:rsidRPr="00262380">
        <w:rPr>
          <w:rFonts w:ascii="Arial" w:hAnsi="Arial" w:cs="Arial"/>
        </w:rPr>
        <w:t>://doi.org/10.1086/705688</w:t>
      </w:r>
      <w:proofErr w:type="gramEnd"/>
      <w:r w:rsidRPr="00262380">
        <w:rPr>
          <w:rFonts w:ascii="Arial" w:hAnsi="Arial" w:cs="Arial"/>
        </w:rPr>
        <w:t>.</w:t>
      </w:r>
    </w:p>
    <w:p w14:paraId="5516A0CA" w14:textId="77777777" w:rsidR="00050371" w:rsidRPr="00262380" w:rsidRDefault="00050371" w:rsidP="004E3F9D">
      <w:pPr>
        <w:pStyle w:val="NormalWeb"/>
        <w:numPr>
          <w:ilvl w:val="0"/>
          <w:numId w:val="3"/>
        </w:numPr>
        <w:spacing w:before="0" w:beforeAutospacing="0" w:after="240" w:afterAutospacing="0" w:line="360" w:lineRule="auto"/>
        <w:jc w:val="both"/>
        <w:rPr>
          <w:rFonts w:ascii="Arial" w:hAnsi="Arial" w:cs="Arial"/>
        </w:rPr>
      </w:pPr>
      <w:r w:rsidRPr="00262380">
        <w:rPr>
          <w:rFonts w:ascii="Arial" w:hAnsi="Arial" w:cs="Arial"/>
        </w:rPr>
        <w:t xml:space="preserve">Shapiro, A.C. and </w:t>
      </w:r>
      <w:proofErr w:type="spellStart"/>
      <w:r w:rsidRPr="00262380">
        <w:rPr>
          <w:rFonts w:ascii="Arial" w:hAnsi="Arial" w:cs="Arial"/>
        </w:rPr>
        <w:t>Hanouna</w:t>
      </w:r>
      <w:proofErr w:type="spellEnd"/>
      <w:r w:rsidRPr="00262380">
        <w:rPr>
          <w:rFonts w:ascii="Arial" w:hAnsi="Arial" w:cs="Arial"/>
        </w:rPr>
        <w:t xml:space="preserve">, P. (2020) </w:t>
      </w:r>
      <w:r w:rsidRPr="00262380">
        <w:rPr>
          <w:rFonts w:ascii="Arial" w:hAnsi="Arial" w:cs="Arial"/>
          <w:i/>
          <w:iCs/>
        </w:rPr>
        <w:t>Multinational Financial Management</w:t>
      </w:r>
      <w:r w:rsidRPr="00262380">
        <w:rPr>
          <w:rFonts w:ascii="Arial" w:hAnsi="Arial" w:cs="Arial"/>
        </w:rPr>
        <w:t>. 11th ed. Hoboken, Nj: Wiley.</w:t>
      </w:r>
    </w:p>
    <w:p w14:paraId="602344B1" w14:textId="77777777" w:rsidR="00050371" w:rsidRPr="00050371" w:rsidRDefault="00050371" w:rsidP="004E3F9D">
      <w:pPr>
        <w:pStyle w:val="NormalWeb"/>
        <w:numPr>
          <w:ilvl w:val="0"/>
          <w:numId w:val="3"/>
        </w:numPr>
        <w:spacing w:before="0" w:beforeAutospacing="0" w:after="240" w:afterAutospacing="0" w:line="360" w:lineRule="auto"/>
        <w:jc w:val="both"/>
        <w:rPr>
          <w:rFonts w:ascii="Arial" w:hAnsi="Arial" w:cs="Arial"/>
        </w:rPr>
      </w:pPr>
      <w:proofErr w:type="spellStart"/>
      <w:r w:rsidRPr="00262380">
        <w:rPr>
          <w:rFonts w:ascii="Arial" w:hAnsi="Arial" w:cs="Arial"/>
        </w:rPr>
        <w:t>Vernimmen</w:t>
      </w:r>
      <w:proofErr w:type="spellEnd"/>
      <w:r w:rsidRPr="00262380">
        <w:rPr>
          <w:rFonts w:ascii="Arial" w:hAnsi="Arial" w:cs="Arial"/>
        </w:rPr>
        <w:t xml:space="preserve">, P., Pascal </w:t>
      </w:r>
      <w:proofErr w:type="spellStart"/>
      <w:r w:rsidRPr="00262380">
        <w:rPr>
          <w:rFonts w:ascii="Arial" w:hAnsi="Arial" w:cs="Arial"/>
        </w:rPr>
        <w:t>Quiry</w:t>
      </w:r>
      <w:proofErr w:type="spellEnd"/>
      <w:r w:rsidRPr="00262380">
        <w:rPr>
          <w:rFonts w:ascii="Arial" w:hAnsi="Arial" w:cs="Arial"/>
        </w:rPr>
        <w:t xml:space="preserve">, Le Fur, Y., Maurizio </w:t>
      </w:r>
      <w:proofErr w:type="spellStart"/>
      <w:r w:rsidRPr="00262380">
        <w:rPr>
          <w:rFonts w:ascii="Arial" w:hAnsi="Arial" w:cs="Arial"/>
        </w:rPr>
        <w:t>Dallocchio</w:t>
      </w:r>
      <w:proofErr w:type="spellEnd"/>
      <w:r w:rsidRPr="00262380">
        <w:rPr>
          <w:rFonts w:ascii="Arial" w:hAnsi="Arial" w:cs="Arial"/>
        </w:rPr>
        <w:t xml:space="preserve">, Salvi, A. and Wiley, J. (2012) </w:t>
      </w:r>
      <w:r w:rsidRPr="00262380">
        <w:rPr>
          <w:rFonts w:ascii="Arial" w:hAnsi="Arial" w:cs="Arial"/>
          <w:i/>
          <w:iCs/>
        </w:rPr>
        <w:t xml:space="preserve">Corporate </w:t>
      </w:r>
      <w:proofErr w:type="gramStart"/>
      <w:r w:rsidRPr="00262380">
        <w:rPr>
          <w:rFonts w:ascii="Arial" w:hAnsi="Arial" w:cs="Arial"/>
          <w:i/>
          <w:iCs/>
        </w:rPr>
        <w:t>finance :</w:t>
      </w:r>
      <w:proofErr w:type="gramEnd"/>
      <w:r w:rsidRPr="00262380">
        <w:rPr>
          <w:rFonts w:ascii="Arial" w:hAnsi="Arial" w:cs="Arial"/>
          <w:i/>
          <w:iCs/>
        </w:rPr>
        <w:t xml:space="preserve"> theory and practice</w:t>
      </w:r>
      <w:r w:rsidRPr="00262380">
        <w:rPr>
          <w:rFonts w:ascii="Arial" w:hAnsi="Arial" w:cs="Arial"/>
        </w:rPr>
        <w:t>. 6th ed. Chichester: Wiley.</w:t>
      </w:r>
    </w:p>
    <w:p w14:paraId="440F15F0" w14:textId="77777777" w:rsidR="003D7FCB" w:rsidRPr="00375689" w:rsidRDefault="003D7FCB" w:rsidP="004E3F9D">
      <w:pPr>
        <w:spacing w:after="0" w:line="360" w:lineRule="auto"/>
        <w:jc w:val="both"/>
        <w:rPr>
          <w:rFonts w:ascii="Arial" w:hAnsi="Arial" w:cs="Arial"/>
        </w:rPr>
      </w:pPr>
    </w:p>
    <w:sectPr w:rsidR="003D7FCB" w:rsidRPr="00375689" w:rsidSect="00234B85">
      <w:footerReference w:type="default" r:id="rId12"/>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F4743" w14:textId="77777777" w:rsidR="008B77E6" w:rsidRDefault="008B77E6" w:rsidP="00083AC7">
      <w:pPr>
        <w:spacing w:after="0" w:line="240" w:lineRule="auto"/>
      </w:pPr>
      <w:r>
        <w:separator/>
      </w:r>
    </w:p>
  </w:endnote>
  <w:endnote w:type="continuationSeparator" w:id="0">
    <w:p w14:paraId="566E0B31" w14:textId="77777777" w:rsidR="008B77E6" w:rsidRDefault="008B77E6" w:rsidP="00083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8253829"/>
      <w:docPartObj>
        <w:docPartGallery w:val="Page Numbers (Bottom of Page)"/>
        <w:docPartUnique/>
      </w:docPartObj>
    </w:sdtPr>
    <w:sdtContent>
      <w:p w14:paraId="2C2FA9D1" w14:textId="77777777" w:rsidR="00083AC7" w:rsidRDefault="00000000">
        <w:pPr>
          <w:pStyle w:val="Footer"/>
          <w:jc w:val="center"/>
        </w:pPr>
        <w:r>
          <w:fldChar w:fldCharType="begin"/>
        </w:r>
        <w:r>
          <w:instrText xml:space="preserve"> PAGE   \* MERGEFORMAT </w:instrText>
        </w:r>
        <w:r>
          <w:fldChar w:fldCharType="separate"/>
        </w:r>
        <w:r w:rsidR="00D05E5F">
          <w:rPr>
            <w:noProof/>
          </w:rPr>
          <w:t>1</w:t>
        </w:r>
        <w:r>
          <w:rPr>
            <w:noProof/>
          </w:rPr>
          <w:fldChar w:fldCharType="end"/>
        </w:r>
      </w:p>
    </w:sdtContent>
  </w:sdt>
  <w:p w14:paraId="3B9280F5" w14:textId="77777777" w:rsidR="00083AC7" w:rsidRDefault="00083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840C8" w14:textId="77777777" w:rsidR="008B77E6" w:rsidRDefault="008B77E6" w:rsidP="00083AC7">
      <w:pPr>
        <w:spacing w:after="0" w:line="240" w:lineRule="auto"/>
      </w:pPr>
      <w:r>
        <w:separator/>
      </w:r>
    </w:p>
  </w:footnote>
  <w:footnote w:type="continuationSeparator" w:id="0">
    <w:p w14:paraId="6A6846EA" w14:textId="77777777" w:rsidR="008B77E6" w:rsidRDefault="008B77E6" w:rsidP="00083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F20902"/>
    <w:multiLevelType w:val="multilevel"/>
    <w:tmpl w:val="7102C19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87A2CF6"/>
    <w:multiLevelType w:val="multilevel"/>
    <w:tmpl w:val="34563D1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E071511"/>
    <w:multiLevelType w:val="hybridMultilevel"/>
    <w:tmpl w:val="D6A05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AC36BE"/>
    <w:multiLevelType w:val="hybridMultilevel"/>
    <w:tmpl w:val="EA3C7FA2"/>
    <w:lvl w:ilvl="0" w:tplc="B202A5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E74FAF"/>
    <w:multiLevelType w:val="hybridMultilevel"/>
    <w:tmpl w:val="31DC541E"/>
    <w:lvl w:ilvl="0" w:tplc="B202A5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575B5C"/>
    <w:multiLevelType w:val="multilevel"/>
    <w:tmpl w:val="53429A7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870534608">
    <w:abstractNumId w:val="3"/>
  </w:num>
  <w:num w:numId="2" w16cid:durableId="453905535">
    <w:abstractNumId w:val="5"/>
  </w:num>
  <w:num w:numId="3" w16cid:durableId="138614943">
    <w:abstractNumId w:val="2"/>
  </w:num>
  <w:num w:numId="4" w16cid:durableId="1311056597">
    <w:abstractNumId w:val="4"/>
  </w:num>
  <w:num w:numId="5" w16cid:durableId="1197280264">
    <w:abstractNumId w:val="0"/>
  </w:num>
  <w:num w:numId="6" w16cid:durableId="492641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317"/>
    <w:rsid w:val="00050371"/>
    <w:rsid w:val="00083AC7"/>
    <w:rsid w:val="000924CC"/>
    <w:rsid w:val="00115D39"/>
    <w:rsid w:val="00136DB0"/>
    <w:rsid w:val="00174827"/>
    <w:rsid w:val="00210945"/>
    <w:rsid w:val="00234B85"/>
    <w:rsid w:val="00254BDF"/>
    <w:rsid w:val="00262380"/>
    <w:rsid w:val="002C1523"/>
    <w:rsid w:val="002D67DE"/>
    <w:rsid w:val="00375689"/>
    <w:rsid w:val="00380D3E"/>
    <w:rsid w:val="00386D52"/>
    <w:rsid w:val="003926AF"/>
    <w:rsid w:val="003C32F3"/>
    <w:rsid w:val="003D7FCB"/>
    <w:rsid w:val="00406F0A"/>
    <w:rsid w:val="00467CDB"/>
    <w:rsid w:val="00467E19"/>
    <w:rsid w:val="00481DF3"/>
    <w:rsid w:val="004E3F9D"/>
    <w:rsid w:val="00521BA2"/>
    <w:rsid w:val="0054181B"/>
    <w:rsid w:val="0057325A"/>
    <w:rsid w:val="00585AD7"/>
    <w:rsid w:val="005C23BA"/>
    <w:rsid w:val="005D3317"/>
    <w:rsid w:val="00622EA6"/>
    <w:rsid w:val="006721C6"/>
    <w:rsid w:val="00696959"/>
    <w:rsid w:val="006E32C6"/>
    <w:rsid w:val="0070497E"/>
    <w:rsid w:val="007227F3"/>
    <w:rsid w:val="00824803"/>
    <w:rsid w:val="008B77E6"/>
    <w:rsid w:val="009327B1"/>
    <w:rsid w:val="00960BC5"/>
    <w:rsid w:val="00970AF2"/>
    <w:rsid w:val="00996B36"/>
    <w:rsid w:val="009D6479"/>
    <w:rsid w:val="00A92632"/>
    <w:rsid w:val="00B35682"/>
    <w:rsid w:val="00B60632"/>
    <w:rsid w:val="00B93310"/>
    <w:rsid w:val="00C12322"/>
    <w:rsid w:val="00CF1071"/>
    <w:rsid w:val="00D05373"/>
    <w:rsid w:val="00D05E5F"/>
    <w:rsid w:val="00D10351"/>
    <w:rsid w:val="00D31309"/>
    <w:rsid w:val="00D86D42"/>
    <w:rsid w:val="00DE1BE2"/>
    <w:rsid w:val="00E439FC"/>
    <w:rsid w:val="00E472FF"/>
    <w:rsid w:val="00E77C47"/>
    <w:rsid w:val="00EA47C8"/>
    <w:rsid w:val="00ED3D03"/>
    <w:rsid w:val="00F563CD"/>
    <w:rsid w:val="00F7258B"/>
    <w:rsid w:val="00F951FC"/>
    <w:rsid w:val="00F9614B"/>
    <w:rsid w:val="00FC32AA"/>
    <w:rsid w:val="00FC362A"/>
    <w:rsid w:val="00FE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9D7DC"/>
  <w15:docId w15:val="{0FD75D21-1883-694B-88EB-C30DB04AB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310"/>
  </w:style>
  <w:style w:type="paragraph" w:styleId="Heading1">
    <w:name w:val="heading 1"/>
    <w:basedOn w:val="Normal"/>
    <w:next w:val="Normal"/>
    <w:link w:val="Heading1Char"/>
    <w:uiPriority w:val="9"/>
    <w:qFormat/>
    <w:rsid w:val="00375689"/>
    <w:pPr>
      <w:keepNext/>
      <w:keepLines/>
      <w:spacing w:before="480" w:after="0"/>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375689"/>
    <w:pPr>
      <w:keepNext/>
      <w:keepLines/>
      <w:spacing w:before="200" w:after="0"/>
      <w:outlineLvl w:val="1"/>
    </w:pPr>
    <w:rPr>
      <w:rFonts w:ascii="Arial" w:eastAsiaTheme="majorEastAsia" w:hAnsi="Arial"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6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959"/>
    <w:rPr>
      <w:rFonts w:ascii="Tahoma" w:hAnsi="Tahoma" w:cs="Tahoma"/>
      <w:sz w:val="16"/>
      <w:szCs w:val="16"/>
    </w:rPr>
  </w:style>
  <w:style w:type="paragraph" w:styleId="NormalWeb">
    <w:name w:val="Normal (Web)"/>
    <w:basedOn w:val="Normal"/>
    <w:uiPriority w:val="99"/>
    <w:semiHidden/>
    <w:unhideWhenUsed/>
    <w:rsid w:val="005C23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75689"/>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375689"/>
    <w:rPr>
      <w:rFonts w:ascii="Arial" w:eastAsiaTheme="majorEastAsia" w:hAnsi="Arial" w:cstheme="majorBidi"/>
      <w:b/>
      <w:bCs/>
      <w:sz w:val="24"/>
      <w:szCs w:val="26"/>
    </w:rPr>
  </w:style>
  <w:style w:type="paragraph" w:styleId="Header">
    <w:name w:val="header"/>
    <w:basedOn w:val="Normal"/>
    <w:link w:val="HeaderChar"/>
    <w:uiPriority w:val="99"/>
    <w:semiHidden/>
    <w:unhideWhenUsed/>
    <w:rsid w:val="00083AC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83AC7"/>
  </w:style>
  <w:style w:type="paragraph" w:styleId="Footer">
    <w:name w:val="footer"/>
    <w:basedOn w:val="Normal"/>
    <w:link w:val="FooterChar"/>
    <w:uiPriority w:val="99"/>
    <w:unhideWhenUsed/>
    <w:rsid w:val="00083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AC7"/>
  </w:style>
  <w:style w:type="paragraph" w:styleId="TOCHeading">
    <w:name w:val="TOC Heading"/>
    <w:basedOn w:val="Heading1"/>
    <w:next w:val="Normal"/>
    <w:uiPriority w:val="39"/>
    <w:unhideWhenUsed/>
    <w:qFormat/>
    <w:rsid w:val="000924CC"/>
    <w:pPr>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0924CC"/>
    <w:pPr>
      <w:spacing w:before="360" w:after="360"/>
    </w:pPr>
    <w:rPr>
      <w:rFonts w:cstheme="minorHAnsi"/>
      <w:b/>
      <w:bCs/>
      <w:caps/>
      <w:u w:val="single"/>
    </w:rPr>
  </w:style>
  <w:style w:type="paragraph" w:styleId="TOC2">
    <w:name w:val="toc 2"/>
    <w:basedOn w:val="Normal"/>
    <w:next w:val="Normal"/>
    <w:autoRedefine/>
    <w:uiPriority w:val="39"/>
    <w:unhideWhenUsed/>
    <w:rsid w:val="000924CC"/>
    <w:pPr>
      <w:spacing w:after="0"/>
    </w:pPr>
    <w:rPr>
      <w:rFonts w:cstheme="minorHAnsi"/>
      <w:b/>
      <w:bCs/>
      <w:smallCaps/>
    </w:rPr>
  </w:style>
  <w:style w:type="character" w:styleId="Hyperlink">
    <w:name w:val="Hyperlink"/>
    <w:basedOn w:val="DefaultParagraphFont"/>
    <w:uiPriority w:val="99"/>
    <w:unhideWhenUsed/>
    <w:rsid w:val="000924CC"/>
    <w:rPr>
      <w:color w:val="0000FF" w:themeColor="hyperlink"/>
      <w:u w:val="single"/>
    </w:rPr>
  </w:style>
  <w:style w:type="paragraph" w:customStyle="1" w:styleId="Normal1">
    <w:name w:val="Normal1"/>
    <w:rsid w:val="00254BDF"/>
    <w:pPr>
      <w:spacing w:after="0"/>
    </w:pPr>
    <w:rPr>
      <w:rFonts w:ascii="Arial" w:eastAsia="Arial" w:hAnsi="Arial" w:cs="Arial"/>
      <w:lang w:val="en-US" w:eastAsia="en-US"/>
    </w:rPr>
  </w:style>
  <w:style w:type="paragraph" w:styleId="TOC3">
    <w:name w:val="toc 3"/>
    <w:basedOn w:val="Normal"/>
    <w:next w:val="Normal"/>
    <w:autoRedefine/>
    <w:uiPriority w:val="39"/>
    <w:semiHidden/>
    <w:unhideWhenUsed/>
    <w:rsid w:val="00254BDF"/>
    <w:pPr>
      <w:spacing w:after="0"/>
    </w:pPr>
    <w:rPr>
      <w:rFonts w:cstheme="minorHAnsi"/>
      <w:smallCaps/>
    </w:rPr>
  </w:style>
  <w:style w:type="paragraph" w:styleId="TOC4">
    <w:name w:val="toc 4"/>
    <w:basedOn w:val="Normal"/>
    <w:next w:val="Normal"/>
    <w:autoRedefine/>
    <w:uiPriority w:val="39"/>
    <w:semiHidden/>
    <w:unhideWhenUsed/>
    <w:rsid w:val="00254BDF"/>
    <w:pPr>
      <w:spacing w:after="0"/>
    </w:pPr>
    <w:rPr>
      <w:rFonts w:cstheme="minorHAnsi"/>
    </w:rPr>
  </w:style>
  <w:style w:type="paragraph" w:styleId="TOC5">
    <w:name w:val="toc 5"/>
    <w:basedOn w:val="Normal"/>
    <w:next w:val="Normal"/>
    <w:autoRedefine/>
    <w:uiPriority w:val="39"/>
    <w:semiHidden/>
    <w:unhideWhenUsed/>
    <w:rsid w:val="00254BDF"/>
    <w:pPr>
      <w:spacing w:after="0"/>
    </w:pPr>
    <w:rPr>
      <w:rFonts w:cstheme="minorHAnsi"/>
    </w:rPr>
  </w:style>
  <w:style w:type="paragraph" w:styleId="TOC6">
    <w:name w:val="toc 6"/>
    <w:basedOn w:val="Normal"/>
    <w:next w:val="Normal"/>
    <w:autoRedefine/>
    <w:uiPriority w:val="39"/>
    <w:semiHidden/>
    <w:unhideWhenUsed/>
    <w:rsid w:val="00254BDF"/>
    <w:pPr>
      <w:spacing w:after="0"/>
    </w:pPr>
    <w:rPr>
      <w:rFonts w:cstheme="minorHAnsi"/>
    </w:rPr>
  </w:style>
  <w:style w:type="paragraph" w:styleId="TOC7">
    <w:name w:val="toc 7"/>
    <w:basedOn w:val="Normal"/>
    <w:next w:val="Normal"/>
    <w:autoRedefine/>
    <w:uiPriority w:val="39"/>
    <w:semiHidden/>
    <w:unhideWhenUsed/>
    <w:rsid w:val="00254BDF"/>
    <w:pPr>
      <w:spacing w:after="0"/>
    </w:pPr>
    <w:rPr>
      <w:rFonts w:cstheme="minorHAnsi"/>
    </w:rPr>
  </w:style>
  <w:style w:type="paragraph" w:styleId="TOC8">
    <w:name w:val="toc 8"/>
    <w:basedOn w:val="Normal"/>
    <w:next w:val="Normal"/>
    <w:autoRedefine/>
    <w:uiPriority w:val="39"/>
    <w:semiHidden/>
    <w:unhideWhenUsed/>
    <w:rsid w:val="00254BDF"/>
    <w:pPr>
      <w:spacing w:after="0"/>
    </w:pPr>
    <w:rPr>
      <w:rFonts w:cstheme="minorHAnsi"/>
    </w:rPr>
  </w:style>
  <w:style w:type="paragraph" w:styleId="TOC9">
    <w:name w:val="toc 9"/>
    <w:basedOn w:val="Normal"/>
    <w:next w:val="Normal"/>
    <w:autoRedefine/>
    <w:uiPriority w:val="39"/>
    <w:semiHidden/>
    <w:unhideWhenUsed/>
    <w:rsid w:val="00254BDF"/>
    <w:pPr>
      <w:spacing w:after="0"/>
    </w:pPr>
    <w:rPr>
      <w:rFonts w:cstheme="minorHAnsi"/>
    </w:rPr>
  </w:style>
  <w:style w:type="paragraph" w:styleId="ListParagraph">
    <w:name w:val="List Paragraph"/>
    <w:basedOn w:val="Normal"/>
    <w:uiPriority w:val="34"/>
    <w:qFormat/>
    <w:rsid w:val="004E3F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2338144">
      <w:bodyDiv w:val="1"/>
      <w:marLeft w:val="0"/>
      <w:marRight w:val="0"/>
      <w:marTop w:val="0"/>
      <w:marBottom w:val="0"/>
      <w:divBdr>
        <w:top w:val="none" w:sz="0" w:space="0" w:color="auto"/>
        <w:left w:val="none" w:sz="0" w:space="0" w:color="auto"/>
        <w:bottom w:val="none" w:sz="0" w:space="0" w:color="auto"/>
        <w:right w:val="none" w:sz="0" w:space="0" w:color="auto"/>
      </w:divBdr>
    </w:div>
    <w:div w:id="771048193">
      <w:bodyDiv w:val="1"/>
      <w:marLeft w:val="0"/>
      <w:marRight w:val="0"/>
      <w:marTop w:val="0"/>
      <w:marBottom w:val="0"/>
      <w:divBdr>
        <w:top w:val="none" w:sz="0" w:space="0" w:color="auto"/>
        <w:left w:val="none" w:sz="0" w:space="0" w:color="auto"/>
        <w:bottom w:val="none" w:sz="0" w:space="0" w:color="auto"/>
        <w:right w:val="none" w:sz="0" w:space="0" w:color="auto"/>
      </w:divBdr>
    </w:div>
    <w:div w:id="794829868">
      <w:bodyDiv w:val="1"/>
      <w:marLeft w:val="0"/>
      <w:marRight w:val="0"/>
      <w:marTop w:val="0"/>
      <w:marBottom w:val="0"/>
      <w:divBdr>
        <w:top w:val="none" w:sz="0" w:space="0" w:color="auto"/>
        <w:left w:val="none" w:sz="0" w:space="0" w:color="auto"/>
        <w:bottom w:val="none" w:sz="0" w:space="0" w:color="auto"/>
        <w:right w:val="none" w:sz="0" w:space="0" w:color="auto"/>
      </w:divBdr>
    </w:div>
    <w:div w:id="1060782655">
      <w:bodyDiv w:val="1"/>
      <w:marLeft w:val="0"/>
      <w:marRight w:val="0"/>
      <w:marTop w:val="0"/>
      <w:marBottom w:val="0"/>
      <w:divBdr>
        <w:top w:val="none" w:sz="0" w:space="0" w:color="auto"/>
        <w:left w:val="none" w:sz="0" w:space="0" w:color="auto"/>
        <w:bottom w:val="none" w:sz="0" w:space="0" w:color="auto"/>
        <w:right w:val="none" w:sz="0" w:space="0" w:color="auto"/>
      </w:divBdr>
    </w:div>
    <w:div w:id="1071124983">
      <w:bodyDiv w:val="1"/>
      <w:marLeft w:val="0"/>
      <w:marRight w:val="0"/>
      <w:marTop w:val="0"/>
      <w:marBottom w:val="0"/>
      <w:divBdr>
        <w:top w:val="none" w:sz="0" w:space="0" w:color="auto"/>
        <w:left w:val="none" w:sz="0" w:space="0" w:color="auto"/>
        <w:bottom w:val="none" w:sz="0" w:space="0" w:color="auto"/>
        <w:right w:val="none" w:sz="0" w:space="0" w:color="auto"/>
      </w:divBdr>
    </w:div>
    <w:div w:id="1099065462">
      <w:bodyDiv w:val="1"/>
      <w:marLeft w:val="0"/>
      <w:marRight w:val="0"/>
      <w:marTop w:val="0"/>
      <w:marBottom w:val="0"/>
      <w:divBdr>
        <w:top w:val="none" w:sz="0" w:space="0" w:color="auto"/>
        <w:left w:val="none" w:sz="0" w:space="0" w:color="auto"/>
        <w:bottom w:val="none" w:sz="0" w:space="0" w:color="auto"/>
        <w:right w:val="none" w:sz="0" w:space="0" w:color="auto"/>
      </w:divBdr>
    </w:div>
    <w:div w:id="1526404933">
      <w:bodyDiv w:val="1"/>
      <w:marLeft w:val="0"/>
      <w:marRight w:val="0"/>
      <w:marTop w:val="0"/>
      <w:marBottom w:val="0"/>
      <w:divBdr>
        <w:top w:val="none" w:sz="0" w:space="0" w:color="auto"/>
        <w:left w:val="none" w:sz="0" w:space="0" w:color="auto"/>
        <w:bottom w:val="none" w:sz="0" w:space="0" w:color="auto"/>
        <w:right w:val="none" w:sz="0" w:space="0" w:color="auto"/>
      </w:divBdr>
    </w:div>
    <w:div w:id="1742406974">
      <w:bodyDiv w:val="1"/>
      <w:marLeft w:val="0"/>
      <w:marRight w:val="0"/>
      <w:marTop w:val="0"/>
      <w:marBottom w:val="0"/>
      <w:divBdr>
        <w:top w:val="none" w:sz="0" w:space="0" w:color="auto"/>
        <w:left w:val="none" w:sz="0" w:space="0" w:color="auto"/>
        <w:bottom w:val="none" w:sz="0" w:space="0" w:color="auto"/>
        <w:right w:val="none" w:sz="0" w:space="0" w:color="auto"/>
      </w:divBdr>
    </w:div>
    <w:div w:id="180704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928AE-7958-45F5-9FDA-ADB837388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2414</Words>
  <Characters>13763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Vitelaru (2133624)</cp:lastModifiedBy>
  <cp:revision>3</cp:revision>
  <cp:lastPrinted>2024-07-15T13:56:00Z</cp:lastPrinted>
  <dcterms:created xsi:type="dcterms:W3CDTF">2024-08-21T09:07:00Z</dcterms:created>
  <dcterms:modified xsi:type="dcterms:W3CDTF">2024-08-21T09:10:00Z</dcterms:modified>
</cp:coreProperties>
</file>