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00000001">
      <w:pPr>
        <w:pStyle w:val="style0"/>
        <w:jc w:val="center"/>
        <w:rPr/>
      </w:pPr>
    </w:p>
    <w:p w14:paraId="00000002">
      <w:pPr>
        <w:pStyle w:val="style0"/>
        <w:jc w:val="center"/>
        <w:rPr/>
      </w:pPr>
    </w:p>
    <w:p w14:paraId="00000003">
      <w:pPr>
        <w:pStyle w:val="style0"/>
        <w:jc w:val="center"/>
        <w:rPr/>
      </w:pPr>
    </w:p>
    <w:p w14:paraId="00000004">
      <w:pPr>
        <w:pStyle w:val="style0"/>
        <w:jc w:val="center"/>
        <w:rPr/>
      </w:pPr>
      <w:r>
        <w:rPr/>
        <w:drawing>
          <wp:inline distL="0" distT="0" distB="0" distR="0">
            <wp:extent cx="2040924" cy="935273"/>
            <wp:effectExtent l="0" t="0" r="0" b="0"/>
            <wp:docPr id="1026" name="image1.png" descr="Discover University of Wales Trinity Saint Davi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 cstate="print"/>
                    <a:srcRect l="0" t="0" r="0" b="0"/>
                    <a:stretch/>
                  </pic:blipFill>
                  <pic:spPr>
                    <a:xfrm rot="0">
                      <a:off x="0" y="0"/>
                      <a:ext cx="2040924" cy="935273"/>
                    </a:xfrm>
                    <a:prstGeom prst="rect"/>
                    <a:ln cmpd="sng" cap="flat" w="9525">
                      <a:solidFill>
                        <a:srgbClr val="000000"/>
                      </a:solidFill>
                      <a:prstDash val="solid"/>
                      <a:round/>
                      <a:headEnd/>
                      <a:tailEnd/>
                    </a:ln>
                  </pic:spPr>
                </pic:pic>
              </a:graphicData>
            </a:graphic>
          </wp:inline>
        </w:drawing>
      </w:r>
    </w:p>
    <w:p w14:paraId="00000005">
      <w:pPr>
        <w:pStyle w:val="style0"/>
        <w:rPr/>
      </w:pPr>
    </w:p>
    <w:p w14:paraId="00000006">
      <w:pPr>
        <w:pStyle w:val="style0"/>
        <w:rPr/>
      </w:pPr>
    </w:p>
    <w:p w14:paraId="00000007">
      <w:pPr>
        <w:pStyle w:val="style0"/>
        <w:rPr/>
      </w:pPr>
    </w:p>
    <w:p w14:paraId="00000008">
      <w:pPr>
        <w:pStyle w:val="style0"/>
        <w:widowControl w:val="false"/>
        <w:tabs>
          <w:tab w:val="left" w:leader="none" w:pos="940"/>
          <w:tab w:val="left" w:leader="none" w:pos="941"/>
        </w:tabs>
        <w:spacing w:lineRule="auto" w:line="360"/>
        <w:jc w:val="center"/>
        <w:rPr>
          <w:b/>
          <w:bCs/>
          <w:sz w:val="36"/>
          <w:szCs w:val="36"/>
        </w:rPr>
      </w:pPr>
      <w:r>
        <w:rPr>
          <w:b/>
          <w:bCs/>
          <w:sz w:val="36"/>
          <w:szCs w:val="36"/>
        </w:rPr>
        <w:t xml:space="preserve">Master of Business </w:t>
      </w:r>
      <w:r>
        <w:rPr>
          <w:b/>
          <w:bCs/>
          <w:sz w:val="36"/>
          <w:szCs w:val="36"/>
        </w:rPr>
        <w:t>Administration</w:t>
      </w:r>
    </w:p>
    <w:p w14:paraId="00000009">
      <w:pPr>
        <w:pStyle w:val="style0"/>
        <w:widowControl w:val="false"/>
        <w:tabs>
          <w:tab w:val="left" w:leader="none" w:pos="940"/>
          <w:tab w:val="left" w:leader="none" w:pos="941"/>
        </w:tabs>
        <w:spacing w:lineRule="auto" w:line="360"/>
        <w:jc w:val="center"/>
        <w:rPr>
          <w:b/>
          <w:bCs/>
          <w:sz w:val="24"/>
          <w:szCs w:val="24"/>
        </w:rPr>
      </w:pPr>
    </w:p>
    <w:p w14:paraId="0000000A">
      <w:pPr>
        <w:pStyle w:val="style0"/>
        <w:widowControl w:val="false"/>
        <w:tabs>
          <w:tab w:val="left" w:leader="none" w:pos="940"/>
          <w:tab w:val="left" w:leader="none" w:pos="941"/>
        </w:tabs>
        <w:spacing w:lineRule="auto" w:line="360"/>
        <w:jc w:val="center"/>
        <w:rPr>
          <w:b/>
          <w:bCs/>
          <w:sz w:val="24"/>
          <w:szCs w:val="24"/>
        </w:rPr>
      </w:pPr>
    </w:p>
    <w:p w14:paraId="0000000C">
      <w:pPr>
        <w:pStyle w:val="style0"/>
        <w:widowControl w:val="false"/>
        <w:tabs>
          <w:tab w:val="left" w:leader="none" w:pos="940"/>
          <w:tab w:val="left" w:leader="none" w:pos="941"/>
        </w:tabs>
        <w:spacing w:lineRule="auto" w:line="360"/>
        <w:jc w:val="left"/>
        <w:rPr>
          <w:b/>
          <w:bCs/>
          <w:sz w:val="24"/>
          <w:szCs w:val="24"/>
        </w:rPr>
      </w:pPr>
    </w:p>
    <w:p w14:paraId="0000000D">
      <w:pPr>
        <w:pStyle w:val="style0"/>
        <w:widowControl w:val="false"/>
        <w:tabs>
          <w:tab w:val="left" w:leader="none" w:pos="940"/>
          <w:tab w:val="left" w:leader="none" w:pos="941"/>
        </w:tabs>
        <w:spacing w:lineRule="auto" w:line="360"/>
        <w:jc w:val="center"/>
        <w:rPr>
          <w:b/>
          <w:bCs/>
          <w:sz w:val="24"/>
          <w:szCs w:val="24"/>
        </w:rPr>
      </w:pPr>
    </w:p>
    <w:p w14:paraId="0000000E">
      <w:pPr>
        <w:pStyle w:val="style0"/>
        <w:widowControl w:val="false"/>
        <w:tabs>
          <w:tab w:val="left" w:leader="none" w:pos="940"/>
          <w:tab w:val="left" w:leader="none" w:pos="941"/>
        </w:tabs>
        <w:spacing w:lineRule="auto" w:line="360"/>
        <w:jc w:val="center"/>
        <w:rPr>
          <w:b/>
          <w:bCs/>
          <w:sz w:val="24"/>
          <w:szCs w:val="24"/>
        </w:rPr>
      </w:pPr>
      <w:r>
        <w:rPr>
          <w:b/>
          <w:bCs/>
          <w:sz w:val="24"/>
          <w:szCs w:val="24"/>
        </w:rPr>
        <w:t>Module: Marketing Management</w:t>
      </w:r>
    </w:p>
    <w:p w14:paraId="0000000F">
      <w:pPr>
        <w:pStyle w:val="style0"/>
        <w:widowControl w:val="false"/>
        <w:tabs>
          <w:tab w:val="left" w:leader="none" w:pos="940"/>
          <w:tab w:val="left" w:leader="none" w:pos="941"/>
        </w:tabs>
        <w:spacing w:lineRule="auto" w:line="360"/>
        <w:jc w:val="center"/>
        <w:rPr>
          <w:b/>
          <w:bCs/>
          <w:sz w:val="24"/>
          <w:szCs w:val="24"/>
        </w:rPr>
      </w:pPr>
      <w:r>
        <w:rPr>
          <w:b/>
          <w:bCs/>
          <w:sz w:val="24"/>
          <w:szCs w:val="24"/>
        </w:rPr>
        <w:t xml:space="preserve">Module code: </w:t>
      </w:r>
      <w:r>
        <w:rPr>
          <w:b/>
          <w:bCs/>
          <w:sz w:val="24"/>
          <w:szCs w:val="24"/>
        </w:rPr>
        <w:t>LCMB7024</w:t>
      </w:r>
    </w:p>
    <w:p w14:paraId="00000010">
      <w:pPr>
        <w:pStyle w:val="style0"/>
        <w:widowControl w:val="false"/>
        <w:tabs>
          <w:tab w:val="left" w:leader="none" w:pos="940"/>
          <w:tab w:val="left" w:leader="none" w:pos="941"/>
        </w:tabs>
        <w:spacing w:lineRule="auto" w:line="360"/>
        <w:jc w:val="center"/>
        <w:rPr>
          <w:b/>
          <w:bCs/>
          <w:sz w:val="24"/>
          <w:szCs w:val="24"/>
        </w:rPr>
      </w:pPr>
    </w:p>
    <w:p w14:paraId="00000011">
      <w:pPr>
        <w:pStyle w:val="style0"/>
        <w:widowControl w:val="false"/>
        <w:tabs>
          <w:tab w:val="left" w:leader="none" w:pos="940"/>
          <w:tab w:val="left" w:leader="none" w:pos="941"/>
        </w:tabs>
        <w:spacing w:before="0" w:after="0" w:lineRule="auto" w:line="360"/>
        <w:ind w:left="0" w:firstLine="0"/>
        <w:jc w:val="center"/>
        <w:rPr>
          <w:b/>
          <w:bCs/>
          <w:sz w:val="32"/>
          <w:szCs w:val="32"/>
        </w:rPr>
      </w:pPr>
      <w:r>
        <w:rPr>
          <w:b/>
          <w:bCs/>
          <w:sz w:val="32"/>
          <w:szCs w:val="32"/>
        </w:rPr>
        <w:t>STRATEGIC GROWTH AND COMPETITIVE POSITIONING OF TATA STEEL IN THE LOWER</w:t>
      </w:r>
      <w:r>
        <w:rPr>
          <w:b/>
          <w:bCs/>
          <w:sz w:val="32"/>
          <w:szCs w:val="32"/>
        </w:rPr>
        <w:t>-CARBON STEEL MARKET</w:t>
      </w:r>
    </w:p>
    <w:p w14:paraId="00000012">
      <w:pPr>
        <w:pStyle w:val="style0"/>
        <w:widowControl w:val="false"/>
        <w:tabs>
          <w:tab w:val="left" w:leader="none" w:pos="940"/>
          <w:tab w:val="left" w:leader="none" w:pos="941"/>
        </w:tabs>
        <w:spacing w:lineRule="auto" w:line="360"/>
        <w:jc w:val="left"/>
        <w:rPr>
          <w:rFonts w:ascii="Roboto" w:cs="Roboto" w:eastAsia="Roboto" w:hAnsi="Roboto"/>
          <w:color w:val="444746"/>
          <w:sz w:val="21"/>
          <w:szCs w:val="21"/>
        </w:rPr>
      </w:pPr>
    </w:p>
    <w:p w14:paraId="00000013">
      <w:pPr>
        <w:pStyle w:val="style0"/>
        <w:widowControl w:val="false"/>
        <w:tabs>
          <w:tab w:val="left" w:leader="none" w:pos="940"/>
          <w:tab w:val="left" w:leader="none" w:pos="941"/>
        </w:tabs>
        <w:spacing w:lineRule="auto" w:line="360"/>
        <w:jc w:val="center"/>
        <w:rPr>
          <w:b/>
          <w:bCs/>
          <w:sz w:val="24"/>
          <w:szCs w:val="24"/>
        </w:rPr>
      </w:pPr>
      <w:r>
        <w:rPr>
          <w:b/>
          <w:bCs/>
          <w:sz w:val="24"/>
          <w:szCs w:val="24"/>
        </w:rPr>
        <w:t>Lecturer: Taonga Kaonga Sobere- Snithers (Birmingham)</w:t>
      </w:r>
    </w:p>
    <w:p w14:paraId="00000014">
      <w:pPr>
        <w:pStyle w:val="style0"/>
        <w:widowControl w:val="false"/>
        <w:tabs>
          <w:tab w:val="left" w:leader="none" w:pos="940"/>
          <w:tab w:val="left" w:leader="none" w:pos="941"/>
        </w:tabs>
        <w:spacing w:lineRule="auto" w:line="360"/>
        <w:jc w:val="center"/>
        <w:rPr>
          <w:b/>
          <w:bCs/>
          <w:sz w:val="24"/>
          <w:szCs w:val="24"/>
        </w:rPr>
      </w:pPr>
    </w:p>
    <w:p w14:paraId="00000015">
      <w:pPr>
        <w:pStyle w:val="style0"/>
        <w:widowControl w:val="false"/>
        <w:tabs>
          <w:tab w:val="left" w:leader="none" w:pos="940"/>
          <w:tab w:val="left" w:leader="none" w:pos="941"/>
        </w:tabs>
        <w:spacing w:lineRule="auto" w:line="360"/>
        <w:jc w:val="center"/>
        <w:rPr>
          <w:b/>
          <w:bCs/>
          <w:sz w:val="24"/>
          <w:szCs w:val="24"/>
        </w:rPr>
      </w:pPr>
      <w:r>
        <w:rPr>
          <w:b/>
          <w:bCs/>
          <w:sz w:val="24"/>
          <w:szCs w:val="24"/>
          <w:lang w:val="en-US"/>
        </w:rPr>
        <w:t xml:space="preserve">Student </w:t>
      </w:r>
      <w:r>
        <w:rPr>
          <w:b/>
          <w:bCs/>
          <w:sz w:val="24"/>
          <w:szCs w:val="24"/>
        </w:rPr>
        <w:t>Name - Vinod kumar</w:t>
      </w:r>
    </w:p>
    <w:p w14:paraId="C07A09DD">
      <w:pPr>
        <w:pStyle w:val="style0"/>
        <w:widowControl w:val="false"/>
        <w:tabs>
          <w:tab w:val="left" w:leader="none" w:pos="940"/>
          <w:tab w:val="left" w:leader="none" w:pos="941"/>
        </w:tabs>
        <w:spacing w:lineRule="auto" w:line="360"/>
        <w:jc w:val="center"/>
        <w:rPr>
          <w:b/>
          <w:bCs/>
          <w:sz w:val="24"/>
          <w:szCs w:val="24"/>
        </w:rPr>
      </w:pPr>
      <w:r>
        <w:rPr>
          <w:b/>
          <w:bCs/>
          <w:sz w:val="24"/>
          <w:szCs w:val="24"/>
        </w:rPr>
        <w:t>Student ID - 2609056</w:t>
      </w:r>
    </w:p>
    <w:p w14:paraId="2D70C4AE">
      <w:pPr>
        <w:pStyle w:val="style0"/>
        <w:widowControl w:val="false"/>
        <w:tabs>
          <w:tab w:val="left" w:leader="none" w:pos="940"/>
          <w:tab w:val="left" w:leader="none" w:pos="941"/>
        </w:tabs>
        <w:spacing w:lineRule="auto" w:line="360"/>
        <w:jc w:val="center"/>
        <w:rPr>
          <w:b/>
          <w:bCs/>
          <w:sz w:val="24"/>
          <w:szCs w:val="24"/>
        </w:rPr>
      </w:pPr>
      <w:r>
        <w:rPr>
          <w:b/>
          <w:bCs/>
          <w:sz w:val="24"/>
          <w:szCs w:val="24"/>
        </w:rPr>
        <w:t>Submission date -22/10/26</w:t>
      </w:r>
    </w:p>
    <w:p w14:paraId="00000016">
      <w:pPr>
        <w:pStyle w:val="style0"/>
        <w:widowControl w:val="false"/>
        <w:tabs>
          <w:tab w:val="left" w:leader="none" w:pos="940"/>
          <w:tab w:val="left" w:leader="none" w:pos="941"/>
        </w:tabs>
        <w:spacing w:lineRule="auto" w:line="360"/>
        <w:jc w:val="center"/>
        <w:rPr>
          <w:b/>
          <w:bCs/>
          <w:sz w:val="24"/>
          <w:szCs w:val="24"/>
        </w:rPr>
      </w:pPr>
      <w:r>
        <w:rPr>
          <w:b/>
          <w:bCs/>
          <w:sz w:val="24"/>
          <w:szCs w:val="24"/>
          <w:lang w:val="en-US"/>
        </w:rPr>
        <w:t>Word count-2503</w:t>
      </w:r>
    </w:p>
    <w:p w14:paraId="00000018">
      <w:pPr>
        <w:pStyle w:val="style0"/>
        <w:widowControl w:val="false"/>
        <w:tabs>
          <w:tab w:val="left" w:leader="none" w:pos="940"/>
          <w:tab w:val="left" w:leader="none" w:pos="941"/>
        </w:tabs>
        <w:spacing w:lineRule="auto" w:line="360"/>
        <w:rPr>
          <w:b/>
          <w:bCs/>
          <w:sz w:val="24"/>
          <w:szCs w:val="24"/>
        </w:rPr>
      </w:pPr>
    </w:p>
    <w:p w14:paraId="00000019">
      <w:pPr>
        <w:pStyle w:val="style0"/>
        <w:widowControl w:val="false"/>
        <w:tabs>
          <w:tab w:val="left" w:leader="none" w:pos="940"/>
          <w:tab w:val="left" w:leader="none" w:pos="941"/>
        </w:tabs>
        <w:spacing w:lineRule="auto" w:line="360"/>
        <w:rPr>
          <w:b/>
          <w:bCs/>
          <w:sz w:val="24"/>
          <w:szCs w:val="24"/>
        </w:rPr>
      </w:pPr>
    </w:p>
    <w:p w14:paraId="0000001A">
      <w:pPr>
        <w:pStyle w:val="style0"/>
        <w:widowControl w:val="false"/>
        <w:tabs>
          <w:tab w:val="left" w:leader="none" w:pos="940"/>
          <w:tab w:val="left" w:leader="none" w:pos="941"/>
        </w:tabs>
        <w:spacing w:lineRule="auto" w:line="360"/>
        <w:rPr>
          <w:b/>
          <w:bCs/>
          <w:sz w:val="24"/>
          <w:szCs w:val="24"/>
        </w:rPr>
      </w:pPr>
    </w:p>
    <w:p w14:paraId="0000001B">
      <w:pPr>
        <w:pStyle w:val="style0"/>
        <w:widowControl w:val="false"/>
        <w:tabs>
          <w:tab w:val="left" w:leader="none" w:pos="940"/>
          <w:tab w:val="left" w:leader="none" w:pos="941"/>
        </w:tabs>
        <w:spacing w:lineRule="auto" w:line="360"/>
        <w:rPr>
          <w:b/>
          <w:bCs/>
          <w:sz w:val="24"/>
          <w:szCs w:val="24"/>
        </w:rPr>
      </w:pPr>
      <w:r>
        <w:rPr>
          <w:b/>
          <w:bCs/>
          <w:sz w:val="24"/>
          <w:szCs w:val="24"/>
        </w:rPr>
        <w:t xml:space="preserve"> </w:t>
      </w:r>
    </w:p>
    <w:p w14:paraId="B6E50670">
      <w:pPr>
        <w:pStyle w:val="style0"/>
        <w:widowControl w:val="false"/>
        <w:tabs>
          <w:tab w:val="left" w:leader="none" w:pos="940"/>
          <w:tab w:val="left" w:leader="none" w:pos="941"/>
        </w:tabs>
        <w:spacing w:lineRule="auto" w:line="360"/>
        <w:rPr>
          <w:b/>
          <w:bCs/>
          <w:sz w:val="24"/>
          <w:szCs w:val="24"/>
        </w:rPr>
      </w:pPr>
    </w:p>
    <w:p w14:paraId="BB0C304E">
      <w:pPr>
        <w:pStyle w:val="style0"/>
        <w:widowControl w:val="false"/>
        <w:tabs>
          <w:tab w:val="left" w:leader="none" w:pos="940"/>
          <w:tab w:val="left" w:leader="none" w:pos="941"/>
        </w:tabs>
        <w:spacing w:lineRule="auto" w:line="360"/>
        <w:rPr>
          <w:b/>
          <w:bCs/>
          <w:sz w:val="24"/>
          <w:szCs w:val="24"/>
        </w:rPr>
      </w:pPr>
    </w:p>
    <w:p w14:paraId="0000001C">
      <w:pPr>
        <w:pStyle w:val="style0"/>
        <w:rPr/>
      </w:pPr>
    </w:p>
    <w:p w14:paraId="0000001D">
      <w:pPr>
        <w:pStyle w:val="style0"/>
        <w:rPr/>
      </w:pPr>
    </w:p>
    <w:p w14:paraId="0000001E">
      <w:pPr>
        <w:pStyle w:val="style0"/>
        <w:rPr/>
      </w:pPr>
    </w:p>
    <w:p w14:paraId="0000001F">
      <w:pPr>
        <w:pStyle w:val="style0"/>
        <w:spacing w:lineRule="auto" w:line="360"/>
        <w:jc w:val="center"/>
        <w:rPr>
          <w:b/>
          <w:bCs/>
          <w:sz w:val="26"/>
          <w:szCs w:val="26"/>
        </w:rPr>
      </w:pPr>
      <w:r>
        <w:rPr>
          <w:b/>
          <w:bCs/>
          <w:sz w:val="26"/>
          <w:szCs w:val="26"/>
        </w:rPr>
        <w:t>Executive summary</w:t>
      </w:r>
    </w:p>
    <w:p w14:paraId="00000020">
      <w:pPr>
        <w:pStyle w:val="style0"/>
        <w:spacing w:lineRule="auto" w:line="360"/>
        <w:jc w:val="both"/>
        <w:rPr>
          <w:sz w:val="24"/>
          <w:szCs w:val="24"/>
        </w:rPr>
      </w:pPr>
      <w:r>
        <w:rPr>
          <w:sz w:val="24"/>
          <w:szCs w:val="24"/>
        </w:rPr>
        <w:t>The following report examines how environmental pressures, government regulations and changing customer expectations influence the marketing strategy of Tata Steel and its transition towards lower-carbon steel production. These external actors are evaluated and Ansoff’s Matrix is applied to identify suitable growth opportunities. Product development is recommended as the primary strategy, which is supported by market penetration, market development and selective diversification. Key actions include investing in low-carbon technologies, improving scrap utilisation, strengthening customer partnerships and increasing emissions transparency. However, the implementation involves cost, technology and demand-related risks, a phased investment approach can help Tata Steel to improve sustainability.</w:t>
      </w:r>
    </w:p>
    <w:p w14:paraId="00000021">
      <w:pPr>
        <w:pStyle w:val="style0"/>
        <w:rPr>
          <w:b/>
          <w:bCs/>
          <w:sz w:val="26"/>
          <w:szCs w:val="26"/>
        </w:rPr>
      </w:pPr>
      <w:r>
        <w:br w:type="page"/>
      </w:r>
    </w:p>
    <w:p w14:paraId="00000022">
      <w:pPr>
        <w:pStyle w:val="style0"/>
        <w:spacing w:lineRule="auto" w:line="360"/>
        <w:jc w:val="center"/>
        <w:rPr>
          <w:sz w:val="24"/>
          <w:szCs w:val="24"/>
        </w:rPr>
      </w:pPr>
      <w:r>
        <w:rPr>
          <w:b/>
          <w:bCs/>
          <w:sz w:val="26"/>
          <w:szCs w:val="26"/>
        </w:rPr>
        <w:t>Table of Contents</w:t>
      </w:r>
    </w:p>
    <w:p w14:paraId="00000023">
      <w:pPr>
        <w:pStyle w:val="style0"/>
        <w:widowControl w:val="false"/>
        <w:tabs>
          <w:tab w:val="right" w:leader="dot" w:pos="12000"/>
        </w:tabs>
        <w:spacing w:before="60" w:lineRule="auto" w:line="360"/>
        <w:rPr>
          <w:rFonts w:ascii="Arial" w:cs="Arial" w:eastAsia="Arial" w:hAnsi="Arial"/>
          <w:b/>
          <w:bCs/>
          <w:i w:val="false"/>
          <w:iCs w:val="false"/>
          <w:smallCaps w:val="false"/>
          <w:color w:val="000000"/>
          <w:sz w:val="24"/>
          <w:szCs w:val="24"/>
          <w:u w:val="none"/>
          <w:shd w:val="clear" w:color="auto" w:fill="auto"/>
          <w:vertAlign w:val="baseline"/>
        </w:rPr>
      </w:pPr>
      <w:r>
        <w:rPr/>
        <w:fldChar w:fldCharType="begin"/>
      </w:r>
      <w:r>
        <w:instrText xml:space="preserve"> TOC \h \u \z \t "Heading 1,1,Heading 2,2,Heading 3,3,Heading 4,4,Heading 5,5,Heading 6,6,"</w:instrText>
      </w:r>
      <w:r>
        <w:rPr/>
        <w:fldChar w:fldCharType="separate"/>
      </w:r>
      <w:r>
        <w:rPr/>
        <w:fldChar w:fldCharType="begin"/>
      </w:r>
      <w:r>
        <w:instrText xml:space="preserve"> HYPERLINK \l "_heading=h.3pfxjpsik861"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Introduction</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4</w:t>
      </w:r>
      <w:r>
        <w:rPr/>
        <w:fldChar w:fldCharType="end"/>
      </w:r>
    </w:p>
    <w:p w14:paraId="00000024">
      <w:pPr>
        <w:pStyle w:val="style0"/>
        <w:widowControl w:val="false"/>
        <w:tabs>
          <w:tab w:val="right" w:leader="dot" w:pos="12000"/>
        </w:tabs>
        <w:spacing w:before="60" w:lineRule="auto" w:line="360"/>
        <w:rPr>
          <w:rFonts w:ascii="Arial" w:cs="Arial" w:eastAsia="Arial" w:hAnsi="Arial"/>
          <w:b/>
          <w:bCs/>
          <w:i w:val="false"/>
          <w:iCs w:val="false"/>
          <w:smallCaps w:val="false"/>
          <w:color w:val="000000"/>
          <w:sz w:val="24"/>
          <w:szCs w:val="24"/>
          <w:u w:val="none"/>
          <w:shd w:val="clear" w:color="auto" w:fill="auto"/>
          <w:vertAlign w:val="baseline"/>
        </w:rPr>
      </w:pPr>
      <w:r>
        <w:rPr/>
        <w:fldChar w:fldCharType="begin"/>
      </w:r>
      <w:r>
        <w:instrText xml:space="preserve"> HYPERLINK \l "_heading=h.tirph6284roz"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Task 1: Marketing Environment Analysis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4</w:t>
      </w:r>
      <w:r>
        <w:rPr/>
        <w:fldChar w:fldCharType="end"/>
      </w:r>
    </w:p>
    <w:p w14:paraId="00000025">
      <w:pPr>
        <w:pStyle w:val="style0"/>
        <w:widowControl w:val="false"/>
        <w:tabs>
          <w:tab w:val="right" w:leader="dot" w:pos="12000"/>
        </w:tabs>
        <w:spacing w:before="60" w:lineRule="auto" w:line="360"/>
        <w:rPr>
          <w:rFonts w:ascii="Arial" w:cs="Arial" w:eastAsia="Arial" w:hAnsi="Arial"/>
          <w:b/>
          <w:bCs/>
          <w:i w:val="false"/>
          <w:iCs w:val="false"/>
          <w:smallCaps w:val="false"/>
          <w:color w:val="000000"/>
          <w:sz w:val="24"/>
          <w:szCs w:val="24"/>
          <w:u w:val="none"/>
          <w:shd w:val="clear" w:color="auto" w:fill="auto"/>
          <w:vertAlign w:val="baseline"/>
        </w:rPr>
      </w:pPr>
      <w:r>
        <w:rPr/>
        <w:fldChar w:fldCharType="begin"/>
      </w:r>
      <w:r>
        <w:instrText xml:space="preserve"> HYPERLINK \l "_heading=h.x0xddb7d3twx"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Task 2: Strategic Growth and Competitive Positioning</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7</w:t>
      </w:r>
      <w:r>
        <w:rPr/>
        <w:fldChar w:fldCharType="end"/>
      </w:r>
    </w:p>
    <w:p w14:paraId="00000026">
      <w:pPr>
        <w:pStyle w:val="style0"/>
        <w:widowControl w:val="false"/>
        <w:tabs>
          <w:tab w:val="right" w:leader="dot" w:pos="12000"/>
        </w:tabs>
        <w:spacing w:before="60" w:lineRule="auto" w:line="360"/>
        <w:rPr>
          <w:rFonts w:ascii="Arial" w:cs="Arial" w:eastAsia="Arial" w:hAnsi="Arial"/>
          <w:b/>
          <w:bCs/>
          <w:i w:val="false"/>
          <w:iCs w:val="false"/>
          <w:smallCaps w:val="false"/>
          <w:color w:val="000000"/>
          <w:sz w:val="24"/>
          <w:szCs w:val="24"/>
          <w:u w:val="none"/>
          <w:shd w:val="clear" w:color="auto" w:fill="auto"/>
          <w:vertAlign w:val="baseline"/>
        </w:rPr>
      </w:pPr>
      <w:r>
        <w:rPr/>
        <w:fldChar w:fldCharType="begin"/>
      </w:r>
      <w:r>
        <w:instrText xml:space="preserve"> HYPERLINK \l "_heading=h.pg5ky2so48ih"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Task 3: Managerial and Professional Reflection</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10</w:t>
      </w:r>
      <w:r>
        <w:rPr/>
        <w:fldChar w:fldCharType="end"/>
      </w:r>
    </w:p>
    <w:p w14:paraId="00000027">
      <w:pPr>
        <w:pStyle w:val="style0"/>
        <w:widowControl w:val="false"/>
        <w:tabs>
          <w:tab w:val="right" w:leader="dot" w:pos="12000"/>
        </w:tabs>
        <w:spacing w:before="60" w:lineRule="auto" w:line="360"/>
        <w:rPr>
          <w:rFonts w:ascii="Arial" w:cs="Arial" w:eastAsia="Arial" w:hAnsi="Arial"/>
          <w:b/>
          <w:bCs/>
          <w:i w:val="false"/>
          <w:iCs w:val="false"/>
          <w:smallCaps w:val="false"/>
          <w:color w:val="000000"/>
          <w:sz w:val="24"/>
          <w:szCs w:val="24"/>
          <w:u w:val="none"/>
          <w:shd w:val="clear" w:color="auto" w:fill="auto"/>
          <w:vertAlign w:val="baseline"/>
        </w:rPr>
      </w:pPr>
      <w:r>
        <w:rPr/>
        <w:fldChar w:fldCharType="begin"/>
      </w:r>
      <w:r>
        <w:instrText xml:space="preserve"> HYPERLINK \l "_heading=h.q17idrjsxhuo"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Conclusion</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11</w:t>
      </w:r>
      <w:r>
        <w:rPr/>
        <w:fldChar w:fldCharType="end"/>
      </w:r>
    </w:p>
    <w:p w14:paraId="00000028">
      <w:pPr>
        <w:pStyle w:val="style0"/>
        <w:widowControl w:val="false"/>
        <w:tabs>
          <w:tab w:val="right" w:leader="dot" w:pos="12000"/>
        </w:tabs>
        <w:spacing w:before="60" w:lineRule="auto" w:line="360"/>
        <w:rPr>
          <w:rFonts w:ascii="Arial" w:cs="Arial" w:eastAsia="Arial" w:hAnsi="Arial"/>
          <w:b/>
          <w:bCs/>
          <w:i w:val="false"/>
          <w:iCs w:val="false"/>
          <w:smallCaps w:val="false"/>
          <w:color w:val="000000"/>
          <w:sz w:val="24"/>
          <w:szCs w:val="24"/>
          <w:u w:val="none"/>
          <w:shd w:val="clear" w:color="auto" w:fill="auto"/>
          <w:vertAlign w:val="baseline"/>
        </w:rPr>
      </w:pPr>
      <w:r>
        <w:rPr/>
        <w:fldChar w:fldCharType="begin"/>
      </w:r>
      <w:r>
        <w:instrText xml:space="preserve"> HYPERLINK \l "_heading=h.dbyx1erpbczr"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References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13</w:t>
      </w:r>
      <w:r>
        <w:rPr/>
        <w:fldChar w:fldCharType="end"/>
      </w:r>
      <w:r>
        <w:rPr/>
        <w:fldChar w:fldCharType="end"/>
      </w:r>
    </w:p>
    <w:p w14:paraId="00000029">
      <w:pPr>
        <w:pStyle w:val="style0"/>
        <w:spacing w:lineRule="auto" w:line="360"/>
        <w:jc w:val="center"/>
        <w:rPr>
          <w:sz w:val="24"/>
          <w:szCs w:val="24"/>
        </w:rPr>
      </w:pPr>
    </w:p>
    <w:p w14:paraId="0000002A">
      <w:pPr>
        <w:pStyle w:val="style0"/>
        <w:spacing w:lineRule="auto" w:line="360"/>
        <w:jc w:val="center"/>
        <w:rPr>
          <w:sz w:val="24"/>
          <w:szCs w:val="24"/>
        </w:rPr>
      </w:pPr>
    </w:p>
    <w:p w14:paraId="0000002B">
      <w:pPr>
        <w:pStyle w:val="style0"/>
        <w:spacing w:lineRule="auto" w:line="360"/>
        <w:jc w:val="center"/>
        <w:rPr>
          <w:sz w:val="24"/>
          <w:szCs w:val="24"/>
        </w:rPr>
      </w:pPr>
    </w:p>
    <w:p w14:paraId="0000002C">
      <w:pPr>
        <w:pStyle w:val="style0"/>
        <w:spacing w:lineRule="auto" w:line="360"/>
        <w:jc w:val="center"/>
        <w:rPr>
          <w:sz w:val="24"/>
          <w:szCs w:val="24"/>
        </w:rPr>
      </w:pPr>
      <w:r>
        <w:br w:type="page"/>
      </w:r>
    </w:p>
    <w:bookmarkStart w:id="0" w:name="_heading=h.3pfxjpsik861" w:colFirst="0" w:colLast="0"/>
    <w:bookmarkEnd w:id="0"/>
    <w:p w14:paraId="0000002D">
      <w:pPr>
        <w:pStyle w:val="style1"/>
        <w:rPr>
          <w:rFonts w:ascii="Arial" w:cs="Arial" w:eastAsia="Arial" w:hAnsi="Arial"/>
        </w:rPr>
      </w:pPr>
      <w:r>
        <w:rPr>
          <w:rFonts w:ascii="Arial" w:cs="Arial" w:eastAsia="Arial" w:hAnsi="Arial"/>
        </w:rPr>
        <w:t>Introduction</w:t>
      </w:r>
    </w:p>
    <w:p w14:paraId="0000002E">
      <w:pPr>
        <w:pStyle w:val="style0"/>
        <w:spacing w:lineRule="auto" w:line="360"/>
        <w:jc w:val="both"/>
        <w:rPr>
          <w:sz w:val="24"/>
          <w:szCs w:val="24"/>
        </w:rPr>
      </w:pPr>
      <w:r>
        <w:rPr>
          <w:sz w:val="24"/>
          <w:szCs w:val="24"/>
        </w:rPr>
        <w:t xml:space="preserve">Tata Steel is one of the major global steel companies that operates in an industry which is facing a strong pressure to reduce carbon emissions. Steel is important for construction, transport and infrastructure; however, its production creates greenhouse gas emissions. </w:t>
      </w:r>
      <w:r>
        <w:rPr>
          <w:color w:val="ff0000"/>
          <w:sz w:val="24"/>
          <w:szCs w:val="24"/>
        </w:rPr>
        <w:t>The following report discusses three external marketing environment actors that affect the move of Tata Steel towards lower-carbon steel, that are the natural environment, Political and Legal Factors and customers. The natural environment gets the strongest focus.</w:t>
      </w:r>
      <w:r>
        <w:rPr>
          <w:sz w:val="24"/>
          <w:szCs w:val="24"/>
        </w:rPr>
        <w:t xml:space="preserve"> Tata Steel focuses on achieving net-zero emissions across the Group by 2045 and reducing emissions in Tata Steel Limited by 10-15% from 2024-25 levels by 2030 (Tata Steel, 2025). Therefore, the challenge is to turn environmental improvements into credible products which customers value.</w:t>
      </w:r>
    </w:p>
    <w:bookmarkStart w:id="1" w:name="_heading=h.tirph6284roz" w:colFirst="0" w:colLast="0"/>
    <w:bookmarkEnd w:id="1"/>
    <w:p w14:paraId="0000002F">
      <w:pPr>
        <w:pStyle w:val="style1"/>
        <w:rPr>
          <w:rFonts w:ascii="Arial" w:cs="Arial" w:eastAsia="Arial" w:hAnsi="Arial"/>
        </w:rPr>
      </w:pPr>
      <w:r>
        <w:rPr>
          <w:rFonts w:ascii="Arial" w:cs="Arial" w:eastAsia="Arial" w:hAnsi="Arial"/>
        </w:rPr>
        <w:t>Task 1: Marketing Environment Analysis</w:t>
      </w:r>
    </w:p>
    <w:p w14:paraId="00000030">
      <w:pPr>
        <w:pStyle w:val="style0"/>
        <w:spacing w:lineRule="auto" w:line="360"/>
        <w:jc w:val="both"/>
        <w:rPr>
          <w:b/>
          <w:bCs/>
          <w:sz w:val="24"/>
          <w:szCs w:val="24"/>
        </w:rPr>
      </w:pPr>
      <w:r>
        <w:rPr>
          <w:b/>
          <w:bCs/>
          <w:sz w:val="24"/>
          <w:szCs w:val="24"/>
        </w:rPr>
        <w:t>Natural Environment: Main External Actor</w:t>
      </w:r>
    </w:p>
    <w:p w14:paraId="00000031">
      <w:pPr>
        <w:pStyle w:val="style0"/>
        <w:spacing w:lineRule="auto" w:line="360"/>
        <w:jc w:val="both"/>
        <w:rPr>
          <w:sz w:val="24"/>
          <w:szCs w:val="24"/>
        </w:rPr>
      </w:pPr>
      <w:r>
        <w:rPr>
          <w:sz w:val="24"/>
          <w:szCs w:val="24"/>
        </w:rPr>
        <w:t>The natural environment significantly influences the production costs, product differentiation and transition of Tata Steel towards lower-carbon steel. In relation to the mentioned case scenario, steelmaking is emissions-intensive and thus circular production is considered as an important external marketing consideration. The World Economic Forum (2024) reports that steel-sector emissions intensity increased by 0.6% between 2019 and 2023, which demonstrates that technological progress has not yet translated into consistent sector-wide decarbonisation. Based on this, it can be stated that Tata Steel would be under pressure to demonstrate measurable environmental improvements rather than relying solely upon sustainability commitments.</w:t>
      </w:r>
    </w:p>
    <w:p w14:paraId="00000032">
      <w:pPr>
        <w:pStyle w:val="style0"/>
        <w:spacing w:lineRule="auto" w:line="360"/>
        <w:jc w:val="both"/>
        <w:rPr>
          <w:sz w:val="24"/>
          <w:szCs w:val="24"/>
        </w:rPr>
      </w:pPr>
      <w:r>
        <w:rPr>
          <w:sz w:val="24"/>
          <w:szCs w:val="24"/>
        </w:rPr>
        <w:t>Production technology in relation to this case presents both opportunities and constraints. According to the International Energy Agency (IEA, 2025), blast furnace-basic oxygen furnace production accounts for approximately 70% of global steel production, while early commercial plants using hydrogen-based direct reduction and electric arc furnaces may cost 50–140% more than conventional plants, depending on location. These figures highlight the financial challenge of transitioning towards cleaner steelmaking. For Tata Steel, investments in electric arc furnaces, renewable electricity and alternative ironmaking technologies could strengthen the environmental performance, however higher production costs may restrict the affordability and competitiveness.</w:t>
      </w:r>
    </w:p>
    <w:p w14:paraId="00000033">
      <w:pPr>
        <w:pStyle w:val="style0"/>
        <w:spacing w:lineRule="auto" w:line="360"/>
        <w:jc w:val="both"/>
        <w:rPr>
          <w:sz w:val="24"/>
          <w:szCs w:val="24"/>
        </w:rPr>
      </w:pPr>
      <w:r>
        <w:rPr>
          <w:sz w:val="24"/>
          <w:szCs w:val="24"/>
        </w:rPr>
        <w:t>Resource availability also matters in this context. Greater scrap utilisation helps to support circular production and reduce the dependence on emissions-intensive primary steelmaking, although scrap quality, supply and collection infrastructure can constrain the implementation. It has been identified that the Integrated Report 2024–25 of Tata Steel identifies scrap recycling and energy efficiency as important sustainability priorities (Tata Steel, 2025). Consequently, the company would need to balance environmental improvements against reliable production, raw-material availability and customer requirements.</w:t>
      </w:r>
    </w:p>
    <w:p w14:paraId="00000034">
      <w:pPr>
        <w:pStyle w:val="style0"/>
        <w:spacing w:lineRule="auto" w:line="360"/>
        <w:jc w:val="both"/>
        <w:rPr>
          <w:sz w:val="24"/>
          <w:szCs w:val="24"/>
        </w:rPr>
      </w:pPr>
      <w:r>
        <w:rPr>
          <w:sz w:val="24"/>
          <w:szCs w:val="24"/>
        </w:rPr>
        <w:t>India’s Green Steel Taxonomy, notified in December 2024, provides an additional market-development opportunity and it can be noted that steel qualifies as green under this framework when its emissions intensity is below 2.2 tonnes of carbon-dioxide equivalent per tonne of finished steel, whereas lower thresholds determine higher ratings (Ministry of Steel, 2024). Moreover, the taxonomy would help in creating a common understanding of green steel among the customers and producers in the Indian market. Nevertheless, certification alone cannot guarantee customer demand or justify price premiums.</w:t>
      </w:r>
    </w:p>
    <w:p w14:paraId="00000035">
      <w:pPr>
        <w:pStyle w:val="style0"/>
        <w:spacing w:lineRule="auto" w:line="360"/>
        <w:jc w:val="both"/>
        <w:rPr>
          <w:sz w:val="24"/>
          <w:szCs w:val="24"/>
        </w:rPr>
      </w:pPr>
      <w:r>
        <w:rPr>
          <w:sz w:val="24"/>
          <w:szCs w:val="24"/>
        </w:rPr>
        <w:t>The environmental targets of Tata Steel reinforce the strategic importance of this transition. The company aims to reduce the emissions intensity of its Indian operations by 10–15% from the 2024–25 baseline by 2030, subject to the regulatory framework, and to achieve Group net-zero emissions by 2045 (Tata Steel, 2025). These commitments provide measurable objectives; however, their commercial value depends on the implementation, independently credible reporting and customer recognition. Apart from that, the targets help the stakeholders in tracking the progress that is made by the company over the period. Therefore, it can be stated that environmental pressures would create a potential competitive advantage only when the emissions reductions are technically feasible, economically viable and communicated transparently.</w:t>
      </w:r>
    </w:p>
    <w:p w14:paraId="00000036">
      <w:pPr>
        <w:pStyle w:val="style0"/>
        <w:spacing w:lineRule="auto" w:line="360"/>
        <w:jc w:val="both"/>
        <w:rPr>
          <w:b/>
          <w:bCs/>
          <w:i/>
          <w:iCs/>
          <w:sz w:val="24"/>
          <w:szCs w:val="24"/>
        </w:rPr>
      </w:pPr>
      <w:r>
        <w:rPr>
          <w:b/>
          <w:bCs/>
          <w:i/>
          <w:iCs/>
          <w:sz w:val="24"/>
          <w:szCs w:val="24"/>
        </w:rPr>
        <w:t>Political and legal Actors</w:t>
      </w:r>
    </w:p>
    <w:p w14:paraId="00000037">
      <w:pPr>
        <w:pStyle w:val="style0"/>
        <w:spacing w:lineRule="auto" w:line="360"/>
        <w:jc w:val="both"/>
        <w:rPr>
          <w:sz w:val="24"/>
          <w:szCs w:val="24"/>
        </w:rPr>
      </w:pPr>
      <w:r>
        <w:rPr>
          <w:sz w:val="24"/>
          <w:szCs w:val="24"/>
        </w:rPr>
        <w:t xml:space="preserve">Government and regulators strongly influence Tata Steel’s low-carbon marketing environment. In 2024, India’s Green Steel Taxonomy created a framework for finding lower-carbon-emission steel and supporting a green steel market (PIB, 2024). However, it is an opportunity, as a recognised definition can increase customer confidence and make environmental claims easier to compare. Government support for green hydrogen pilot projects helps to encourage cleaner technologies (PIB, 2025). Although these technologies are not fully commercial yet, policy support cannot remove Tata Steel’s financial and technical risks. </w:t>
      </w:r>
    </w:p>
    <w:p w14:paraId="00000038">
      <w:pPr>
        <w:pStyle w:val="style0"/>
        <w:spacing w:lineRule="auto" w:line="360"/>
        <w:jc w:val="both"/>
        <w:rPr>
          <w:sz w:val="24"/>
          <w:szCs w:val="24"/>
        </w:rPr>
      </w:pPr>
      <w:r>
        <w:rPr>
          <w:sz w:val="24"/>
          <w:szCs w:val="24"/>
        </w:rPr>
        <w:t xml:space="preserve">Moreover, international regulation is also important, as the European Union’s Carbon Border Adjustment Mechanism entered its definitive phase in 2026 and covers iron and steel imports (European Commission, 2026). However, carbon performance can affect the cost and competitiveness of products entering Europe. In order to reduce emissions and improve carbon performance, data can protect market access and support differentiation for Tata Steel. However, reporting requirements and carbon-related costs can increase administrative and operating expenses. Therefore, regulation is both a threat and an opportunity. </w:t>
      </w:r>
    </w:p>
    <w:p w14:paraId="00000039">
      <w:pPr>
        <w:pStyle w:val="style0"/>
        <w:spacing w:lineRule="auto" w:line="360"/>
        <w:jc w:val="both"/>
        <w:rPr>
          <w:sz w:val="24"/>
          <w:szCs w:val="24"/>
        </w:rPr>
      </w:pPr>
      <w:r>
        <w:rPr>
          <w:sz w:val="24"/>
          <w:szCs w:val="24"/>
        </w:rPr>
        <w:t xml:space="preserve">Additionally, government policy can help to influence customer demand, as public procurement rules and green steel standards can create markets for lower-carbon products. It also supports Tata Steel’s marketing as environmental values become connected to purchasing criteria. Moreover, different countries can use different standards, which creates complexity for a global company. Therefore, Tata Steel needs to adapt its communication to each market while keeping core sustainability claims consistent. </w:t>
      </w:r>
    </w:p>
    <w:p w14:paraId="0000003A">
      <w:pPr>
        <w:pStyle w:val="style0"/>
        <w:spacing w:lineRule="auto" w:line="360"/>
        <w:jc w:val="both"/>
        <w:rPr>
          <w:b/>
          <w:bCs/>
          <w:i/>
          <w:iCs/>
          <w:sz w:val="24"/>
          <w:szCs w:val="24"/>
        </w:rPr>
      </w:pPr>
      <w:r>
        <w:rPr>
          <w:b/>
          <w:bCs/>
          <w:i/>
          <w:iCs/>
          <w:sz w:val="24"/>
          <w:szCs w:val="24"/>
        </w:rPr>
        <w:t xml:space="preserve">Social Factors </w:t>
      </w:r>
    </w:p>
    <w:p w14:paraId="0000003B">
      <w:pPr>
        <w:pStyle w:val="style0"/>
        <w:spacing w:lineRule="auto" w:line="360"/>
        <w:jc w:val="both"/>
        <w:rPr>
          <w:sz w:val="24"/>
          <w:szCs w:val="24"/>
        </w:rPr>
      </w:pPr>
      <w:r>
        <w:rPr>
          <w:sz w:val="24"/>
          <w:szCs w:val="24"/>
        </w:rPr>
        <w:t>Customers, industrial buyers and wider stakeholders are the actors that influence the ability of Tata Steel to commercialise lower-carbon products. Its business-to-business customers include automotive manufacturers, construction companies, infrastructure developers and engineering businesses, whose procurement decisions increasingly involve product performance, reliability, price and environmental credentials. Tata Steel’s Integrated Report 2024–25 identifies automotive, construction and infrastructure, energy and engineering goods among its customer markets (Tata Steel, 2025). These diverse segments create opportunities for differentiated steel products, although their willingness to pay for lower emissions may vary considerably.</w:t>
      </w:r>
    </w:p>
    <w:p w14:paraId="0000003C">
      <w:pPr>
        <w:pStyle w:val="style0"/>
        <w:spacing w:lineRule="auto" w:line="360"/>
        <w:jc w:val="both"/>
        <w:rPr>
          <w:sz w:val="24"/>
          <w:szCs w:val="24"/>
        </w:rPr>
      </w:pPr>
      <w:r>
        <w:rPr>
          <w:sz w:val="24"/>
          <w:szCs w:val="24"/>
        </w:rPr>
        <w:t>The World Economic Forum (2024) identifies an estimated 40% business-to-business green premium for steel, while noting that less than 1% of steel meets the industry’s net-zero thresholds. Based on this, lower-carbon steel could provide differentiation, but the additional costs may discourage price-sensitive buyers. Thus, Tata Steel should prioritise customers whose sustainability commitments, procurement requirements or product positioning justify paying for verified emissions reductions, rather than assuming that all customers would accept higher prices.</w:t>
      </w:r>
    </w:p>
    <w:p w14:paraId="0000003D">
      <w:pPr>
        <w:pStyle w:val="style0"/>
        <w:spacing w:lineRule="auto" w:line="360"/>
        <w:jc w:val="both"/>
        <w:rPr>
          <w:sz w:val="24"/>
          <w:szCs w:val="24"/>
        </w:rPr>
      </w:pPr>
      <w:r>
        <w:rPr>
          <w:sz w:val="24"/>
          <w:szCs w:val="24"/>
        </w:rPr>
        <w:t>Collective purchasing initiatives demonstrate emerging market opportunities. In January 2024, the World Economic Forum reported that 15 submissions to its Near-Zero Steel 2030 Challenge represented potential purchases of 2.3 million tonnes of near-zero-emission steel (World Economic Forum, 2024). Similarly, Climate Group’s SteelZero initiative reports that more than 40 businesses have committed to net-zero steel and that approximately 10 million tonnes are already used or committed to be decarbonised (Climate Group, 2026). These commitments indicate potential demand; however, it can be mentioned that announced commitments should not be confused with completed purchases or guaranteed revenue.</w:t>
      </w:r>
    </w:p>
    <w:p w14:paraId="0000003E">
      <w:pPr>
        <w:pStyle w:val="style0"/>
        <w:spacing w:lineRule="auto" w:line="360"/>
        <w:jc w:val="both"/>
        <w:rPr>
          <w:sz w:val="24"/>
          <w:szCs w:val="24"/>
        </w:rPr>
      </w:pPr>
      <w:r>
        <w:rPr>
          <w:sz w:val="24"/>
          <w:szCs w:val="24"/>
        </w:rPr>
        <w:t>Customer trust also depends on credible evidence. India’s Green Steel Taxonomy establishes emissions-intensity thresholds for classifying green steel and helps buyers to compare products using a common framework (Ministry of Steel, 2024). Nevertheless, inconsistent international standards and uncertainty about emissions measurement can complicate comparisons.</w:t>
      </w:r>
    </w:p>
    <w:p w14:paraId="0000003F">
      <w:pPr>
        <w:pStyle w:val="style0"/>
        <w:spacing w:lineRule="auto" w:line="360"/>
        <w:jc w:val="both"/>
        <w:rPr>
          <w:sz w:val="24"/>
          <w:szCs w:val="24"/>
        </w:rPr>
      </w:pPr>
      <w:r>
        <w:rPr>
          <w:sz w:val="24"/>
          <w:szCs w:val="24"/>
        </w:rPr>
        <w:t>Stakeholders extend beyond direct customers to investors, suppliers, government bodies and communities. Tata Steel identifies stakeholder engagement, climate management and supply-chain sustainability among its material priorities (Tata Steel, 2025). Accordingly, Tata Steel should combine targeted customer engagement, transparent environmental claims and collaborative procurement arrangements. This approach could strengthen customer relationships and support product development, but its success must be assessed through actual purchase agreements, repeat orders, realised price premiums and independently verified emissions reductions.</w:t>
      </w:r>
    </w:p>
    <w:bookmarkStart w:id="2" w:name="_heading=h.x0xddb7d3twx" w:colFirst="0" w:colLast="0"/>
    <w:bookmarkEnd w:id="2"/>
    <w:p w14:paraId="00000040">
      <w:pPr>
        <w:pStyle w:val="style1"/>
        <w:rPr>
          <w:rFonts w:ascii="Arial" w:cs="Arial" w:eastAsia="Arial" w:hAnsi="Arial"/>
        </w:rPr>
      </w:pPr>
      <w:r>
        <w:rPr>
          <w:rFonts w:ascii="Arial" w:cs="Arial" w:eastAsia="Arial" w:hAnsi="Arial"/>
        </w:rPr>
        <w:t>Task 2: Strategic Growth and Competitive Positioning</w:t>
      </w:r>
    </w:p>
    <w:p w14:paraId="00000041">
      <w:pPr>
        <w:pStyle w:val="style0"/>
        <w:spacing w:lineRule="auto" w:line="360"/>
        <w:jc w:val="both"/>
        <w:rPr>
          <w:sz w:val="24"/>
          <w:szCs w:val="24"/>
        </w:rPr>
      </w:pPr>
      <w:r>
        <w:rPr>
          <w:b/>
          <w:bCs/>
          <w:i/>
          <w:iCs/>
          <w:sz w:val="24"/>
          <w:szCs w:val="24"/>
        </w:rPr>
        <w:t xml:space="preserve">Ansoff Matrix </w:t>
      </w:r>
    </w:p>
    <w:p w14:paraId="00000042">
      <w:pPr>
        <w:pStyle w:val="style0"/>
        <w:spacing w:lineRule="auto" w:line="360"/>
        <w:jc w:val="both"/>
        <w:rPr>
          <w:b/>
          <w:bCs/>
          <w:i/>
          <w:iCs/>
          <w:sz w:val="24"/>
          <w:szCs w:val="24"/>
        </w:rPr>
      </w:pPr>
      <w:r>
        <w:rPr>
          <w:b/>
          <w:bCs/>
          <w:i/>
          <w:iCs/>
          <w:sz w:val="24"/>
          <w:szCs w:val="24"/>
        </w:rPr>
        <w:t>Product Development</w:t>
      </w:r>
    </w:p>
    <w:p w14:paraId="00000043">
      <w:pPr>
        <w:pStyle w:val="style0"/>
        <w:spacing w:lineRule="auto" w:line="360"/>
        <w:jc w:val="both"/>
        <w:rPr>
          <w:sz w:val="24"/>
          <w:szCs w:val="24"/>
        </w:rPr>
      </w:pPr>
      <w:r>
        <w:rPr>
          <w:sz w:val="24"/>
          <w:szCs w:val="24"/>
        </w:rPr>
        <w:t>For the existing market, Tata Steel needs to develop more low-carbon steel, including EAF steel, greater scrap use, renewable electricity, and a future hydrogen-based process. Also, Tata Steel has started in this direction through its Ludhiana EAF and plans to increase recycling and renewable power (Business Standard, 2026). This makes product development more realistic. However, the company needs to create products for automotive, construction, engineering, and renewable-energy customers. Products need to add information about carbon emissions and recycled content, which helps customers reduce supply-chain emissions and gives them a reason to choose Tata Steel. Currently, companies are facing stronger climate targets, and demand for green steel is expected to grow (de Villafranca Casas</w:t>
      </w:r>
      <w:r>
        <w:rPr>
          <w:i/>
          <w:iCs/>
          <w:sz w:val="24"/>
          <w:szCs w:val="24"/>
        </w:rPr>
        <w:t xml:space="preserve"> et al.</w:t>
      </w:r>
      <w:r>
        <w:rPr>
          <w:sz w:val="24"/>
          <w:szCs w:val="24"/>
        </w:rPr>
        <w:t xml:space="preserve"> 2024). </w:t>
      </w:r>
    </w:p>
    <w:p w14:paraId="00000044">
      <w:pPr>
        <w:pStyle w:val="style0"/>
        <w:spacing w:lineRule="auto" w:line="360"/>
        <w:jc w:val="both"/>
        <w:rPr>
          <w:b/>
          <w:bCs/>
          <w:i/>
          <w:iCs/>
          <w:sz w:val="24"/>
          <w:szCs w:val="24"/>
        </w:rPr>
      </w:pPr>
      <w:r>
        <w:rPr>
          <w:b/>
          <w:bCs/>
          <w:i/>
          <w:iCs/>
          <w:sz w:val="24"/>
          <w:szCs w:val="24"/>
        </w:rPr>
        <w:t>Market Development</w:t>
      </w:r>
    </w:p>
    <w:p w14:paraId="00000045">
      <w:pPr>
        <w:pStyle w:val="style0"/>
        <w:spacing w:lineRule="auto" w:line="360"/>
        <w:jc w:val="both"/>
        <w:rPr>
          <w:sz w:val="24"/>
          <w:szCs w:val="24"/>
        </w:rPr>
      </w:pPr>
      <w:r>
        <w:rPr>
          <w:sz w:val="24"/>
          <w:szCs w:val="24"/>
        </w:rPr>
        <w:t>Market development should support product development, as Tata Steel needs to target customers with environmental goals, particularly electric-vehicle manufacturers, renewable-energy companies, green construction projects, and infrastructure developers. These sectors are quite attractive as customers increasingly want lower-carbon supply chains (Rahman</w:t>
      </w:r>
      <w:r>
        <w:rPr>
          <w:i/>
          <w:iCs/>
          <w:sz w:val="24"/>
          <w:szCs w:val="24"/>
        </w:rPr>
        <w:t xml:space="preserve"> et al.</w:t>
      </w:r>
      <w:r>
        <w:rPr>
          <w:sz w:val="24"/>
          <w:szCs w:val="24"/>
        </w:rPr>
        <w:t xml:space="preserve"> 2026). However, the company needs to expand low-carbon products in markets with stronger environmental standards, especially Europe. It could create opportunities, international expansion can increase costs as regulations, customer expectations, and energy prices differ. Therefore, the company needs to prioritise markets where customers have clear sustainability targets and can recognise the value of lower-carbon steel. </w:t>
      </w:r>
    </w:p>
    <w:p w14:paraId="00000046">
      <w:pPr>
        <w:pStyle w:val="style0"/>
        <w:spacing w:lineRule="auto" w:line="360"/>
        <w:jc w:val="both"/>
        <w:rPr>
          <w:b/>
          <w:bCs/>
          <w:i/>
          <w:iCs/>
          <w:sz w:val="24"/>
          <w:szCs w:val="24"/>
        </w:rPr>
      </w:pPr>
      <w:r>
        <w:rPr>
          <w:b/>
          <w:bCs/>
          <w:i/>
          <w:iCs/>
          <w:sz w:val="24"/>
          <w:szCs w:val="24"/>
        </w:rPr>
        <w:t>Market Penetration</w:t>
      </w:r>
    </w:p>
    <w:p w14:paraId="00000047">
      <w:pPr>
        <w:pStyle w:val="style0"/>
        <w:spacing w:lineRule="auto" w:line="360"/>
        <w:jc w:val="both"/>
        <w:rPr>
          <w:b/>
          <w:bCs/>
          <w:sz w:val="24"/>
          <w:szCs w:val="24"/>
        </w:rPr>
      </w:pPr>
      <w:r>
        <w:rPr>
          <w:sz w:val="24"/>
          <w:szCs w:val="24"/>
        </w:rPr>
        <w:t xml:space="preserve">Market penetration needs to strengthen sales among existing customers. For lower-carbon steel, Tata Steel can offer long-term contracts, joint product development, and transparent emissions information. However, long-term agreements can reduce uncertainty, as they provide demand before huge investments are made. Hence, purchasing commitment can help create demand for clean steel. Moreover, this can strengthen customer relationships, as the company could work with automotive and construction customers to design products fulfilling their technical and environmental needs (Prabhaker </w:t>
      </w:r>
      <w:r>
        <w:rPr>
          <w:i/>
          <w:iCs/>
          <w:sz w:val="24"/>
          <w:szCs w:val="24"/>
        </w:rPr>
        <w:t>et al.</w:t>
      </w:r>
      <w:r>
        <w:rPr>
          <w:sz w:val="24"/>
          <w:szCs w:val="24"/>
        </w:rPr>
        <w:t xml:space="preserve"> 2024). Customers can resist higher prices, yet the company should not rely just on a green premium, as it can also reduce production costs, improve efficiency, and show measurable environmental benefits. </w:t>
      </w:r>
    </w:p>
    <w:p w14:paraId="00000048">
      <w:pPr>
        <w:pStyle w:val="style0"/>
        <w:spacing w:lineRule="auto" w:line="360"/>
        <w:jc w:val="both"/>
        <w:rPr>
          <w:b/>
          <w:bCs/>
          <w:sz w:val="24"/>
          <w:szCs w:val="24"/>
        </w:rPr>
      </w:pPr>
      <w:r>
        <w:rPr>
          <w:b/>
          <w:bCs/>
          <w:sz w:val="24"/>
          <w:szCs w:val="24"/>
        </w:rPr>
        <w:t>Diversification</w:t>
      </w:r>
    </w:p>
    <w:p w14:paraId="00000049">
      <w:pPr>
        <w:pStyle w:val="style0"/>
        <w:spacing w:lineRule="auto" w:line="360"/>
        <w:jc w:val="both"/>
        <w:rPr>
          <w:sz w:val="24"/>
          <w:szCs w:val="24"/>
        </w:rPr>
      </w:pPr>
      <w:r>
        <w:rPr>
          <w:sz w:val="24"/>
          <w:szCs w:val="24"/>
        </w:rPr>
        <w:t>Diversification would involve developing new products for new markets, such as supplying specialised low-carbon steel solutions to emerging hydrogen infrastructure, offshore wind or other clean-energy industries. These sectors could create additional revenue streams while supporting industrial decarbonisation. However, diversification presents greater risk because Tata Steel would need to understand unfamiliar customer specifications, supply chains and commercial requirements. New products may also require substantial research, certification and capital expenditure. The IEA (2024) emphasises the need to commercialise multiple technologies and strengthen international collaboration to accelerate near-zero-emission steel. Thus, Tata Steel should pursue diversification selectively, using pilot projects and strategic partnerships rather than making large speculative investments.</w:t>
      </w:r>
    </w:p>
    <w:p w14:paraId="0000004A">
      <w:pPr>
        <w:pStyle w:val="style0"/>
        <w:spacing w:lineRule="auto" w:line="360"/>
        <w:jc w:val="both"/>
        <w:rPr>
          <w:b/>
          <w:bCs/>
          <w:sz w:val="24"/>
          <w:szCs w:val="24"/>
        </w:rPr>
      </w:pPr>
      <w:r>
        <w:rPr>
          <w:b/>
          <w:bCs/>
          <w:sz w:val="24"/>
          <w:szCs w:val="24"/>
        </w:rPr>
        <w:t>2.2 Recommended growth strategy: Product development</w:t>
      </w:r>
    </w:p>
    <w:p w14:paraId="0000004B">
      <w:pPr>
        <w:pStyle w:val="style0"/>
        <w:spacing w:lineRule="auto" w:line="360"/>
        <w:jc w:val="both"/>
        <w:rPr>
          <w:sz w:val="24"/>
          <w:szCs w:val="24"/>
        </w:rPr>
      </w:pPr>
      <w:r>
        <w:rPr>
          <w:sz w:val="24"/>
          <w:szCs w:val="24"/>
        </w:rPr>
        <w:t>Product development is the most suitable primary strategy because it builds on the existing manufacturing capabilities and customer relationships of Tata Steel while responding to growing demand for lower-emission materials. Its Ludhiana EAF facility offers a concrete starting point for developing scrap-based steel products for established construction customers. The company should progressively expand lower-carbon offerings for construction, engineering and automotive applications, supported by renewable electricity, greater material circularity and independently verifiable product-level emissions information.</w:t>
      </w:r>
    </w:p>
    <w:p w14:paraId="0000004C">
      <w:pPr>
        <w:pStyle w:val="style0"/>
        <w:spacing w:lineRule="auto" w:line="360"/>
        <w:jc w:val="both"/>
        <w:rPr>
          <w:sz w:val="24"/>
          <w:szCs w:val="24"/>
        </w:rPr>
      </w:pPr>
      <w:r>
        <w:rPr>
          <w:sz w:val="24"/>
          <w:szCs w:val="24"/>
        </w:rPr>
        <w:t>Market demand is promising but not guaranteed. A 2024 Climate Group and Ramboll study found that nearly half of surveyed companies were prepared to pay a premium for lower-emission steel and concrete, however cost remained a major barrier (Climate Group, 2024). Based on this, Tata Steel would need to combine product development with efficiency improvements, transparent carbon data and long-term customer agreements rather than relying exclusively on premium pricing. Its target to disclose the environmental performance of 100% of products in India by 2030 supports this direction (Tata Steel, 2025). Implementation should be phased, with success measured through sales growth, verified emissions intensity, customer retention and profitability.</w:t>
      </w:r>
    </w:p>
    <w:p w14:paraId="0000004D">
      <w:pPr>
        <w:pStyle w:val="style0"/>
        <w:spacing w:lineRule="auto" w:line="360"/>
        <w:jc w:val="both"/>
        <w:rPr>
          <w:b/>
          <w:bCs/>
          <w:color w:val="ff0000"/>
          <w:sz w:val="24"/>
          <w:szCs w:val="24"/>
        </w:rPr>
      </w:pPr>
      <w:r>
        <w:rPr>
          <w:b/>
          <w:bCs/>
          <w:color w:val="ff0000"/>
          <w:sz w:val="24"/>
          <w:szCs w:val="24"/>
        </w:rPr>
        <w:t xml:space="preserve">2.3 </w:t>
      </w:r>
      <w:r>
        <w:rPr>
          <w:b/>
          <w:bCs/>
          <w:color w:val="ff0000"/>
          <w:sz w:val="24"/>
          <w:szCs w:val="24"/>
        </w:rPr>
        <w:t>Competitive positioning</w:t>
      </w:r>
      <w:r>
        <w:rPr>
          <w:b/>
          <w:bCs/>
          <w:color w:val="ff0000"/>
          <w:sz w:val="24"/>
          <w:szCs w:val="24"/>
        </w:rPr>
        <w:t>: Porter’s generic strategies</w:t>
      </w:r>
    </w:p>
    <w:p w14:paraId="0000004E">
      <w:pPr>
        <w:pStyle w:val="style0"/>
        <w:spacing w:before="0" w:after="0" w:lineRule="auto" w:line="360"/>
        <w:jc w:val="both"/>
        <w:rPr>
          <w:color w:val="ff0000"/>
          <w:sz w:val="24"/>
          <w:szCs w:val="24"/>
        </w:rPr>
      </w:pPr>
      <w:r>
        <w:rPr>
          <w:color w:val="ff0000"/>
          <w:sz w:val="24"/>
          <w:szCs w:val="24"/>
        </w:rPr>
        <w:t>In relation to Porter’s generic strategies, Tata Steel should position itself as a dependable supplier of technically reliable, transparently measured lower-carbon steel and not simply as a company selling green products, thus following a differentiation strategy. This positioning combines established steelmaking expertise with credible evidence of environmental performance. India’s Green Steel Taxonomy provides a relevant benchmark, steel qualifies for green classification when emissions intensity is below 2.2 tonnes of CO₂ equivalent per tonne of finished steel (Ministry of Steel, 2024).</w:t>
      </w:r>
    </w:p>
    <w:p w14:paraId="0000004F">
      <w:pPr>
        <w:pStyle w:val="style0"/>
        <w:spacing w:before="0" w:after="0" w:lineRule="auto" w:line="360"/>
        <w:jc w:val="both"/>
        <w:rPr>
          <w:sz w:val="24"/>
          <w:szCs w:val="24"/>
        </w:rPr>
      </w:pPr>
      <w:r>
        <w:rPr>
          <w:color w:val="ff0000"/>
          <w:sz w:val="24"/>
          <w:szCs w:val="24"/>
        </w:rPr>
        <w:t>Cost leadership would not be suitable as the main strategy, because high transition costs and scrap competition make price competition difficult, however it would remain a supporting priority through operational efficiency. The differentiation advantage of the company would rest on three connected capabilities that are lower-carbon production, circular use of scrap and customer collaboration. Its EAF investment provides a foundation, while product-level environmental disclosures can strengthen the buyer confidence. The IEA (2024) highlights the importance of common emissions-accounting methods and stronger purchasing commitments, therefore it can be stated that credible verification and reliable supply are commercially important as well as environmental priorities. Based on this, a focus on sustainability-led buyers would help to reduce the risk of lower-carbon steel remaining a costly niche.</w:t>
      </w:r>
    </w:p>
    <w:bookmarkStart w:id="3" w:name="_heading=h.pg5ky2so48ih" w:colFirst="0" w:colLast="0"/>
    <w:bookmarkEnd w:id="3"/>
    <w:p w14:paraId="00000050">
      <w:pPr>
        <w:pStyle w:val="style1"/>
        <w:rPr>
          <w:rFonts w:ascii="Arial" w:cs="Arial" w:eastAsia="Arial" w:hAnsi="Arial"/>
        </w:rPr>
      </w:pPr>
      <w:r>
        <w:rPr>
          <w:rFonts w:ascii="Arial" w:cs="Arial" w:eastAsia="Arial" w:hAnsi="Arial"/>
        </w:rPr>
        <w:t>Task 3: Managerial and Professional Reflection</w:t>
      </w:r>
    </w:p>
    <w:p w14:paraId="00000051">
      <w:pPr>
        <w:pStyle w:val="style0"/>
        <w:spacing w:lineRule="auto" w:line="360"/>
        <w:jc w:val="both"/>
        <w:rPr>
          <w:sz w:val="24"/>
          <w:szCs w:val="24"/>
        </w:rPr>
      </w:pPr>
      <w:r>
        <w:rPr>
          <w:sz w:val="24"/>
          <w:szCs w:val="24"/>
        </w:rPr>
        <w:t>As a marketing consultant presenting to senior leadership, I selected Tata Steel because the steel industry is facing significant pressure to reduce carbon emissions while maintaining profitability, product quality and competitiveness. I considered Tata Steel an appropriate case as its existing manufacturing capabilities, customer relationships and investments in lower-carbon production provide opportunities to examine how environmental sustainability can support marketing-led growth.</w:t>
      </w:r>
    </w:p>
    <w:p w14:paraId="00000052">
      <w:pPr>
        <w:pStyle w:val="style0"/>
        <w:spacing w:lineRule="auto" w:line="360"/>
        <w:jc w:val="both"/>
        <w:rPr>
          <w:sz w:val="24"/>
          <w:szCs w:val="24"/>
        </w:rPr>
      </w:pPr>
      <w:r>
        <w:rPr>
          <w:sz w:val="24"/>
          <w:szCs w:val="24"/>
        </w:rPr>
        <w:t>I selected the natural environment, government and regulatory actors, and customers because they influence the strategic decisions of Tata Steel from different perspectives. Environmental pressures create the need to reduce emissions and use resources more efficiently, while government policies influence investment decisions, compliance costs and access to international markets. Customers determine whether lower-carbon steel can generate commercial value through purchasing decisions and willingness to pay. I prioritised the natural environment because it connects the other two actors and provides the main reason for developing lower-carbon products.</w:t>
      </w:r>
    </w:p>
    <w:p w14:paraId="00000053">
      <w:pPr>
        <w:pStyle w:val="style0"/>
        <w:spacing w:lineRule="auto" w:line="360"/>
        <w:jc w:val="both"/>
        <w:rPr>
          <w:sz w:val="24"/>
          <w:szCs w:val="24"/>
        </w:rPr>
      </w:pPr>
      <w:r>
        <w:rPr>
          <w:sz w:val="24"/>
          <w:szCs w:val="24"/>
        </w:rPr>
        <w:t>For the growth strategy, I evaluated the four options in the Ansoff Matrix and recommended product development as the primary approach. Based on this, it can be stated that Tata Steel would build on its existing capabilities and customer relationships while developing lower-carbon steel products. I also recognised the supporting roles of market penetration and market development; however, diversification was considered less suitable as the main strategy because entering unfamiliar markets could increase investment requirements and commercial uncertainty.</w:t>
      </w:r>
    </w:p>
    <w:p w14:paraId="00000054">
      <w:pPr>
        <w:pStyle w:val="style0"/>
        <w:spacing w:lineRule="auto" w:line="360"/>
        <w:jc w:val="both"/>
        <w:rPr>
          <w:sz w:val="24"/>
          <w:szCs w:val="24"/>
        </w:rPr>
      </w:pPr>
      <w:r>
        <w:rPr>
          <w:sz w:val="24"/>
          <w:szCs w:val="24"/>
        </w:rPr>
        <w:t>However, my analysis has limitations. I relied primarily on publicly available company reports, government publications and industry research rather than internal company data. Thus, I could not independently verify operational emissions performance, production costs or profitability of individual lower-carbon products. Furthermore, technological developments, energy prices and competitors’ strategies may change the commercial attractiveness of the recommended approach.</w:t>
      </w:r>
    </w:p>
    <w:p w14:paraId="00000055">
      <w:pPr>
        <w:pStyle w:val="style0"/>
        <w:spacing w:lineRule="auto" w:line="360"/>
        <w:jc w:val="both"/>
        <w:rPr>
          <w:sz w:val="24"/>
          <w:szCs w:val="24"/>
        </w:rPr>
      </w:pPr>
      <w:r>
        <w:rPr>
          <w:sz w:val="24"/>
          <w:szCs w:val="24"/>
        </w:rPr>
        <w:t>Before finalising my recommendations, I would seek detailed customer research, including interviews with procurement managers and willingness-to-pay analysis. I would also examine product-level emissions data, scrap availability, renewable electricity costs and projected returns on investment, as well as benchmark Tata Steel against major competitors to assess its relative cost position.</w:t>
      </w:r>
    </w:p>
    <w:p w14:paraId="00000056">
      <w:pPr>
        <w:pStyle w:val="style0"/>
        <w:spacing w:lineRule="auto" w:line="360"/>
        <w:jc w:val="both"/>
        <w:rPr>
          <w:sz w:val="24"/>
          <w:szCs w:val="24"/>
        </w:rPr>
      </w:pPr>
      <w:r>
        <w:rPr>
          <w:sz w:val="24"/>
          <w:szCs w:val="24"/>
        </w:rPr>
        <w:t>Thus, I would recommend pursuing product development through phased investment, verified environmental claims and close customer collaboration, and review the strategy regularly against sales growth, profitability, customer retention and verified emissions reductions.</w:t>
      </w:r>
    </w:p>
    <w:bookmarkStart w:id="4" w:name="_heading=h.q17idrjsxhuo" w:colFirst="0" w:colLast="0"/>
    <w:bookmarkEnd w:id="4"/>
    <w:p w14:paraId="00000057">
      <w:pPr>
        <w:pStyle w:val="style1"/>
        <w:rPr>
          <w:rFonts w:ascii="Arial" w:cs="Arial" w:eastAsia="Arial" w:hAnsi="Arial"/>
        </w:rPr>
      </w:pPr>
      <w:r>
        <w:rPr>
          <w:rFonts w:ascii="Arial" w:cs="Arial" w:eastAsia="Arial" w:hAnsi="Arial"/>
        </w:rPr>
        <w:t>Conclusion</w:t>
      </w:r>
    </w:p>
    <w:p w14:paraId="00000058">
      <w:pPr>
        <w:pStyle w:val="style0"/>
        <w:spacing w:lineRule="auto" w:line="360"/>
        <w:jc w:val="both"/>
        <w:rPr>
          <w:sz w:val="24"/>
          <w:szCs w:val="24"/>
        </w:rPr>
      </w:pPr>
      <w:r>
        <w:rPr>
          <w:sz w:val="24"/>
          <w:szCs w:val="24"/>
        </w:rPr>
        <w:t>In conclusion, the transition of Tata Steel towards lower-carbon steel presents both opportunities and challenges. Environmental pressures, government regulations and customer expectations are shaping the marketing decisions of the company. Ansoff’s Matrix highlights product development as the most suitable strategy, supported by market penetration and market development. By investing in low-carbon production technologies, improving scrap utilisation and strengthening customer partnerships, Tata Steel can respond to changing market needs, and a phased investment approach would help to manage costs and reduce risks.</w:t>
      </w:r>
    </w:p>
    <w:p w14:paraId="00000059">
      <w:pPr>
        <w:pStyle w:val="style0"/>
        <w:spacing w:lineRule="auto" w:line="360"/>
        <w:jc w:val="both"/>
        <w:rPr>
          <w:sz w:val="24"/>
          <w:szCs w:val="24"/>
        </w:rPr>
      </w:pPr>
    </w:p>
    <w:p w14:paraId="0000005A">
      <w:pPr>
        <w:pStyle w:val="style0"/>
        <w:spacing w:lineRule="auto" w:line="360"/>
        <w:jc w:val="both"/>
        <w:rPr>
          <w:sz w:val="24"/>
          <w:szCs w:val="24"/>
        </w:rPr>
      </w:pPr>
      <w:r>
        <w:br w:type="page"/>
      </w:r>
    </w:p>
    <w:bookmarkStart w:id="5" w:name="_heading=h.dbyx1erpbczr" w:colFirst="0" w:colLast="0"/>
    <w:bookmarkEnd w:id="5"/>
    <w:p w14:paraId="0000005B">
      <w:pPr>
        <w:pStyle w:val="style1"/>
        <w:rPr>
          <w:rFonts w:ascii="Arial" w:cs="Arial" w:eastAsia="Arial" w:hAnsi="Arial"/>
        </w:rPr>
      </w:pPr>
      <w:r>
        <w:rPr>
          <w:rFonts w:ascii="Arial" w:cs="Arial" w:eastAsia="Arial" w:hAnsi="Arial"/>
        </w:rPr>
        <w:t>References</w:t>
      </w:r>
    </w:p>
    <w:p w14:paraId="0000005C">
      <w:pPr>
        <w:pStyle w:val="style0"/>
        <w:spacing w:before="200" w:after="200" w:lineRule="auto" w:line="360"/>
        <w:jc w:val="both"/>
        <w:rPr>
          <w:sz w:val="24"/>
          <w:szCs w:val="24"/>
        </w:rPr>
      </w:pPr>
      <w:r>
        <w:rPr>
          <w:sz w:val="24"/>
          <w:szCs w:val="24"/>
        </w:rPr>
        <w:t xml:space="preserve">Business Standard, (2026). </w:t>
      </w:r>
      <w:r>
        <w:rPr>
          <w:i/>
          <w:iCs/>
          <w:sz w:val="24"/>
          <w:szCs w:val="24"/>
        </w:rPr>
        <w:t>Tata Steel commissions ₹3,200 crore Ludhiana EAF in green steel push.</w:t>
      </w:r>
      <w:r>
        <w:rPr>
          <w:sz w:val="24"/>
          <w:szCs w:val="24"/>
        </w:rPr>
        <w:t xml:space="preserve"> [Online] Available at:</w:t>
      </w:r>
      <w:r>
        <w:rPr/>
        <w:fldChar w:fldCharType="begin"/>
      </w:r>
      <w:r>
        <w:instrText xml:space="preserve"> HYPERLINK "https://www.business-standard.com/companies/news/tata-steel-commissions-rs-3200-crore-ludhiana-eaf-in-green-push-126032001015_1.html" </w:instrText>
      </w:r>
      <w:r>
        <w:rPr/>
        <w:fldChar w:fldCharType="separate"/>
      </w:r>
      <w:r>
        <w:rPr>
          <w:sz w:val="24"/>
          <w:szCs w:val="24"/>
        </w:rPr>
        <w:t xml:space="preserve"> </w:t>
      </w:r>
      <w:r>
        <w:rPr/>
        <w:fldChar w:fldCharType="end"/>
      </w:r>
      <w:r>
        <w:rPr/>
        <w:fldChar w:fldCharType="begin"/>
      </w:r>
      <w:r>
        <w:instrText xml:space="preserve"> HYPERLINK "https://www.business-standard.com/companies/news/tata-steel-commissions-rs-3200-crore-ludhiana-eaf-in-green-push-126032001015_1.html" </w:instrText>
      </w:r>
      <w:r>
        <w:rPr/>
        <w:fldChar w:fldCharType="separate"/>
      </w:r>
      <w:r>
        <w:rPr>
          <w:color w:val="1155cc"/>
          <w:sz w:val="24"/>
          <w:szCs w:val="24"/>
          <w:u w:val="single"/>
        </w:rPr>
        <w:t>https://www.business-standard.com/companies/news/tata-steel-commissions-rs-3200-crore-ludhiana-eaf-in-green-push-126032001015_1.html</w:t>
      </w:r>
      <w:r>
        <w:rPr/>
        <w:fldChar w:fldCharType="end"/>
      </w:r>
      <w:r>
        <w:rPr>
          <w:sz w:val="24"/>
          <w:szCs w:val="24"/>
        </w:rPr>
        <w:t xml:space="preserve"> [Accessed on 5 October, 2026]</w:t>
      </w:r>
    </w:p>
    <w:p w14:paraId="0000005D">
      <w:pPr>
        <w:pStyle w:val="style0"/>
        <w:widowControl w:val="false"/>
        <w:spacing w:before="200" w:after="200" w:lineRule="auto" w:line="360"/>
        <w:jc w:val="both"/>
        <w:rPr>
          <w:color w:val="222222"/>
          <w:sz w:val="24"/>
          <w:szCs w:val="24"/>
        </w:rPr>
      </w:pPr>
      <w:r>
        <w:rPr>
          <w:color w:val="222222"/>
          <w:sz w:val="24"/>
          <w:szCs w:val="24"/>
        </w:rPr>
        <w:t xml:space="preserve">Climate Group, (2024). </w:t>
      </w:r>
      <w:r>
        <w:rPr>
          <w:i/>
          <w:iCs/>
          <w:color w:val="222222"/>
          <w:sz w:val="24"/>
          <w:szCs w:val="24"/>
        </w:rPr>
        <w:t>The Steel and Concrete Transformation: 2024 Market Outlook on Lower Emission Steel and Concrete</w:t>
      </w:r>
      <w:r>
        <w:rPr>
          <w:color w:val="222222"/>
          <w:sz w:val="24"/>
          <w:szCs w:val="24"/>
        </w:rPr>
        <w:t>. [Online] Available at:</w:t>
      </w:r>
      <w:r>
        <w:rPr/>
        <w:fldChar w:fldCharType="begin"/>
      </w:r>
      <w:r>
        <w:instrText xml:space="preserve"> HYPERLINK "https://www.theclimategroup.org/steelzero-publications" </w:instrText>
      </w:r>
      <w:r>
        <w:rPr/>
        <w:fldChar w:fldCharType="separate"/>
      </w:r>
      <w:r>
        <w:rPr>
          <w:color w:val="222222"/>
          <w:sz w:val="24"/>
          <w:szCs w:val="24"/>
        </w:rPr>
        <w:t xml:space="preserve"> </w:t>
      </w:r>
      <w:r>
        <w:rPr/>
        <w:fldChar w:fldCharType="end"/>
      </w:r>
      <w:r>
        <w:rPr/>
        <w:fldChar w:fldCharType="begin"/>
      </w:r>
      <w:r>
        <w:instrText xml:space="preserve"> HYPERLINK "https://www.theclimategroup.org/steelzero-publications" </w:instrText>
      </w:r>
      <w:r>
        <w:rPr/>
        <w:fldChar w:fldCharType="separate"/>
      </w:r>
      <w:r>
        <w:rPr>
          <w:color w:val="1155cc"/>
          <w:sz w:val="24"/>
          <w:szCs w:val="24"/>
          <w:u w:val="single"/>
        </w:rPr>
        <w:t>https://www.theclimategroup.org/steelzero-publications</w:t>
      </w:r>
      <w:r>
        <w:rPr/>
        <w:fldChar w:fldCharType="end"/>
      </w:r>
      <w:r>
        <w:rPr>
          <w:color w:val="222222"/>
          <w:sz w:val="24"/>
          <w:szCs w:val="24"/>
        </w:rPr>
        <w:t xml:space="preserve"> [Accessed on 9 October 2026]</w:t>
      </w:r>
    </w:p>
    <w:p w14:paraId="0000005E">
      <w:pPr>
        <w:pStyle w:val="style0"/>
        <w:widowControl w:val="false"/>
        <w:spacing w:before="200" w:after="200" w:lineRule="auto" w:line="360"/>
        <w:jc w:val="both"/>
        <w:rPr>
          <w:color w:val="222222"/>
          <w:sz w:val="24"/>
          <w:szCs w:val="24"/>
        </w:rPr>
      </w:pPr>
      <w:r>
        <w:rPr>
          <w:color w:val="222222"/>
          <w:sz w:val="24"/>
          <w:szCs w:val="24"/>
        </w:rPr>
        <w:t xml:space="preserve">Climate Group, (2026). </w:t>
      </w:r>
      <w:r>
        <w:rPr>
          <w:i/>
          <w:iCs/>
          <w:color w:val="222222"/>
          <w:sz w:val="24"/>
          <w:szCs w:val="24"/>
        </w:rPr>
        <w:t>SteelZero: Building demand for net zero steel</w:t>
      </w:r>
      <w:r>
        <w:rPr>
          <w:color w:val="222222"/>
          <w:sz w:val="24"/>
          <w:szCs w:val="24"/>
        </w:rPr>
        <w:t>. [Online] Available at:</w:t>
      </w:r>
      <w:r>
        <w:rPr/>
        <w:fldChar w:fldCharType="begin"/>
      </w:r>
      <w:r>
        <w:instrText xml:space="preserve"> HYPERLINK "https://www.theclimategroup.org/steelzero" </w:instrText>
      </w:r>
      <w:r>
        <w:rPr/>
        <w:fldChar w:fldCharType="separate"/>
      </w:r>
      <w:r>
        <w:rPr>
          <w:color w:val="222222"/>
          <w:sz w:val="24"/>
          <w:szCs w:val="24"/>
        </w:rPr>
        <w:t xml:space="preserve"> </w:t>
      </w:r>
      <w:r>
        <w:rPr/>
        <w:fldChar w:fldCharType="end"/>
      </w:r>
      <w:r>
        <w:rPr/>
        <w:fldChar w:fldCharType="begin"/>
      </w:r>
      <w:r>
        <w:instrText xml:space="preserve"> HYPERLINK "https://www.theclimategroup.org/steelzero" </w:instrText>
      </w:r>
      <w:r>
        <w:rPr/>
        <w:fldChar w:fldCharType="separate"/>
      </w:r>
      <w:r>
        <w:rPr>
          <w:color w:val="1155cc"/>
          <w:sz w:val="24"/>
          <w:szCs w:val="24"/>
          <w:u w:val="single"/>
        </w:rPr>
        <w:t>https://www.theclimategroup.org/steelzero</w:t>
      </w:r>
      <w:r>
        <w:rPr/>
        <w:fldChar w:fldCharType="end"/>
      </w:r>
      <w:r>
        <w:rPr>
          <w:color w:val="222222"/>
          <w:sz w:val="24"/>
          <w:szCs w:val="24"/>
        </w:rPr>
        <w:t xml:space="preserve"> [Accessed on 9 October 2026]</w:t>
      </w:r>
    </w:p>
    <w:p w14:paraId="0000005F">
      <w:pPr>
        <w:pStyle w:val="style0"/>
        <w:spacing w:before="200" w:after="200" w:lineRule="auto" w:line="360"/>
        <w:jc w:val="both"/>
        <w:rPr>
          <w:sz w:val="24"/>
          <w:szCs w:val="24"/>
        </w:rPr>
      </w:pPr>
      <w:r>
        <w:rPr>
          <w:sz w:val="24"/>
          <w:szCs w:val="24"/>
        </w:rPr>
        <w:t xml:space="preserve">de Villafranca Casas, M.J., Smit, S., Nilsson, A. and Kuramochi, T., (2024). Climate targets by major steel companies: an assessment of collective ambition and planned emission reduction measures. </w:t>
      </w:r>
      <w:r>
        <w:rPr>
          <w:i/>
          <w:iCs/>
          <w:sz w:val="24"/>
          <w:szCs w:val="24"/>
        </w:rPr>
        <w:t>Energy and Climate Change</w:t>
      </w:r>
      <w:r>
        <w:rPr>
          <w:sz w:val="24"/>
          <w:szCs w:val="24"/>
        </w:rPr>
        <w:t xml:space="preserve">, </w:t>
      </w:r>
      <w:r>
        <w:rPr>
          <w:i/>
          <w:iCs/>
          <w:sz w:val="24"/>
          <w:szCs w:val="24"/>
        </w:rPr>
        <w:t>5</w:t>
      </w:r>
      <w:r>
        <w:rPr>
          <w:sz w:val="24"/>
          <w:szCs w:val="24"/>
        </w:rPr>
        <w:t>, p.100120.</w:t>
      </w:r>
    </w:p>
    <w:p w14:paraId="00000060">
      <w:pPr>
        <w:pStyle w:val="style0"/>
        <w:spacing w:before="200" w:after="200" w:lineRule="auto" w:line="360"/>
        <w:jc w:val="both"/>
        <w:rPr>
          <w:sz w:val="24"/>
          <w:szCs w:val="24"/>
        </w:rPr>
      </w:pPr>
      <w:r>
        <w:rPr>
          <w:sz w:val="24"/>
          <w:szCs w:val="24"/>
        </w:rPr>
        <w:t xml:space="preserve">European Commission, (2026). </w:t>
      </w:r>
      <w:r>
        <w:rPr>
          <w:i/>
          <w:iCs/>
          <w:sz w:val="24"/>
          <w:szCs w:val="24"/>
        </w:rPr>
        <w:t>CBAM definitive regime</w:t>
      </w:r>
      <w:r>
        <w:rPr>
          <w:sz w:val="24"/>
          <w:szCs w:val="24"/>
        </w:rPr>
        <w:t>. [Online] Available at:</w:t>
      </w:r>
      <w:r>
        <w:rPr/>
        <w:fldChar w:fldCharType="begin"/>
      </w:r>
      <w:r>
        <w:instrText xml:space="preserve"> HYPERLINK "https://taxation-customs.ec.europa.eu/carbon-border-adjustment-mechanism_en" </w:instrText>
      </w:r>
      <w:r>
        <w:rPr/>
        <w:fldChar w:fldCharType="separate"/>
      </w:r>
      <w:r>
        <w:rPr>
          <w:sz w:val="24"/>
          <w:szCs w:val="24"/>
        </w:rPr>
        <w:t xml:space="preserve"> </w:t>
      </w:r>
      <w:r>
        <w:rPr/>
        <w:fldChar w:fldCharType="end"/>
      </w:r>
      <w:r>
        <w:rPr/>
        <w:fldChar w:fldCharType="begin"/>
      </w:r>
      <w:r>
        <w:instrText xml:space="preserve"> HYPERLINK "https://taxation-customs.ec.europa.eu/carbon-border-adjustment-mechanism_en" </w:instrText>
      </w:r>
      <w:r>
        <w:rPr/>
        <w:fldChar w:fldCharType="separate"/>
      </w:r>
      <w:r>
        <w:rPr>
          <w:color w:val="1155cc"/>
          <w:sz w:val="24"/>
          <w:szCs w:val="24"/>
          <w:u w:val="single"/>
        </w:rPr>
        <w:t>https://taxation-customs.ec.europa.eu/carbon-border-adjustment-mechanism_en</w:t>
      </w:r>
      <w:r>
        <w:rPr/>
        <w:fldChar w:fldCharType="end"/>
      </w:r>
      <w:r>
        <w:rPr>
          <w:sz w:val="24"/>
          <w:szCs w:val="24"/>
        </w:rPr>
        <w:t xml:space="preserve"> [Accessed on 5 October 2026]</w:t>
      </w:r>
    </w:p>
    <w:p w14:paraId="00000061">
      <w:pPr>
        <w:pStyle w:val="style0"/>
        <w:widowControl w:val="false"/>
        <w:spacing w:before="200" w:after="200" w:lineRule="auto" w:line="360"/>
        <w:jc w:val="both"/>
        <w:rPr>
          <w:color w:val="222222"/>
          <w:sz w:val="24"/>
          <w:szCs w:val="24"/>
        </w:rPr>
      </w:pPr>
      <w:r>
        <w:rPr>
          <w:color w:val="222222"/>
          <w:sz w:val="24"/>
          <w:szCs w:val="24"/>
        </w:rPr>
        <w:t xml:space="preserve">IEA, (2024). </w:t>
      </w:r>
      <w:r>
        <w:rPr>
          <w:i/>
          <w:iCs/>
          <w:color w:val="222222"/>
          <w:sz w:val="24"/>
          <w:szCs w:val="24"/>
        </w:rPr>
        <w:t>Breakthrough Agenda Report 2024: Steel</w:t>
      </w:r>
      <w:r>
        <w:rPr>
          <w:color w:val="222222"/>
          <w:sz w:val="24"/>
          <w:szCs w:val="24"/>
        </w:rPr>
        <w:t>. [Online] Available at:</w:t>
      </w:r>
      <w:r>
        <w:rPr/>
        <w:fldChar w:fldCharType="begin"/>
      </w:r>
      <w:r>
        <w:instrText xml:space="preserve"> HYPERLINK "https://www.iea.org/reports/breakthrough-agenda-report-2024/steel" </w:instrText>
      </w:r>
      <w:r>
        <w:rPr/>
        <w:fldChar w:fldCharType="separate"/>
      </w:r>
      <w:r>
        <w:rPr>
          <w:color w:val="222222"/>
          <w:sz w:val="24"/>
          <w:szCs w:val="24"/>
        </w:rPr>
        <w:t xml:space="preserve"> </w:t>
      </w:r>
      <w:r>
        <w:rPr/>
        <w:fldChar w:fldCharType="end"/>
      </w:r>
      <w:r>
        <w:rPr/>
        <w:fldChar w:fldCharType="begin"/>
      </w:r>
      <w:r>
        <w:instrText xml:space="preserve"> HYPERLINK "https://www.iea.org/reports/breakthrough-agenda-report-2024/steel" </w:instrText>
      </w:r>
      <w:r>
        <w:rPr/>
        <w:fldChar w:fldCharType="separate"/>
      </w:r>
      <w:r>
        <w:rPr>
          <w:color w:val="1155cc"/>
          <w:sz w:val="24"/>
          <w:szCs w:val="24"/>
          <w:u w:val="single"/>
        </w:rPr>
        <w:t>https://www.iea.org/reports/breakthrough-agenda-report-2024/steel</w:t>
      </w:r>
      <w:r>
        <w:rPr/>
        <w:fldChar w:fldCharType="end"/>
      </w:r>
      <w:r>
        <w:rPr>
          <w:color w:val="222222"/>
          <w:sz w:val="24"/>
          <w:szCs w:val="24"/>
        </w:rPr>
        <w:t xml:space="preserve"> [Accessed on 9 October 2026]</w:t>
      </w:r>
    </w:p>
    <w:p w14:paraId="00000062">
      <w:pPr>
        <w:pStyle w:val="style0"/>
        <w:widowControl w:val="false"/>
        <w:spacing w:before="200" w:after="200" w:lineRule="auto" w:line="360"/>
        <w:jc w:val="both"/>
        <w:rPr>
          <w:color w:val="222222"/>
          <w:sz w:val="24"/>
          <w:szCs w:val="24"/>
        </w:rPr>
      </w:pPr>
      <w:r>
        <w:rPr>
          <w:color w:val="222222"/>
          <w:sz w:val="24"/>
          <w:szCs w:val="24"/>
        </w:rPr>
        <w:t xml:space="preserve">IEA, (2025). </w:t>
      </w:r>
      <w:r>
        <w:rPr>
          <w:i/>
          <w:iCs/>
          <w:color w:val="222222"/>
          <w:sz w:val="24"/>
          <w:szCs w:val="24"/>
        </w:rPr>
        <w:t>Breakthrough Agenda Report 2025: Steel</w:t>
      </w:r>
      <w:r>
        <w:rPr>
          <w:color w:val="222222"/>
          <w:sz w:val="24"/>
          <w:szCs w:val="24"/>
        </w:rPr>
        <w:t>. Paris: IEA. [Online] Available at:</w:t>
      </w:r>
      <w:r>
        <w:rPr/>
        <w:fldChar w:fldCharType="begin"/>
      </w:r>
      <w:r>
        <w:instrText xml:space="preserve"> HYPERLINK "https://www.iea.org/reports/breakthrough-agenda-report-2025/steel" </w:instrText>
      </w:r>
      <w:r>
        <w:rPr/>
        <w:fldChar w:fldCharType="separate"/>
      </w:r>
      <w:r>
        <w:rPr>
          <w:color w:val="222222"/>
          <w:sz w:val="24"/>
          <w:szCs w:val="24"/>
        </w:rPr>
        <w:t xml:space="preserve"> </w:t>
      </w:r>
      <w:r>
        <w:rPr/>
        <w:fldChar w:fldCharType="end"/>
      </w:r>
      <w:r>
        <w:rPr/>
        <w:fldChar w:fldCharType="begin"/>
      </w:r>
      <w:r>
        <w:instrText xml:space="preserve"> HYPERLINK "https://www.iea.org/reports/breakthrough-agenda-report-2025/steel" </w:instrText>
      </w:r>
      <w:r>
        <w:rPr/>
        <w:fldChar w:fldCharType="separate"/>
      </w:r>
      <w:r>
        <w:rPr>
          <w:color w:val="1155cc"/>
          <w:sz w:val="24"/>
          <w:szCs w:val="24"/>
          <w:u w:val="single"/>
        </w:rPr>
        <w:t>https://www.iea.org/reports/breakthrough-agenda-report-2025/steel</w:t>
      </w:r>
      <w:r>
        <w:rPr/>
        <w:fldChar w:fldCharType="end"/>
      </w:r>
      <w:r>
        <w:rPr>
          <w:color w:val="222222"/>
          <w:sz w:val="24"/>
          <w:szCs w:val="24"/>
        </w:rPr>
        <w:t xml:space="preserve"> [Accessed on 9 October 2026]</w:t>
      </w:r>
    </w:p>
    <w:p w14:paraId="00000063">
      <w:pPr>
        <w:pStyle w:val="style0"/>
        <w:widowControl w:val="false"/>
        <w:spacing w:before="200" w:after="200" w:lineRule="auto" w:line="360"/>
        <w:jc w:val="both"/>
        <w:rPr>
          <w:color w:val="222222"/>
          <w:sz w:val="24"/>
          <w:szCs w:val="24"/>
        </w:rPr>
      </w:pPr>
      <w:r>
        <w:rPr>
          <w:color w:val="222222"/>
          <w:sz w:val="24"/>
          <w:szCs w:val="24"/>
        </w:rPr>
        <w:t xml:space="preserve">Ministry of Steel, (2024). </w:t>
      </w:r>
      <w:r>
        <w:rPr>
          <w:i/>
          <w:iCs/>
          <w:color w:val="222222"/>
          <w:sz w:val="24"/>
          <w:szCs w:val="24"/>
        </w:rPr>
        <w:t>Green Steel Initiative</w:t>
      </w:r>
      <w:r>
        <w:rPr>
          <w:color w:val="222222"/>
          <w:sz w:val="24"/>
          <w:szCs w:val="24"/>
        </w:rPr>
        <w:t>. Government of India. [Online] Available at:</w:t>
      </w:r>
      <w:r>
        <w:rPr/>
        <w:fldChar w:fldCharType="begin"/>
      </w:r>
      <w:r>
        <w:instrText xml:space="preserve"> HYPERLINK "https://steel.gov.in/green-steel-initiative" </w:instrText>
      </w:r>
      <w:r>
        <w:rPr/>
        <w:fldChar w:fldCharType="separate"/>
      </w:r>
      <w:r>
        <w:rPr>
          <w:color w:val="222222"/>
          <w:sz w:val="24"/>
          <w:szCs w:val="24"/>
        </w:rPr>
        <w:t xml:space="preserve"> </w:t>
      </w:r>
      <w:r>
        <w:rPr/>
        <w:fldChar w:fldCharType="end"/>
      </w:r>
      <w:r>
        <w:rPr/>
        <w:fldChar w:fldCharType="begin"/>
      </w:r>
      <w:r>
        <w:instrText xml:space="preserve"> HYPERLINK "https://steel.gov.in/green-steel-initiative" </w:instrText>
      </w:r>
      <w:r>
        <w:rPr/>
        <w:fldChar w:fldCharType="separate"/>
      </w:r>
      <w:r>
        <w:rPr>
          <w:color w:val="1155cc"/>
          <w:sz w:val="24"/>
          <w:szCs w:val="24"/>
          <w:u w:val="single"/>
        </w:rPr>
        <w:t>https://steel.gov.in/green-steel-initiative</w:t>
      </w:r>
      <w:r>
        <w:rPr/>
        <w:fldChar w:fldCharType="end"/>
      </w:r>
      <w:r>
        <w:rPr>
          <w:color w:val="222222"/>
          <w:sz w:val="24"/>
          <w:szCs w:val="24"/>
        </w:rPr>
        <w:t xml:space="preserve"> [Accessed on 9 October 2026]</w:t>
      </w:r>
    </w:p>
    <w:p w14:paraId="00000064">
      <w:pPr>
        <w:pStyle w:val="style0"/>
        <w:widowControl w:val="false"/>
        <w:spacing w:before="200" w:after="200" w:lineRule="auto" w:line="360"/>
        <w:jc w:val="both"/>
        <w:rPr>
          <w:color w:val="222222"/>
          <w:sz w:val="24"/>
          <w:szCs w:val="24"/>
        </w:rPr>
      </w:pPr>
      <w:r>
        <w:rPr>
          <w:color w:val="222222"/>
          <w:sz w:val="24"/>
          <w:szCs w:val="24"/>
        </w:rPr>
        <w:t xml:space="preserve">Ministry of Steel, (2024). </w:t>
      </w:r>
      <w:r>
        <w:rPr>
          <w:i/>
          <w:iCs/>
          <w:color w:val="222222"/>
          <w:sz w:val="24"/>
          <w:szCs w:val="24"/>
        </w:rPr>
        <w:t>Taxonomy for Green Steel for India</w:t>
      </w:r>
      <w:r>
        <w:rPr>
          <w:color w:val="222222"/>
          <w:sz w:val="24"/>
          <w:szCs w:val="24"/>
        </w:rPr>
        <w:t>. Government of India. [Online] Available at:</w:t>
      </w:r>
      <w:r>
        <w:rPr/>
        <w:fldChar w:fldCharType="begin"/>
      </w:r>
      <w:r>
        <w:instrText xml:space="preserve"> HYPERLINK "https://steel.gov.in/green-steel-taxonomy-india" </w:instrText>
      </w:r>
      <w:r>
        <w:rPr/>
        <w:fldChar w:fldCharType="separate"/>
      </w:r>
      <w:r>
        <w:rPr>
          <w:color w:val="222222"/>
          <w:sz w:val="24"/>
          <w:szCs w:val="24"/>
        </w:rPr>
        <w:t xml:space="preserve"> </w:t>
      </w:r>
      <w:r>
        <w:rPr/>
        <w:fldChar w:fldCharType="end"/>
      </w:r>
      <w:r>
        <w:rPr/>
        <w:fldChar w:fldCharType="begin"/>
      </w:r>
      <w:r>
        <w:instrText xml:space="preserve"> HYPERLINK "https://steel.gov.in/green-steel-taxonomy-india" </w:instrText>
      </w:r>
      <w:r>
        <w:rPr/>
        <w:fldChar w:fldCharType="separate"/>
      </w:r>
      <w:r>
        <w:rPr>
          <w:color w:val="1155cc"/>
          <w:sz w:val="24"/>
          <w:szCs w:val="24"/>
          <w:u w:val="single"/>
        </w:rPr>
        <w:t>https://steel.gov.in/green-steel-taxonomy-india</w:t>
      </w:r>
      <w:r>
        <w:rPr/>
        <w:fldChar w:fldCharType="end"/>
      </w:r>
      <w:r>
        <w:rPr>
          <w:color w:val="222222"/>
          <w:sz w:val="24"/>
          <w:szCs w:val="24"/>
        </w:rPr>
        <w:t xml:space="preserve"> [Accessed on 9 October 2026]</w:t>
      </w:r>
    </w:p>
    <w:p w14:paraId="00000065">
      <w:pPr>
        <w:pStyle w:val="style0"/>
        <w:spacing w:before="200" w:after="200" w:lineRule="auto" w:line="360"/>
        <w:jc w:val="both"/>
        <w:rPr>
          <w:sz w:val="24"/>
          <w:szCs w:val="24"/>
        </w:rPr>
      </w:pPr>
      <w:r>
        <w:rPr>
          <w:sz w:val="24"/>
          <w:szCs w:val="24"/>
        </w:rPr>
        <w:t xml:space="preserve">PIB, (2024). </w:t>
      </w:r>
      <w:r>
        <w:rPr>
          <w:i/>
          <w:iCs/>
          <w:sz w:val="24"/>
          <w:szCs w:val="24"/>
        </w:rPr>
        <w:t>Union Minister of Steel and Heavy Industries, Shri H.D. Kumaraswamy, Releases India’s Green Steel Taxonomy</w:t>
      </w:r>
      <w:r>
        <w:rPr>
          <w:sz w:val="24"/>
          <w:szCs w:val="24"/>
        </w:rPr>
        <w:t>. [Online] Available at:</w:t>
      </w:r>
      <w:r>
        <w:rPr/>
        <w:fldChar w:fldCharType="begin"/>
      </w:r>
      <w:r>
        <w:instrText xml:space="preserve"> HYPERLINK "https://www.pib.gov.in/PressReleaseIframePage.aspx?PRID=2083839" </w:instrText>
      </w:r>
      <w:r>
        <w:rPr/>
        <w:fldChar w:fldCharType="separate"/>
      </w:r>
      <w:r>
        <w:rPr>
          <w:sz w:val="24"/>
          <w:szCs w:val="24"/>
        </w:rPr>
        <w:t xml:space="preserve"> </w:t>
      </w:r>
      <w:r>
        <w:rPr/>
        <w:fldChar w:fldCharType="end"/>
      </w:r>
      <w:r>
        <w:rPr/>
        <w:fldChar w:fldCharType="begin"/>
      </w:r>
      <w:r>
        <w:instrText xml:space="preserve"> HYPERLINK "https://www.pib.gov.in/PressReleaseIframePage.aspx?PRID=2083839" </w:instrText>
      </w:r>
      <w:r>
        <w:rPr/>
        <w:fldChar w:fldCharType="separate"/>
      </w:r>
      <w:r>
        <w:rPr>
          <w:color w:val="1155cc"/>
          <w:sz w:val="24"/>
          <w:szCs w:val="24"/>
          <w:u w:val="single"/>
        </w:rPr>
        <w:t>https://www.pib.gov.in/PressReleaseIframePage.aspx?PRID=2083839</w:t>
      </w:r>
      <w:r>
        <w:rPr/>
        <w:fldChar w:fldCharType="end"/>
      </w:r>
      <w:r>
        <w:rPr>
          <w:sz w:val="24"/>
          <w:szCs w:val="24"/>
        </w:rPr>
        <w:t xml:space="preserve"> [Accessed on 5 October 2026]</w:t>
      </w:r>
    </w:p>
    <w:p w14:paraId="00000066">
      <w:pPr>
        <w:pStyle w:val="style0"/>
        <w:spacing w:before="200" w:after="200" w:lineRule="auto" w:line="360"/>
        <w:jc w:val="both"/>
        <w:rPr>
          <w:sz w:val="24"/>
          <w:szCs w:val="24"/>
        </w:rPr>
      </w:pPr>
      <w:r>
        <w:rPr>
          <w:sz w:val="24"/>
          <w:szCs w:val="24"/>
        </w:rPr>
        <w:t xml:space="preserve">PIB, (2025). </w:t>
      </w:r>
      <w:r>
        <w:rPr>
          <w:i/>
          <w:iCs/>
          <w:sz w:val="24"/>
          <w:szCs w:val="24"/>
        </w:rPr>
        <w:t>Unlocking India’s Green Hydrogen Production Potential.</w:t>
      </w:r>
      <w:r>
        <w:rPr>
          <w:sz w:val="24"/>
          <w:szCs w:val="24"/>
        </w:rPr>
        <w:t xml:space="preserve"> [Online] Available at:</w:t>
      </w:r>
      <w:r>
        <w:rPr/>
        <w:fldChar w:fldCharType="begin"/>
      </w:r>
      <w:r>
        <w:instrText xml:space="preserve"> HYPERLINK "https://www.pib.gov.in/PressReleasePage.aspx?PRID=2189126" </w:instrText>
      </w:r>
      <w:r>
        <w:rPr/>
        <w:fldChar w:fldCharType="separate"/>
      </w:r>
      <w:r>
        <w:rPr>
          <w:sz w:val="24"/>
          <w:szCs w:val="24"/>
        </w:rPr>
        <w:t xml:space="preserve"> </w:t>
      </w:r>
      <w:r>
        <w:rPr/>
        <w:fldChar w:fldCharType="end"/>
      </w:r>
      <w:r>
        <w:rPr/>
        <w:fldChar w:fldCharType="begin"/>
      </w:r>
      <w:r>
        <w:instrText xml:space="preserve"> HYPERLINK "https://www.pib.gov.in/PressReleasePage.aspx?PRID=2189126" </w:instrText>
      </w:r>
      <w:r>
        <w:rPr/>
        <w:fldChar w:fldCharType="separate"/>
      </w:r>
      <w:r>
        <w:rPr>
          <w:color w:val="1155cc"/>
          <w:sz w:val="24"/>
          <w:szCs w:val="24"/>
          <w:u w:val="single"/>
        </w:rPr>
        <w:t>https://www.pib.gov.in/PressReleasePage.aspx?PRID=2189126</w:t>
      </w:r>
      <w:r>
        <w:rPr/>
        <w:fldChar w:fldCharType="end"/>
      </w:r>
      <w:r>
        <w:rPr>
          <w:sz w:val="24"/>
          <w:szCs w:val="24"/>
        </w:rPr>
        <w:t xml:space="preserve"> [Accessed on 5 October 2026]</w:t>
      </w:r>
    </w:p>
    <w:p w14:paraId="00000067">
      <w:pPr>
        <w:pStyle w:val="style0"/>
        <w:spacing w:before="200" w:after="200" w:lineRule="auto" w:line="360"/>
        <w:jc w:val="both"/>
        <w:rPr>
          <w:sz w:val="24"/>
          <w:szCs w:val="24"/>
        </w:rPr>
      </w:pPr>
      <w:r>
        <w:rPr>
          <w:sz w:val="24"/>
          <w:szCs w:val="24"/>
        </w:rPr>
        <w:t xml:space="preserve">Prabhaker, S.P. and Kumar, S., (2024). 4. Development Of Framework For Optimised Value Delivery In Construction Projects With Reference To Tata Steel Limited. </w:t>
      </w:r>
      <w:r>
        <w:rPr>
          <w:i/>
          <w:iCs/>
          <w:sz w:val="24"/>
          <w:szCs w:val="24"/>
        </w:rPr>
        <w:t>The Researchers’ International Research Journal</w:t>
      </w:r>
      <w:r>
        <w:rPr>
          <w:sz w:val="24"/>
          <w:szCs w:val="24"/>
        </w:rPr>
        <w:t xml:space="preserve">, </w:t>
      </w:r>
      <w:r>
        <w:rPr>
          <w:i/>
          <w:iCs/>
          <w:sz w:val="24"/>
          <w:szCs w:val="24"/>
        </w:rPr>
        <w:t>10</w:t>
      </w:r>
      <w:r>
        <w:rPr>
          <w:sz w:val="24"/>
          <w:szCs w:val="24"/>
        </w:rPr>
        <w:t>(1), pp.23-43.</w:t>
      </w:r>
    </w:p>
    <w:p w14:paraId="00000068">
      <w:pPr>
        <w:pStyle w:val="style0"/>
        <w:spacing w:before="200" w:after="200" w:lineRule="auto" w:line="360"/>
        <w:jc w:val="both"/>
        <w:rPr>
          <w:sz w:val="24"/>
          <w:szCs w:val="24"/>
        </w:rPr>
      </w:pPr>
      <w:r>
        <w:rPr>
          <w:sz w:val="24"/>
          <w:szCs w:val="24"/>
        </w:rPr>
        <w:t xml:space="preserve">Rahman, M.S., Kumar, A. and Nasim, M., (2026). Driving Sustainability: Green Steel Production Powered by Green Hydrogen vs Electric Vehicles—A Future of Cleaner and Greener Innovations. In </w:t>
      </w:r>
      <w:r>
        <w:rPr>
          <w:i/>
          <w:iCs/>
          <w:sz w:val="24"/>
          <w:szCs w:val="24"/>
        </w:rPr>
        <w:t>Green Hydrogen Transition: A Comprehensive Guide to Policies, Supply Chain and Market Dynamics in India</w:t>
      </w:r>
      <w:r>
        <w:rPr>
          <w:sz w:val="24"/>
          <w:szCs w:val="24"/>
        </w:rPr>
        <w:t xml:space="preserve"> (pp. 133-146). Singapore: Springer Nature Singapore.</w:t>
      </w:r>
    </w:p>
    <w:p w14:paraId="00000069">
      <w:pPr>
        <w:pStyle w:val="style0"/>
        <w:spacing w:before="200" w:after="200" w:lineRule="auto" w:line="360"/>
        <w:jc w:val="both"/>
        <w:rPr>
          <w:sz w:val="24"/>
          <w:szCs w:val="24"/>
        </w:rPr>
      </w:pPr>
      <w:r>
        <w:rPr>
          <w:sz w:val="24"/>
          <w:szCs w:val="24"/>
        </w:rPr>
        <w:t xml:space="preserve">Tata Steel, (2025). </w:t>
      </w:r>
      <w:r>
        <w:rPr>
          <w:i/>
          <w:iCs/>
          <w:sz w:val="24"/>
          <w:szCs w:val="24"/>
        </w:rPr>
        <w:t>Climate Change Report.</w:t>
      </w:r>
      <w:r>
        <w:rPr>
          <w:sz w:val="24"/>
          <w:szCs w:val="24"/>
        </w:rPr>
        <w:t xml:space="preserve"> [Online] Available at:</w:t>
      </w:r>
      <w:r>
        <w:rPr/>
        <w:fldChar w:fldCharType="begin"/>
      </w:r>
      <w:r>
        <w:instrText xml:space="preserve"> HYPERLINK "https://www.tatasteel.com/investors/integrated-report-2025-26/pdf/Climate%20Change%20Report.pdf" </w:instrText>
      </w:r>
      <w:r>
        <w:rPr/>
        <w:fldChar w:fldCharType="separate"/>
      </w:r>
      <w:r>
        <w:rPr>
          <w:sz w:val="24"/>
          <w:szCs w:val="24"/>
        </w:rPr>
        <w:t xml:space="preserve"> </w:t>
      </w:r>
      <w:r>
        <w:rPr/>
        <w:fldChar w:fldCharType="end"/>
      </w:r>
      <w:r>
        <w:rPr/>
        <w:fldChar w:fldCharType="begin"/>
      </w:r>
      <w:r>
        <w:instrText xml:space="preserve"> HYPERLINK "https://www.tatasteel.com/investors/integrated-report-2025-26/pdf/Climate%20Change%20Report.pdf" </w:instrText>
      </w:r>
      <w:r>
        <w:rPr/>
        <w:fldChar w:fldCharType="separate"/>
      </w:r>
      <w:r>
        <w:rPr>
          <w:color w:val="1155cc"/>
          <w:sz w:val="24"/>
          <w:szCs w:val="24"/>
          <w:u w:val="single"/>
        </w:rPr>
        <w:t>https://www.tatasteel.com/investors/integrated-report-2025-26/pdf/Climate%20Change%20Report.pdf</w:t>
      </w:r>
      <w:r>
        <w:rPr/>
        <w:fldChar w:fldCharType="end"/>
      </w:r>
      <w:r>
        <w:rPr>
          <w:sz w:val="24"/>
          <w:szCs w:val="24"/>
        </w:rPr>
        <w:t xml:space="preserve"> [Accessed on 5 October 2026]</w:t>
      </w:r>
    </w:p>
    <w:p w14:paraId="0000006A">
      <w:pPr>
        <w:pStyle w:val="style0"/>
        <w:widowControl w:val="false"/>
        <w:spacing w:before="200" w:after="200" w:lineRule="auto" w:line="360"/>
        <w:jc w:val="both"/>
        <w:rPr>
          <w:color w:val="222222"/>
          <w:sz w:val="24"/>
          <w:szCs w:val="24"/>
        </w:rPr>
      </w:pPr>
      <w:r>
        <w:rPr>
          <w:color w:val="222222"/>
          <w:sz w:val="24"/>
          <w:szCs w:val="24"/>
        </w:rPr>
        <w:t xml:space="preserve">Tata Steel, (2025). </w:t>
      </w:r>
      <w:r>
        <w:rPr>
          <w:i/>
          <w:iCs/>
          <w:color w:val="222222"/>
          <w:sz w:val="24"/>
          <w:szCs w:val="24"/>
        </w:rPr>
        <w:t>Integrated Report and Annual Accounts 2024-25: ESG Goals.</w:t>
      </w:r>
      <w:r>
        <w:rPr>
          <w:color w:val="222222"/>
          <w:sz w:val="24"/>
          <w:szCs w:val="24"/>
        </w:rPr>
        <w:t xml:space="preserve"> [Online] Available at:</w:t>
      </w:r>
      <w:r>
        <w:rPr/>
        <w:fldChar w:fldCharType="begin"/>
      </w:r>
      <w:r>
        <w:instrText xml:space="preserve"> HYPERLINK "https://www.tatasteel.com/investors/integrated-report-2024-25/esg-goals.html" </w:instrText>
      </w:r>
      <w:r>
        <w:rPr/>
        <w:fldChar w:fldCharType="separate"/>
      </w:r>
      <w:r>
        <w:rPr>
          <w:color w:val="222222"/>
          <w:sz w:val="24"/>
          <w:szCs w:val="24"/>
        </w:rPr>
        <w:t xml:space="preserve"> </w:t>
      </w:r>
      <w:r>
        <w:rPr/>
        <w:fldChar w:fldCharType="end"/>
      </w:r>
      <w:r>
        <w:rPr/>
        <w:fldChar w:fldCharType="begin"/>
      </w:r>
      <w:r>
        <w:instrText xml:space="preserve"> HYPERLINK "https://www.tatasteel.com/investors/integrated-report-2024-25/esg-goals.html" </w:instrText>
      </w:r>
      <w:r>
        <w:rPr/>
        <w:fldChar w:fldCharType="separate"/>
      </w:r>
      <w:r>
        <w:rPr>
          <w:color w:val="1155cc"/>
          <w:sz w:val="24"/>
          <w:szCs w:val="24"/>
          <w:u w:val="single"/>
        </w:rPr>
        <w:t>https://www.tatasteel.com/investors/integrated-report-2024-25/esg-goals.html</w:t>
      </w:r>
      <w:r>
        <w:rPr/>
        <w:fldChar w:fldCharType="end"/>
      </w:r>
      <w:r>
        <w:rPr>
          <w:color w:val="222222"/>
          <w:sz w:val="24"/>
          <w:szCs w:val="24"/>
        </w:rPr>
        <w:t xml:space="preserve"> [Accessed on 9 October 2026]</w:t>
      </w:r>
    </w:p>
    <w:p w14:paraId="0000006B">
      <w:pPr>
        <w:pStyle w:val="style0"/>
        <w:widowControl w:val="false"/>
        <w:spacing w:before="200" w:after="200" w:lineRule="auto" w:line="360"/>
        <w:jc w:val="both"/>
        <w:rPr>
          <w:color w:val="222222"/>
          <w:sz w:val="24"/>
          <w:szCs w:val="24"/>
        </w:rPr>
      </w:pPr>
      <w:r>
        <w:rPr>
          <w:color w:val="222222"/>
          <w:sz w:val="24"/>
          <w:szCs w:val="24"/>
        </w:rPr>
        <w:t xml:space="preserve">Tata Steel, (2025b). </w:t>
      </w:r>
      <w:r>
        <w:rPr>
          <w:i/>
          <w:iCs/>
          <w:color w:val="222222"/>
          <w:sz w:val="24"/>
          <w:szCs w:val="24"/>
        </w:rPr>
        <w:t>Integrated Report and Annual Accounts 2024-25.</w:t>
      </w:r>
      <w:r>
        <w:rPr>
          <w:color w:val="222222"/>
          <w:sz w:val="24"/>
          <w:szCs w:val="24"/>
        </w:rPr>
        <w:t xml:space="preserve"> [Online] Available at:</w:t>
      </w:r>
      <w:r>
        <w:rPr/>
        <w:fldChar w:fldCharType="begin"/>
      </w:r>
      <w:r>
        <w:instrText xml:space="preserve"> HYPERLINK "https://www.tatasteel.com/investors/integrated-reportannual-report/118-integrated-annual-report-2024-25/" </w:instrText>
      </w:r>
      <w:r>
        <w:rPr/>
        <w:fldChar w:fldCharType="separate"/>
      </w:r>
      <w:r>
        <w:rPr>
          <w:color w:val="222222"/>
          <w:sz w:val="24"/>
          <w:szCs w:val="24"/>
        </w:rPr>
        <w:t xml:space="preserve"> </w:t>
      </w:r>
      <w:r>
        <w:rPr/>
        <w:fldChar w:fldCharType="end"/>
      </w:r>
      <w:r>
        <w:rPr/>
        <w:fldChar w:fldCharType="begin"/>
      </w:r>
      <w:r>
        <w:instrText xml:space="preserve"> HYPERLINK "https://www.tatasteel.com/investors/integrated-reportannual-report/118-integrated-annual-report-2024-25/" </w:instrText>
      </w:r>
      <w:r>
        <w:rPr/>
        <w:fldChar w:fldCharType="separate"/>
      </w:r>
      <w:r>
        <w:rPr>
          <w:color w:val="1155cc"/>
          <w:sz w:val="24"/>
          <w:szCs w:val="24"/>
          <w:u w:val="single"/>
        </w:rPr>
        <w:t>https://www.tatasteel.com/investors/integrated-reportannual-report/118-integrated-annual-report-2024-25/</w:t>
      </w:r>
      <w:r>
        <w:rPr/>
        <w:fldChar w:fldCharType="end"/>
      </w:r>
      <w:r>
        <w:rPr>
          <w:color w:val="222222"/>
          <w:sz w:val="24"/>
          <w:szCs w:val="24"/>
        </w:rPr>
        <w:t xml:space="preserve"> [Accessed on 9 October 2026]</w:t>
      </w:r>
    </w:p>
    <w:p w14:paraId="0000006C">
      <w:pPr>
        <w:pStyle w:val="style0"/>
        <w:widowControl w:val="false"/>
        <w:spacing w:before="200" w:after="200" w:lineRule="auto" w:line="360"/>
        <w:jc w:val="both"/>
        <w:rPr>
          <w:color w:val="222222"/>
          <w:sz w:val="24"/>
          <w:szCs w:val="24"/>
        </w:rPr>
      </w:pPr>
      <w:r>
        <w:rPr>
          <w:color w:val="222222"/>
          <w:sz w:val="24"/>
          <w:szCs w:val="24"/>
        </w:rPr>
        <w:t xml:space="preserve">Tata Steel, (2026). </w:t>
      </w:r>
      <w:r>
        <w:rPr>
          <w:i/>
          <w:iCs/>
          <w:color w:val="222222"/>
          <w:sz w:val="24"/>
          <w:szCs w:val="24"/>
        </w:rPr>
        <w:t>Tata Steel inaugurates its first scrap-based Electric Arc Furnace in India.</w:t>
      </w:r>
      <w:r>
        <w:rPr>
          <w:color w:val="222222"/>
          <w:sz w:val="24"/>
          <w:szCs w:val="24"/>
        </w:rPr>
        <w:t xml:space="preserve"> [Online] Available at:</w:t>
      </w:r>
      <w:r>
        <w:rPr/>
        <w:fldChar w:fldCharType="begin"/>
      </w:r>
      <w:r>
        <w:instrText xml:space="preserve"> HYPERLINK "https://www.tatasteel.com/newsroom/press-releases/india/2026/tata-steel-inaugurates-its-first-scrap-based-electric-arc-furnace-in-india/" </w:instrText>
      </w:r>
      <w:r>
        <w:rPr/>
        <w:fldChar w:fldCharType="separate"/>
      </w:r>
      <w:r>
        <w:rPr>
          <w:color w:val="222222"/>
          <w:sz w:val="24"/>
          <w:szCs w:val="24"/>
        </w:rPr>
        <w:t xml:space="preserve"> </w:t>
      </w:r>
      <w:r>
        <w:rPr/>
        <w:fldChar w:fldCharType="end"/>
      </w:r>
      <w:r>
        <w:rPr/>
        <w:fldChar w:fldCharType="begin"/>
      </w:r>
      <w:r>
        <w:instrText xml:space="preserve"> HYPERLINK "https://www.tatasteel.com/newsroom/press-releases/india/2026/tata-steel-inaugurates-its-first-scrap-based-electric-arc-furnace-in-india/" </w:instrText>
      </w:r>
      <w:r>
        <w:rPr/>
        <w:fldChar w:fldCharType="separate"/>
      </w:r>
      <w:r>
        <w:rPr>
          <w:color w:val="1155cc"/>
          <w:sz w:val="24"/>
          <w:szCs w:val="24"/>
          <w:u w:val="single"/>
        </w:rPr>
        <w:t>https://www.tatasteel.com/newsroom/press-releases/india/2026/tata-steel-inaugurates-its-first-scrap-based-electric-arc-furnace-in-india/</w:t>
      </w:r>
      <w:r>
        <w:rPr/>
        <w:fldChar w:fldCharType="end"/>
      </w:r>
      <w:r>
        <w:rPr>
          <w:color w:val="222222"/>
          <w:sz w:val="24"/>
          <w:szCs w:val="24"/>
        </w:rPr>
        <w:t xml:space="preserve"> [Accessed on 9 October 2026]</w:t>
      </w:r>
    </w:p>
    <w:p w14:paraId="0000006D">
      <w:pPr>
        <w:pStyle w:val="style0"/>
        <w:widowControl w:val="false"/>
        <w:spacing w:before="200" w:after="200" w:lineRule="auto" w:line="360"/>
        <w:jc w:val="both"/>
        <w:rPr>
          <w:color w:val="222222"/>
          <w:sz w:val="24"/>
          <w:szCs w:val="24"/>
        </w:rPr>
      </w:pPr>
      <w:r>
        <w:rPr>
          <w:color w:val="222222"/>
          <w:sz w:val="24"/>
          <w:szCs w:val="24"/>
        </w:rPr>
        <w:t xml:space="preserve">The World Economic Forum, (2024a). </w:t>
      </w:r>
      <w:r>
        <w:rPr>
          <w:i/>
          <w:iCs/>
          <w:color w:val="222222"/>
          <w:sz w:val="24"/>
          <w:szCs w:val="24"/>
        </w:rPr>
        <w:t>Net-Zero Industry Tracker 2024: Steel</w:t>
      </w:r>
      <w:r>
        <w:rPr>
          <w:color w:val="222222"/>
          <w:sz w:val="24"/>
          <w:szCs w:val="24"/>
        </w:rPr>
        <w:t>. [Online] Available at:</w:t>
      </w:r>
      <w:r>
        <w:rPr/>
        <w:fldChar w:fldCharType="begin"/>
      </w:r>
      <w:r>
        <w:instrText xml:space="preserve"> HYPERLINK "https://www.weforum.org/publications/net-zero-industry-tracker-2024/steel-net-zero-tracker-2024/" </w:instrText>
      </w:r>
      <w:r>
        <w:rPr/>
        <w:fldChar w:fldCharType="separate"/>
      </w:r>
      <w:r>
        <w:rPr>
          <w:color w:val="222222"/>
          <w:sz w:val="24"/>
          <w:szCs w:val="24"/>
        </w:rPr>
        <w:t xml:space="preserve"> </w:t>
      </w:r>
      <w:r>
        <w:rPr/>
        <w:fldChar w:fldCharType="end"/>
      </w:r>
      <w:r>
        <w:rPr/>
        <w:fldChar w:fldCharType="begin"/>
      </w:r>
      <w:r>
        <w:instrText xml:space="preserve"> HYPERLINK "https://www.weforum.org/publications/net-zero-industry-tracker-2024/steel-net-zero-tracker-2024/" </w:instrText>
      </w:r>
      <w:r>
        <w:rPr/>
        <w:fldChar w:fldCharType="separate"/>
      </w:r>
      <w:r>
        <w:rPr>
          <w:color w:val="1155cc"/>
          <w:sz w:val="24"/>
          <w:szCs w:val="24"/>
          <w:u w:val="single"/>
        </w:rPr>
        <w:t>https://www.weforum.org/publications/net-zero-industry-tracker-2024/steel-net-zero-tracker-2024/</w:t>
      </w:r>
      <w:r>
        <w:rPr/>
        <w:fldChar w:fldCharType="end"/>
      </w:r>
      <w:r>
        <w:rPr>
          <w:color w:val="222222"/>
          <w:sz w:val="24"/>
          <w:szCs w:val="24"/>
        </w:rPr>
        <w:t xml:space="preserve"> [Accessed on 9 October 2026]</w:t>
      </w:r>
    </w:p>
    <w:p w14:paraId="0000006E">
      <w:pPr>
        <w:pStyle w:val="style0"/>
        <w:widowControl w:val="false"/>
        <w:spacing w:before="200" w:after="200" w:lineRule="auto" w:line="360"/>
        <w:jc w:val="both"/>
        <w:rPr>
          <w:color w:val="222222"/>
          <w:sz w:val="24"/>
          <w:szCs w:val="24"/>
        </w:rPr>
      </w:pPr>
      <w:r>
        <w:rPr>
          <w:color w:val="222222"/>
          <w:sz w:val="24"/>
          <w:szCs w:val="24"/>
        </w:rPr>
        <w:t xml:space="preserve">The World Economic Forum, (2024b). </w:t>
      </w:r>
      <w:r>
        <w:rPr>
          <w:i/>
          <w:iCs/>
          <w:color w:val="222222"/>
          <w:sz w:val="24"/>
          <w:szCs w:val="24"/>
        </w:rPr>
        <w:t>First Movers Coalition: 120 Commitments for Breakthrough Industrial Decarbonization Technologies</w:t>
      </w:r>
      <w:r>
        <w:rPr>
          <w:color w:val="222222"/>
          <w:sz w:val="24"/>
          <w:szCs w:val="24"/>
        </w:rPr>
        <w:t>. [Online] Available at:</w:t>
      </w:r>
      <w:r>
        <w:rPr/>
        <w:fldChar w:fldCharType="begin"/>
      </w:r>
      <w:r>
        <w:instrText xml:space="preserve"> HYPERLINK "https://www.weforum.org/media/wef24-first-movers-coalition-commitments/" </w:instrText>
      </w:r>
      <w:r>
        <w:rPr/>
        <w:fldChar w:fldCharType="separate"/>
      </w:r>
      <w:r>
        <w:rPr>
          <w:color w:val="222222"/>
          <w:sz w:val="24"/>
          <w:szCs w:val="24"/>
        </w:rPr>
        <w:t xml:space="preserve"> </w:t>
      </w:r>
      <w:r>
        <w:rPr/>
        <w:fldChar w:fldCharType="end"/>
      </w:r>
      <w:r>
        <w:rPr/>
        <w:fldChar w:fldCharType="begin"/>
      </w:r>
      <w:r>
        <w:instrText xml:space="preserve"> HYPERLINK "https://www.weforum.org/media/wef24-first-movers-coalition-commitments/" </w:instrText>
      </w:r>
      <w:r>
        <w:rPr/>
        <w:fldChar w:fldCharType="separate"/>
      </w:r>
      <w:r>
        <w:rPr>
          <w:color w:val="1155cc"/>
          <w:sz w:val="24"/>
          <w:szCs w:val="24"/>
          <w:u w:val="single"/>
        </w:rPr>
        <w:t>https://www.weforum.org/media/wef24-first-movers-coalition-commitments/</w:t>
      </w:r>
      <w:r>
        <w:rPr/>
        <w:fldChar w:fldCharType="end"/>
      </w:r>
      <w:r>
        <w:rPr>
          <w:color w:val="222222"/>
          <w:sz w:val="24"/>
          <w:szCs w:val="24"/>
        </w:rPr>
        <w:t xml:space="preserve"> [Accessed on 9 October 2026]</w:t>
      </w:r>
    </w:p>
    <w:p w14:paraId="0000006F">
      <w:pPr>
        <w:pStyle w:val="style0"/>
        <w:widowControl w:val="false"/>
        <w:spacing w:before="200" w:after="200" w:lineRule="auto" w:line="360"/>
        <w:jc w:val="both"/>
        <w:rPr>
          <w:color w:val="222222"/>
          <w:sz w:val="24"/>
          <w:szCs w:val="24"/>
        </w:rPr>
      </w:pPr>
      <w:r>
        <w:rPr>
          <w:color w:val="222222"/>
          <w:sz w:val="24"/>
          <w:szCs w:val="24"/>
        </w:rPr>
        <w:t xml:space="preserve">The World Economic Forum, (2024c). </w:t>
      </w:r>
      <w:r>
        <w:rPr>
          <w:i/>
          <w:iCs/>
          <w:color w:val="222222"/>
          <w:sz w:val="24"/>
          <w:szCs w:val="24"/>
        </w:rPr>
        <w:t>High-Emitting Sectors: Challenges and Opportunities for Low-Carbon Suppliers</w:t>
      </w:r>
      <w:r>
        <w:rPr>
          <w:color w:val="222222"/>
          <w:sz w:val="24"/>
          <w:szCs w:val="24"/>
        </w:rPr>
        <w:t>. [Online] Available at:</w:t>
      </w:r>
      <w:r>
        <w:rPr/>
        <w:fldChar w:fldCharType="begin"/>
      </w:r>
      <w:r>
        <w:instrText xml:space="preserve"> HYPERLINK "https://www.weforum.org/publications/high-emitting-sectors-challenges-and-opportunities-for-low-carbon-suppliers/" </w:instrText>
      </w:r>
      <w:r>
        <w:rPr/>
        <w:fldChar w:fldCharType="separate"/>
      </w:r>
      <w:r>
        <w:rPr>
          <w:color w:val="222222"/>
          <w:sz w:val="24"/>
          <w:szCs w:val="24"/>
        </w:rPr>
        <w:t xml:space="preserve"> </w:t>
      </w:r>
      <w:r>
        <w:rPr/>
        <w:fldChar w:fldCharType="end"/>
      </w:r>
      <w:r>
        <w:rPr/>
        <w:fldChar w:fldCharType="begin"/>
      </w:r>
      <w:r>
        <w:instrText xml:space="preserve"> HYPERLINK "https://www.weforum.org/publications/high-emitting-sectors-challenges-and-opportunities-for-low-carbon-suppliers/" </w:instrText>
      </w:r>
      <w:r>
        <w:rPr/>
        <w:fldChar w:fldCharType="separate"/>
      </w:r>
      <w:r>
        <w:rPr>
          <w:color w:val="1155cc"/>
          <w:sz w:val="24"/>
          <w:szCs w:val="24"/>
          <w:u w:val="single"/>
        </w:rPr>
        <w:t>https://www.weforum.org/publications/high-emitting-sectors-challenges-and-opportunities-for-low-carbon-suppliers/</w:t>
      </w:r>
      <w:r>
        <w:rPr/>
        <w:fldChar w:fldCharType="end"/>
      </w:r>
      <w:r>
        <w:rPr>
          <w:color w:val="222222"/>
          <w:sz w:val="24"/>
          <w:szCs w:val="24"/>
        </w:rPr>
        <w:t xml:space="preserve"> [Accessed on 9 October 2026]</w:t>
      </w:r>
    </w:p>
    <w:sectPr>
      <w:footerReference w:type="default" r:id="rId3"/>
      <w:pgSz w:w="11909" w:h="16834" w:orient="portrait"/>
      <w:pgMar w:top="1440" w:right="1440" w:bottom="1440" w:left="1440" w:header="720" w:footer="720" w:gutter="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00000070">
    <w:pPr>
      <w:pStyle w:val="style0"/>
      <w:jc w:val="right"/>
      <w:rPr/>
    </w:pPr>
    <w:r>
      <w:rPr/>
      <w:fldChar w:fldCharType="begin"/>
    </w:r>
    <w:r>
      <w:instrText>PAGE</w:instrText>
    </w:r>
    <w:r>
      <w:rPr/>
      <w:fldChar w:fldCharType="separate"/>
    </w:r>
    <w:r>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embedTrueTypeFont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rPr>
    </w:rPrDefault>
    <w:pPrDefault>
      <w:pPr>
        <w:spacing w:lineRule="auto" w:line="276"/>
      </w:pPr>
    </w:pPrDefault>
  </w:docDefaults>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paragraph" w:customStyle="1" w:styleId="style4098">
    <w:name w:val="normal"/>
    <w:next w:val="style4098"/>
    <w:pPr/>
  </w:style>
  <w:style w:type="paragraph" w:styleId="style1">
    <w:name w:val="heading 1"/>
    <w:basedOn w:val="style4098"/>
    <w:next w:val="style4098"/>
    <w:pPr>
      <w:keepNext/>
      <w:keepLines/>
      <w:spacing w:lineRule="auto" w:line="360"/>
      <w:jc w:val="both"/>
    </w:pPr>
    <w:rPr>
      <w:rFonts w:ascii="Times New Roman" w:cs="Times New Roman" w:eastAsia="Times New Roman" w:hAnsi="Times New Roman"/>
      <w:b/>
      <w:bCs/>
      <w:sz w:val="26"/>
      <w:szCs w:val="26"/>
    </w:rPr>
  </w:style>
  <w:style w:type="paragraph" w:styleId="style2">
    <w:name w:val="heading 2"/>
    <w:basedOn w:val="style4098"/>
    <w:next w:val="style4098"/>
    <w:pPr>
      <w:keepNext/>
      <w:keepLines/>
      <w:spacing w:before="360" w:after="120"/>
    </w:pPr>
    <w:rPr>
      <w:sz w:val="32"/>
      <w:szCs w:val="32"/>
    </w:rPr>
  </w:style>
  <w:style w:type="paragraph" w:styleId="style3">
    <w:name w:val="heading 3"/>
    <w:basedOn w:val="style4098"/>
    <w:next w:val="style4098"/>
    <w:pPr>
      <w:keepNext/>
      <w:keepLines/>
      <w:spacing w:before="320" w:after="80"/>
    </w:pPr>
    <w:rPr>
      <w:color w:val="434343"/>
      <w:sz w:val="28"/>
      <w:szCs w:val="28"/>
    </w:rPr>
  </w:style>
  <w:style w:type="paragraph" w:styleId="style4">
    <w:name w:val="heading 4"/>
    <w:basedOn w:val="style4098"/>
    <w:next w:val="style4098"/>
    <w:pPr>
      <w:keepNext/>
      <w:keepLines/>
      <w:spacing w:before="280" w:after="80"/>
    </w:pPr>
    <w:rPr>
      <w:color w:val="666666"/>
      <w:sz w:val="24"/>
      <w:szCs w:val="24"/>
    </w:rPr>
  </w:style>
  <w:style w:type="paragraph" w:styleId="style5">
    <w:name w:val="heading 5"/>
    <w:basedOn w:val="style4098"/>
    <w:next w:val="style4098"/>
    <w:pPr>
      <w:keepNext/>
      <w:keepLines/>
      <w:spacing w:before="240" w:after="80"/>
    </w:pPr>
    <w:rPr>
      <w:color w:val="666666"/>
    </w:rPr>
  </w:style>
  <w:style w:type="paragraph" w:styleId="style6">
    <w:name w:val="heading 6"/>
    <w:basedOn w:val="style4098"/>
    <w:next w:val="style4098"/>
    <w:pPr>
      <w:keepNext/>
      <w:keepLines/>
      <w:spacing w:before="240" w:after="80"/>
    </w:pPr>
    <w:rPr>
      <w:i/>
      <w:iCs/>
      <w:color w:val="666666"/>
    </w:rPr>
  </w:style>
  <w:style w:type="paragraph" w:styleId="style62">
    <w:name w:val="Title"/>
    <w:basedOn w:val="style4098"/>
    <w:next w:val="style4098"/>
    <w:pPr>
      <w:keepNext/>
      <w:keepLines/>
      <w:spacing w:after="60"/>
    </w:pPr>
    <w:rPr>
      <w:sz w:val="52"/>
      <w:szCs w:val="52"/>
    </w:rPr>
  </w:style>
  <w:style w:type="character" w:default="1" w:styleId="style65">
    <w:name w:val="Default Paragraph Font"/>
    <w:next w:val="style65"/>
    <w:uiPriority w:val="1"/>
  </w:style>
  <w:style w:type="numbering" w:default="1" w:styleId="style107">
    <w:name w:val="No List"/>
    <w:next w:val="style107"/>
    <w:uiPriority w:val="99"/>
    <w:pPr/>
  </w:style>
  <w:style w:type="table" w:customStyle="1" w:styleId="style4099">
    <w:name w:val="TableNormal"/>
    <w:next w:val="style4099"/>
    <w:pPr/>
    <w:rPr/>
    <w:tblPr>
      <w:tblCellMar>
        <w:top w:w="100" w:type="dxa"/>
        <w:left w:w="100" w:type="dxa"/>
        <w:bottom w:w="100" w:type="dxa"/>
        <w:right w:w="100" w:type="dxa"/>
      </w:tblCellMar>
    </w:tblPr>
    <w:tcPr>
      <w:tcBorders/>
    </w:tcPr>
  </w:style>
  <w:style w:type="table" w:customStyle="1" w:styleId="style4100">
    <w:name w:val="TableNormal"/>
    <w:next w:val="style4100"/>
    <w:pPr/>
    <w:rPr/>
    <w:tblPr>
      <w:tblCellMar>
        <w:top w:w="100" w:type="dxa"/>
        <w:left w:w="100" w:type="dxa"/>
        <w:bottom w:w="100" w:type="dxa"/>
        <w:right w:w="100" w:type="dxa"/>
      </w:tblCellMar>
    </w:tblPr>
    <w:tcPr>
      <w:tcBorders/>
    </w:tcPr>
  </w:style>
  <w:style w:type="paragraph" w:styleId="style178">
    <w:name w:val="Revision"/>
    <w:next w:val="style178"/>
    <w:uiPriority w:val="99"/>
    <w:pPr>
      <w:spacing w:lineRule="auto" w:line="240"/>
    </w:pPr>
    <w:rPr/>
  </w:style>
  <w:style w:type="paragraph" w:styleId="style179">
    <w:name w:val="List Paragraph"/>
    <w:basedOn w:val="style4098"/>
    <w:next w:val="style179"/>
    <w:qFormat/>
    <w:uiPriority w:val="34"/>
    <w:pPr>
      <w:ind w:left="720"/>
      <w:contextualSpacing/>
    </w:pPr>
    <w:rPr/>
  </w:style>
  <w:style w:type="character" w:styleId="style39">
    <w:name w:val="annotation reference"/>
    <w:basedOn w:val="style65"/>
    <w:next w:val="style39"/>
    <w:uiPriority w:val="99"/>
    <w:rPr>
      <w:sz w:val="16"/>
      <w:szCs w:val="16"/>
    </w:rPr>
  </w:style>
  <w:style w:type="paragraph" w:styleId="style30">
    <w:name w:val="annotation text"/>
    <w:basedOn w:val="style4098"/>
    <w:next w:val="style30"/>
    <w:link w:val="style4101"/>
    <w:uiPriority w:val="99"/>
    <w:pPr>
      <w:spacing w:lineRule="auto" w:line="240"/>
    </w:pPr>
    <w:rPr>
      <w:sz w:val="20"/>
      <w:szCs w:val="20"/>
    </w:rPr>
  </w:style>
  <w:style w:type="character" w:customStyle="1" w:styleId="style4101">
    <w:name w:val="Comment Text Char"/>
    <w:basedOn w:val="style65"/>
    <w:next w:val="style4101"/>
    <w:link w:val="style30"/>
    <w:uiPriority w:val="99"/>
    <w:rPr>
      <w:sz w:val="20"/>
      <w:szCs w:val="20"/>
    </w:rPr>
  </w:style>
  <w:style w:type="paragraph" w:styleId="style106">
    <w:name w:val="annotation subject"/>
    <w:basedOn w:val="style30"/>
    <w:next w:val="style30"/>
    <w:link w:val="style4102"/>
    <w:uiPriority w:val="99"/>
    <w:pPr/>
    <w:rPr>
      <w:b/>
      <w:bCs/>
    </w:rPr>
  </w:style>
  <w:style w:type="character" w:customStyle="1" w:styleId="style4102">
    <w:name w:val="Comment Subject Char"/>
    <w:basedOn w:val="style4101"/>
    <w:next w:val="style4102"/>
    <w:link w:val="style106"/>
    <w:uiPriority w:val="99"/>
    <w:rPr>
      <w:b/>
      <w:bCs/>
      <w:sz w:val="20"/>
      <w:szCs w:val="20"/>
    </w:rPr>
  </w:style>
  <w:style w:type="paragraph" w:styleId="style74">
    <w:name w:val="Subtitle"/>
    <w:basedOn w:val="style4098"/>
    <w:next w:val="style4098"/>
    <w:pPr>
      <w:keepNext/>
      <w:keepLines/>
      <w:spacing w:after="320"/>
    </w:pPr>
    <w:rPr>
      <w:color w:val="666666"/>
      <w:sz w:val="30"/>
      <w:szCs w:val="30"/>
    </w:rPr>
  </w:style>
  <w:style w:type="paragraph" w:default="1" w:styleId="style0">
    <w:name w:val="Normal"/>
    <w:pPr>
      <w:jc w:val="both"/>
    </w:pPr>
    <w:rPr>
      <w:sz w:val="21"/>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3129</Words>
  <Characters>21865</Characters>
  <Application>WPS Office</Application>
  <Paragraphs>115</Paragraphs>
  <CharactersWithSpaces>24920</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2026-10-17T21:42:00Z</dcterms:created>
  <dc:creator>WPS Office</dc:creator>
  <lastModifiedBy>V2222</lastModifiedBy>
  <dcterms:modified xsi:type="dcterms:W3CDTF">2026-10-21T15:24:06Z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ac8bbca9b29747f9bd58e58ec2ffe625_23</vt:lpwstr>
  </property>
</Properties>
</file>