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5E6EB" w14:textId="77777777" w:rsidR="00635EE1" w:rsidRDefault="00635EE1" w:rsidP="00635EE1">
      <w:pPr>
        <w:rPr>
          <w:b/>
          <w:bCs/>
        </w:rPr>
      </w:pPr>
      <w:r>
        <w:rPr>
          <w:b/>
          <w:bCs/>
        </w:rPr>
        <w:t>Part 2: Technology and Change in Health and Care</w:t>
      </w:r>
    </w:p>
    <w:p w14:paraId="5C189B9D" w14:textId="77777777" w:rsidR="00635EE1" w:rsidRDefault="00635EE1" w:rsidP="00635EE1">
      <w:r>
        <w:t xml:space="preserve">In modern day healthcare, technology is playing an increasingly important role in how healthcare is delivered across the United Kingdom and Wales. Digital innovation is essential to different strategies such as the NHS long term plan, this plan aims to change healthcare and improve efficiency, make it to accessible to everyone, </w:t>
      </w:r>
      <w:proofErr w:type="gramStart"/>
      <w:r>
        <w:t>and also</w:t>
      </w:r>
      <w:proofErr w:type="gramEnd"/>
      <w:r>
        <w:t xml:space="preserve"> improve patient outcomes </w:t>
      </w:r>
      <w:proofErr w:type="gramStart"/>
      <w:r>
        <w:t>through the use of</w:t>
      </w:r>
      <w:proofErr w:type="gramEnd"/>
      <w:r>
        <w:t xml:space="preserve"> digital tools (NHS England, 2019).</w:t>
      </w:r>
    </w:p>
    <w:p w14:paraId="3716B27F" w14:textId="77777777" w:rsidR="00635EE1" w:rsidRDefault="00635EE1" w:rsidP="00635EE1">
      <w:r>
        <w:t>Digital technologies started from the covid-19 pandemic, particularly in areas such as telemedicine and electronic health records, this was shown to be effective and useful to staff. As a result of this, technology has become an integral component of the modern healthcare systems (Greenhalgh et al., 2020).</w:t>
      </w:r>
    </w:p>
    <w:p w14:paraId="7CCA9184" w14:textId="77777777" w:rsidR="00635EE1" w:rsidRDefault="00635EE1" w:rsidP="00635EE1">
      <w:r>
        <w:t>There are several different technologies currently in use in the United Kingdom.</w:t>
      </w:r>
    </w:p>
    <w:p w14:paraId="023D7DED" w14:textId="77777777" w:rsidR="00635EE1" w:rsidRDefault="00635EE1" w:rsidP="00635EE1">
      <w:r>
        <w:t>The NHS app is very useful to patients as it allows them to gain access to many different services at home, such as appointment booking and prescription ordering. This improves accessibility for most patients; however, elderly patients may struggle with this as they may struggle with the use of technology. In Wales, digital services are supported by Digital Health and Care Wales, which oversees the implementation of digital systems across healthcare settings.</w:t>
      </w:r>
    </w:p>
    <w:p w14:paraId="0C14A213" w14:textId="77777777" w:rsidR="00635EE1" w:rsidRDefault="00635EE1" w:rsidP="00635EE1">
      <w:r>
        <w:t>Electronic health record systems, such as EMIS health, are beneficial to healthcare workers as it is easy to store and access patients’ data efficiently and in a timely manner. In Wales, the Welsh Clinical Portal provides integrated access to patient information across multiple care settings (NHS Wales, 2026). However, there is more risk that a patient’s personal data may be exposed if the system experiences a hacker. The healthcare professionals may also not be able to access patient records if the system shut down.</w:t>
      </w:r>
    </w:p>
    <w:p w14:paraId="0E9A767E" w14:textId="77777777" w:rsidR="00635EE1" w:rsidRDefault="00635EE1" w:rsidP="00635EE1">
      <w:r>
        <w:t>Telehealth services have also expanded significantly, this allows patients to receive care remotely and this allows them to seek advice from the comfort of their own home. This is particularly beneficial in rural areas in Wales as they may have difficulty receiving healthcare as services and resources may be limited.</w:t>
      </w:r>
    </w:p>
    <w:p w14:paraId="56C08419" w14:textId="77777777" w:rsidR="00635EE1" w:rsidRDefault="00635EE1" w:rsidP="00635EE1">
      <w:r>
        <w:t>The use of Artificial intelligence is now increasingly used in diagnostics and when staff are planning treatment courses for the patients. AI technologies can reduce the stress and workload of the staff as it can analyse large datasets to support clinical decision-making, and this can also improve accuracy (Topol, 2019). The use of AI can reduce the number of mistakes that a staff member could make.</w:t>
      </w:r>
    </w:p>
    <w:p w14:paraId="329896DA" w14:textId="77777777" w:rsidR="00635EE1" w:rsidRDefault="00635EE1" w:rsidP="00635EE1">
      <w:r>
        <w:t xml:space="preserve">Technology can offer several benefits to healthcare professionals and services. It improves efficiency by reducing administrative tasks and streamlining processes. For example, as previously mentioned the use of electronic records enable faster access to information which improves time management, coordination and continuity of care. It </w:t>
      </w:r>
      <w:r>
        <w:lastRenderedPageBreak/>
        <w:t xml:space="preserve">also allows healthcare professionals to easily remember patient details and history a lot more easily. </w:t>
      </w:r>
    </w:p>
    <w:p w14:paraId="22DFEA3C" w14:textId="77777777" w:rsidR="00635EE1" w:rsidRDefault="00635EE1" w:rsidP="00635EE1">
      <w:r>
        <w:t>Technology also enhances the patients’ outcomes as it can enable early diagnoses and personalised treatments adapted to their own individual needs. The use of remote monitoring devices allows healthcare professionals to track patient conditions in real time, and this is beneficial as it allows the staff to know a patient’s condition without them needing to repeat it.</w:t>
      </w:r>
    </w:p>
    <w:p w14:paraId="0329CCC1" w14:textId="77777777" w:rsidR="00635EE1" w:rsidRDefault="00635EE1" w:rsidP="00635EE1">
      <w:r>
        <w:t>Furthermore, digital tools improve accessibility, allowing patients to access care remotely from their own home. This is particularly beneficial for individuals with mobility issues or those living in remote areas. However, individuals who may struggle to use technology or may not have access to devices or internet. Resulting in the individual not being able to gain access to these resources.</w:t>
      </w:r>
    </w:p>
    <w:p w14:paraId="75A0AA21" w14:textId="77777777" w:rsidR="00635EE1" w:rsidRDefault="00635EE1" w:rsidP="00635EE1">
      <w:r>
        <w:t>Despite having many advantages, technology does present several challenges. A main barrier is that staff may not be open and comfortable to adapt to this change, particularly when new systems are introduced without enough training for staff (Greenhalgh et al., 2017). This could result in the staff not understanding how the technology works and could lead to potential mistakes and errors.</w:t>
      </w:r>
    </w:p>
    <w:p w14:paraId="2FAB9FAA" w14:textId="77777777" w:rsidR="00635EE1" w:rsidRDefault="00635EE1" w:rsidP="00635EE1">
      <w:r>
        <w:t xml:space="preserve">Data security and privacy are potential concerns and barriers within modern healthcare, in particular electronic patient records </w:t>
      </w:r>
      <w:proofErr w:type="gramStart"/>
      <w:r>
        <w:t>increases</w:t>
      </w:r>
      <w:proofErr w:type="gramEnd"/>
      <w:r>
        <w:t xml:space="preserve"> the risk of data breaches. Electronic systems </w:t>
      </w:r>
      <w:proofErr w:type="gramStart"/>
      <w:r>
        <w:t>in particular can</w:t>
      </w:r>
      <w:proofErr w:type="gramEnd"/>
      <w:r>
        <w:t xml:space="preserve"> be prone to cyberattacks, system failures, </w:t>
      </w:r>
      <w:proofErr w:type="gramStart"/>
      <w:r>
        <w:t>and also</w:t>
      </w:r>
      <w:proofErr w:type="gramEnd"/>
      <w:r>
        <w:t xml:space="preserve"> human error this could </w:t>
      </w:r>
      <w:proofErr w:type="gramStart"/>
      <w:r>
        <w:t>have an effect on</w:t>
      </w:r>
      <w:proofErr w:type="gramEnd"/>
      <w:r>
        <w:t xml:space="preserve"> the confidentiality of patient information (Greenhalgh et al., 2017). In the UK, healthcare organisations must comply with legal frameworks such as the Data Protection Act 2018 and the UK General Data Protection Regulation (UK GDPR), this therefore ensures that personal data is handled confidentially and in a secure manner (ICO, 2021). Although these are in place, breaches </w:t>
      </w:r>
      <w:proofErr w:type="gramStart"/>
      <w:r>
        <w:t>still continue</w:t>
      </w:r>
      <w:proofErr w:type="gramEnd"/>
      <w:r>
        <w:t xml:space="preserve"> to occur. This can have a negative impact on patient trust which could result in services being disrupted and care outcomes being affected. This highlights the need for data governance, a lot more staff training in that area, and a secure system design within healthcare organisations (NHS England, 2019).</w:t>
      </w:r>
    </w:p>
    <w:p w14:paraId="661907E9" w14:textId="77777777" w:rsidR="00635EE1" w:rsidRDefault="00635EE1" w:rsidP="00635EE1">
      <w:r>
        <w:t>Another important issue needing addressed is digital exclusion. Not all patients have access to digital technology or may not even have the skills to use them effectively and may find it confusing and this results in health inequalities (The King’s Fund, 2022). This is particularly relevant in rural areas of Wales as they may not be able to afford internet access or a sim card.</w:t>
      </w:r>
    </w:p>
    <w:p w14:paraId="69515699" w14:textId="77777777" w:rsidR="00635EE1" w:rsidRDefault="00635EE1" w:rsidP="00635EE1">
      <w:r>
        <w:t>There are also many barriers to the use of artificial intelligence, such as algorithmic bias and a lack of transparency can impact the fairness of healthcare decisions.</w:t>
      </w:r>
    </w:p>
    <w:p w14:paraId="70742D6E" w14:textId="77777777" w:rsidR="00635EE1" w:rsidRDefault="00635EE1" w:rsidP="00635EE1">
      <w:r>
        <w:t xml:space="preserve">The future of healthcare is expected to become more digital than it already is. It will be mainly driven by artificial intelligence, robotics and personalised medicine. These </w:t>
      </w:r>
      <w:r>
        <w:lastRenderedPageBreak/>
        <w:t xml:space="preserve">different technologies will enhance the accuracy of diagnoses, whilst also </w:t>
      </w:r>
      <w:proofErr w:type="gramStart"/>
      <w:r>
        <w:t>supporting</w:t>
      </w:r>
      <w:proofErr w:type="gramEnd"/>
      <w:r>
        <w:t xml:space="preserve"> decision-making and enforce healthcare plans tailored to the individuals needs Topol, 2019). For example, AI systems can analyse large volumes of health data to identify patterns that may not be immediately visible to clinicians, improving early detection and outcomes. Similarly, developments in genomics and personalised medicine allow treatments to be adapted to the specific needs of patients, contributing to more effective and efficient care (NHS England, 2019).</w:t>
      </w:r>
    </w:p>
    <w:p w14:paraId="33FFCCD9" w14:textId="77777777" w:rsidR="00635EE1" w:rsidRDefault="00635EE1" w:rsidP="00635EE1">
      <w:r>
        <w:t>Both the United Kingdom and Wales are investing in digital infrastructure to support patient centred care. Initiatives such as the NHS Long Term Plan and digital strategies led by Digital Health and Care Wales aim to improve data sharing, streamline services, and enhance accessibility (NHS England, 2019; Welsh Government, 2021). However, whether these are successful or not depends on several factors of these technologies, linking back to part 1 this includes effective leadership, ongoing staff training, and careful consideration of ethical issues such as data privacy and algorithmic bias. This is important as without these, there are risks that technological advancements may fail to deliver their full benefits and potential, they may also exacerbate existing inequalities that already exist within the health care systems (Greenhalgh et al., 2017). This may leave staff fulling frustrated and unhappy within their job especially if the systems are causing problems and not working to their full potential.</w:t>
      </w:r>
    </w:p>
    <w:p w14:paraId="77626C48" w14:textId="77777777" w:rsidR="00635EE1" w:rsidRDefault="00635EE1" w:rsidP="00635EE1">
      <w:r>
        <w:t xml:space="preserve"> In conclusion to part 2, technology is transforming healthcare delivery, offering significant benefits but also presenting challenges that could lead to staff feeling unhappy and stressed. A balanced approach is required to ensure that technological innovation enhances, rather than undermines, patient care and staff experience.</w:t>
      </w:r>
    </w:p>
    <w:p w14:paraId="15E102FD" w14:textId="77777777" w:rsidR="00635EE1" w:rsidRDefault="00635EE1" w:rsidP="00635EE1">
      <w:r>
        <w:t xml:space="preserve"> An overall conclusion is both organisational and technological factors are essential in shaping the quality of health and social care. Effective leadership, positive organisational culture, and strong people management practices support staff performance, while technological innovation enhances service delivery. A holistic approach is required to ensure high organisational standards and improved outcomes for service users. It is also important for staff as they will be happier within their jobs and that can further improve patient care outcomes.</w:t>
      </w:r>
    </w:p>
    <w:p w14:paraId="743C6F0F" w14:textId="77777777" w:rsidR="00635EE1" w:rsidRDefault="00635EE1" w:rsidP="00635EE1">
      <w:pPr>
        <w:rPr>
          <w:b/>
          <w:bCs/>
        </w:rPr>
      </w:pPr>
      <w:r>
        <w:rPr>
          <w:b/>
          <w:bCs/>
        </w:rPr>
        <w:t>Word count 2701</w:t>
      </w:r>
    </w:p>
    <w:p w14:paraId="4D7D99C5" w14:textId="77777777" w:rsidR="00635EE1" w:rsidRDefault="00635EE1" w:rsidP="00635EE1">
      <w:pPr>
        <w:rPr>
          <w:b/>
          <w:bCs/>
        </w:rPr>
      </w:pPr>
      <w:r>
        <w:rPr>
          <w:b/>
          <w:bCs/>
        </w:rPr>
        <w:t xml:space="preserve">References </w:t>
      </w:r>
    </w:p>
    <w:p w14:paraId="6680F634" w14:textId="77777777" w:rsidR="00635EE1" w:rsidRDefault="00635EE1" w:rsidP="00635EE1">
      <w:r>
        <w:t xml:space="preserve">Bass, B.M. and Riggio, R.E. (2006) </w:t>
      </w:r>
      <w:r>
        <w:rPr>
          <w:i/>
          <w:iCs/>
        </w:rPr>
        <w:t>Transformational Leadership</w:t>
      </w:r>
      <w:r>
        <w:t>.</w:t>
      </w:r>
      <w:r>
        <w:br/>
        <w:t xml:space="preserve">Burns, J.M. (1978) </w:t>
      </w:r>
      <w:r>
        <w:rPr>
          <w:i/>
          <w:iCs/>
        </w:rPr>
        <w:t>Leadership</w:t>
      </w:r>
      <w:r>
        <w:t>.</w:t>
      </w:r>
      <w:r>
        <w:br/>
        <w:t xml:space="preserve">Francis, R. (2013) </w:t>
      </w:r>
      <w:r>
        <w:rPr>
          <w:i/>
          <w:iCs/>
        </w:rPr>
        <w:t>Mid Staffordshire NHS Foundation Trust Public Inquiry</w:t>
      </w:r>
      <w:r>
        <w:t>.</w:t>
      </w:r>
      <w:r>
        <w:br/>
        <w:t xml:space="preserve">Goleman, D. (1998) </w:t>
      </w:r>
      <w:r>
        <w:rPr>
          <w:i/>
          <w:iCs/>
        </w:rPr>
        <w:t>Working with Emotional Intelligence</w:t>
      </w:r>
      <w:r>
        <w:t>.</w:t>
      </w:r>
      <w:r>
        <w:br/>
        <w:t xml:space="preserve">Greenhalgh, T. et al. (2017) </w:t>
      </w:r>
      <w:r>
        <w:rPr>
          <w:i/>
          <w:iCs/>
        </w:rPr>
        <w:t>Journal of Medical Internet Research</w:t>
      </w:r>
      <w:r>
        <w:t>.</w:t>
      </w:r>
      <w:r>
        <w:br/>
        <w:t xml:space="preserve">Greenhalgh, T. et al. (2020) </w:t>
      </w:r>
      <w:r>
        <w:rPr>
          <w:i/>
          <w:iCs/>
        </w:rPr>
        <w:t>BMJ</w:t>
      </w:r>
      <w:r>
        <w:t>.</w:t>
      </w:r>
      <w:r>
        <w:br/>
      </w:r>
      <w:r>
        <w:lastRenderedPageBreak/>
        <w:t xml:space="preserve">HEIW (2021) </w:t>
      </w:r>
      <w:r>
        <w:rPr>
          <w:i/>
          <w:iCs/>
        </w:rPr>
        <w:t>Workforce Strategy for Health and Social Care in Wales</w:t>
      </w:r>
      <w:r>
        <w:t>.</w:t>
      </w:r>
      <w:r>
        <w:br/>
        <w:t xml:space="preserve">Herzberg, F. (1959) </w:t>
      </w:r>
      <w:r>
        <w:rPr>
          <w:i/>
          <w:iCs/>
        </w:rPr>
        <w:t>The Motivation to Work</w:t>
      </w:r>
      <w:r>
        <w:t>.</w:t>
      </w:r>
      <w:r>
        <w:br/>
        <w:t xml:space="preserve">King’s Fund (2015) </w:t>
      </w:r>
      <w:r>
        <w:rPr>
          <w:i/>
          <w:iCs/>
        </w:rPr>
        <w:t>Leadership in Health Care</w:t>
      </w:r>
      <w:r>
        <w:t>.</w:t>
      </w:r>
      <w:r>
        <w:br/>
        <w:t xml:space="preserve">Maslow, A.H. (1943) </w:t>
      </w:r>
      <w:r>
        <w:rPr>
          <w:i/>
          <w:iCs/>
        </w:rPr>
        <w:t>Psychological Review</w:t>
      </w:r>
      <w:r>
        <w:t>.</w:t>
      </w:r>
      <w:r>
        <w:br/>
        <w:t xml:space="preserve">NHS England (2019) </w:t>
      </w:r>
      <w:r>
        <w:rPr>
          <w:i/>
          <w:iCs/>
        </w:rPr>
        <w:t>The NHS Long Term Plan</w:t>
      </w:r>
      <w:r>
        <w:t>.</w:t>
      </w:r>
      <w:r>
        <w:br/>
        <w:t xml:space="preserve">Northouse, P.G. (2019) </w:t>
      </w:r>
      <w:r>
        <w:rPr>
          <w:i/>
          <w:iCs/>
        </w:rPr>
        <w:t>Leadership: Theory and Practice</w:t>
      </w:r>
      <w:r>
        <w:t>.</w:t>
      </w:r>
      <w:r>
        <w:br/>
        <w:t xml:space="preserve">Schein, E.H. (2010) </w:t>
      </w:r>
      <w:r>
        <w:rPr>
          <w:i/>
          <w:iCs/>
        </w:rPr>
        <w:t>Organizational Culture and Leadership</w:t>
      </w:r>
      <w:r>
        <w:t>.</w:t>
      </w:r>
      <w:r>
        <w:br/>
        <w:t xml:space="preserve">Shanafelt, T. et al. (2020) </w:t>
      </w:r>
      <w:r>
        <w:rPr>
          <w:i/>
          <w:iCs/>
        </w:rPr>
        <w:t>JAMA</w:t>
      </w:r>
      <w:r>
        <w:t>.</w:t>
      </w:r>
      <w:r>
        <w:br/>
        <w:t xml:space="preserve">The King’s Fund (2022) </w:t>
      </w:r>
      <w:r>
        <w:rPr>
          <w:i/>
          <w:iCs/>
        </w:rPr>
        <w:t>Health and Care Workforce Report</w:t>
      </w:r>
      <w:r>
        <w:t>.</w:t>
      </w:r>
      <w:r>
        <w:br/>
        <w:t xml:space="preserve">Topol, E. (2019) </w:t>
      </w:r>
      <w:r>
        <w:rPr>
          <w:i/>
          <w:iCs/>
        </w:rPr>
        <w:t>Deep Medicine</w:t>
      </w:r>
      <w:r>
        <w:t>.</w:t>
      </w:r>
      <w:r>
        <w:br/>
        <w:t xml:space="preserve">Wahba, M.A. and Bridwell, L.G. (1976) </w:t>
      </w:r>
      <w:r>
        <w:rPr>
          <w:i/>
          <w:iCs/>
        </w:rPr>
        <w:t xml:space="preserve">Organizational </w:t>
      </w:r>
      <w:proofErr w:type="spellStart"/>
      <w:r>
        <w:rPr>
          <w:i/>
          <w:iCs/>
        </w:rPr>
        <w:t>Behavior</w:t>
      </w:r>
      <w:proofErr w:type="spellEnd"/>
      <w:r>
        <w:rPr>
          <w:i/>
          <w:iCs/>
        </w:rPr>
        <w:t xml:space="preserve"> and Human Performance</w:t>
      </w:r>
      <w:r>
        <w:t>.</w:t>
      </w:r>
      <w:r>
        <w:br/>
        <w:t xml:space="preserve">West, M. et al. (2020) </w:t>
      </w:r>
      <w:r>
        <w:rPr>
          <w:i/>
          <w:iCs/>
        </w:rPr>
        <w:t>Caring for Doctors, Caring for Patients</w:t>
      </w:r>
      <w:r>
        <w:t>.</w:t>
      </w:r>
    </w:p>
    <w:p w14:paraId="7C720859" w14:textId="77777777" w:rsidR="00635EE1" w:rsidRDefault="00635EE1" w:rsidP="00635EE1">
      <w:r>
        <w:t>Digital health and care Wales. (2026). </w:t>
      </w:r>
      <w:r>
        <w:rPr>
          <w:i/>
          <w:iCs/>
        </w:rPr>
        <w:t>Welsh Clinical Portal</w:t>
      </w:r>
      <w:r>
        <w:t>. [Online]. Digital health and care Wales. Available at: https://dhcw.nhs.wales/product-directory/our-digital-services/welsh-clinical-portal/ [Accessed 27 April 2026].</w:t>
      </w:r>
    </w:p>
    <w:p w14:paraId="3DB727E8" w14:textId="77777777" w:rsidR="00635EE1" w:rsidRDefault="00635EE1" w:rsidP="00635EE1">
      <w:r>
        <w:t xml:space="preserve">Greenhalgh, T. et al. (2017) ‘Beyond adoption: a new framework for health technologies’, </w:t>
      </w:r>
      <w:r>
        <w:rPr>
          <w:i/>
          <w:iCs/>
        </w:rPr>
        <w:t>Journal of Medical Internet Research</w:t>
      </w:r>
      <w:r>
        <w:t>.</w:t>
      </w:r>
    </w:p>
    <w:p w14:paraId="3682C693" w14:textId="77777777" w:rsidR="00635EE1" w:rsidRDefault="00635EE1" w:rsidP="00635EE1">
      <w:r>
        <w:t xml:space="preserve">Greenhalgh, T. et al. (2017) ‘Beyond adoption: a new framework for health technologies’, </w:t>
      </w:r>
      <w:r>
        <w:rPr>
          <w:i/>
          <w:iCs/>
        </w:rPr>
        <w:t>Journal of Medical Internet Research</w:t>
      </w:r>
      <w:r>
        <w:t>.</w:t>
      </w:r>
    </w:p>
    <w:p w14:paraId="5208C054" w14:textId="77777777" w:rsidR="00635EE1" w:rsidRDefault="00635EE1" w:rsidP="00635EE1">
      <w:r>
        <w:t xml:space="preserve">ICO (2021) </w:t>
      </w:r>
      <w:r>
        <w:rPr>
          <w:i/>
          <w:iCs/>
        </w:rPr>
        <w:t>Guide to the UK GDPR</w:t>
      </w:r>
      <w:r>
        <w:t>.</w:t>
      </w:r>
    </w:p>
    <w:p w14:paraId="34C748EF" w14:textId="77777777" w:rsidR="00635EE1" w:rsidRDefault="00635EE1" w:rsidP="00635EE1">
      <w:r>
        <w:t xml:space="preserve">NHS England (2019) </w:t>
      </w:r>
      <w:r>
        <w:rPr>
          <w:i/>
          <w:iCs/>
        </w:rPr>
        <w:t>The NHS Long Term Plan</w:t>
      </w:r>
      <w:r>
        <w:t>.</w:t>
      </w:r>
    </w:p>
    <w:p w14:paraId="5C45BA4F" w14:textId="77777777" w:rsidR="00635EE1" w:rsidRDefault="00635EE1" w:rsidP="00635EE1">
      <w:r>
        <w:t xml:space="preserve">NHS England (2019) </w:t>
      </w:r>
      <w:r>
        <w:rPr>
          <w:i/>
          <w:iCs/>
        </w:rPr>
        <w:t>The NHS Long Term Plan</w:t>
      </w:r>
      <w:r>
        <w:t>.</w:t>
      </w:r>
    </w:p>
    <w:p w14:paraId="7A095F75" w14:textId="77777777" w:rsidR="00635EE1" w:rsidRDefault="00635EE1" w:rsidP="00635EE1">
      <w:r>
        <w:t xml:space="preserve">Topol, E. (2019) </w:t>
      </w:r>
      <w:r>
        <w:rPr>
          <w:i/>
          <w:iCs/>
        </w:rPr>
        <w:t>Deep Medicine: How Artificial Intelligence Can Make Healthcare Human Again</w:t>
      </w:r>
      <w:r>
        <w:t>.</w:t>
      </w:r>
    </w:p>
    <w:p w14:paraId="54A007E2" w14:textId="77777777" w:rsidR="00635EE1" w:rsidRDefault="00635EE1" w:rsidP="00635EE1">
      <w:r>
        <w:t xml:space="preserve">Welsh Government (2021) </w:t>
      </w:r>
      <w:r>
        <w:rPr>
          <w:i/>
          <w:iCs/>
        </w:rPr>
        <w:t>Digital and Data Strategy for Health and Social Care in Wales</w:t>
      </w:r>
      <w:r>
        <w:t>.</w:t>
      </w:r>
    </w:p>
    <w:p w14:paraId="1A5B5706" w14:textId="77777777" w:rsidR="00635EE1" w:rsidRDefault="00635EE1" w:rsidP="00635EE1"/>
    <w:p w14:paraId="3D264690" w14:textId="77777777" w:rsidR="00635EE1" w:rsidRDefault="00635EE1" w:rsidP="00635EE1"/>
    <w:p w14:paraId="28D10C21" w14:textId="77777777" w:rsidR="000716CB" w:rsidRDefault="000716CB"/>
    <w:sectPr w:rsidR="000716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EE1"/>
    <w:rsid w:val="000716CB"/>
    <w:rsid w:val="001E53F5"/>
    <w:rsid w:val="00635EE1"/>
    <w:rsid w:val="00BD25EC"/>
    <w:rsid w:val="00FA70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16045"/>
  <w15:chartTrackingRefBased/>
  <w15:docId w15:val="{51AAD686-AD2E-4F66-BBB2-05AB04A82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EE1"/>
    <w:pPr>
      <w:spacing w:line="276" w:lineRule="auto"/>
    </w:pPr>
    <w:rPr>
      <w:rFonts w:eastAsiaTheme="minorHAnsi"/>
      <w:lang w:eastAsia="en-US"/>
    </w:rPr>
  </w:style>
  <w:style w:type="paragraph" w:styleId="Heading1">
    <w:name w:val="heading 1"/>
    <w:basedOn w:val="Normal"/>
    <w:next w:val="Normal"/>
    <w:link w:val="Heading1Char"/>
    <w:uiPriority w:val="9"/>
    <w:qFormat/>
    <w:rsid w:val="00635EE1"/>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eastAsia="zh-CN"/>
    </w:rPr>
  </w:style>
  <w:style w:type="paragraph" w:styleId="Heading2">
    <w:name w:val="heading 2"/>
    <w:basedOn w:val="Normal"/>
    <w:next w:val="Normal"/>
    <w:link w:val="Heading2Char"/>
    <w:uiPriority w:val="9"/>
    <w:semiHidden/>
    <w:unhideWhenUsed/>
    <w:qFormat/>
    <w:rsid w:val="00635EE1"/>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eastAsia="zh-CN"/>
    </w:rPr>
  </w:style>
  <w:style w:type="paragraph" w:styleId="Heading3">
    <w:name w:val="heading 3"/>
    <w:basedOn w:val="Normal"/>
    <w:next w:val="Normal"/>
    <w:link w:val="Heading3Char"/>
    <w:uiPriority w:val="9"/>
    <w:semiHidden/>
    <w:unhideWhenUsed/>
    <w:qFormat/>
    <w:rsid w:val="00635EE1"/>
    <w:pPr>
      <w:keepNext/>
      <w:keepLines/>
      <w:spacing w:before="160" w:after="80" w:line="278" w:lineRule="auto"/>
      <w:outlineLvl w:val="2"/>
    </w:pPr>
    <w:rPr>
      <w:rFonts w:eastAsiaTheme="majorEastAsia" w:cstheme="majorBidi"/>
      <w:color w:val="0F4761" w:themeColor="accent1" w:themeShade="BF"/>
      <w:sz w:val="28"/>
      <w:szCs w:val="28"/>
      <w:lang w:eastAsia="zh-CN"/>
    </w:rPr>
  </w:style>
  <w:style w:type="paragraph" w:styleId="Heading4">
    <w:name w:val="heading 4"/>
    <w:basedOn w:val="Normal"/>
    <w:next w:val="Normal"/>
    <w:link w:val="Heading4Char"/>
    <w:uiPriority w:val="9"/>
    <w:semiHidden/>
    <w:unhideWhenUsed/>
    <w:qFormat/>
    <w:rsid w:val="00635EE1"/>
    <w:pPr>
      <w:keepNext/>
      <w:keepLines/>
      <w:spacing w:before="80" w:after="40" w:line="278" w:lineRule="auto"/>
      <w:outlineLvl w:val="3"/>
    </w:pPr>
    <w:rPr>
      <w:rFonts w:eastAsiaTheme="majorEastAsia" w:cstheme="majorBidi"/>
      <w:i/>
      <w:iCs/>
      <w:color w:val="0F4761" w:themeColor="accent1" w:themeShade="BF"/>
      <w:lang w:eastAsia="zh-CN"/>
    </w:rPr>
  </w:style>
  <w:style w:type="paragraph" w:styleId="Heading5">
    <w:name w:val="heading 5"/>
    <w:basedOn w:val="Normal"/>
    <w:next w:val="Normal"/>
    <w:link w:val="Heading5Char"/>
    <w:uiPriority w:val="9"/>
    <w:semiHidden/>
    <w:unhideWhenUsed/>
    <w:qFormat/>
    <w:rsid w:val="00635EE1"/>
    <w:pPr>
      <w:keepNext/>
      <w:keepLines/>
      <w:spacing w:before="80" w:after="40" w:line="278" w:lineRule="auto"/>
      <w:outlineLvl w:val="4"/>
    </w:pPr>
    <w:rPr>
      <w:rFonts w:eastAsiaTheme="majorEastAsia" w:cstheme="majorBidi"/>
      <w:color w:val="0F4761" w:themeColor="accent1" w:themeShade="BF"/>
      <w:lang w:eastAsia="zh-CN"/>
    </w:rPr>
  </w:style>
  <w:style w:type="paragraph" w:styleId="Heading6">
    <w:name w:val="heading 6"/>
    <w:basedOn w:val="Normal"/>
    <w:next w:val="Normal"/>
    <w:link w:val="Heading6Char"/>
    <w:uiPriority w:val="9"/>
    <w:semiHidden/>
    <w:unhideWhenUsed/>
    <w:qFormat/>
    <w:rsid w:val="00635EE1"/>
    <w:pPr>
      <w:keepNext/>
      <w:keepLines/>
      <w:spacing w:before="40" w:after="0" w:line="278" w:lineRule="auto"/>
      <w:outlineLvl w:val="5"/>
    </w:pPr>
    <w:rPr>
      <w:rFonts w:eastAsiaTheme="majorEastAsia" w:cstheme="majorBidi"/>
      <w:i/>
      <w:iCs/>
      <w:color w:val="595959" w:themeColor="text1" w:themeTint="A6"/>
      <w:lang w:eastAsia="zh-CN"/>
    </w:rPr>
  </w:style>
  <w:style w:type="paragraph" w:styleId="Heading7">
    <w:name w:val="heading 7"/>
    <w:basedOn w:val="Normal"/>
    <w:next w:val="Normal"/>
    <w:link w:val="Heading7Char"/>
    <w:uiPriority w:val="9"/>
    <w:semiHidden/>
    <w:unhideWhenUsed/>
    <w:qFormat/>
    <w:rsid w:val="00635EE1"/>
    <w:pPr>
      <w:keepNext/>
      <w:keepLines/>
      <w:spacing w:before="40" w:after="0" w:line="278" w:lineRule="auto"/>
      <w:outlineLvl w:val="6"/>
    </w:pPr>
    <w:rPr>
      <w:rFonts w:eastAsiaTheme="majorEastAsia" w:cstheme="majorBidi"/>
      <w:color w:val="595959" w:themeColor="text1" w:themeTint="A6"/>
      <w:lang w:eastAsia="zh-CN"/>
    </w:rPr>
  </w:style>
  <w:style w:type="paragraph" w:styleId="Heading8">
    <w:name w:val="heading 8"/>
    <w:basedOn w:val="Normal"/>
    <w:next w:val="Normal"/>
    <w:link w:val="Heading8Char"/>
    <w:uiPriority w:val="9"/>
    <w:semiHidden/>
    <w:unhideWhenUsed/>
    <w:qFormat/>
    <w:rsid w:val="00635EE1"/>
    <w:pPr>
      <w:keepNext/>
      <w:keepLines/>
      <w:spacing w:after="0" w:line="278" w:lineRule="auto"/>
      <w:outlineLvl w:val="7"/>
    </w:pPr>
    <w:rPr>
      <w:rFonts w:eastAsiaTheme="majorEastAsia" w:cstheme="majorBidi"/>
      <w:i/>
      <w:iCs/>
      <w:color w:val="272727" w:themeColor="text1" w:themeTint="D8"/>
      <w:lang w:eastAsia="zh-CN"/>
    </w:rPr>
  </w:style>
  <w:style w:type="paragraph" w:styleId="Heading9">
    <w:name w:val="heading 9"/>
    <w:basedOn w:val="Normal"/>
    <w:next w:val="Normal"/>
    <w:link w:val="Heading9Char"/>
    <w:uiPriority w:val="9"/>
    <w:semiHidden/>
    <w:unhideWhenUsed/>
    <w:qFormat/>
    <w:rsid w:val="00635EE1"/>
    <w:pPr>
      <w:keepNext/>
      <w:keepLines/>
      <w:spacing w:after="0" w:line="278" w:lineRule="auto"/>
      <w:outlineLvl w:val="8"/>
    </w:pPr>
    <w:rPr>
      <w:rFonts w:eastAsiaTheme="majorEastAsia" w:cstheme="majorBidi"/>
      <w:color w:val="272727" w:themeColor="text1" w:themeTint="D8"/>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E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5E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5E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5E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5E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5E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5E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5E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5EE1"/>
    <w:rPr>
      <w:rFonts w:eastAsiaTheme="majorEastAsia" w:cstheme="majorBidi"/>
      <w:color w:val="272727" w:themeColor="text1" w:themeTint="D8"/>
    </w:rPr>
  </w:style>
  <w:style w:type="paragraph" w:styleId="Title">
    <w:name w:val="Title"/>
    <w:basedOn w:val="Normal"/>
    <w:next w:val="Normal"/>
    <w:link w:val="TitleChar"/>
    <w:uiPriority w:val="10"/>
    <w:qFormat/>
    <w:rsid w:val="00635EE1"/>
    <w:pPr>
      <w:spacing w:after="80" w:line="240" w:lineRule="auto"/>
      <w:contextualSpacing/>
    </w:pPr>
    <w:rPr>
      <w:rFonts w:asciiTheme="majorHAnsi" w:eastAsiaTheme="majorEastAsia" w:hAnsiTheme="majorHAnsi" w:cstheme="majorBidi"/>
      <w:spacing w:val="-10"/>
      <w:kern w:val="28"/>
      <w:sz w:val="56"/>
      <w:szCs w:val="56"/>
      <w:lang w:eastAsia="zh-CN"/>
    </w:rPr>
  </w:style>
  <w:style w:type="character" w:customStyle="1" w:styleId="TitleChar">
    <w:name w:val="Title Char"/>
    <w:basedOn w:val="DefaultParagraphFont"/>
    <w:link w:val="Title"/>
    <w:uiPriority w:val="10"/>
    <w:rsid w:val="00635E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5EE1"/>
    <w:pPr>
      <w:numPr>
        <w:ilvl w:val="1"/>
      </w:numPr>
      <w:spacing w:line="278" w:lineRule="auto"/>
    </w:pPr>
    <w:rPr>
      <w:rFonts w:eastAsiaTheme="majorEastAsia" w:cstheme="majorBidi"/>
      <w:color w:val="595959" w:themeColor="text1" w:themeTint="A6"/>
      <w:spacing w:val="15"/>
      <w:sz w:val="28"/>
      <w:szCs w:val="28"/>
      <w:lang w:eastAsia="zh-CN"/>
    </w:rPr>
  </w:style>
  <w:style w:type="character" w:customStyle="1" w:styleId="SubtitleChar">
    <w:name w:val="Subtitle Char"/>
    <w:basedOn w:val="DefaultParagraphFont"/>
    <w:link w:val="Subtitle"/>
    <w:uiPriority w:val="11"/>
    <w:rsid w:val="00635E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5EE1"/>
    <w:pPr>
      <w:spacing w:before="160" w:line="278" w:lineRule="auto"/>
      <w:jc w:val="center"/>
    </w:pPr>
    <w:rPr>
      <w:rFonts w:eastAsiaTheme="minorEastAsia"/>
      <w:i/>
      <w:iCs/>
      <w:color w:val="404040" w:themeColor="text1" w:themeTint="BF"/>
      <w:lang w:eastAsia="zh-CN"/>
    </w:rPr>
  </w:style>
  <w:style w:type="character" w:customStyle="1" w:styleId="QuoteChar">
    <w:name w:val="Quote Char"/>
    <w:basedOn w:val="DefaultParagraphFont"/>
    <w:link w:val="Quote"/>
    <w:uiPriority w:val="29"/>
    <w:rsid w:val="00635EE1"/>
    <w:rPr>
      <w:i/>
      <w:iCs/>
      <w:color w:val="404040" w:themeColor="text1" w:themeTint="BF"/>
    </w:rPr>
  </w:style>
  <w:style w:type="paragraph" w:styleId="ListParagraph">
    <w:name w:val="List Paragraph"/>
    <w:basedOn w:val="Normal"/>
    <w:uiPriority w:val="34"/>
    <w:qFormat/>
    <w:rsid w:val="00635EE1"/>
    <w:pPr>
      <w:spacing w:line="278" w:lineRule="auto"/>
      <w:ind w:left="720"/>
      <w:contextualSpacing/>
    </w:pPr>
    <w:rPr>
      <w:rFonts w:eastAsiaTheme="minorEastAsia"/>
      <w:lang w:eastAsia="zh-CN"/>
    </w:rPr>
  </w:style>
  <w:style w:type="character" w:styleId="IntenseEmphasis">
    <w:name w:val="Intense Emphasis"/>
    <w:basedOn w:val="DefaultParagraphFont"/>
    <w:uiPriority w:val="21"/>
    <w:qFormat/>
    <w:rsid w:val="00635EE1"/>
    <w:rPr>
      <w:i/>
      <w:iCs/>
      <w:color w:val="0F4761" w:themeColor="accent1" w:themeShade="BF"/>
    </w:rPr>
  </w:style>
  <w:style w:type="paragraph" w:styleId="IntenseQuote">
    <w:name w:val="Intense Quote"/>
    <w:basedOn w:val="Normal"/>
    <w:next w:val="Normal"/>
    <w:link w:val="IntenseQuoteChar"/>
    <w:uiPriority w:val="30"/>
    <w:qFormat/>
    <w:rsid w:val="00635EE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EastAsia"/>
      <w:i/>
      <w:iCs/>
      <w:color w:val="0F4761" w:themeColor="accent1" w:themeShade="BF"/>
      <w:lang w:eastAsia="zh-CN"/>
    </w:rPr>
  </w:style>
  <w:style w:type="character" w:customStyle="1" w:styleId="IntenseQuoteChar">
    <w:name w:val="Intense Quote Char"/>
    <w:basedOn w:val="DefaultParagraphFont"/>
    <w:link w:val="IntenseQuote"/>
    <w:uiPriority w:val="30"/>
    <w:rsid w:val="00635EE1"/>
    <w:rPr>
      <w:i/>
      <w:iCs/>
      <w:color w:val="0F4761" w:themeColor="accent1" w:themeShade="BF"/>
    </w:rPr>
  </w:style>
  <w:style w:type="character" w:styleId="IntenseReference">
    <w:name w:val="Intense Reference"/>
    <w:basedOn w:val="DefaultParagraphFont"/>
    <w:uiPriority w:val="32"/>
    <w:qFormat/>
    <w:rsid w:val="00635EE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1508</Words>
  <Characters>8598</Characters>
  <Application>Microsoft Office Word</Application>
  <DocSecurity>0</DocSecurity>
  <Lines>71</Lines>
  <Paragraphs>20</Paragraphs>
  <ScaleCrop>false</ScaleCrop>
  <Company/>
  <LinksUpToDate>false</LinksUpToDate>
  <CharactersWithSpaces>10086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 Howells-Johnson</dc:creator>
  <cp:keywords/>
  <dc:description/>
  <cp:lastModifiedBy>Janet Howells-Johnson</cp:lastModifiedBy>
  <cp:revision>1</cp:revision>
  <dcterms:created xsi:type="dcterms:W3CDTF">2026-04-29T10:28:00Z</dcterms:created>
  <dcterms:modified xsi:type="dcterms:W3CDTF">2026-04-29T10:29:00Z</dcterms:modified>
</cp:coreProperties>
</file>