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FACEC" w14:textId="77777777" w:rsidR="00CA021D" w:rsidRDefault="00CA021D" w:rsidP="00FB273A">
      <w:pPr>
        <w:pStyle w:val="Heading1"/>
        <w:spacing w:line="360" w:lineRule="auto"/>
        <w:rPr>
          <w:rFonts w:ascii="Arial" w:hAnsi="Arial" w:cs="Arial"/>
          <w:b/>
          <w:color w:val="auto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t>Student name: Kevin Tomko</w:t>
      </w:r>
    </w:p>
    <w:p w14:paraId="26C8F585" w14:textId="7DD9FEB7" w:rsidR="00CA021D" w:rsidRDefault="00CA021D" w:rsidP="00FB273A">
      <w:pPr>
        <w:pStyle w:val="Heading1"/>
        <w:spacing w:line="360" w:lineRule="auto"/>
        <w:rPr>
          <w:rFonts w:ascii="Arial" w:hAnsi="Arial" w:cs="Arial"/>
          <w:b/>
          <w:color w:val="auto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t xml:space="preserve">Date: </w:t>
      </w:r>
      <w:r w:rsidR="00C11153">
        <w:rPr>
          <w:rFonts w:ascii="Arial" w:hAnsi="Arial" w:cs="Arial"/>
          <w:b/>
          <w:color w:val="auto"/>
          <w:sz w:val="24"/>
          <w:szCs w:val="24"/>
        </w:rPr>
        <w:t>10</w:t>
      </w:r>
      <w:r>
        <w:rPr>
          <w:rFonts w:ascii="Arial" w:hAnsi="Arial" w:cs="Arial"/>
          <w:b/>
          <w:color w:val="auto"/>
          <w:sz w:val="24"/>
          <w:szCs w:val="24"/>
        </w:rPr>
        <w:t>/0</w:t>
      </w:r>
      <w:r w:rsidR="00C11153">
        <w:rPr>
          <w:rFonts w:ascii="Arial" w:hAnsi="Arial" w:cs="Arial"/>
          <w:b/>
          <w:color w:val="auto"/>
          <w:sz w:val="24"/>
          <w:szCs w:val="24"/>
        </w:rPr>
        <w:t>3</w:t>
      </w:r>
      <w:r>
        <w:rPr>
          <w:rFonts w:ascii="Arial" w:hAnsi="Arial" w:cs="Arial"/>
          <w:b/>
          <w:color w:val="auto"/>
          <w:sz w:val="24"/>
          <w:szCs w:val="24"/>
        </w:rPr>
        <w:t>/2024</w:t>
      </w:r>
    </w:p>
    <w:p w14:paraId="6E2FA264" w14:textId="77777777" w:rsidR="00CA021D" w:rsidRDefault="00CA021D" w:rsidP="00FB273A">
      <w:pPr>
        <w:pStyle w:val="Heading1"/>
        <w:spacing w:line="360" w:lineRule="auto"/>
        <w:rPr>
          <w:rFonts w:ascii="Arial" w:hAnsi="Arial" w:cs="Arial"/>
          <w:b/>
          <w:color w:val="auto"/>
          <w:sz w:val="24"/>
          <w:szCs w:val="24"/>
        </w:rPr>
      </w:pPr>
    </w:p>
    <w:p w14:paraId="27B17F9D" w14:textId="067FC184" w:rsidR="00BE3B53" w:rsidRPr="00FB273A" w:rsidRDefault="00FB273A" w:rsidP="00FB273A">
      <w:pPr>
        <w:pStyle w:val="Heading1"/>
        <w:spacing w:line="360" w:lineRule="auto"/>
        <w:rPr>
          <w:rFonts w:ascii="Arial" w:hAnsi="Arial" w:cs="Arial"/>
          <w:b/>
          <w:color w:val="auto"/>
          <w:sz w:val="24"/>
          <w:szCs w:val="24"/>
        </w:rPr>
      </w:pPr>
      <w:r w:rsidRPr="00FB273A">
        <w:rPr>
          <w:rFonts w:ascii="Arial" w:hAnsi="Arial" w:cs="Arial"/>
          <w:b/>
          <w:color w:val="auto"/>
          <w:sz w:val="24"/>
          <w:szCs w:val="24"/>
        </w:rPr>
        <w:t>Proposed Solution Linked to SWOT Analysis</w:t>
      </w:r>
    </w:p>
    <w:p w14:paraId="5F79788F" w14:textId="77777777" w:rsidR="00BE3B53" w:rsidRPr="00FB273A" w:rsidRDefault="00BE3B53" w:rsidP="00FB27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24"/>
          <w:sz w:val="24"/>
          <w:szCs w:val="24"/>
        </w:rPr>
      </w:pPr>
      <w:r w:rsidRPr="00FB273A">
        <w:rPr>
          <w:rFonts w:ascii="Arial" w:hAnsi="Arial" w:cs="Arial"/>
          <w:kern w:val="24"/>
          <w:sz w:val="24"/>
          <w:szCs w:val="24"/>
        </w:rPr>
        <w:t xml:space="preserve">Wilko must employ SWOT analysis to identify opportunities, address weaknesses, and mitigate threats to stay competitive. Due to its reputation and product variety, it requires a greater online presence. </w:t>
      </w:r>
      <w:r w:rsidR="0037767F" w:rsidRPr="0037767F">
        <w:rPr>
          <w:rFonts w:ascii="Arial" w:hAnsi="Arial" w:cs="Arial"/>
          <w:kern w:val="24"/>
          <w:sz w:val="24"/>
          <w:szCs w:val="24"/>
        </w:rPr>
        <w:t>Othman</w:t>
      </w:r>
      <w:r w:rsidRPr="00FB273A">
        <w:rPr>
          <w:rFonts w:ascii="Arial" w:hAnsi="Arial" w:cs="Arial"/>
          <w:kern w:val="24"/>
          <w:sz w:val="24"/>
          <w:szCs w:val="24"/>
        </w:rPr>
        <w:t xml:space="preserve"> et al. (20</w:t>
      </w:r>
      <w:r w:rsidR="0037767F">
        <w:rPr>
          <w:rFonts w:ascii="Arial" w:hAnsi="Arial" w:cs="Arial"/>
          <w:kern w:val="24"/>
          <w:sz w:val="24"/>
          <w:szCs w:val="24"/>
        </w:rPr>
        <w:t>20</w:t>
      </w:r>
      <w:r w:rsidRPr="00FB273A">
        <w:rPr>
          <w:rFonts w:ascii="Arial" w:hAnsi="Arial" w:cs="Arial"/>
          <w:kern w:val="24"/>
          <w:sz w:val="24"/>
          <w:szCs w:val="24"/>
        </w:rPr>
        <w:t>) recommend that e-commerce platforms make loyal users' use easier. Wilko must strengthen its online exposure and supply chain to compete in the internet economy and satisfy customers (</w:t>
      </w:r>
      <w:r w:rsidR="0037767F" w:rsidRPr="0037767F">
        <w:rPr>
          <w:rFonts w:ascii="Arial" w:hAnsi="Arial" w:cs="Arial"/>
          <w:kern w:val="24"/>
          <w:sz w:val="24"/>
          <w:szCs w:val="24"/>
        </w:rPr>
        <w:t>Lindsay</w:t>
      </w:r>
      <w:r w:rsidR="0037767F">
        <w:rPr>
          <w:rFonts w:ascii="Arial" w:hAnsi="Arial" w:cs="Arial"/>
          <w:kern w:val="24"/>
          <w:sz w:val="24"/>
          <w:szCs w:val="24"/>
        </w:rPr>
        <w:t xml:space="preserve"> et al.</w:t>
      </w:r>
      <w:r w:rsidRPr="00FB273A">
        <w:rPr>
          <w:rFonts w:ascii="Arial" w:hAnsi="Arial" w:cs="Arial"/>
          <w:kern w:val="24"/>
          <w:sz w:val="24"/>
          <w:szCs w:val="24"/>
        </w:rPr>
        <w:t>, 202</w:t>
      </w:r>
      <w:r w:rsidR="0037767F">
        <w:rPr>
          <w:rFonts w:ascii="Arial" w:hAnsi="Arial" w:cs="Arial"/>
          <w:kern w:val="24"/>
          <w:sz w:val="24"/>
          <w:szCs w:val="24"/>
        </w:rPr>
        <w:t>2</w:t>
      </w:r>
      <w:r w:rsidRPr="00FB273A">
        <w:rPr>
          <w:rFonts w:ascii="Arial" w:hAnsi="Arial" w:cs="Arial"/>
          <w:kern w:val="24"/>
          <w:sz w:val="24"/>
          <w:szCs w:val="24"/>
        </w:rPr>
        <w:t xml:space="preserve">). </w:t>
      </w:r>
      <w:r w:rsidR="0037767F" w:rsidRPr="0037767F">
        <w:rPr>
          <w:rFonts w:ascii="Arial" w:hAnsi="Arial" w:cs="Arial"/>
          <w:kern w:val="24"/>
          <w:sz w:val="24"/>
          <w:szCs w:val="24"/>
        </w:rPr>
        <w:t>Shahid</w:t>
      </w:r>
      <w:r w:rsidR="0037767F">
        <w:rPr>
          <w:rFonts w:ascii="Arial" w:hAnsi="Arial" w:cs="Arial"/>
          <w:kern w:val="24"/>
          <w:sz w:val="24"/>
          <w:szCs w:val="24"/>
        </w:rPr>
        <w:t xml:space="preserve"> </w:t>
      </w:r>
      <w:r w:rsidR="0037767F" w:rsidRPr="0037767F">
        <w:rPr>
          <w:rFonts w:ascii="Arial" w:hAnsi="Arial" w:cs="Arial"/>
          <w:kern w:val="24"/>
          <w:sz w:val="24"/>
          <w:szCs w:val="24"/>
        </w:rPr>
        <w:t>and Sheikh</w:t>
      </w:r>
      <w:r w:rsidRPr="00FB273A">
        <w:rPr>
          <w:rFonts w:ascii="Arial" w:hAnsi="Arial" w:cs="Arial"/>
          <w:kern w:val="24"/>
          <w:sz w:val="24"/>
          <w:szCs w:val="24"/>
        </w:rPr>
        <w:t xml:space="preserve"> (202</w:t>
      </w:r>
      <w:r w:rsidR="0037767F">
        <w:rPr>
          <w:rFonts w:ascii="Arial" w:hAnsi="Arial" w:cs="Arial"/>
          <w:kern w:val="24"/>
          <w:sz w:val="24"/>
          <w:szCs w:val="24"/>
        </w:rPr>
        <w:t>1</w:t>
      </w:r>
      <w:r w:rsidRPr="00FB273A">
        <w:rPr>
          <w:rFonts w:ascii="Arial" w:hAnsi="Arial" w:cs="Arial"/>
          <w:kern w:val="24"/>
          <w:sz w:val="24"/>
          <w:szCs w:val="24"/>
        </w:rPr>
        <w:t xml:space="preserve">) suggest harnessing big data to power live feeds and better consumer experiences to gain a competitive edge. Wilko must prioritise quality, sustainability, and personalisation to compete with budget stores and online markets. This will also help the organisation adapt to customer tastes. </w:t>
      </w:r>
      <w:r w:rsidR="0037767F" w:rsidRPr="0037767F">
        <w:rPr>
          <w:rFonts w:ascii="Arial" w:hAnsi="Arial" w:cs="Arial"/>
          <w:kern w:val="24"/>
          <w:sz w:val="24"/>
          <w:szCs w:val="24"/>
        </w:rPr>
        <w:t xml:space="preserve">Korepin </w:t>
      </w:r>
      <w:r w:rsidR="0037767F">
        <w:rPr>
          <w:rFonts w:ascii="Arial" w:hAnsi="Arial" w:cs="Arial"/>
          <w:kern w:val="24"/>
          <w:sz w:val="24"/>
          <w:szCs w:val="24"/>
        </w:rPr>
        <w:t xml:space="preserve">et al. </w:t>
      </w:r>
      <w:r w:rsidRPr="00FB273A">
        <w:rPr>
          <w:rFonts w:ascii="Arial" w:hAnsi="Arial" w:cs="Arial"/>
          <w:kern w:val="24"/>
          <w:sz w:val="24"/>
          <w:szCs w:val="24"/>
        </w:rPr>
        <w:t>(202</w:t>
      </w:r>
      <w:r w:rsidR="0037767F">
        <w:rPr>
          <w:rFonts w:ascii="Arial" w:hAnsi="Arial" w:cs="Arial"/>
          <w:kern w:val="24"/>
          <w:sz w:val="24"/>
          <w:szCs w:val="24"/>
        </w:rPr>
        <w:t>1</w:t>
      </w:r>
      <w:r w:rsidRPr="00FB273A">
        <w:rPr>
          <w:rFonts w:ascii="Arial" w:hAnsi="Arial" w:cs="Arial"/>
          <w:kern w:val="24"/>
          <w:sz w:val="24"/>
          <w:szCs w:val="24"/>
        </w:rPr>
        <w:t>) recommend fixing economic, supply chain, and governmental issues to minimise costs and speed up operations. These techniques help Wilko succeed in a changing retail industry despite its operational issues and lack of a digital presence. Digital infrastructure, green practices, risk management, and unified IT systems let Wilko adapt to changing client behaviours and the digital shift (</w:t>
      </w:r>
      <w:r w:rsidR="0037767F" w:rsidRPr="0037767F">
        <w:rPr>
          <w:rFonts w:ascii="Arial" w:hAnsi="Arial" w:cs="Arial"/>
          <w:kern w:val="24"/>
          <w:sz w:val="24"/>
          <w:szCs w:val="24"/>
        </w:rPr>
        <w:t>Millard</w:t>
      </w:r>
      <w:r w:rsidRPr="00FB273A">
        <w:rPr>
          <w:rFonts w:ascii="Arial" w:hAnsi="Arial" w:cs="Arial"/>
          <w:kern w:val="24"/>
          <w:sz w:val="24"/>
          <w:szCs w:val="24"/>
        </w:rPr>
        <w:t>, 2023). Wilko needs a comprehensive plan to capitalise on its strengths and address its flaws to survive in the ever-changing retail environment.</w:t>
      </w:r>
    </w:p>
    <w:p w14:paraId="5212ED93" w14:textId="77777777" w:rsidR="00BE3B53" w:rsidRPr="00FB273A" w:rsidRDefault="00FB273A" w:rsidP="00FB273A">
      <w:pPr>
        <w:pStyle w:val="Heading1"/>
        <w:spacing w:line="360" w:lineRule="auto"/>
        <w:rPr>
          <w:rFonts w:ascii="Arial" w:hAnsi="Arial" w:cs="Arial"/>
          <w:b/>
          <w:color w:val="auto"/>
          <w:sz w:val="24"/>
          <w:szCs w:val="24"/>
        </w:rPr>
      </w:pPr>
      <w:r w:rsidRPr="00FB273A">
        <w:rPr>
          <w:rFonts w:ascii="Arial" w:hAnsi="Arial" w:cs="Arial"/>
          <w:b/>
          <w:color w:val="auto"/>
          <w:sz w:val="24"/>
          <w:szCs w:val="24"/>
        </w:rPr>
        <w:t>Proposed Solution Linked to PESTEL Analysis</w:t>
      </w:r>
    </w:p>
    <w:p w14:paraId="3B310242" w14:textId="77777777" w:rsidR="00BE3B53" w:rsidRPr="00FB273A" w:rsidRDefault="00BE3B53" w:rsidP="00FB27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24"/>
          <w:sz w:val="24"/>
          <w:szCs w:val="24"/>
        </w:rPr>
      </w:pPr>
      <w:r w:rsidRPr="00FB273A">
        <w:rPr>
          <w:rFonts w:ascii="Arial" w:hAnsi="Arial" w:cs="Arial"/>
          <w:kern w:val="24"/>
          <w:sz w:val="24"/>
          <w:szCs w:val="24"/>
        </w:rPr>
        <w:t>Wilko must address external political, economic, social, technological, legal, and environmental factors to overcome PESTLE issues. Cost-effective process optimisation and diversified supply sources are needed to manage government policies and economic changes (</w:t>
      </w:r>
      <w:r w:rsidR="0037767F" w:rsidRPr="0037767F">
        <w:rPr>
          <w:rFonts w:ascii="Arial" w:hAnsi="Arial" w:cs="Arial"/>
          <w:kern w:val="24"/>
          <w:sz w:val="24"/>
          <w:szCs w:val="24"/>
        </w:rPr>
        <w:t>Krishna</w:t>
      </w:r>
      <w:r w:rsidR="00FB273A" w:rsidRPr="00FB273A">
        <w:rPr>
          <w:rFonts w:ascii="Arial" w:hAnsi="Arial" w:cs="Arial"/>
          <w:kern w:val="24"/>
          <w:sz w:val="24"/>
          <w:szCs w:val="24"/>
        </w:rPr>
        <w:t xml:space="preserve"> et al.</w:t>
      </w:r>
      <w:r w:rsidRPr="00FB273A">
        <w:rPr>
          <w:rFonts w:ascii="Arial" w:hAnsi="Arial" w:cs="Arial"/>
          <w:kern w:val="24"/>
          <w:sz w:val="24"/>
          <w:szCs w:val="24"/>
        </w:rPr>
        <w:t>, 202</w:t>
      </w:r>
      <w:r w:rsidR="00FB273A" w:rsidRPr="00FB273A">
        <w:rPr>
          <w:rFonts w:ascii="Arial" w:hAnsi="Arial" w:cs="Arial"/>
          <w:kern w:val="24"/>
          <w:sz w:val="24"/>
          <w:szCs w:val="24"/>
        </w:rPr>
        <w:t>3</w:t>
      </w:r>
      <w:r w:rsidRPr="00FB273A">
        <w:rPr>
          <w:rFonts w:ascii="Arial" w:hAnsi="Arial" w:cs="Arial"/>
          <w:kern w:val="24"/>
          <w:sz w:val="24"/>
          <w:szCs w:val="24"/>
        </w:rPr>
        <w:t>). Businesses must adjust their products to match health, wellness, and ethical consumption trends as client tastes shift. They need a more user-friendly and ethical online presence (</w:t>
      </w:r>
      <w:r w:rsidR="0037767F" w:rsidRPr="0037767F">
        <w:rPr>
          <w:rFonts w:ascii="Arial" w:hAnsi="Arial" w:cs="Arial"/>
          <w:kern w:val="24"/>
          <w:sz w:val="24"/>
          <w:szCs w:val="24"/>
        </w:rPr>
        <w:t>Oladunjoye</w:t>
      </w:r>
      <w:r w:rsidRPr="00FB273A">
        <w:rPr>
          <w:rFonts w:ascii="Arial" w:hAnsi="Arial" w:cs="Arial"/>
          <w:kern w:val="24"/>
          <w:sz w:val="24"/>
          <w:szCs w:val="24"/>
        </w:rPr>
        <w:t>, 20</w:t>
      </w:r>
      <w:r w:rsidR="00FB273A" w:rsidRPr="00FB273A">
        <w:rPr>
          <w:rFonts w:ascii="Arial" w:hAnsi="Arial" w:cs="Arial"/>
          <w:kern w:val="24"/>
          <w:sz w:val="24"/>
          <w:szCs w:val="24"/>
        </w:rPr>
        <w:t>2</w:t>
      </w:r>
      <w:r w:rsidR="0037767F">
        <w:rPr>
          <w:rFonts w:ascii="Arial" w:hAnsi="Arial" w:cs="Arial"/>
          <w:kern w:val="24"/>
          <w:sz w:val="24"/>
          <w:szCs w:val="24"/>
        </w:rPr>
        <w:t>3</w:t>
      </w:r>
      <w:r w:rsidRPr="00FB273A">
        <w:rPr>
          <w:rFonts w:ascii="Arial" w:hAnsi="Arial" w:cs="Arial"/>
          <w:kern w:val="24"/>
          <w:sz w:val="24"/>
          <w:szCs w:val="24"/>
        </w:rPr>
        <w:t>).</w:t>
      </w:r>
    </w:p>
    <w:p w14:paraId="6230805B" w14:textId="77777777" w:rsidR="00BE3B53" w:rsidRPr="00FB273A" w:rsidRDefault="00BE3B53" w:rsidP="00FB27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24"/>
          <w:sz w:val="24"/>
          <w:szCs w:val="24"/>
        </w:rPr>
      </w:pPr>
      <w:r w:rsidRPr="00FB273A">
        <w:rPr>
          <w:rFonts w:ascii="Arial" w:hAnsi="Arial" w:cs="Arial"/>
          <w:kern w:val="24"/>
          <w:sz w:val="24"/>
          <w:szCs w:val="24"/>
        </w:rPr>
        <w:t xml:space="preserve">By adopting modern technologies, </w:t>
      </w:r>
      <w:r w:rsidR="0037767F" w:rsidRPr="0037767F">
        <w:rPr>
          <w:rFonts w:ascii="Arial" w:hAnsi="Arial" w:cs="Arial"/>
          <w:kern w:val="24"/>
          <w:sz w:val="24"/>
          <w:szCs w:val="24"/>
        </w:rPr>
        <w:t xml:space="preserve">Gideon </w:t>
      </w:r>
      <w:r w:rsidR="0037767F">
        <w:rPr>
          <w:rFonts w:ascii="Arial" w:hAnsi="Arial" w:cs="Arial"/>
          <w:kern w:val="24"/>
          <w:sz w:val="24"/>
          <w:szCs w:val="24"/>
        </w:rPr>
        <w:t xml:space="preserve">et al. </w:t>
      </w:r>
      <w:r w:rsidRPr="00FB273A">
        <w:rPr>
          <w:rFonts w:ascii="Arial" w:hAnsi="Arial" w:cs="Arial"/>
          <w:kern w:val="24"/>
          <w:sz w:val="24"/>
          <w:szCs w:val="24"/>
        </w:rPr>
        <w:t xml:space="preserve">(2023) claims that multichannel retail and data analytics would boost efficiency and consumer satisfaction. Follow consumer rights, </w:t>
      </w:r>
      <w:r w:rsidRPr="00FB273A">
        <w:rPr>
          <w:rFonts w:ascii="Arial" w:hAnsi="Arial" w:cs="Arial"/>
          <w:kern w:val="24"/>
          <w:sz w:val="24"/>
          <w:szCs w:val="24"/>
        </w:rPr>
        <w:lastRenderedPageBreak/>
        <w:t>data protection, and employment regulations to avoid legal issues and safeguard your brand</w:t>
      </w:r>
      <w:r w:rsidR="0037767F">
        <w:rPr>
          <w:rFonts w:ascii="Arial" w:hAnsi="Arial" w:cs="Arial"/>
          <w:kern w:val="24"/>
          <w:sz w:val="24"/>
          <w:szCs w:val="24"/>
        </w:rPr>
        <w:t xml:space="preserve"> </w:t>
      </w:r>
      <w:r w:rsidRPr="00FB273A">
        <w:rPr>
          <w:rFonts w:ascii="Arial" w:hAnsi="Arial" w:cs="Arial"/>
          <w:kern w:val="24"/>
          <w:sz w:val="24"/>
          <w:szCs w:val="24"/>
        </w:rPr>
        <w:t>(</w:t>
      </w:r>
      <w:r w:rsidR="0037767F" w:rsidRPr="0037767F">
        <w:rPr>
          <w:rFonts w:ascii="Arial" w:hAnsi="Arial" w:cs="Arial"/>
          <w:kern w:val="24"/>
          <w:sz w:val="24"/>
          <w:szCs w:val="24"/>
        </w:rPr>
        <w:t>Hartzog</w:t>
      </w:r>
      <w:r w:rsidR="0037767F">
        <w:rPr>
          <w:rFonts w:ascii="Arial" w:hAnsi="Arial" w:cs="Arial"/>
          <w:kern w:val="24"/>
          <w:sz w:val="24"/>
          <w:szCs w:val="24"/>
        </w:rPr>
        <w:t xml:space="preserve"> </w:t>
      </w:r>
      <w:r w:rsidR="0037767F" w:rsidRPr="0037767F">
        <w:rPr>
          <w:rFonts w:ascii="Arial" w:hAnsi="Arial" w:cs="Arial"/>
          <w:kern w:val="24"/>
          <w:sz w:val="24"/>
          <w:szCs w:val="24"/>
        </w:rPr>
        <w:t>and Richards</w:t>
      </w:r>
      <w:r w:rsidRPr="00FB273A">
        <w:rPr>
          <w:rFonts w:ascii="Arial" w:hAnsi="Arial" w:cs="Arial"/>
          <w:kern w:val="24"/>
          <w:sz w:val="24"/>
          <w:szCs w:val="24"/>
        </w:rPr>
        <w:t>, 202</w:t>
      </w:r>
      <w:r w:rsidR="00FB273A" w:rsidRPr="00FB273A">
        <w:rPr>
          <w:rFonts w:ascii="Arial" w:hAnsi="Arial" w:cs="Arial"/>
          <w:kern w:val="24"/>
          <w:sz w:val="24"/>
          <w:szCs w:val="24"/>
        </w:rPr>
        <w:t>3</w:t>
      </w:r>
      <w:r w:rsidRPr="00FB273A">
        <w:rPr>
          <w:rFonts w:ascii="Arial" w:hAnsi="Arial" w:cs="Arial"/>
          <w:kern w:val="24"/>
          <w:sz w:val="24"/>
          <w:szCs w:val="24"/>
        </w:rPr>
        <w:t>). Carbon reduction and ethical sourcing improve the environment and achieve stakeholder and customer sustainability standards (</w:t>
      </w:r>
      <w:r w:rsidR="0037767F" w:rsidRPr="0037767F">
        <w:rPr>
          <w:rFonts w:ascii="Arial" w:hAnsi="Arial" w:cs="Arial"/>
          <w:kern w:val="24"/>
          <w:sz w:val="24"/>
          <w:szCs w:val="24"/>
        </w:rPr>
        <w:t>Wilhelm</w:t>
      </w:r>
      <w:r w:rsidR="0037767F">
        <w:rPr>
          <w:rFonts w:ascii="Arial" w:hAnsi="Arial" w:cs="Arial"/>
          <w:kern w:val="24"/>
          <w:sz w:val="24"/>
          <w:szCs w:val="24"/>
        </w:rPr>
        <w:t xml:space="preserve"> </w:t>
      </w:r>
      <w:r w:rsidR="0037767F" w:rsidRPr="0037767F">
        <w:rPr>
          <w:rFonts w:ascii="Arial" w:hAnsi="Arial" w:cs="Arial"/>
          <w:kern w:val="24"/>
          <w:sz w:val="24"/>
          <w:szCs w:val="24"/>
        </w:rPr>
        <w:t>and Villena</w:t>
      </w:r>
      <w:r w:rsidRPr="00FB273A">
        <w:rPr>
          <w:rFonts w:ascii="Arial" w:hAnsi="Arial" w:cs="Arial"/>
          <w:kern w:val="24"/>
          <w:sz w:val="24"/>
          <w:szCs w:val="24"/>
        </w:rPr>
        <w:t>, 202</w:t>
      </w:r>
      <w:r w:rsidR="0037767F">
        <w:rPr>
          <w:rFonts w:ascii="Arial" w:hAnsi="Arial" w:cs="Arial"/>
          <w:kern w:val="24"/>
          <w:sz w:val="24"/>
          <w:szCs w:val="24"/>
        </w:rPr>
        <w:t>1</w:t>
      </w:r>
      <w:r w:rsidRPr="00FB273A">
        <w:rPr>
          <w:rFonts w:ascii="Arial" w:hAnsi="Arial" w:cs="Arial"/>
          <w:kern w:val="24"/>
          <w:sz w:val="24"/>
          <w:szCs w:val="24"/>
        </w:rPr>
        <w:t>).</w:t>
      </w:r>
    </w:p>
    <w:p w14:paraId="79B90FDA" w14:textId="77777777" w:rsidR="00BE3B53" w:rsidRPr="00FB273A" w:rsidRDefault="00BE3B53" w:rsidP="00FB27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24"/>
          <w:sz w:val="24"/>
          <w:szCs w:val="24"/>
        </w:rPr>
      </w:pPr>
      <w:r w:rsidRPr="00FB273A">
        <w:rPr>
          <w:rFonts w:ascii="Arial" w:hAnsi="Arial" w:cs="Arial"/>
          <w:kern w:val="24"/>
          <w:sz w:val="24"/>
          <w:szCs w:val="24"/>
        </w:rPr>
        <w:t>Wilko may be able to solve retail difficulties by adopting new technologies, adapting to client wants, and respecting government and environmental regulations (</w:t>
      </w:r>
      <w:r w:rsidR="0037767F" w:rsidRPr="0037767F">
        <w:rPr>
          <w:rFonts w:ascii="Arial" w:hAnsi="Arial" w:cs="Arial"/>
          <w:kern w:val="24"/>
          <w:sz w:val="24"/>
          <w:szCs w:val="24"/>
        </w:rPr>
        <w:t>Nanayakkara</w:t>
      </w:r>
      <w:r w:rsidR="0037767F">
        <w:rPr>
          <w:rFonts w:ascii="Arial" w:hAnsi="Arial" w:cs="Arial"/>
          <w:kern w:val="24"/>
          <w:sz w:val="24"/>
          <w:szCs w:val="24"/>
        </w:rPr>
        <w:t xml:space="preserve"> et al.</w:t>
      </w:r>
      <w:r w:rsidRPr="00FB273A">
        <w:rPr>
          <w:rFonts w:ascii="Arial" w:hAnsi="Arial" w:cs="Arial"/>
          <w:kern w:val="24"/>
          <w:sz w:val="24"/>
          <w:szCs w:val="24"/>
        </w:rPr>
        <w:t>, 202</w:t>
      </w:r>
      <w:r w:rsidR="0037767F">
        <w:rPr>
          <w:rFonts w:ascii="Arial" w:hAnsi="Arial" w:cs="Arial"/>
          <w:kern w:val="24"/>
          <w:sz w:val="24"/>
          <w:szCs w:val="24"/>
        </w:rPr>
        <w:t>1</w:t>
      </w:r>
      <w:r w:rsidRPr="00FB273A">
        <w:rPr>
          <w:rFonts w:ascii="Arial" w:hAnsi="Arial" w:cs="Arial"/>
          <w:kern w:val="24"/>
          <w:sz w:val="24"/>
          <w:szCs w:val="24"/>
        </w:rPr>
        <w:t>). Wilko succeeds with this all-around strategy even in poor economic times, cultural shifts, and outside pressures. They seize growth and sustainability opportunities.</w:t>
      </w:r>
    </w:p>
    <w:p w14:paraId="4BA21482" w14:textId="77777777" w:rsidR="00BE3B53" w:rsidRPr="00FB273A" w:rsidRDefault="00FB273A" w:rsidP="00FB273A">
      <w:pPr>
        <w:pStyle w:val="Heading1"/>
        <w:spacing w:line="360" w:lineRule="auto"/>
        <w:rPr>
          <w:rFonts w:ascii="Arial" w:hAnsi="Arial" w:cs="Arial"/>
          <w:b/>
          <w:color w:val="auto"/>
          <w:sz w:val="24"/>
          <w:szCs w:val="24"/>
        </w:rPr>
      </w:pPr>
      <w:r w:rsidRPr="00FB273A">
        <w:rPr>
          <w:rFonts w:ascii="Arial" w:hAnsi="Arial" w:cs="Arial"/>
          <w:b/>
          <w:color w:val="auto"/>
          <w:sz w:val="24"/>
          <w:szCs w:val="24"/>
        </w:rPr>
        <w:t xml:space="preserve">Framework </w:t>
      </w:r>
      <w:r>
        <w:rPr>
          <w:rFonts w:ascii="Arial" w:hAnsi="Arial" w:cs="Arial"/>
          <w:b/>
          <w:color w:val="auto"/>
          <w:sz w:val="24"/>
          <w:szCs w:val="24"/>
        </w:rPr>
        <w:t>f</w:t>
      </w:r>
      <w:r w:rsidRPr="00FB273A">
        <w:rPr>
          <w:rFonts w:ascii="Arial" w:hAnsi="Arial" w:cs="Arial"/>
          <w:b/>
          <w:color w:val="auto"/>
          <w:sz w:val="24"/>
          <w:szCs w:val="24"/>
        </w:rPr>
        <w:t>or Assessing Solution</w:t>
      </w:r>
    </w:p>
    <w:p w14:paraId="23F991E0" w14:textId="77777777" w:rsidR="00BE3B53" w:rsidRPr="00FB273A" w:rsidRDefault="00BE3B53" w:rsidP="00FB27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24"/>
          <w:sz w:val="24"/>
          <w:szCs w:val="24"/>
        </w:rPr>
      </w:pPr>
      <w:r w:rsidRPr="00FB273A">
        <w:rPr>
          <w:rFonts w:ascii="Arial" w:hAnsi="Arial" w:cs="Arial"/>
          <w:kern w:val="24"/>
          <w:sz w:val="24"/>
          <w:szCs w:val="24"/>
        </w:rPr>
        <w:t>Wilko should use KPIs to monitor and adjust its tactics based on SWOT and PESTLE studies. These KPIs evaluate initiatives in supply chain variety, cost-efficiency, customer happiness, technological integration, regulatory compliance, and sustainability. Wilko can evaluate these initiatives and make improvements via quarterly and annual strategic evaluations (</w:t>
      </w:r>
      <w:r w:rsidR="00D67B86" w:rsidRPr="00D67B86">
        <w:rPr>
          <w:rFonts w:ascii="Arial" w:hAnsi="Arial" w:cs="Arial"/>
          <w:kern w:val="24"/>
          <w:sz w:val="24"/>
          <w:szCs w:val="24"/>
        </w:rPr>
        <w:t>Wilkinson</w:t>
      </w:r>
      <w:r w:rsidRPr="00FB273A">
        <w:rPr>
          <w:rFonts w:ascii="Arial" w:hAnsi="Arial" w:cs="Arial"/>
          <w:kern w:val="24"/>
          <w:sz w:val="24"/>
          <w:szCs w:val="24"/>
        </w:rPr>
        <w:t xml:space="preserve"> et al., 202</w:t>
      </w:r>
      <w:r w:rsidR="00D67B86">
        <w:rPr>
          <w:rFonts w:ascii="Arial" w:hAnsi="Arial" w:cs="Arial"/>
          <w:kern w:val="24"/>
          <w:sz w:val="24"/>
          <w:szCs w:val="24"/>
        </w:rPr>
        <w:t>3</w:t>
      </w:r>
      <w:r w:rsidRPr="00FB273A">
        <w:rPr>
          <w:rFonts w:ascii="Arial" w:hAnsi="Arial" w:cs="Arial"/>
          <w:kern w:val="24"/>
          <w:sz w:val="24"/>
          <w:szCs w:val="24"/>
        </w:rPr>
        <w:t>). Wilko can manage the competitive retail scene by collecting stakeholder feedback through surveys and digital platforms to understand customer and employee satisfaction</w:t>
      </w:r>
      <w:r w:rsidR="00FB273A" w:rsidRPr="00FB273A">
        <w:rPr>
          <w:rFonts w:ascii="Arial" w:hAnsi="Arial" w:cs="Arial"/>
          <w:kern w:val="24"/>
          <w:sz w:val="24"/>
          <w:szCs w:val="24"/>
        </w:rPr>
        <w:t xml:space="preserve"> (</w:t>
      </w:r>
      <w:r w:rsidR="00D67B86" w:rsidRPr="00D67B86">
        <w:rPr>
          <w:rFonts w:ascii="Arial" w:hAnsi="Arial" w:cs="Arial"/>
          <w:kern w:val="24"/>
          <w:sz w:val="24"/>
          <w:szCs w:val="24"/>
        </w:rPr>
        <w:t>Macnamara</w:t>
      </w:r>
      <w:r w:rsidR="00FB273A" w:rsidRPr="00FB273A">
        <w:rPr>
          <w:rFonts w:ascii="Arial" w:hAnsi="Arial" w:cs="Arial"/>
          <w:kern w:val="24"/>
          <w:sz w:val="24"/>
          <w:szCs w:val="24"/>
        </w:rPr>
        <w:t>, 202</w:t>
      </w:r>
      <w:r w:rsidR="00D67B86">
        <w:rPr>
          <w:rFonts w:ascii="Arial" w:hAnsi="Arial" w:cs="Arial"/>
          <w:kern w:val="24"/>
          <w:sz w:val="24"/>
          <w:szCs w:val="24"/>
        </w:rPr>
        <w:t>0</w:t>
      </w:r>
      <w:r w:rsidR="00FB273A" w:rsidRPr="00FB273A">
        <w:rPr>
          <w:rFonts w:ascii="Arial" w:hAnsi="Arial" w:cs="Arial"/>
          <w:kern w:val="24"/>
          <w:sz w:val="24"/>
          <w:szCs w:val="24"/>
        </w:rPr>
        <w:t>)</w:t>
      </w:r>
      <w:r w:rsidRPr="00FB273A">
        <w:rPr>
          <w:rFonts w:ascii="Arial" w:hAnsi="Arial" w:cs="Arial"/>
          <w:kern w:val="24"/>
          <w:sz w:val="24"/>
          <w:szCs w:val="24"/>
        </w:rPr>
        <w:t>.</w:t>
      </w:r>
    </w:p>
    <w:p w14:paraId="385DFF44" w14:textId="77777777" w:rsidR="00BE3B53" w:rsidRPr="00FB273A" w:rsidRDefault="00FB273A" w:rsidP="00FB273A">
      <w:pPr>
        <w:pStyle w:val="Heading1"/>
        <w:spacing w:line="360" w:lineRule="auto"/>
        <w:rPr>
          <w:rFonts w:ascii="Arial" w:hAnsi="Arial" w:cs="Arial"/>
          <w:b/>
          <w:color w:val="auto"/>
          <w:sz w:val="24"/>
          <w:szCs w:val="24"/>
        </w:rPr>
      </w:pPr>
      <w:r w:rsidRPr="00FB273A">
        <w:rPr>
          <w:rFonts w:ascii="Arial" w:hAnsi="Arial" w:cs="Arial"/>
          <w:b/>
          <w:color w:val="auto"/>
          <w:sz w:val="24"/>
          <w:szCs w:val="24"/>
        </w:rPr>
        <w:t>Communication Strategies and Results</w:t>
      </w:r>
    </w:p>
    <w:p w14:paraId="091692B9" w14:textId="77777777" w:rsidR="00BE3B53" w:rsidRPr="00FB273A" w:rsidRDefault="00BE3B53" w:rsidP="00FB27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24"/>
          <w:sz w:val="24"/>
          <w:szCs w:val="24"/>
        </w:rPr>
      </w:pPr>
      <w:r w:rsidRPr="00FB273A">
        <w:rPr>
          <w:rFonts w:ascii="Arial" w:hAnsi="Arial" w:cs="Arial"/>
          <w:kern w:val="24"/>
          <w:sz w:val="24"/>
          <w:szCs w:val="24"/>
        </w:rPr>
        <w:t>To handle SWOT and PESTLE studies, Wilko is building a thorough communication plan. Meetings, mailings, intranet posts, and feedback channels provide updates. The company will engage customers and the public via social media, press releases, and sustainability reports (</w:t>
      </w:r>
      <w:r w:rsidR="00D67B86" w:rsidRPr="00D67B86">
        <w:rPr>
          <w:rFonts w:ascii="Arial" w:hAnsi="Arial" w:cs="Arial"/>
          <w:kern w:val="24"/>
          <w:sz w:val="24"/>
          <w:szCs w:val="24"/>
        </w:rPr>
        <w:t>Ihejirika</w:t>
      </w:r>
      <w:r w:rsidR="00D67B86">
        <w:rPr>
          <w:rFonts w:ascii="Arial" w:hAnsi="Arial" w:cs="Arial"/>
          <w:kern w:val="24"/>
          <w:sz w:val="24"/>
          <w:szCs w:val="24"/>
        </w:rPr>
        <w:t xml:space="preserve"> et al.</w:t>
      </w:r>
      <w:r w:rsidRPr="00FB273A">
        <w:rPr>
          <w:rFonts w:ascii="Arial" w:hAnsi="Arial" w:cs="Arial"/>
          <w:kern w:val="24"/>
          <w:sz w:val="24"/>
          <w:szCs w:val="24"/>
        </w:rPr>
        <w:t>, 2021). The strategy promotes transparency, diversity, and proactive dialogue to help Wilko adapt to consumer behaviour, technology, and regulations</w:t>
      </w:r>
      <w:r w:rsidR="00FB273A" w:rsidRPr="00FB273A">
        <w:rPr>
          <w:rFonts w:ascii="Arial" w:hAnsi="Arial" w:cs="Arial"/>
          <w:kern w:val="24"/>
          <w:sz w:val="24"/>
          <w:szCs w:val="24"/>
        </w:rPr>
        <w:t xml:space="preserve"> (</w:t>
      </w:r>
      <w:r w:rsidR="00D67B86" w:rsidRPr="00D67B86">
        <w:rPr>
          <w:rFonts w:ascii="Arial" w:hAnsi="Arial" w:cs="Arial"/>
          <w:kern w:val="24"/>
          <w:sz w:val="24"/>
          <w:szCs w:val="24"/>
        </w:rPr>
        <w:t>Hyland-Wood</w:t>
      </w:r>
      <w:r w:rsidR="00FB273A" w:rsidRPr="00FB273A">
        <w:rPr>
          <w:rFonts w:ascii="Arial" w:hAnsi="Arial" w:cs="Arial"/>
          <w:kern w:val="24"/>
          <w:sz w:val="24"/>
          <w:szCs w:val="24"/>
        </w:rPr>
        <w:t xml:space="preserve"> et al., 202</w:t>
      </w:r>
      <w:r w:rsidR="00D67B86">
        <w:rPr>
          <w:rFonts w:ascii="Arial" w:hAnsi="Arial" w:cs="Arial"/>
          <w:kern w:val="24"/>
          <w:sz w:val="24"/>
          <w:szCs w:val="24"/>
        </w:rPr>
        <w:t>1</w:t>
      </w:r>
      <w:r w:rsidR="00FB273A" w:rsidRPr="00FB273A">
        <w:rPr>
          <w:rFonts w:ascii="Arial" w:hAnsi="Arial" w:cs="Arial"/>
          <w:kern w:val="24"/>
          <w:sz w:val="24"/>
          <w:szCs w:val="24"/>
        </w:rPr>
        <w:t>)</w:t>
      </w:r>
      <w:r w:rsidRPr="00FB273A">
        <w:rPr>
          <w:rFonts w:ascii="Arial" w:hAnsi="Arial" w:cs="Arial"/>
          <w:kern w:val="24"/>
          <w:sz w:val="24"/>
          <w:szCs w:val="24"/>
        </w:rPr>
        <w:t>.</w:t>
      </w:r>
    </w:p>
    <w:p w14:paraId="42076D77" w14:textId="77777777" w:rsidR="00BE3B53" w:rsidRPr="00FB273A" w:rsidRDefault="00FB273A" w:rsidP="00FB273A">
      <w:pPr>
        <w:pStyle w:val="Heading1"/>
        <w:spacing w:line="360" w:lineRule="auto"/>
        <w:rPr>
          <w:rFonts w:ascii="Arial" w:hAnsi="Arial" w:cs="Arial"/>
          <w:b/>
          <w:color w:val="auto"/>
          <w:sz w:val="24"/>
          <w:szCs w:val="24"/>
        </w:rPr>
      </w:pPr>
      <w:r w:rsidRPr="00FB273A">
        <w:rPr>
          <w:rFonts w:ascii="Arial" w:hAnsi="Arial" w:cs="Arial"/>
          <w:b/>
          <w:color w:val="auto"/>
          <w:sz w:val="24"/>
          <w:szCs w:val="24"/>
        </w:rPr>
        <w:t>References</w:t>
      </w:r>
    </w:p>
    <w:p w14:paraId="31FF5928" w14:textId="77777777" w:rsidR="00D67B86" w:rsidRPr="00D67B86" w:rsidRDefault="00D67B86" w:rsidP="00D67B86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D67B86">
        <w:rPr>
          <w:rFonts w:ascii="Arial" w:hAnsi="Arial" w:cs="Arial"/>
          <w:sz w:val="24"/>
          <w:szCs w:val="24"/>
        </w:rPr>
        <w:t>Gideon, A., Majeed, M., Solomon, E.N.A., Lorna, A.D.K. and Kobby, M., 2023. Internet of Things and Retail Performance in an Emerging Market: A Qualitative Analysis. In </w:t>
      </w:r>
      <w:r w:rsidRPr="00D67B86">
        <w:rPr>
          <w:rFonts w:ascii="Arial" w:hAnsi="Arial" w:cs="Arial"/>
          <w:i/>
          <w:iCs/>
          <w:sz w:val="24"/>
          <w:szCs w:val="24"/>
        </w:rPr>
        <w:t>Advances in Information Communication Technology and Computing: Proceedings of AICTC 2022</w:t>
      </w:r>
      <w:r w:rsidRPr="00D67B86">
        <w:rPr>
          <w:rFonts w:ascii="Arial" w:hAnsi="Arial" w:cs="Arial"/>
          <w:sz w:val="24"/>
          <w:szCs w:val="24"/>
        </w:rPr>
        <w:t> (pp. 145-161). Singapore: Springer Nature Singapore.</w:t>
      </w:r>
    </w:p>
    <w:p w14:paraId="2C0C0EBA" w14:textId="77777777" w:rsidR="00D67B86" w:rsidRPr="00D67B86" w:rsidRDefault="00D67B86" w:rsidP="00D67B86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D67B86">
        <w:rPr>
          <w:rFonts w:ascii="Arial" w:hAnsi="Arial" w:cs="Arial"/>
          <w:sz w:val="24"/>
          <w:szCs w:val="24"/>
        </w:rPr>
        <w:lastRenderedPageBreak/>
        <w:t>Hartzog, W. and Richards, N., 2020. Privacy's constitutional moment and the limits of data protection. </w:t>
      </w:r>
      <w:r w:rsidRPr="00D67B86">
        <w:rPr>
          <w:rFonts w:ascii="Arial" w:hAnsi="Arial" w:cs="Arial"/>
          <w:i/>
          <w:iCs/>
          <w:sz w:val="24"/>
          <w:szCs w:val="24"/>
        </w:rPr>
        <w:t>BCL Rev.</w:t>
      </w:r>
      <w:r w:rsidRPr="00D67B86">
        <w:rPr>
          <w:rFonts w:ascii="Arial" w:hAnsi="Arial" w:cs="Arial"/>
          <w:sz w:val="24"/>
          <w:szCs w:val="24"/>
        </w:rPr>
        <w:t>, </w:t>
      </w:r>
      <w:r w:rsidRPr="00D67B86">
        <w:rPr>
          <w:rFonts w:ascii="Arial" w:hAnsi="Arial" w:cs="Arial"/>
          <w:i/>
          <w:iCs/>
          <w:sz w:val="24"/>
          <w:szCs w:val="24"/>
        </w:rPr>
        <w:t>61</w:t>
      </w:r>
      <w:r w:rsidRPr="00D67B86">
        <w:rPr>
          <w:rFonts w:ascii="Arial" w:hAnsi="Arial" w:cs="Arial"/>
          <w:sz w:val="24"/>
          <w:szCs w:val="24"/>
        </w:rPr>
        <w:t>, p.1687.</w:t>
      </w:r>
    </w:p>
    <w:p w14:paraId="659DBC13" w14:textId="77777777" w:rsidR="00D67B86" w:rsidRPr="00D67B86" w:rsidRDefault="00D67B86" w:rsidP="00D67B86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D67B86">
        <w:rPr>
          <w:rFonts w:ascii="Arial" w:hAnsi="Arial" w:cs="Arial"/>
          <w:sz w:val="24"/>
          <w:szCs w:val="24"/>
        </w:rPr>
        <w:t>Hyland-Wood, B., Gardner, J., Leask, J. and Ecker, U.K., 2021. Toward effective government communication strategies in the era of COVID-19. </w:t>
      </w:r>
      <w:r w:rsidRPr="00D67B86">
        <w:rPr>
          <w:rFonts w:ascii="Arial" w:hAnsi="Arial" w:cs="Arial"/>
          <w:i/>
          <w:iCs/>
          <w:sz w:val="24"/>
          <w:szCs w:val="24"/>
        </w:rPr>
        <w:t>Humanities and Social Sciences Communications</w:t>
      </w:r>
      <w:r w:rsidRPr="00D67B86">
        <w:rPr>
          <w:rFonts w:ascii="Arial" w:hAnsi="Arial" w:cs="Arial"/>
          <w:sz w:val="24"/>
          <w:szCs w:val="24"/>
        </w:rPr>
        <w:t>, </w:t>
      </w:r>
      <w:r w:rsidRPr="00D67B86">
        <w:rPr>
          <w:rFonts w:ascii="Arial" w:hAnsi="Arial" w:cs="Arial"/>
          <w:i/>
          <w:iCs/>
          <w:sz w:val="24"/>
          <w:szCs w:val="24"/>
        </w:rPr>
        <w:t>8</w:t>
      </w:r>
      <w:r w:rsidRPr="00D67B86">
        <w:rPr>
          <w:rFonts w:ascii="Arial" w:hAnsi="Arial" w:cs="Arial"/>
          <w:sz w:val="24"/>
          <w:szCs w:val="24"/>
        </w:rPr>
        <w:t>(1).</w:t>
      </w:r>
    </w:p>
    <w:p w14:paraId="6F45222E" w14:textId="77777777" w:rsidR="00D67B86" w:rsidRPr="00D67B86" w:rsidRDefault="00D67B86" w:rsidP="00D67B86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D67B86">
        <w:rPr>
          <w:rFonts w:ascii="Arial" w:hAnsi="Arial" w:cs="Arial"/>
          <w:sz w:val="24"/>
          <w:szCs w:val="24"/>
        </w:rPr>
        <w:t>Ihejirika, K.T., Goulding, A. and Calvert, P., 2021. Rethinking academic library use of social media for marketing: Management strategies for sustainable user engagement. </w:t>
      </w:r>
      <w:r w:rsidRPr="00D67B86">
        <w:rPr>
          <w:rFonts w:ascii="Arial" w:hAnsi="Arial" w:cs="Arial"/>
          <w:i/>
          <w:iCs/>
          <w:sz w:val="24"/>
          <w:szCs w:val="24"/>
        </w:rPr>
        <w:t>Journal of Library Administration</w:t>
      </w:r>
      <w:r w:rsidRPr="00D67B86">
        <w:rPr>
          <w:rFonts w:ascii="Arial" w:hAnsi="Arial" w:cs="Arial"/>
          <w:sz w:val="24"/>
          <w:szCs w:val="24"/>
        </w:rPr>
        <w:t>, </w:t>
      </w:r>
      <w:r w:rsidRPr="00D67B86">
        <w:rPr>
          <w:rFonts w:ascii="Arial" w:hAnsi="Arial" w:cs="Arial"/>
          <w:i/>
          <w:iCs/>
          <w:sz w:val="24"/>
          <w:szCs w:val="24"/>
        </w:rPr>
        <w:t>61</w:t>
      </w:r>
      <w:r w:rsidRPr="00D67B86">
        <w:rPr>
          <w:rFonts w:ascii="Arial" w:hAnsi="Arial" w:cs="Arial"/>
          <w:sz w:val="24"/>
          <w:szCs w:val="24"/>
        </w:rPr>
        <w:t>(1), pp.58-85.</w:t>
      </w:r>
    </w:p>
    <w:p w14:paraId="4A3D3386" w14:textId="77777777" w:rsidR="00D67B86" w:rsidRPr="00D67B86" w:rsidRDefault="00D67B86" w:rsidP="00D67B86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D67B86">
        <w:rPr>
          <w:rFonts w:ascii="Arial" w:hAnsi="Arial" w:cs="Arial"/>
          <w:sz w:val="24"/>
          <w:szCs w:val="24"/>
        </w:rPr>
        <w:t>Korepin, V., Dzenzeliuk, N., Seryshev, R. and Rogulin, R., 2021. Improving supply chain reliability with blockchain technology. </w:t>
      </w:r>
      <w:r w:rsidRPr="00D67B86">
        <w:rPr>
          <w:rFonts w:ascii="Arial" w:hAnsi="Arial" w:cs="Arial"/>
          <w:i/>
          <w:iCs/>
          <w:sz w:val="24"/>
          <w:szCs w:val="24"/>
        </w:rPr>
        <w:t>Maritime Economics &amp; Logistics</w:t>
      </w:r>
      <w:r w:rsidRPr="00D67B86">
        <w:rPr>
          <w:rFonts w:ascii="Arial" w:hAnsi="Arial" w:cs="Arial"/>
          <w:sz w:val="24"/>
          <w:szCs w:val="24"/>
        </w:rPr>
        <w:t>, pp.1-14.</w:t>
      </w:r>
    </w:p>
    <w:p w14:paraId="28EE7C6A" w14:textId="77777777" w:rsidR="00D67B86" w:rsidRPr="00D67B86" w:rsidRDefault="00D67B86" w:rsidP="00D67B86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D67B86">
        <w:rPr>
          <w:rFonts w:ascii="Arial" w:hAnsi="Arial" w:cs="Arial"/>
          <w:sz w:val="24"/>
          <w:szCs w:val="24"/>
        </w:rPr>
        <w:t>Krishna, R., Dhass, A.D., Arya, A., Prasad, R. and Colak, I., 2023. An assessment of the strategies for the energy-critical elements necessary for the development of sustainable energy sources. </w:t>
      </w:r>
      <w:r w:rsidRPr="00D67B86">
        <w:rPr>
          <w:rFonts w:ascii="Arial" w:hAnsi="Arial" w:cs="Arial"/>
          <w:i/>
          <w:iCs/>
          <w:sz w:val="24"/>
          <w:szCs w:val="24"/>
        </w:rPr>
        <w:t>Environmental Science and Pollution Research</w:t>
      </w:r>
      <w:r w:rsidRPr="00D67B86">
        <w:rPr>
          <w:rFonts w:ascii="Arial" w:hAnsi="Arial" w:cs="Arial"/>
          <w:sz w:val="24"/>
          <w:szCs w:val="24"/>
        </w:rPr>
        <w:t>, pp.1-22.</w:t>
      </w:r>
    </w:p>
    <w:p w14:paraId="6027B517" w14:textId="77777777" w:rsidR="00D67B86" w:rsidRPr="00D67B86" w:rsidRDefault="00D67B86" w:rsidP="00D67B86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D67B86">
        <w:rPr>
          <w:rFonts w:ascii="Arial" w:hAnsi="Arial" w:cs="Arial"/>
          <w:sz w:val="24"/>
          <w:szCs w:val="24"/>
        </w:rPr>
        <w:t>Lindsay, D., Wilkinson, G. and Wright, E., 2022. Regulation of Internet of Things Devices to Protect Consumers.</w:t>
      </w:r>
    </w:p>
    <w:p w14:paraId="6E5B113D" w14:textId="77777777" w:rsidR="00D67B86" w:rsidRPr="00D67B86" w:rsidRDefault="00D67B86" w:rsidP="00D67B86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D67B86">
        <w:rPr>
          <w:rFonts w:ascii="Arial" w:hAnsi="Arial" w:cs="Arial"/>
          <w:sz w:val="24"/>
          <w:szCs w:val="24"/>
        </w:rPr>
        <w:t>Macnamara, J., 2020. Corporate listening: Unlocking insights from VOC, VOE and VOS for mutual benefits. </w:t>
      </w:r>
      <w:r w:rsidRPr="00D67B86">
        <w:rPr>
          <w:rFonts w:ascii="Arial" w:hAnsi="Arial" w:cs="Arial"/>
          <w:i/>
          <w:iCs/>
          <w:sz w:val="24"/>
          <w:szCs w:val="24"/>
        </w:rPr>
        <w:t>Corporate Communications: An International Journal</w:t>
      </w:r>
      <w:r w:rsidRPr="00D67B86">
        <w:rPr>
          <w:rFonts w:ascii="Arial" w:hAnsi="Arial" w:cs="Arial"/>
          <w:sz w:val="24"/>
          <w:szCs w:val="24"/>
        </w:rPr>
        <w:t>, </w:t>
      </w:r>
      <w:r w:rsidRPr="00D67B86">
        <w:rPr>
          <w:rFonts w:ascii="Arial" w:hAnsi="Arial" w:cs="Arial"/>
          <w:i/>
          <w:iCs/>
          <w:sz w:val="24"/>
          <w:szCs w:val="24"/>
        </w:rPr>
        <w:t>25</w:t>
      </w:r>
      <w:r w:rsidRPr="00D67B86">
        <w:rPr>
          <w:rFonts w:ascii="Arial" w:hAnsi="Arial" w:cs="Arial"/>
          <w:sz w:val="24"/>
          <w:szCs w:val="24"/>
        </w:rPr>
        <w:t>(3), pp.377-393.</w:t>
      </w:r>
    </w:p>
    <w:p w14:paraId="36B141DA" w14:textId="77777777" w:rsidR="00D67B86" w:rsidRPr="00D67B86" w:rsidRDefault="00D67B86" w:rsidP="00D67B86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D67B86">
        <w:rPr>
          <w:rFonts w:ascii="Arial" w:hAnsi="Arial" w:cs="Arial"/>
          <w:sz w:val="24"/>
          <w:szCs w:val="24"/>
        </w:rPr>
        <w:t>Millard, J., 2023. Impact of digital transformation on public governance. </w:t>
      </w:r>
      <w:r w:rsidRPr="00D67B86">
        <w:rPr>
          <w:rFonts w:ascii="Arial" w:hAnsi="Arial" w:cs="Arial"/>
          <w:i/>
          <w:iCs/>
          <w:sz w:val="24"/>
          <w:szCs w:val="24"/>
        </w:rPr>
        <w:t>Joint Research Centre (Seville site)</w:t>
      </w:r>
      <w:r w:rsidRPr="00D67B86">
        <w:rPr>
          <w:rFonts w:ascii="Arial" w:hAnsi="Arial" w:cs="Arial"/>
          <w:sz w:val="24"/>
          <w:szCs w:val="24"/>
        </w:rPr>
        <w:t>.</w:t>
      </w:r>
    </w:p>
    <w:p w14:paraId="4938293A" w14:textId="77777777" w:rsidR="00D67B86" w:rsidRPr="00D67B86" w:rsidRDefault="00D67B86" w:rsidP="00D67B86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D67B86">
        <w:rPr>
          <w:rFonts w:ascii="Arial" w:hAnsi="Arial" w:cs="Arial"/>
          <w:sz w:val="24"/>
          <w:szCs w:val="24"/>
        </w:rPr>
        <w:t>Nanayakkara, K.T., Wilkinson, S.J. and Ghosh, S., 2021. Future office layouts for large organisations: workplace specialist and design firms’ perspective. </w:t>
      </w:r>
      <w:r w:rsidRPr="00D67B86">
        <w:rPr>
          <w:rFonts w:ascii="Arial" w:hAnsi="Arial" w:cs="Arial"/>
          <w:i/>
          <w:iCs/>
          <w:sz w:val="24"/>
          <w:szCs w:val="24"/>
        </w:rPr>
        <w:t>Journal of Corporate Real Estate</w:t>
      </w:r>
      <w:r w:rsidRPr="00D67B86">
        <w:rPr>
          <w:rFonts w:ascii="Arial" w:hAnsi="Arial" w:cs="Arial"/>
          <w:sz w:val="24"/>
          <w:szCs w:val="24"/>
        </w:rPr>
        <w:t>, </w:t>
      </w:r>
      <w:r w:rsidRPr="00D67B86">
        <w:rPr>
          <w:rFonts w:ascii="Arial" w:hAnsi="Arial" w:cs="Arial"/>
          <w:i/>
          <w:iCs/>
          <w:sz w:val="24"/>
          <w:szCs w:val="24"/>
        </w:rPr>
        <w:t>23</w:t>
      </w:r>
      <w:r w:rsidRPr="00D67B86">
        <w:rPr>
          <w:rFonts w:ascii="Arial" w:hAnsi="Arial" w:cs="Arial"/>
          <w:sz w:val="24"/>
          <w:szCs w:val="24"/>
        </w:rPr>
        <w:t>(2), pp.69-86.</w:t>
      </w:r>
    </w:p>
    <w:p w14:paraId="0A927888" w14:textId="77777777" w:rsidR="00D67B86" w:rsidRPr="00D67B86" w:rsidRDefault="00D67B86" w:rsidP="00D67B86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D67B86">
        <w:rPr>
          <w:rFonts w:ascii="Arial" w:hAnsi="Arial" w:cs="Arial"/>
          <w:sz w:val="24"/>
          <w:szCs w:val="24"/>
        </w:rPr>
        <w:t>Oladunjoye, S.T., 2023. Impact of COVID-19 pandemic on retail consumer behaviour in Finland.</w:t>
      </w:r>
    </w:p>
    <w:p w14:paraId="3026A072" w14:textId="77777777" w:rsidR="00D67B86" w:rsidRPr="00D67B86" w:rsidRDefault="00D67B86" w:rsidP="00D67B86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D67B86">
        <w:rPr>
          <w:rFonts w:ascii="Arial" w:hAnsi="Arial" w:cs="Arial"/>
          <w:sz w:val="24"/>
          <w:szCs w:val="24"/>
        </w:rPr>
        <w:lastRenderedPageBreak/>
        <w:t>Othman, A.K., Hassan, L.F.A., Ibrahim, M.A.M., Saripin, M.S., Sapuan, N.S.A. and Roslan, Z.N., 2020. Factors that influence customer loyalty in using e-commerce. </w:t>
      </w:r>
      <w:r w:rsidRPr="00D67B86">
        <w:rPr>
          <w:rFonts w:ascii="Arial" w:hAnsi="Arial" w:cs="Arial"/>
          <w:i/>
          <w:iCs/>
          <w:sz w:val="24"/>
          <w:szCs w:val="24"/>
        </w:rPr>
        <w:t>Journal of Islamic Management Studies</w:t>
      </w:r>
      <w:r w:rsidRPr="00D67B86">
        <w:rPr>
          <w:rFonts w:ascii="Arial" w:hAnsi="Arial" w:cs="Arial"/>
          <w:sz w:val="24"/>
          <w:szCs w:val="24"/>
        </w:rPr>
        <w:t>, </w:t>
      </w:r>
      <w:r w:rsidRPr="00D67B86">
        <w:rPr>
          <w:rFonts w:ascii="Arial" w:hAnsi="Arial" w:cs="Arial"/>
          <w:i/>
          <w:iCs/>
          <w:sz w:val="24"/>
          <w:szCs w:val="24"/>
        </w:rPr>
        <w:t>2</w:t>
      </w:r>
      <w:r w:rsidRPr="00D67B86">
        <w:rPr>
          <w:rFonts w:ascii="Arial" w:hAnsi="Arial" w:cs="Arial"/>
          <w:sz w:val="24"/>
          <w:szCs w:val="24"/>
        </w:rPr>
        <w:t>(2), pp.43-58.</w:t>
      </w:r>
    </w:p>
    <w:p w14:paraId="54E6013E" w14:textId="77777777" w:rsidR="00D67B86" w:rsidRPr="00D67B86" w:rsidRDefault="00D67B86" w:rsidP="00D67B86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D67B86">
        <w:rPr>
          <w:rFonts w:ascii="Arial" w:hAnsi="Arial" w:cs="Arial"/>
          <w:sz w:val="24"/>
          <w:szCs w:val="24"/>
        </w:rPr>
        <w:t>Shahid, N.U. and Sheikh, N.J., 2021. Impact of big data on innovation, competitive advantage, productivity, and decision making: literature review. </w:t>
      </w:r>
      <w:r w:rsidRPr="00D67B86">
        <w:rPr>
          <w:rFonts w:ascii="Arial" w:hAnsi="Arial" w:cs="Arial"/>
          <w:i/>
          <w:iCs/>
          <w:sz w:val="24"/>
          <w:szCs w:val="24"/>
        </w:rPr>
        <w:t>Open Journal of Business and Management</w:t>
      </w:r>
      <w:r w:rsidRPr="00D67B86">
        <w:rPr>
          <w:rFonts w:ascii="Arial" w:hAnsi="Arial" w:cs="Arial"/>
          <w:sz w:val="24"/>
          <w:szCs w:val="24"/>
        </w:rPr>
        <w:t>, </w:t>
      </w:r>
      <w:r w:rsidRPr="00D67B86">
        <w:rPr>
          <w:rFonts w:ascii="Arial" w:hAnsi="Arial" w:cs="Arial"/>
          <w:i/>
          <w:iCs/>
          <w:sz w:val="24"/>
          <w:szCs w:val="24"/>
        </w:rPr>
        <w:t>9</w:t>
      </w:r>
      <w:r w:rsidRPr="00D67B86">
        <w:rPr>
          <w:rFonts w:ascii="Arial" w:hAnsi="Arial" w:cs="Arial"/>
          <w:sz w:val="24"/>
          <w:szCs w:val="24"/>
        </w:rPr>
        <w:t>(02), p.586.</w:t>
      </w:r>
    </w:p>
    <w:p w14:paraId="16CA7A79" w14:textId="77777777" w:rsidR="00D67B86" w:rsidRPr="00D67B86" w:rsidRDefault="00D67B86" w:rsidP="00D67B86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D67B86">
        <w:rPr>
          <w:rFonts w:ascii="Arial" w:hAnsi="Arial" w:cs="Arial"/>
          <w:sz w:val="24"/>
          <w:szCs w:val="24"/>
        </w:rPr>
        <w:t>Wilhelm, M. and Villena, V.H., 2021. Cascading sustainability in multi</w:t>
      </w:r>
      <w:r w:rsidRPr="00D67B86">
        <w:rPr>
          <w:rFonts w:ascii="Cambria Math" w:hAnsi="Cambria Math" w:cs="Cambria Math"/>
          <w:sz w:val="24"/>
          <w:szCs w:val="24"/>
        </w:rPr>
        <w:t>‐</w:t>
      </w:r>
      <w:r w:rsidRPr="00D67B86">
        <w:rPr>
          <w:rFonts w:ascii="Arial" w:hAnsi="Arial" w:cs="Arial"/>
          <w:sz w:val="24"/>
          <w:szCs w:val="24"/>
        </w:rPr>
        <w:t>tier supply chains: when do Chinese suppliers adopt sustainable procurement?. </w:t>
      </w:r>
      <w:r w:rsidRPr="00D67B86">
        <w:rPr>
          <w:rFonts w:ascii="Arial" w:hAnsi="Arial" w:cs="Arial"/>
          <w:i/>
          <w:iCs/>
          <w:sz w:val="24"/>
          <w:szCs w:val="24"/>
        </w:rPr>
        <w:t>Production and Operations Management</w:t>
      </w:r>
      <w:r w:rsidRPr="00D67B86">
        <w:rPr>
          <w:rFonts w:ascii="Arial" w:hAnsi="Arial" w:cs="Arial"/>
          <w:sz w:val="24"/>
          <w:szCs w:val="24"/>
        </w:rPr>
        <w:t>, </w:t>
      </w:r>
      <w:r w:rsidRPr="00D67B86">
        <w:rPr>
          <w:rFonts w:ascii="Arial" w:hAnsi="Arial" w:cs="Arial"/>
          <w:i/>
          <w:iCs/>
          <w:sz w:val="24"/>
          <w:szCs w:val="24"/>
        </w:rPr>
        <w:t>30</w:t>
      </w:r>
      <w:r w:rsidRPr="00D67B86">
        <w:rPr>
          <w:rFonts w:ascii="Arial" w:hAnsi="Arial" w:cs="Arial"/>
          <w:sz w:val="24"/>
          <w:szCs w:val="24"/>
        </w:rPr>
        <w:t>(11), pp.4198-4218.</w:t>
      </w:r>
    </w:p>
    <w:p w14:paraId="70C92A5A" w14:textId="77777777" w:rsidR="00D67B86" w:rsidRPr="00D67B86" w:rsidRDefault="00D67B86" w:rsidP="00D67B86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D67B86">
        <w:rPr>
          <w:rFonts w:ascii="Arial" w:hAnsi="Arial" w:cs="Arial"/>
          <w:sz w:val="24"/>
          <w:szCs w:val="24"/>
        </w:rPr>
        <w:t>Wilkinson, T., Wang, M., Friedman, J. and Prestidge, M., 2023. A Framework for the Economic Evaluation of Digital Health Interventions.</w:t>
      </w:r>
    </w:p>
    <w:p w14:paraId="706AB9F3" w14:textId="77777777" w:rsidR="00BE3B53" w:rsidRPr="00FB273A" w:rsidRDefault="00BE3B53" w:rsidP="00FB273A">
      <w:pPr>
        <w:spacing w:line="360" w:lineRule="auto"/>
        <w:rPr>
          <w:rFonts w:ascii="Arial" w:hAnsi="Arial" w:cs="Arial"/>
          <w:sz w:val="24"/>
          <w:szCs w:val="24"/>
        </w:rPr>
      </w:pPr>
    </w:p>
    <w:p w14:paraId="496C97D6" w14:textId="77777777" w:rsidR="00BE3B53" w:rsidRPr="00FB273A" w:rsidRDefault="00BE3B53" w:rsidP="00FB273A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BE3B53" w:rsidRPr="00FB2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7FDF1" w14:textId="77777777" w:rsidR="002E5CB8" w:rsidRDefault="002E5CB8" w:rsidP="006E5E83">
      <w:pPr>
        <w:spacing w:after="0" w:line="240" w:lineRule="auto"/>
      </w:pPr>
      <w:r>
        <w:separator/>
      </w:r>
    </w:p>
  </w:endnote>
  <w:endnote w:type="continuationSeparator" w:id="0">
    <w:p w14:paraId="591AFD42" w14:textId="77777777" w:rsidR="002E5CB8" w:rsidRDefault="002E5CB8" w:rsidP="006E5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317FE" w14:textId="77777777" w:rsidR="002E5CB8" w:rsidRDefault="002E5CB8" w:rsidP="006E5E83">
      <w:pPr>
        <w:spacing w:after="0" w:line="240" w:lineRule="auto"/>
      </w:pPr>
      <w:r>
        <w:separator/>
      </w:r>
    </w:p>
  </w:footnote>
  <w:footnote w:type="continuationSeparator" w:id="0">
    <w:p w14:paraId="59798F1F" w14:textId="77777777" w:rsidR="002E5CB8" w:rsidRDefault="002E5CB8" w:rsidP="006E5E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B53"/>
    <w:rsid w:val="002A0714"/>
    <w:rsid w:val="002E5CB8"/>
    <w:rsid w:val="0037767F"/>
    <w:rsid w:val="006E5E83"/>
    <w:rsid w:val="009A18E3"/>
    <w:rsid w:val="00BB7BE4"/>
    <w:rsid w:val="00BE3B53"/>
    <w:rsid w:val="00C11153"/>
    <w:rsid w:val="00CA021D"/>
    <w:rsid w:val="00D67B86"/>
    <w:rsid w:val="00F95665"/>
    <w:rsid w:val="00FB273A"/>
    <w:rsid w:val="00FB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FEBB03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27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5E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5E83"/>
  </w:style>
  <w:style w:type="paragraph" w:styleId="Footer">
    <w:name w:val="footer"/>
    <w:basedOn w:val="Normal"/>
    <w:link w:val="FooterChar"/>
    <w:uiPriority w:val="99"/>
    <w:unhideWhenUsed/>
    <w:rsid w:val="006E5E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5E83"/>
  </w:style>
  <w:style w:type="character" w:customStyle="1" w:styleId="Heading1Char">
    <w:name w:val="Heading 1 Char"/>
    <w:basedOn w:val="DefaultParagraphFont"/>
    <w:link w:val="Heading1"/>
    <w:uiPriority w:val="9"/>
    <w:rsid w:val="00FB27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981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2024-02-28T19:59:00Z</dcterms:created>
  <dcterms:modified xsi:type="dcterms:W3CDTF">2024-03-10T22:02:00Z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e6e802af7a2665dae9a2440a5431b36900dcf7edb321e5ff7477e536b89678f0</vt:lpwstr>
  </property>
</Properties>
</file>