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CAB4B8" w14:textId="77777777" w:rsidR="00186410" w:rsidRDefault="00186410" w:rsidP="009E2ADD">
      <w:pPr>
        <w:pStyle w:val="ListParagraph"/>
        <w:numPr>
          <w:ilvl w:val="0"/>
          <w:numId w:val="1"/>
        </w:numPr>
        <w:spacing w:after="0" w:line="360" w:lineRule="auto"/>
        <w:jc w:val="both"/>
        <w:rPr>
          <w:b/>
          <w:bCs/>
        </w:rPr>
      </w:pPr>
      <w:r>
        <w:rPr>
          <w:b/>
          <w:bCs/>
        </w:rPr>
        <w:t xml:space="preserve">Q. </w:t>
      </w:r>
      <w:r w:rsidRPr="00186410">
        <w:rPr>
          <w:b/>
          <w:bCs/>
        </w:rPr>
        <w:t xml:space="preserve">Explain the elements ‘Dishonesty’ and ‘Property’            </w:t>
      </w:r>
    </w:p>
    <w:p w14:paraId="2C46D917" w14:textId="77777777" w:rsidR="00186410" w:rsidRPr="00186410" w:rsidRDefault="00186410" w:rsidP="009E2ADD">
      <w:pPr>
        <w:pStyle w:val="ListParagraph"/>
        <w:numPr>
          <w:ilvl w:val="0"/>
          <w:numId w:val="2"/>
        </w:numPr>
        <w:spacing w:after="0" w:line="360" w:lineRule="auto"/>
        <w:jc w:val="both"/>
        <w:rPr>
          <w:b/>
          <w:bCs/>
        </w:rPr>
      </w:pPr>
      <w:r>
        <w:t xml:space="preserve">Section 1(1) of the Theft Act 1968 states: ‘A person is guilty of theft if he dishonestly appropriates property, belonging to another, with the intention of permanently depriving the other of it.’ </w:t>
      </w:r>
      <w:proofErr w:type="gramStart"/>
      <w:r>
        <w:t>In order to</w:t>
      </w:r>
      <w:proofErr w:type="gramEnd"/>
      <w:r>
        <w:t xml:space="preserve"> establish an offence of theft each of the five elements of the offence must be proved therefore they are examined in detail below:</w:t>
      </w:r>
    </w:p>
    <w:p w14:paraId="5054986B" w14:textId="77777777" w:rsidR="00186410" w:rsidRDefault="00186410" w:rsidP="009E2ADD">
      <w:pPr>
        <w:pStyle w:val="ListParagraph"/>
        <w:spacing w:after="0" w:line="360" w:lineRule="auto"/>
        <w:jc w:val="both"/>
      </w:pPr>
      <w:r>
        <w:t xml:space="preserve"> </w:t>
      </w:r>
      <w:r>
        <w:sym w:font="Symbol" w:char="F0B7"/>
      </w:r>
      <w:r>
        <w:t xml:space="preserve"> Dishonestly</w:t>
      </w:r>
    </w:p>
    <w:p w14:paraId="2DEC5D3F" w14:textId="77777777" w:rsidR="00186410" w:rsidRDefault="00186410" w:rsidP="009E2ADD">
      <w:pPr>
        <w:pStyle w:val="ListParagraph"/>
        <w:spacing w:after="0" w:line="360" w:lineRule="auto"/>
        <w:jc w:val="both"/>
      </w:pPr>
      <w:r>
        <w:t xml:space="preserve"> </w:t>
      </w:r>
      <w:r>
        <w:sym w:font="Symbol" w:char="F0B7"/>
      </w:r>
      <w:r>
        <w:t xml:space="preserve"> Appropriates</w:t>
      </w:r>
    </w:p>
    <w:p w14:paraId="310054D3" w14:textId="77777777" w:rsidR="00186410" w:rsidRDefault="00186410" w:rsidP="009E2ADD">
      <w:pPr>
        <w:pStyle w:val="ListParagraph"/>
        <w:spacing w:after="0" w:line="360" w:lineRule="auto"/>
        <w:jc w:val="both"/>
      </w:pPr>
      <w:r>
        <w:t xml:space="preserve"> </w:t>
      </w:r>
      <w:r>
        <w:sym w:font="Symbol" w:char="F0B7"/>
      </w:r>
      <w:r>
        <w:t xml:space="preserve"> Property</w:t>
      </w:r>
    </w:p>
    <w:p w14:paraId="75CDB16B" w14:textId="77777777" w:rsidR="00186410" w:rsidRDefault="00186410" w:rsidP="009E2ADD">
      <w:pPr>
        <w:pStyle w:val="ListParagraph"/>
        <w:spacing w:after="0" w:line="360" w:lineRule="auto"/>
        <w:jc w:val="both"/>
      </w:pPr>
      <w:r>
        <w:t xml:space="preserve"> </w:t>
      </w:r>
      <w:r>
        <w:sym w:font="Symbol" w:char="F0B7"/>
      </w:r>
      <w:r>
        <w:t xml:space="preserve"> Belonging to another </w:t>
      </w:r>
    </w:p>
    <w:p w14:paraId="2CABEDD3" w14:textId="2F5110D9" w:rsidR="00186410" w:rsidRDefault="00186410" w:rsidP="009E2ADD">
      <w:pPr>
        <w:pStyle w:val="ListParagraph"/>
        <w:spacing w:after="0" w:line="360" w:lineRule="auto"/>
        <w:jc w:val="both"/>
      </w:pPr>
      <w:r>
        <w:sym w:font="Symbol" w:char="F0B7"/>
      </w:r>
      <w:r>
        <w:t xml:space="preserve"> Intention to permanently deprive Dishonestly </w:t>
      </w:r>
    </w:p>
    <w:p w14:paraId="0A5BC664" w14:textId="77777777" w:rsidR="009E2ADD" w:rsidRDefault="009E2ADD" w:rsidP="009E2ADD">
      <w:pPr>
        <w:spacing w:after="0" w:line="360" w:lineRule="auto"/>
        <w:jc w:val="both"/>
        <w:rPr>
          <w:u w:val="single"/>
        </w:rPr>
      </w:pPr>
    </w:p>
    <w:p w14:paraId="24B14A40" w14:textId="66DB6919" w:rsidR="009E2ADD" w:rsidRPr="009E2ADD" w:rsidRDefault="009E2ADD" w:rsidP="009E2ADD">
      <w:pPr>
        <w:spacing w:after="0" w:line="360" w:lineRule="auto"/>
        <w:jc w:val="both"/>
        <w:rPr>
          <w:u w:val="single"/>
        </w:rPr>
      </w:pPr>
      <w:r w:rsidRPr="009E2ADD">
        <w:rPr>
          <w:u w:val="single"/>
        </w:rPr>
        <w:t>Dishonestly</w:t>
      </w:r>
    </w:p>
    <w:p w14:paraId="67BA89DE" w14:textId="77777777" w:rsidR="009E2ADD" w:rsidRPr="009E2ADD" w:rsidRDefault="009E2ADD" w:rsidP="009E2ADD">
      <w:pPr>
        <w:pStyle w:val="ListParagraph"/>
        <w:spacing w:after="0" w:line="360" w:lineRule="auto"/>
        <w:jc w:val="both"/>
        <w:rPr>
          <w:u w:val="single"/>
        </w:rPr>
      </w:pPr>
    </w:p>
    <w:p w14:paraId="6DF8AA74" w14:textId="77777777" w:rsidR="00186410" w:rsidRDefault="00186410" w:rsidP="009E2ADD">
      <w:pPr>
        <w:spacing w:after="0" w:line="360" w:lineRule="auto"/>
        <w:jc w:val="both"/>
      </w:pPr>
      <w:r>
        <w:t xml:space="preserve">(Section 2 of the Theft Act 1968) Dishonestly is not defined by the Act, but it does state that the appropriation is not to be regarded as dishonest if the person appropriating property believes: </w:t>
      </w:r>
    </w:p>
    <w:p w14:paraId="443E8382" w14:textId="02BE43A2" w:rsidR="00186410" w:rsidRDefault="00186410" w:rsidP="009E2ADD">
      <w:pPr>
        <w:pStyle w:val="ListParagraph"/>
        <w:numPr>
          <w:ilvl w:val="0"/>
          <w:numId w:val="3"/>
        </w:numPr>
        <w:spacing w:after="0" w:line="360" w:lineRule="auto"/>
        <w:jc w:val="both"/>
      </w:pPr>
      <w:r w:rsidRPr="00186410">
        <w:rPr>
          <w:b/>
          <w:bCs/>
        </w:rPr>
        <w:t xml:space="preserve"> </w:t>
      </w:r>
      <w:r>
        <w:t xml:space="preserve">That he has, in law the right to deprive the other of it on behalf of himself or a third person. Am example of this is: Smith, acting on behalf of Jones, appropriates Green’s umbrella, having been told wrongly by Jones the umbrella was his, even if Green disagrees. This is not dishonest on Smith’s part. </w:t>
      </w:r>
    </w:p>
    <w:p w14:paraId="3AEA7D57" w14:textId="77777777" w:rsidR="00186410" w:rsidRDefault="00186410" w:rsidP="009E2ADD">
      <w:pPr>
        <w:spacing w:after="0" w:line="360" w:lineRule="auto"/>
        <w:jc w:val="both"/>
      </w:pPr>
      <w:r>
        <w:t xml:space="preserve">Or </w:t>
      </w:r>
    </w:p>
    <w:p w14:paraId="4AB794F7" w14:textId="77777777" w:rsidR="009E2ADD" w:rsidRDefault="00186410" w:rsidP="009E2ADD">
      <w:pPr>
        <w:pStyle w:val="ListParagraph"/>
        <w:spacing w:after="0" w:line="360" w:lineRule="auto"/>
        <w:jc w:val="both"/>
      </w:pPr>
      <w:r>
        <w:t xml:space="preserve">b. That if in the belief that he would have the other's consent if the other knew of the appropriation and the circumstances of it. For </w:t>
      </w:r>
      <w:proofErr w:type="gramStart"/>
      <w:r>
        <w:t>example</w:t>
      </w:r>
      <w:proofErr w:type="gramEnd"/>
      <w:r>
        <w:t xml:space="preserve"> Coates and</w:t>
      </w:r>
    </w:p>
    <w:p w14:paraId="1433412B" w14:textId="20D5F227" w:rsidR="00186410" w:rsidRDefault="00186410" w:rsidP="009E2ADD">
      <w:pPr>
        <w:pStyle w:val="ListParagraph"/>
        <w:spacing w:after="0" w:line="360" w:lineRule="auto"/>
        <w:jc w:val="both"/>
      </w:pPr>
      <w:r>
        <w:t xml:space="preserve">Murray are next door neighbours. Coates has unexpected visitors, runs out of </w:t>
      </w:r>
      <w:proofErr w:type="gramStart"/>
      <w:r>
        <w:t>milk</w:t>
      </w:r>
      <w:proofErr w:type="gramEnd"/>
      <w:r>
        <w:t xml:space="preserve"> and takes a pint (without Murray’s knowledge) from Murray’s online food order that has been delivered to his doorstep. Coates must honestly believe that Murray would have allowed the taking </w:t>
      </w:r>
      <w:proofErr w:type="gramStart"/>
      <w:r>
        <w:t>with regard to</w:t>
      </w:r>
      <w:proofErr w:type="gramEnd"/>
      <w:r>
        <w:t xml:space="preserve"> the circumstances. Coates may well believe the taking of the milk for visitors would be acceptable to Murray but if he took the milk to sell at a profit to a thirsty passer-by, and he believed that Murray would not consent to this, it would not satisfy this exception. </w:t>
      </w:r>
    </w:p>
    <w:p w14:paraId="15674F8E" w14:textId="77777777" w:rsidR="00186410" w:rsidRDefault="00186410" w:rsidP="009E2ADD">
      <w:pPr>
        <w:spacing w:after="0" w:line="360" w:lineRule="auto"/>
        <w:jc w:val="both"/>
      </w:pPr>
      <w:r>
        <w:lastRenderedPageBreak/>
        <w:t>Or</w:t>
      </w:r>
    </w:p>
    <w:p w14:paraId="2322AD07" w14:textId="53E4E143" w:rsidR="00186410" w:rsidRDefault="00186410" w:rsidP="009E2ADD">
      <w:pPr>
        <w:pStyle w:val="ListParagraph"/>
        <w:spacing w:after="0" w:line="360" w:lineRule="auto"/>
        <w:jc w:val="both"/>
      </w:pPr>
      <w:r>
        <w:t xml:space="preserve"> c. Except where the property came to him as a trustee or personal representative that the person to whom the property belongs cannot be discovered by taking reasonable steps. For example: Ownership of a £1 coin found in the street is not likely to be established easily. </w:t>
      </w:r>
    </w:p>
    <w:p w14:paraId="0EA2AD52" w14:textId="77777777" w:rsidR="00186410" w:rsidRDefault="00186410" w:rsidP="009E2ADD">
      <w:pPr>
        <w:pStyle w:val="ListParagraph"/>
        <w:spacing w:after="0" w:line="360" w:lineRule="auto"/>
        <w:jc w:val="both"/>
      </w:pPr>
    </w:p>
    <w:p w14:paraId="050F5CE8" w14:textId="1C543A29" w:rsidR="00186410" w:rsidRDefault="00186410" w:rsidP="009E2ADD">
      <w:pPr>
        <w:spacing w:after="0" w:line="360" w:lineRule="auto"/>
        <w:jc w:val="both"/>
      </w:pPr>
      <w:r>
        <w:t xml:space="preserve">Genuine Belief: It is for the suspect/defence to prove that their belief in any of the above three points (a, </w:t>
      </w:r>
      <w:proofErr w:type="gramStart"/>
      <w:r>
        <w:t>b</w:t>
      </w:r>
      <w:proofErr w:type="gramEnd"/>
      <w:r>
        <w:t xml:space="preserve"> or c) was a genuine belief, no matter how foolish that belief was. The court will make the final decision on this point. This point is particularly relevant in the light of a stated case R v Ghosh [1982] QB 1053 where the Court of Appeal sought to clarify what was meant by dishonesty and decide whether, according to the ordinary standards of reasonable and honest people, what was done was dishonest. If it was not, then the defendant should be acquitted. However, if it was dishonest by those standards (of reasonable and honest people), then the jury must decide whether the person realised that reasonable and honest people would regard what he did as dishonest. If the person did realise this, then they have been dishonest. A person’s taking of property belonging to another may be dishonest even if he is willing to pay for it. A person who takes a bottle of milk from a doorstep, but leaves the money, is not necessarily to be regarded as honest. There is no need for a Ghosh-based direction, unless the defendant has raised the issue that he or she did not know that anybody would regard what he or she did as dishonest, in accordance with the first stage of the test.</w:t>
      </w:r>
    </w:p>
    <w:p w14:paraId="6647F6E2" w14:textId="6C5BB1C0" w:rsidR="009E2ADD" w:rsidRDefault="009E2ADD" w:rsidP="009E2ADD">
      <w:pPr>
        <w:spacing w:after="0" w:line="360" w:lineRule="auto"/>
        <w:jc w:val="both"/>
      </w:pPr>
      <w:r>
        <w:t xml:space="preserve">Two tests are applied in court, to establish dishonestly. First, the defendant’s genuine and reasonable knowledge and beliefs about what </w:t>
      </w:r>
      <w:proofErr w:type="gramStart"/>
      <w:r>
        <w:t>actually took</w:t>
      </w:r>
      <w:proofErr w:type="gramEnd"/>
      <w:r>
        <w:t xml:space="preserve"> place must be established by reviewing the facts of the case. The emphasis is on whether his/her were reasonable in the overall context. The second test is the objective test that considers whether everyday honest person would consider those dishonest. </w:t>
      </w:r>
    </w:p>
    <w:p w14:paraId="14BF08FD" w14:textId="7FC89DA9" w:rsidR="009E2ADD" w:rsidRDefault="009E2ADD" w:rsidP="009E2ADD">
      <w:pPr>
        <w:pStyle w:val="ListParagraph"/>
        <w:spacing w:after="0" w:line="360" w:lineRule="auto"/>
        <w:jc w:val="both"/>
      </w:pPr>
    </w:p>
    <w:p w14:paraId="4E554EBC" w14:textId="23D9867E" w:rsidR="009E2ADD" w:rsidRPr="009E2ADD" w:rsidRDefault="009E2ADD" w:rsidP="009E2ADD">
      <w:pPr>
        <w:spacing w:after="0" w:line="360" w:lineRule="auto"/>
        <w:jc w:val="both"/>
        <w:rPr>
          <w:u w:val="single"/>
        </w:rPr>
      </w:pPr>
      <w:r w:rsidRPr="009E2ADD">
        <w:rPr>
          <w:u w:val="single"/>
        </w:rPr>
        <w:t xml:space="preserve">Property        </w:t>
      </w:r>
    </w:p>
    <w:p w14:paraId="5CF91C5E" w14:textId="77777777" w:rsidR="009E2ADD" w:rsidRDefault="009E2ADD" w:rsidP="009E2ADD">
      <w:pPr>
        <w:spacing w:after="0" w:line="360" w:lineRule="auto"/>
        <w:jc w:val="both"/>
      </w:pPr>
      <w:r>
        <w:t>(Section 4 of the Theft Act 1968) Property includes money and all other property, real or personal, including things in action and other intangible property, wild creatures tamed or untamed that are normally kept in captivity, but does not include:</w:t>
      </w:r>
    </w:p>
    <w:p w14:paraId="4156A378" w14:textId="77777777" w:rsidR="009E2ADD" w:rsidRDefault="009E2ADD" w:rsidP="009E2ADD">
      <w:pPr>
        <w:spacing w:after="0" w:line="360" w:lineRule="auto"/>
        <w:jc w:val="both"/>
      </w:pPr>
      <w:r>
        <w:t xml:space="preserve"> </w:t>
      </w:r>
      <w:r>
        <w:sym w:font="Symbol" w:char="F0B7"/>
      </w:r>
      <w:r>
        <w:t xml:space="preserve"> Wild creatures (other than those kept in captivity) </w:t>
      </w:r>
    </w:p>
    <w:p w14:paraId="69C1AAB1" w14:textId="77777777" w:rsidR="009E2ADD" w:rsidRDefault="009E2ADD" w:rsidP="009E2ADD">
      <w:pPr>
        <w:spacing w:after="0" w:line="360" w:lineRule="auto"/>
        <w:jc w:val="both"/>
      </w:pPr>
      <w:r>
        <w:lastRenderedPageBreak/>
        <w:sym w:font="Symbol" w:char="F0B7"/>
      </w:r>
      <w:r>
        <w:t xml:space="preserve"> Mushrooms growing wild on any land </w:t>
      </w:r>
    </w:p>
    <w:p w14:paraId="6B0961E4" w14:textId="33CA0F82" w:rsidR="009E2ADD" w:rsidRPr="009E2ADD" w:rsidRDefault="009E2ADD" w:rsidP="009E2ADD">
      <w:pPr>
        <w:spacing w:after="0" w:line="360" w:lineRule="auto"/>
        <w:jc w:val="both"/>
      </w:pPr>
      <w:r>
        <w:sym w:font="Symbol" w:char="F0B7"/>
      </w:r>
      <w:r>
        <w:t xml:space="preserve"> Flowers, Fruit, or Foliage of a plant growing wild on any land unless picked for reward, </w:t>
      </w:r>
      <w:proofErr w:type="gramStart"/>
      <w:r>
        <w:t>sale</w:t>
      </w:r>
      <w:proofErr w:type="gramEnd"/>
      <w:r>
        <w:t xml:space="preserve"> or other commercial purpose</w:t>
      </w:r>
    </w:p>
    <w:p w14:paraId="3464BE1E" w14:textId="668997BF" w:rsidR="00840D7B" w:rsidRDefault="009E2ADD" w:rsidP="009E2ADD">
      <w:pPr>
        <w:spacing w:line="360" w:lineRule="auto"/>
      </w:pPr>
      <w:r>
        <w:t xml:space="preserve">For example: Buttercups and daisies growing wild are not property as they are flowers growing wild unless they are picked for reward/sale/commercial </w:t>
      </w:r>
      <w:proofErr w:type="spellStart"/>
      <w:proofErr w:type="gramStart"/>
      <w:r>
        <w:t>purpose.However</w:t>
      </w:r>
      <w:proofErr w:type="spellEnd"/>
      <w:proofErr w:type="gramEnd"/>
      <w:r>
        <w:t xml:space="preserve">, A person goes for a walk in the local woods taking a spade. They look for </w:t>
      </w:r>
      <w:proofErr w:type="gramStart"/>
      <w:r>
        <w:t>wild flowers</w:t>
      </w:r>
      <w:proofErr w:type="gramEnd"/>
      <w:r>
        <w:t xml:space="preserve"> in bloom and use the spade to dig up whole plants including their roots. They take the wild plants home and plant them in their garden. The wild plants would be deemed as ‘property’ within the definition and the person has committed theft.</w:t>
      </w:r>
    </w:p>
    <w:p w14:paraId="2866FCA2" w14:textId="77777777" w:rsidR="005C4729" w:rsidRDefault="009E2ADD" w:rsidP="009E2ADD">
      <w:pPr>
        <w:spacing w:line="360" w:lineRule="auto"/>
      </w:pPr>
      <w:r w:rsidRPr="005C4729">
        <w:rPr>
          <w:b/>
          <w:bCs/>
        </w:rPr>
        <w:t>Things in action</w:t>
      </w:r>
      <w:r>
        <w:t>: Things in action and other intangible property include delivery rounds, trademarks, patents, copyright etc. These are things that have value but have no physical substance. This area of theft is quite complicated and one where you might need to seek advice from a supervisor or CPS. Also consider other offences linked to such as high tech or cybercrime.</w:t>
      </w:r>
    </w:p>
    <w:p w14:paraId="478F6C47" w14:textId="55BF5465" w:rsidR="009E2ADD" w:rsidRDefault="009E2ADD" w:rsidP="009E2ADD">
      <w:pPr>
        <w:spacing w:line="360" w:lineRule="auto"/>
      </w:pPr>
      <w:r w:rsidRPr="005C4729">
        <w:rPr>
          <w:b/>
          <w:bCs/>
        </w:rPr>
        <w:t xml:space="preserve"> Cultivated plants</w:t>
      </w:r>
      <w:r>
        <w:t>: Trees, shrubs, flowers, vegetables etc. that have been planted, sown or are cultivated are all property and are capable of being stolen</w:t>
      </w:r>
      <w:r w:rsidR="005C4729">
        <w:t xml:space="preserve"> for example, A single daffodil bloom, an ear of wheat or a pea pod, provided some person cultivates it, would technically be property for the purpose of theft.</w:t>
      </w:r>
    </w:p>
    <w:p w14:paraId="7E616F13" w14:textId="77777777" w:rsidR="005C4729" w:rsidRDefault="005C4729" w:rsidP="009E2ADD">
      <w:pPr>
        <w:spacing w:line="360" w:lineRule="auto"/>
      </w:pPr>
      <w:r w:rsidRPr="005C4729">
        <w:rPr>
          <w:b/>
          <w:bCs/>
        </w:rPr>
        <w:t>Animals</w:t>
      </w:r>
      <w:r>
        <w:t>: Any animal, which belongs to a person, is property for the purpose of theft. Wild creatures tamed or untamed in captivity are property for example, tigers in a zoo. However, a person cannot steal a wild creature that has not been tamed or that is ordinarily kept in captivity unless either:</w:t>
      </w:r>
    </w:p>
    <w:p w14:paraId="0C221091" w14:textId="65551138" w:rsidR="005C4729" w:rsidRDefault="005C4729" w:rsidP="009E2ADD">
      <w:pPr>
        <w:spacing w:line="360" w:lineRule="auto"/>
      </w:pPr>
      <w:r>
        <w:t xml:space="preserve"> It has been reduced into possession by or on behalf of another person and possession of it has not since been lost or abandoned, or, another person is in course of reducing it into possession.</w:t>
      </w:r>
    </w:p>
    <w:p w14:paraId="0B826BC9" w14:textId="6CBE035D" w:rsidR="005C4729" w:rsidRDefault="005C4729" w:rsidP="009E2ADD">
      <w:pPr>
        <w:spacing w:line="360" w:lineRule="auto"/>
      </w:pPr>
      <w:r>
        <w:t>And/or</w:t>
      </w:r>
    </w:p>
    <w:p w14:paraId="28157D3C" w14:textId="5093F66E" w:rsidR="005C4729" w:rsidRDefault="005C4729" w:rsidP="009E2ADD">
      <w:pPr>
        <w:spacing w:line="360" w:lineRule="auto"/>
      </w:pPr>
      <w:r>
        <w:t xml:space="preserve">Something could be ‘reduced into possession’ by one person by for example capturing, </w:t>
      </w:r>
      <w:proofErr w:type="gramStart"/>
      <w:r>
        <w:t>trapping</w:t>
      </w:r>
      <w:proofErr w:type="gramEnd"/>
      <w:r>
        <w:t xml:space="preserve"> or shooting and it could then be stolen by another person.</w:t>
      </w:r>
    </w:p>
    <w:p w14:paraId="3FFFE4CA" w14:textId="77777777" w:rsidR="005C4729" w:rsidRDefault="005C4729" w:rsidP="009E2ADD">
      <w:pPr>
        <w:spacing w:line="360" w:lineRule="auto"/>
      </w:pPr>
      <w:r>
        <w:t xml:space="preserve">Cases involving deer, </w:t>
      </w:r>
      <w:proofErr w:type="gramStart"/>
      <w:r>
        <w:t>fish</w:t>
      </w:r>
      <w:proofErr w:type="gramEnd"/>
      <w:r>
        <w:t xml:space="preserve"> and game, which are not theft, will often be covered by various Acts dealing with poaching. </w:t>
      </w:r>
      <w:proofErr w:type="gramStart"/>
      <w:r>
        <w:t>Also</w:t>
      </w:r>
      <w:proofErr w:type="gramEnd"/>
      <w:r>
        <w:t xml:space="preserve"> there are special offences under the Theft </w:t>
      </w:r>
      <w:r>
        <w:lastRenderedPageBreak/>
        <w:t>Act 1968 covering the taking of fish from private water and under the Deer Act 1991 for the taking or killing of deer from private land. Other animals are protected in separate legislation such as the Wildlife and Countryside Act 1981 and the Protection of Badgers Act 1992.</w:t>
      </w:r>
    </w:p>
    <w:p w14:paraId="291E91CB" w14:textId="77777777" w:rsidR="005C4729" w:rsidRDefault="005C4729" w:rsidP="009E2ADD">
      <w:pPr>
        <w:spacing w:line="360" w:lineRule="auto"/>
      </w:pPr>
      <w:r>
        <w:t xml:space="preserve"> </w:t>
      </w:r>
      <w:r w:rsidRPr="005C4729">
        <w:rPr>
          <w:b/>
          <w:bCs/>
        </w:rPr>
        <w:t>Land</w:t>
      </w:r>
      <w:r>
        <w:t>: With some exceptions, land cannot be stolen. If a person complains to you that they have had land taken from them unlawfully, it may initially be a civil matter requiring the advice of a solicitor. However, criminal offences may also have been committed and you should consult your supervising officer. If a person (not in possession of the land) goes onto land and digs up and removes soil, gravel, turf, peat, rocks, etc. these are property and capable of being stolen. The same will apply if they were taken after the landowner had dug them up.</w:t>
      </w:r>
    </w:p>
    <w:p w14:paraId="5761BD3D" w14:textId="6B941F4A" w:rsidR="005C4729" w:rsidRDefault="005C4729" w:rsidP="009E2ADD">
      <w:pPr>
        <w:spacing w:line="360" w:lineRule="auto"/>
      </w:pPr>
      <w:r>
        <w:t xml:space="preserve"> </w:t>
      </w:r>
      <w:r w:rsidRPr="005C4729">
        <w:rPr>
          <w:b/>
          <w:bCs/>
        </w:rPr>
        <w:t>Electricity</w:t>
      </w:r>
      <w:r>
        <w:t xml:space="preserve">: Electricity is not property that is capable of being appropriated. It is for this reason that abstracting electricity could not be dealt with as a straightforward offence of theft. </w:t>
      </w:r>
    </w:p>
    <w:p w14:paraId="2C81396B" w14:textId="13CBAF82" w:rsidR="005C4729" w:rsidRDefault="005C4729" w:rsidP="009E2ADD">
      <w:pPr>
        <w:spacing w:line="360" w:lineRule="auto"/>
      </w:pPr>
      <w:r w:rsidRPr="005C4729">
        <w:rPr>
          <w:b/>
          <w:bCs/>
        </w:rPr>
        <w:t>Belonging to another</w:t>
      </w:r>
      <w:r>
        <w:t xml:space="preserve"> (Section 5 of the Theft Act 1968) The property appropriated must ‘belong’ to someone other than the person appropriating it, or it cannot be stolen. If the owner throws it away (the owner must intend to relinquish their interest in the property and does not intend to pass the interest onto another person) then it has no owner; it belongs to no one and generally it cannot be stolen, even by a person who thinks they are stealing it (although they may still be guilty of attempt theft under the Criminal Attempts Act 1981).</w:t>
      </w:r>
    </w:p>
    <w:p w14:paraId="0818C0CF" w14:textId="7B09D614" w:rsidR="005C4729" w:rsidRDefault="005C4729" w:rsidP="009E2ADD">
      <w:pPr>
        <w:spacing w:line="360" w:lineRule="auto"/>
      </w:pPr>
      <w:r w:rsidRPr="005C4729">
        <w:rPr>
          <w:b/>
          <w:bCs/>
        </w:rPr>
        <w:t>Property</w:t>
      </w:r>
      <w:r>
        <w:t xml:space="preserve"> is regarded as belonging to any person having possession or control of it, or having ‘proprietary right or interest’ in it for example, If you borrow a library book and sell it to someone, you have committed theft. Although the book was already in your possession, you appropriated it when you decided to sell it, even though the appropriation only becomes apparent when the sale takes place. Only the library has the right to sell the book. The suspect must assume the rights of an owner in relation to property that belongs to someone else. If there is no owner, there is no theft. However, </w:t>
      </w:r>
      <w:proofErr w:type="gramStart"/>
      <w:r>
        <w:t>abandoned</w:t>
      </w:r>
      <w:proofErr w:type="gramEnd"/>
      <w:r>
        <w:t xml:space="preserve"> and ownerless property will become the property of the finder who takes possession of it, and the property then becomes capable of being stolen from them.</w:t>
      </w:r>
    </w:p>
    <w:p w14:paraId="09C34C5E" w14:textId="77777777" w:rsidR="005C4729" w:rsidRDefault="005C4729" w:rsidP="009E2ADD">
      <w:pPr>
        <w:spacing w:line="360" w:lineRule="auto"/>
      </w:pPr>
      <w:r w:rsidRPr="005C4729">
        <w:rPr>
          <w:b/>
          <w:bCs/>
        </w:rPr>
        <w:t>Intention to permanently deprive</w:t>
      </w:r>
      <w:r>
        <w:t xml:space="preserve"> (Section 6 of the Theft Act 1968) </w:t>
      </w:r>
    </w:p>
    <w:p w14:paraId="7A708512" w14:textId="77777777" w:rsidR="005C4729" w:rsidRDefault="005C4729" w:rsidP="009E2ADD">
      <w:pPr>
        <w:spacing w:line="360" w:lineRule="auto"/>
      </w:pPr>
      <w:r>
        <w:lastRenderedPageBreak/>
        <w:t>A person permanently deprives another of property when the intention is to treat the thing as their own to dispose of regardless of the other’s rights. Borrowing or lending may amount to permanently depriving the owner of it but only if it is for a length of time and in circumstances making it equivalent to an outright taking or disposal. The thief may deprive the other by:</w:t>
      </w:r>
    </w:p>
    <w:p w14:paraId="33092AD3" w14:textId="77777777" w:rsidR="005C4729" w:rsidRDefault="005C4729" w:rsidP="009E2ADD">
      <w:pPr>
        <w:spacing w:line="360" w:lineRule="auto"/>
      </w:pPr>
      <w:r>
        <w:t xml:space="preserve"> </w:t>
      </w:r>
      <w:r>
        <w:sym w:font="Symbol" w:char="F0B7"/>
      </w:r>
      <w:r>
        <w:t xml:space="preserve"> Keeping it. </w:t>
      </w:r>
    </w:p>
    <w:p w14:paraId="3E823A02" w14:textId="77777777" w:rsidR="005C4729" w:rsidRDefault="005C4729" w:rsidP="009E2ADD">
      <w:pPr>
        <w:spacing w:line="360" w:lineRule="auto"/>
      </w:pPr>
      <w:r>
        <w:sym w:font="Symbol" w:char="F0B7"/>
      </w:r>
      <w:r>
        <w:t xml:space="preserve"> Eating or drinking it. </w:t>
      </w:r>
    </w:p>
    <w:p w14:paraId="620396D3" w14:textId="77777777" w:rsidR="005C4729" w:rsidRDefault="005C4729" w:rsidP="009E2ADD">
      <w:pPr>
        <w:spacing w:line="360" w:lineRule="auto"/>
      </w:pPr>
      <w:r>
        <w:sym w:font="Symbol" w:char="F0B7"/>
      </w:r>
      <w:r>
        <w:t xml:space="preserve"> Selling it. </w:t>
      </w:r>
    </w:p>
    <w:p w14:paraId="189A91F7" w14:textId="77777777" w:rsidR="005C4729" w:rsidRDefault="005C4729" w:rsidP="009E2ADD">
      <w:pPr>
        <w:spacing w:line="360" w:lineRule="auto"/>
      </w:pPr>
      <w:r>
        <w:sym w:font="Symbol" w:char="F0B7"/>
      </w:r>
      <w:r>
        <w:t xml:space="preserve"> Burying, breaking, destroying it. </w:t>
      </w:r>
    </w:p>
    <w:p w14:paraId="7D1E3B3F" w14:textId="77777777" w:rsidR="005C4729" w:rsidRDefault="005C4729" w:rsidP="009E2ADD">
      <w:pPr>
        <w:spacing w:line="360" w:lineRule="auto"/>
      </w:pPr>
      <w:r>
        <w:sym w:font="Symbol" w:char="F0B7"/>
      </w:r>
      <w:r>
        <w:t xml:space="preserve"> Throwing it away or leaving it where the owner is unlikely to recover it.</w:t>
      </w:r>
    </w:p>
    <w:p w14:paraId="4366AD95" w14:textId="0BD3E018" w:rsidR="005C4729" w:rsidRDefault="005C4729" w:rsidP="009E2ADD">
      <w:pPr>
        <w:spacing w:line="360" w:lineRule="auto"/>
      </w:pPr>
      <w:r>
        <w:t xml:space="preserve"> </w:t>
      </w:r>
      <w:r>
        <w:sym w:font="Symbol" w:char="F0B7"/>
      </w:r>
      <w:r>
        <w:t xml:space="preserve"> Keeping the property until it has no further use, e.g. retaining a season ticket until after the season ends before returning it to the owner.</w:t>
      </w:r>
    </w:p>
    <w:p w14:paraId="5A48A41A" w14:textId="692C268B" w:rsidR="005C4729" w:rsidRDefault="005C4729" w:rsidP="009E2ADD">
      <w:pPr>
        <w:spacing w:line="360" w:lineRule="auto"/>
      </w:pPr>
      <w:r w:rsidRPr="005C4729">
        <w:rPr>
          <w:b/>
          <w:bCs/>
        </w:rPr>
        <w:t>Disposal option</w:t>
      </w:r>
      <w:r>
        <w:rPr>
          <w:b/>
          <w:bCs/>
        </w:rPr>
        <w:t>:</w:t>
      </w:r>
      <w:r>
        <w:t xml:space="preserve"> The value of property stolen can vary from a few pence to a vast amount of money. As a </w:t>
      </w:r>
      <w:proofErr w:type="gramStart"/>
      <w:r>
        <w:t>result</w:t>
      </w:r>
      <w:proofErr w:type="gramEnd"/>
      <w:r>
        <w:t xml:space="preserve"> the options for disposal vary dependant on the circumstances of each case. Offences of theft from businesses, for example shoplifting, where the value of the goods stolen does not exceed a set amount (and the offender fits the criteria) may fit the criteria for disposal out of court by way of issuing a penalty notice for disorder (PND). </w:t>
      </w:r>
    </w:p>
    <w:p w14:paraId="5DCFA133" w14:textId="0168014A" w:rsidR="00BA1209" w:rsidRDefault="00BA1209" w:rsidP="009E2ADD">
      <w:pPr>
        <w:spacing w:line="360" w:lineRule="auto"/>
      </w:pPr>
    </w:p>
    <w:p w14:paraId="0E062C9B" w14:textId="1DE9FD0B" w:rsidR="00BA1209" w:rsidRDefault="00BA1209" w:rsidP="009E2ADD">
      <w:pPr>
        <w:spacing w:line="360" w:lineRule="auto"/>
      </w:pPr>
    </w:p>
    <w:p w14:paraId="349D5FF5" w14:textId="0C2446D5" w:rsidR="00BA1209" w:rsidRDefault="00BA1209" w:rsidP="009E2ADD">
      <w:pPr>
        <w:spacing w:line="360" w:lineRule="auto"/>
        <w:rPr>
          <w:b/>
          <w:bCs/>
        </w:rPr>
      </w:pPr>
      <w:r>
        <w:rPr>
          <w:b/>
          <w:bCs/>
        </w:rPr>
        <w:t>2.</w:t>
      </w:r>
      <w:proofErr w:type="gramStart"/>
      <w:r>
        <w:rPr>
          <w:b/>
          <w:bCs/>
        </w:rPr>
        <w:t>Q.Explain</w:t>
      </w:r>
      <w:proofErr w:type="gramEnd"/>
      <w:r>
        <w:rPr>
          <w:b/>
          <w:bCs/>
        </w:rPr>
        <w:t xml:space="preserve"> the element ‘Enters’ in relation to the offence of burglary.  </w:t>
      </w:r>
    </w:p>
    <w:p w14:paraId="724FD8D3" w14:textId="77777777" w:rsidR="00BA1209" w:rsidRDefault="00BA1209" w:rsidP="009E2ADD">
      <w:pPr>
        <w:spacing w:line="360" w:lineRule="auto"/>
      </w:pPr>
      <w:r>
        <w:rPr>
          <w:b/>
          <w:bCs/>
        </w:rPr>
        <w:t xml:space="preserve">A. </w:t>
      </w:r>
      <w:r>
        <w:t>Certain terms, such as ‘entry’, ‘</w:t>
      </w:r>
      <w:proofErr w:type="spellStart"/>
      <w:r>
        <w:t>tresspasser</w:t>
      </w:r>
      <w:proofErr w:type="spellEnd"/>
      <w:r>
        <w:t>’, and ‘building’ need to be carefully defined in order to fully appreciate the range of activities that might count as burglary under section 9 (1) of the Theft Act 1968.</w:t>
      </w:r>
    </w:p>
    <w:p w14:paraId="66BE1D90" w14:textId="0901D2AA" w:rsidR="00BA1209" w:rsidRDefault="00BA1209" w:rsidP="009E2ADD">
      <w:pPr>
        <w:spacing w:line="360" w:lineRule="auto"/>
      </w:pPr>
      <w:r>
        <w:t xml:space="preserve"> </w:t>
      </w:r>
      <w:r w:rsidRPr="00BA1209">
        <w:rPr>
          <w:b/>
          <w:bCs/>
        </w:rPr>
        <w:t>Enters</w:t>
      </w:r>
      <w:r>
        <w:t xml:space="preserve">: For a Section 9(1)(a) offence the entry has to be with intent to commit one of the three offences listed and the entry may be by entry of the full body, entry of part of the body or entry by an instrument for example, A person uses their arm, or a coat hanger, to reach through a letter box to retrieve a door key to gain access. Entry by part of the body or by instruments merely to facilitate entry is not burglary. (It may </w:t>
      </w:r>
      <w:r>
        <w:lastRenderedPageBreak/>
        <w:t xml:space="preserve">well be sufficient to constitute an offence of attempted burglary however, dependant on the specific circumstances). Another example is A </w:t>
      </w:r>
      <w:proofErr w:type="spellStart"/>
      <w:r>
        <w:t>passer by</w:t>
      </w:r>
      <w:proofErr w:type="spellEnd"/>
      <w:r>
        <w:t xml:space="preserve"> sees a ground floor window open and reaches their arm through intending to feel around and steal anything they find inside. This is an effective entry with an intention to steal and, even though they could not reach anything and therefore did not steal, they commit a burglary contrary to Section 9(1)(a). The final example is when: A person forces the front door of a dwelling and, carrying a hammer, runs up the stairs intending to settle an argument by seriously assaulting a person they think is inside the house by hitting them on the head with the hammer (i.e. intention to commit GBH). There is no-one in the house. They would commit a burglary contrary to Section 9(1)(a) in these circumstances.</w:t>
      </w:r>
    </w:p>
    <w:p w14:paraId="0F688CCB" w14:textId="77777777" w:rsidR="00BA1209" w:rsidRDefault="00BA1209" w:rsidP="009E2ADD">
      <w:pPr>
        <w:spacing w:line="360" w:lineRule="auto"/>
      </w:pPr>
      <w:r>
        <w:t>For a 9(1) (b) offence the offender does not require intention at the point of entry. An intention to commit the offence is not sufficient for the offence under section 9(1)(b) – a person must have entered as a trespasser and then actually steal (or attempt to steal) or inflict (or attempt to inflict) grievous bodily harm.</w:t>
      </w:r>
    </w:p>
    <w:p w14:paraId="7B57F980" w14:textId="77777777" w:rsidR="00BA1209" w:rsidRDefault="00BA1209" w:rsidP="009E2ADD">
      <w:pPr>
        <w:spacing w:line="360" w:lineRule="auto"/>
      </w:pPr>
      <w:r w:rsidRPr="00BA1209">
        <w:rPr>
          <w:b/>
          <w:bCs/>
        </w:rPr>
        <w:t xml:space="preserve"> Building:</w:t>
      </w:r>
      <w:r>
        <w:t xml:space="preserve"> To be a building the place must have some degree of permanence. However, inhabited vehicles and vessels in use as dwellings are buildings for this purpose and will remain so even when the occupiers are temporarily away, for example a caravan when the occupiers have gone out for the day. When a vehicle or vessel is no longer in use as a dwelling, burglary cannot be committed in it. For </w:t>
      </w:r>
      <w:proofErr w:type="gramStart"/>
      <w:r>
        <w:t>example</w:t>
      </w:r>
      <w:proofErr w:type="gramEnd"/>
      <w:r>
        <w:t xml:space="preserve"> a static caravan in January that is on a site is closed for October to April. The term ‘building’ does not extend to a tent, but it can include a portable structure which is intended for permanent use as offices, workshops or stores and has the main characteristics of a building except for foundations (i.e. walls and a roof). For </w:t>
      </w:r>
      <w:proofErr w:type="gramStart"/>
      <w:r>
        <w:t>example</w:t>
      </w:r>
      <w:proofErr w:type="gramEnd"/>
      <w:r>
        <w:t xml:space="preserve"> a building site office or store in a cabin on a building site.</w:t>
      </w:r>
    </w:p>
    <w:p w14:paraId="25FB7B6E" w14:textId="391151C9" w:rsidR="00BA1209" w:rsidRDefault="00BA1209" w:rsidP="009E2ADD">
      <w:pPr>
        <w:spacing w:line="360" w:lineRule="auto"/>
      </w:pPr>
      <w:r w:rsidRPr="00BA1209">
        <w:rPr>
          <w:b/>
          <w:bCs/>
        </w:rPr>
        <w:t xml:space="preserve"> Part of a building:</w:t>
      </w:r>
      <w:r>
        <w:t xml:space="preserve"> This is included to cover a situation where, in the same building, a person may have a right to be in one place, but not in another. For example, </w:t>
      </w:r>
      <w:proofErr w:type="gramStart"/>
      <w:r>
        <w:t>Two</w:t>
      </w:r>
      <w:proofErr w:type="gramEnd"/>
      <w:r>
        <w:t xml:space="preserve"> lodgers share the same house. One lodger enters the other lodger’s room without permission </w:t>
      </w:r>
      <w:proofErr w:type="gramStart"/>
      <w:r>
        <w:t>in order to</w:t>
      </w:r>
      <w:proofErr w:type="gramEnd"/>
      <w:r>
        <w:t xml:space="preserve"> steal. He goes from the hallway where he has permission to be (a common part), into the other lodger’s room, where he does not have permission to be, and is, therefore, a trespasser.</w:t>
      </w:r>
    </w:p>
    <w:p w14:paraId="29E446A6" w14:textId="726BFA78" w:rsidR="00BA1209" w:rsidRDefault="00BA1209" w:rsidP="009E2ADD">
      <w:pPr>
        <w:spacing w:line="360" w:lineRule="auto"/>
      </w:pPr>
      <w:r w:rsidRPr="00BA1209">
        <w:rPr>
          <w:b/>
          <w:bCs/>
        </w:rPr>
        <w:lastRenderedPageBreak/>
        <w:t>Trespasser:</w:t>
      </w:r>
      <w:r>
        <w:t xml:space="preserve"> This means being there without the consent of a person who can give such consent or without other lawful authority. This is </w:t>
      </w:r>
      <w:proofErr w:type="gramStart"/>
      <w:r>
        <w:t>fairly straightforward</w:t>
      </w:r>
      <w:proofErr w:type="gramEnd"/>
      <w:r>
        <w:t xml:space="preserve">. A possibility however is where a person gains consent to enter premises by deception; in other words, there is no true consent and he or she is a </w:t>
      </w:r>
      <w:proofErr w:type="spellStart"/>
      <w:r>
        <w:t>trespasser.For</w:t>
      </w:r>
      <w:proofErr w:type="spellEnd"/>
      <w:r>
        <w:t xml:space="preserve"> example, Where a person gains entry to a house by pretending to be an official wishing to read a meter, but actually intending to steal. In these circumstances the person is a trespasser.</w:t>
      </w:r>
    </w:p>
    <w:p w14:paraId="3374C315" w14:textId="17D1868C" w:rsidR="000325A7" w:rsidRDefault="000325A7" w:rsidP="009E2ADD">
      <w:pPr>
        <w:spacing w:line="360" w:lineRule="auto"/>
      </w:pPr>
      <w:r>
        <w:t xml:space="preserve">Entry can be gained in </w:t>
      </w:r>
      <w:proofErr w:type="gramStart"/>
      <w:r>
        <w:t>a number of</w:t>
      </w:r>
      <w:proofErr w:type="gramEnd"/>
      <w:r>
        <w:t xml:space="preserve"> clearly defines ways:</w:t>
      </w:r>
    </w:p>
    <w:p w14:paraId="5C237283" w14:textId="2EF9B339" w:rsidR="000325A7" w:rsidRDefault="000325A7" w:rsidP="000325A7">
      <w:pPr>
        <w:pStyle w:val="ListParagraph"/>
        <w:numPr>
          <w:ilvl w:val="0"/>
          <w:numId w:val="4"/>
        </w:numPr>
        <w:spacing w:line="360" w:lineRule="auto"/>
      </w:pPr>
      <w:r>
        <w:t>A person, by walking or climbing into a building, either completely or by inserting a body part (</w:t>
      </w:r>
      <w:proofErr w:type="spellStart"/>
      <w:r>
        <w:t>eg.</w:t>
      </w:r>
      <w:proofErr w:type="spellEnd"/>
      <w:r>
        <w:t xml:space="preserve"> Arm or leg) through a window or letter box. However, there must be more than minimal insertion: sliding a hand between a window frame from the outside of a building </w:t>
      </w:r>
      <w:proofErr w:type="gramStart"/>
      <w:r>
        <w:t>In</w:t>
      </w:r>
      <w:proofErr w:type="gramEnd"/>
      <w:r>
        <w:t xml:space="preserve"> order to release the catch would be insufficient.</w:t>
      </w:r>
    </w:p>
    <w:p w14:paraId="3C5D5465" w14:textId="7F598777" w:rsidR="000325A7" w:rsidRDefault="000325A7" w:rsidP="000325A7">
      <w:pPr>
        <w:pStyle w:val="ListParagraph"/>
        <w:numPr>
          <w:ilvl w:val="0"/>
          <w:numId w:val="4"/>
        </w:numPr>
        <w:spacing w:line="360" w:lineRule="auto"/>
      </w:pPr>
      <w:r>
        <w:t xml:space="preserve">Using a tool or article as an extension of the human body to carry out one of the relevant offences </w:t>
      </w:r>
    </w:p>
    <w:p w14:paraId="28AECADB" w14:textId="4088493B" w:rsidR="000325A7" w:rsidRDefault="000325A7" w:rsidP="000325A7">
      <w:pPr>
        <w:pStyle w:val="ListParagraph"/>
        <w:numPr>
          <w:ilvl w:val="0"/>
          <w:numId w:val="4"/>
        </w:numPr>
        <w:spacing w:line="360" w:lineRule="auto"/>
      </w:pPr>
      <w:r>
        <w:t xml:space="preserve">Using a blameless accomplice in a similar way to </w:t>
      </w:r>
      <w:proofErr w:type="gramStart"/>
      <w:r>
        <w:t>using</w:t>
      </w:r>
      <w:proofErr w:type="gramEnd"/>
      <w:r>
        <w:t xml:space="preserve"> an article as an extension of the suspects body. For </w:t>
      </w:r>
      <w:proofErr w:type="gramStart"/>
      <w:r>
        <w:t>example</w:t>
      </w:r>
      <w:proofErr w:type="gramEnd"/>
      <w:r>
        <w:t xml:space="preserve"> a child under the age of 10 years old (below the age of a criminal responsibility). They could be lifted through a small window to obtain property from inside. A child only prepared an entry point the offence has only been attempted.</w:t>
      </w:r>
    </w:p>
    <w:p w14:paraId="35E3D6DB" w14:textId="00B657C2" w:rsidR="00BA1209" w:rsidRDefault="00BA1209" w:rsidP="009E2ADD">
      <w:pPr>
        <w:spacing w:line="360" w:lineRule="auto"/>
      </w:pPr>
    </w:p>
    <w:p w14:paraId="6CA3DF41" w14:textId="77777777" w:rsidR="00925508" w:rsidRDefault="00925508" w:rsidP="00925508">
      <w:pPr>
        <w:spacing w:after="0" w:line="480" w:lineRule="auto"/>
        <w:jc w:val="both"/>
        <w:rPr>
          <w:b/>
          <w:bCs/>
        </w:rPr>
      </w:pPr>
      <w:r>
        <w:t xml:space="preserve">3.Q. </w:t>
      </w:r>
      <w:r>
        <w:rPr>
          <w:b/>
          <w:bCs/>
        </w:rPr>
        <w:t xml:space="preserve">What offence has been committed by A? </w:t>
      </w:r>
    </w:p>
    <w:p w14:paraId="47AEC4D2" w14:textId="6C7A5DF9" w:rsidR="00925508" w:rsidRDefault="00925508" w:rsidP="009E2ADD">
      <w:pPr>
        <w:spacing w:line="360" w:lineRule="auto"/>
      </w:pPr>
      <w:r>
        <w:t xml:space="preserve">A. An assault is: ‘any act where a person intentionally or recklessly causes another person to apprehend immediate and unlawful personal violence’. The person needs to ‘apprehend immediate personal violence’ i.e. anticipate that someone is going to be violent to them there and then. A future threat such as “I’m going to give you a good kicking next Saturday” is therefore not an assault as the threat is to do something in the future not immediately. Note the relevance of the key term ‘immediate’. Person A has committed Wounding or Causing Grievous Bodily Harm with Intent, Section 18 Offences Against the Person Act 1861. “Whosoever shall unlawfully and maliciously, by any means whatsoever wound or cause any grievous bodily harm to any person with intent to do some grievous bodily harm to any </w:t>
      </w:r>
      <w:r>
        <w:lastRenderedPageBreak/>
        <w:t xml:space="preserve">person, or with intent to resist or prevent the lawful apprehension or detention of any person shall be guilty of felony” Although there is a difference between ‘wounding with intent’ and ‘causing grievous bodily harm with intent’, they are both charged under the same heading, i.e. Section 18, Offences Against the Person Act 1861. The maximum penalty for this offence is life imprisonment. Many of the terms used within this section are the same as the Section 20 offence however there are some new terms outlined below: By any means whatsoever…cause: This means that the harm may be caused by the deliberate application of force such as a punch, kick or by striking someone with a weapon, in other words an assault. </w:t>
      </w:r>
      <w:proofErr w:type="gramStart"/>
      <w:r>
        <w:t>Alternatively</w:t>
      </w:r>
      <w:proofErr w:type="gramEnd"/>
      <w:r>
        <w:t xml:space="preserve"> the harm may be caused without the same direct application of force. For example, A person throws a brick at a group of people without taking </w:t>
      </w:r>
      <w:proofErr w:type="gramStart"/>
      <w:r>
        <w:t>particular aim</w:t>
      </w:r>
      <w:proofErr w:type="gramEnd"/>
      <w:r>
        <w:t>, but still intends that the brick hits and injures someone. In this case the person can still be charged with a Section 18 offence against the person that he injures.</w:t>
      </w:r>
    </w:p>
    <w:p w14:paraId="03500983" w14:textId="4EDCCA6E" w:rsidR="00BA1209" w:rsidRDefault="000B6764" w:rsidP="009E2ADD">
      <w:pPr>
        <w:spacing w:line="360" w:lineRule="auto"/>
      </w:pPr>
      <w:r>
        <w:t xml:space="preserve">Intentionally means deliberately. ‘Intent’ is explained earlier in these notes however, to assist you to understand ‘intent’ in this context, here are </w:t>
      </w:r>
      <w:proofErr w:type="gramStart"/>
      <w:r>
        <w:t>a number of</w:t>
      </w:r>
      <w:proofErr w:type="gramEnd"/>
      <w:r>
        <w:t xml:space="preserve"> factors that may indicate ‘specific intent’ for Section 18. For example, a repeated or planned attack, prior attacks, the deliberate selection of a weapon or adaptation of an article to cause injury (e.g. breaking a glass before an </w:t>
      </w:r>
      <w:proofErr w:type="gramStart"/>
      <w:r>
        <w:t>attack;</w:t>
      </w:r>
      <w:proofErr w:type="gramEnd"/>
      <w:r>
        <w:t xml:space="preserve"> hammering nails into a piece of wood). </w:t>
      </w:r>
    </w:p>
    <w:p w14:paraId="535E92A0" w14:textId="77777777" w:rsidR="000B6764" w:rsidRDefault="000B6764" w:rsidP="009E2ADD">
      <w:pPr>
        <w:spacing w:line="360" w:lineRule="auto"/>
      </w:pPr>
      <w:r w:rsidRPr="000B6764">
        <w:rPr>
          <w:b/>
          <w:bCs/>
        </w:rPr>
        <w:t xml:space="preserve">Or with intent to resist or prevent the lawful apprehension or detention of any person: </w:t>
      </w:r>
      <w:r>
        <w:t xml:space="preserve">This means exactly what it says and applies when a person causes GBH or wounding with intent to resist his own or another’s arrest. Section 18 also gives this alternative ‘specific intent’ to the second part of the Section, i.e. to resist the lawful apprehension or detention of any person. The accused need not intend to wound or cause GBH in these circumstances, but could be reckless as to the outcome of their actions which if carried out with the intention of resisting the lawful apprehension of any person turns Section 20 ‘circumstances’ into a Section 18 offence. So ‘maliciously’ does </w:t>
      </w:r>
      <w:proofErr w:type="gramStart"/>
      <w:r>
        <w:t>have an effect on</w:t>
      </w:r>
      <w:proofErr w:type="gramEnd"/>
      <w:r>
        <w:t xml:space="preserve"> the second part of Section 18. For example: A person resists arrest and grabs a piece of wood, swinging it around close to the officer’s head forcing them to release the grip on the detainee (reckless as to harm caused).</w:t>
      </w:r>
    </w:p>
    <w:p w14:paraId="2342A62A" w14:textId="77777777" w:rsidR="000B6764" w:rsidRDefault="000B6764" w:rsidP="009E2ADD">
      <w:pPr>
        <w:spacing w:line="360" w:lineRule="auto"/>
      </w:pPr>
    </w:p>
    <w:p w14:paraId="45341BB4" w14:textId="6E2BD977" w:rsidR="000B6764" w:rsidRDefault="000B6764" w:rsidP="009E2ADD">
      <w:pPr>
        <w:spacing w:line="360" w:lineRule="auto"/>
      </w:pPr>
      <w:r>
        <w:lastRenderedPageBreak/>
        <w:t xml:space="preserve"> </w:t>
      </w:r>
      <w:r w:rsidRPr="000B6764">
        <w:rPr>
          <w:b/>
          <w:bCs/>
        </w:rPr>
        <w:t>Comparing the two Sections – ‘intent’ and ‘maliciously’</w:t>
      </w:r>
      <w:r>
        <w:t xml:space="preserve"> </w:t>
      </w:r>
    </w:p>
    <w:p w14:paraId="074ED001" w14:textId="42DD773C" w:rsidR="000B6764" w:rsidRDefault="000B6764" w:rsidP="009E2ADD">
      <w:pPr>
        <w:spacing w:line="360" w:lineRule="auto"/>
      </w:pPr>
      <w:r>
        <w:t xml:space="preserve">For the Section 18 offence the offender must either have an intent to do some GBH to any person, or, intend to resist or prevent the lawful apprehension or detention of any person. This intent makes an assault under Section 18 a more serious assault than one under Section 20. With a Section 20 assault no intent is needed. The offence only requires an unlawful and malicious act resulting in either a wounding or grievous bodily harm. ‘Maliciously’ only has real effect in relation to Section 20 and the second part of Section 18. The first part of Section 18 requires a specific intent to do some GBH, i.e. it was the accused’s purpose to cause GBH, or if not, they must know the GBH was a virtual certain consequence of their act. If you compare the specific intent required in Section 18 with Section 20, you can see that with the Section 20 offence the injury could also be caused ‘recklessly’. It does not require that the accused must foresee that a wounding or GBH is the likely result of their actions, only that some physical harm to a person, even of a minor nature, might result. An example of this would be where a person intends only to bruise a </w:t>
      </w:r>
      <w:proofErr w:type="gramStart"/>
      <w:r>
        <w:t>victim, but</w:t>
      </w:r>
      <w:proofErr w:type="gramEnd"/>
      <w:r>
        <w:t xml:space="preserve"> ends up by breaking their jaw. If this happens then the aggressor should still be charged under Section 20. </w:t>
      </w:r>
    </w:p>
    <w:p w14:paraId="357DCF29" w14:textId="4EED5D84" w:rsidR="000B6764" w:rsidRDefault="000B6764" w:rsidP="009E2ADD">
      <w:pPr>
        <w:spacing w:line="360" w:lineRule="auto"/>
      </w:pPr>
      <w:r w:rsidRPr="000B6764">
        <w:rPr>
          <w:b/>
          <w:bCs/>
        </w:rPr>
        <w:t>Psychiatric harm</w:t>
      </w:r>
      <w:r>
        <w:rPr>
          <w:b/>
          <w:bCs/>
        </w:rPr>
        <w:t>:</w:t>
      </w:r>
      <w:r>
        <w:t xml:space="preserve"> The law recognises the fact that in some cases the harm caused to a person may not necessarily be physical such as a broken limb, but is caused to a person’s state of mind, the words ‘bodily harm’ are capable of covering recognised psychiatric illnesses and such harm would be sufficient for a charge of Section 20 or Section 18 to be brought against the offender. The House of Lords have made it clear that no ‘assault’ is </w:t>
      </w:r>
      <w:proofErr w:type="gramStart"/>
      <w:r>
        <w:t>needed</w:t>
      </w:r>
      <w:proofErr w:type="gramEnd"/>
      <w:r>
        <w:t xml:space="preserve"> and that harm could be inflicted indirectly such as through menacing telephone calls inflicting psychiatric harm. There need not be any accompanying physical action.</w:t>
      </w:r>
    </w:p>
    <w:p w14:paraId="03297D01" w14:textId="69AD3FFD" w:rsidR="000B6764" w:rsidRDefault="000B6764" w:rsidP="009E2ADD">
      <w:pPr>
        <w:spacing w:line="360" w:lineRule="auto"/>
      </w:pPr>
    </w:p>
    <w:p w14:paraId="1F15ECEE" w14:textId="1A55E699" w:rsidR="000B6764" w:rsidRDefault="000B6764" w:rsidP="000B6764">
      <w:pPr>
        <w:spacing w:after="0" w:line="480" w:lineRule="auto"/>
        <w:ind w:right="1089"/>
        <w:jc w:val="both"/>
        <w:rPr>
          <w:b/>
          <w:bCs/>
        </w:rPr>
      </w:pPr>
      <w:r w:rsidRPr="000B6764">
        <w:rPr>
          <w:b/>
          <w:bCs/>
        </w:rPr>
        <w:t>4.Q</w:t>
      </w:r>
      <w:r>
        <w:t xml:space="preserve">. </w:t>
      </w:r>
      <w:r>
        <w:rPr>
          <w:b/>
          <w:bCs/>
        </w:rPr>
        <w:t xml:space="preserve">Explain how the needs of victims can be met.  </w:t>
      </w:r>
    </w:p>
    <w:p w14:paraId="5ECC360C" w14:textId="77777777" w:rsidR="000B6764" w:rsidRDefault="000B6764" w:rsidP="000B6764">
      <w:pPr>
        <w:pStyle w:val="NormalWeb"/>
        <w:spacing w:before="0" w:beforeAutospacing="0" w:after="150" w:afterAutospacing="0" w:line="330" w:lineRule="atLeast"/>
        <w:rPr>
          <w:rFonts w:ascii="Arial" w:hAnsi="Arial" w:cs="Arial"/>
          <w:color w:val="333333"/>
          <w:sz w:val="23"/>
          <w:szCs w:val="23"/>
        </w:rPr>
      </w:pPr>
      <w:r>
        <w:rPr>
          <w:b/>
          <w:bCs/>
        </w:rPr>
        <w:t>A.</w:t>
      </w:r>
      <w:r>
        <w:t xml:space="preserve"> </w:t>
      </w:r>
      <w:r>
        <w:rPr>
          <w:rFonts w:ascii="Arial" w:hAnsi="Arial" w:cs="Arial"/>
          <w:color w:val="333333"/>
          <w:sz w:val="23"/>
          <w:szCs w:val="23"/>
        </w:rPr>
        <w:t xml:space="preserve">Victims and witnesses play an important role in prosecution and case </w:t>
      </w:r>
      <w:proofErr w:type="gramStart"/>
      <w:r>
        <w:rPr>
          <w:rFonts w:ascii="Arial" w:hAnsi="Arial" w:cs="Arial"/>
          <w:color w:val="333333"/>
          <w:sz w:val="23"/>
          <w:szCs w:val="23"/>
        </w:rPr>
        <w:t>management, but</w:t>
      </w:r>
      <w:proofErr w:type="gramEnd"/>
      <w:r>
        <w:rPr>
          <w:rFonts w:ascii="Arial" w:hAnsi="Arial" w:cs="Arial"/>
          <w:color w:val="333333"/>
          <w:sz w:val="23"/>
          <w:szCs w:val="23"/>
        </w:rPr>
        <w:t xml:space="preserve"> are unlikely to be familiar with the processes involved. They may need additional support. There are several arrangements in place to guide and protect victims and witnesses involved in the criminal justice system before and after a suspect has been charged.</w:t>
      </w:r>
    </w:p>
    <w:p w14:paraId="5B424D1D" w14:textId="77777777" w:rsidR="000B6764" w:rsidRDefault="000B6764" w:rsidP="000B6764">
      <w:pPr>
        <w:pStyle w:val="NormalWeb"/>
        <w:spacing w:before="0" w:beforeAutospacing="0" w:after="150" w:afterAutospacing="0" w:line="330" w:lineRule="atLeast"/>
        <w:rPr>
          <w:rFonts w:ascii="Arial" w:hAnsi="Arial" w:cs="Arial"/>
          <w:color w:val="333333"/>
          <w:sz w:val="23"/>
          <w:szCs w:val="23"/>
        </w:rPr>
      </w:pPr>
      <w:r>
        <w:rPr>
          <w:rStyle w:val="Strong"/>
          <w:rFonts w:ascii="Arial" w:hAnsi="Arial" w:cs="Arial"/>
          <w:color w:val="333333"/>
          <w:sz w:val="23"/>
          <w:szCs w:val="23"/>
        </w:rPr>
        <w:lastRenderedPageBreak/>
        <w:t>The Code of Practice for Victims of Crime</w:t>
      </w:r>
    </w:p>
    <w:p w14:paraId="19953AD0" w14:textId="77777777" w:rsidR="000B6764" w:rsidRPr="000B6764" w:rsidRDefault="000B6764" w:rsidP="000B6764">
      <w:pPr>
        <w:pStyle w:val="NormalWeb"/>
        <w:spacing w:before="0" w:beforeAutospacing="0" w:after="150" w:afterAutospacing="0" w:line="360" w:lineRule="auto"/>
        <w:rPr>
          <w:rFonts w:ascii="Arial" w:hAnsi="Arial" w:cs="Arial"/>
        </w:rPr>
      </w:pPr>
      <w:r w:rsidRPr="000B6764">
        <w:rPr>
          <w:rFonts w:ascii="Arial" w:hAnsi="Arial" w:cs="Arial"/>
        </w:rPr>
        <w:t>Victims are entitled to receive services under the Code if they have made an allegation to the police that they have suffered harm as a direct result of a criminal offence, had an allegation made on their behalf or if they have been contacted as a victim in the course of an investigation. If someone has witnessed a criminal offence, but are not a victim, they can access services under the Witness Charter, rather than under the Code.</w:t>
      </w:r>
    </w:p>
    <w:p w14:paraId="0CFDF8E9" w14:textId="77777777" w:rsidR="000B6764" w:rsidRPr="000B6764" w:rsidRDefault="000B6764" w:rsidP="000B6764">
      <w:pPr>
        <w:pStyle w:val="NormalWeb"/>
        <w:spacing w:before="0" w:beforeAutospacing="0" w:after="150" w:afterAutospacing="0" w:line="360" w:lineRule="auto"/>
        <w:rPr>
          <w:rFonts w:ascii="Arial" w:hAnsi="Arial" w:cs="Arial"/>
        </w:rPr>
      </w:pPr>
      <w:r w:rsidRPr="000B6764">
        <w:rPr>
          <w:rFonts w:ascii="Arial" w:hAnsi="Arial" w:cs="Arial"/>
        </w:rPr>
        <w:t xml:space="preserve">The police have </w:t>
      </w:r>
      <w:proofErr w:type="gramStart"/>
      <w:r w:rsidRPr="000B6764">
        <w:rPr>
          <w:rFonts w:ascii="Arial" w:hAnsi="Arial" w:cs="Arial"/>
        </w:rPr>
        <w:t>a number of</w:t>
      </w:r>
      <w:proofErr w:type="gramEnd"/>
      <w:r w:rsidRPr="000B6764">
        <w:rPr>
          <w:rFonts w:ascii="Arial" w:hAnsi="Arial" w:cs="Arial"/>
        </w:rPr>
        <w:t xml:space="preserve"> duties under the Code, arising from the first point of contact. Police officers must fully acquaint themselves with the content of the Code and their obligations.</w:t>
      </w:r>
    </w:p>
    <w:p w14:paraId="75FD8CB2" w14:textId="77777777" w:rsidR="00DE07E6" w:rsidRDefault="000B6764" w:rsidP="00DE07E6">
      <w:pPr>
        <w:pStyle w:val="NormalWeb"/>
        <w:spacing w:before="0" w:beforeAutospacing="0" w:after="150" w:afterAutospacing="0" w:line="360" w:lineRule="auto"/>
        <w:rPr>
          <w:rFonts w:ascii="Arial" w:hAnsi="Arial" w:cs="Arial"/>
        </w:rPr>
      </w:pPr>
      <w:r w:rsidRPr="00DE07E6">
        <w:rPr>
          <w:rFonts w:ascii="Arial" w:hAnsi="Arial" w:cs="Arial"/>
        </w:rPr>
        <w:t>Under the Code a victim is entitled to receive written information on what to expect from the criminal justice system or the details of a website which contains that information. The Ministry of Justice has produced a number of </w:t>
      </w:r>
      <w:hyperlink r:id="rId7" w:tgtFrame="_blank" w:history="1">
        <w:r w:rsidRPr="00DE07E6">
          <w:rPr>
            <w:rStyle w:val="Hyperlink"/>
            <w:rFonts w:ascii="Arial" w:hAnsi="Arial" w:cs="Arial"/>
            <w:color w:val="auto"/>
            <w:u w:val="none"/>
          </w:rPr>
          <w:t>products to assist the relevant service provider</w:t>
        </w:r>
      </w:hyperlink>
      <w:r w:rsidRPr="00DE07E6">
        <w:rPr>
          <w:rFonts w:ascii="Arial" w:hAnsi="Arial" w:cs="Arial"/>
        </w:rPr>
        <w:t>, including the police, to discharge this duty.</w:t>
      </w:r>
      <w:r w:rsidR="00DE07E6" w:rsidRPr="00DE07E6">
        <w:rPr>
          <w:rFonts w:ascii="Arial" w:hAnsi="Arial" w:cs="Arial"/>
        </w:rPr>
        <w:t xml:space="preserve"> </w:t>
      </w:r>
    </w:p>
    <w:p w14:paraId="124B9CAB" w14:textId="7BD6AED1" w:rsidR="00DE07E6" w:rsidRPr="00DE07E6" w:rsidRDefault="00DE07E6" w:rsidP="00DE07E6">
      <w:pPr>
        <w:pStyle w:val="NormalWeb"/>
        <w:spacing w:before="0" w:beforeAutospacing="0" w:after="150" w:afterAutospacing="0" w:line="360" w:lineRule="auto"/>
        <w:rPr>
          <w:rFonts w:ascii="Arial" w:hAnsi="Arial" w:cs="Arial"/>
          <w:b/>
          <w:bCs/>
        </w:rPr>
      </w:pPr>
      <w:r w:rsidRPr="00DE07E6">
        <w:rPr>
          <w:rFonts w:ascii="Arial" w:hAnsi="Arial" w:cs="Arial"/>
          <w:b/>
          <w:bCs/>
        </w:rPr>
        <w:t>Support to victims and witnesses</w:t>
      </w:r>
    </w:p>
    <w:p w14:paraId="1118A7BC" w14:textId="2AD0B2FC" w:rsid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When involved in the prosecution process, a victim or witness is entitled to support through different measures and from organisations which form part of the criminal justice system. </w:t>
      </w:r>
      <w:hyperlink r:id="rId8" w:tgtFrame="_blank" w:tooltip="Victim Support" w:history="1">
        <w:r w:rsidRPr="00DE07E6">
          <w:rPr>
            <w:rStyle w:val="Hyperlink"/>
            <w:rFonts w:ascii="Arial" w:hAnsi="Arial" w:cs="Arial"/>
            <w:color w:val="auto"/>
            <w:u w:val="none"/>
          </w:rPr>
          <w:t>Victim Support</w:t>
        </w:r>
      </w:hyperlink>
      <w:r w:rsidRPr="00DE07E6">
        <w:rPr>
          <w:rFonts w:ascii="Arial" w:hAnsi="Arial" w:cs="Arial"/>
        </w:rPr>
        <w:t xml:space="preserve"> provides information and counsel to victims and witnesses through services including the </w:t>
      </w:r>
      <w:proofErr w:type="spellStart"/>
      <w:r w:rsidRPr="00DE07E6">
        <w:rPr>
          <w:rFonts w:ascii="Arial" w:hAnsi="Arial" w:cs="Arial"/>
        </w:rPr>
        <w:t>Supportline</w:t>
      </w:r>
      <w:proofErr w:type="spellEnd"/>
      <w:r w:rsidRPr="00DE07E6">
        <w:rPr>
          <w:rFonts w:ascii="Arial" w:hAnsi="Arial" w:cs="Arial"/>
        </w:rPr>
        <w:t xml:space="preserve"> and the Witness Service.</w:t>
      </w:r>
    </w:p>
    <w:p w14:paraId="454782A2" w14:textId="0488542F" w:rsidR="00DE07E6" w:rsidRPr="00DE07E6" w:rsidRDefault="00DE07E6" w:rsidP="00DE07E6">
      <w:pPr>
        <w:pStyle w:val="Heading4"/>
        <w:spacing w:before="300" w:beforeAutospacing="0" w:after="150" w:afterAutospacing="0"/>
        <w:rPr>
          <w:rFonts w:ascii="Arial" w:hAnsi="Arial" w:cs="Arial"/>
          <w:color w:val="333333"/>
        </w:rPr>
      </w:pPr>
      <w:r w:rsidRPr="00DE07E6">
        <w:rPr>
          <w:rFonts w:ascii="Arial" w:hAnsi="Arial" w:cs="Arial"/>
          <w:color w:val="333333"/>
        </w:rPr>
        <w:t>Victim personal statement</w:t>
      </w:r>
    </w:p>
    <w:p w14:paraId="0642B0BB" w14:textId="48FC4610" w:rsidR="000B6764"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 xml:space="preserve"> The victim personal statement (VPS) gives victims of crime an opportunity to tell criminal justice agencies and the courts about how the crime has affected their lives. It also helps the agencies to understand the impact of the crime on the victim so that they can make informed decisions about the case. The victim may wish to include:</w:t>
      </w:r>
    </w:p>
    <w:p w14:paraId="08323248" w14:textId="77777777" w:rsidR="00DE07E6" w:rsidRPr="00DE07E6" w:rsidRDefault="00DE07E6" w:rsidP="00DE07E6">
      <w:pPr>
        <w:numPr>
          <w:ilvl w:val="0"/>
          <w:numId w:val="5"/>
        </w:numPr>
        <w:spacing w:before="100" w:beforeAutospacing="1" w:after="100" w:afterAutospacing="1" w:line="360" w:lineRule="auto"/>
        <w:rPr>
          <w:rFonts w:eastAsia="Times New Roman"/>
          <w:lang w:eastAsia="en-GB"/>
        </w:rPr>
      </w:pPr>
      <w:r w:rsidRPr="00DE07E6">
        <w:rPr>
          <w:rFonts w:eastAsia="Times New Roman"/>
          <w:lang w:eastAsia="en-GB"/>
        </w:rPr>
        <w:t xml:space="preserve">any physical, financial, </w:t>
      </w:r>
      <w:proofErr w:type="gramStart"/>
      <w:r w:rsidRPr="00DE07E6">
        <w:rPr>
          <w:rFonts w:eastAsia="Times New Roman"/>
          <w:lang w:eastAsia="en-GB"/>
        </w:rPr>
        <w:t>emotional</w:t>
      </w:r>
      <w:proofErr w:type="gramEnd"/>
      <w:r w:rsidRPr="00DE07E6">
        <w:rPr>
          <w:rFonts w:eastAsia="Times New Roman"/>
          <w:lang w:eastAsia="en-GB"/>
        </w:rPr>
        <w:t xml:space="preserve"> or psychological injury that they have suffered and/or any treatment they may have received as a result of the crime</w:t>
      </w:r>
    </w:p>
    <w:p w14:paraId="08BFB379" w14:textId="77777777" w:rsidR="00DE07E6" w:rsidRPr="00DE07E6" w:rsidRDefault="00DE07E6" w:rsidP="00DE07E6">
      <w:pPr>
        <w:numPr>
          <w:ilvl w:val="0"/>
          <w:numId w:val="5"/>
        </w:numPr>
        <w:spacing w:before="100" w:beforeAutospacing="1" w:after="100" w:afterAutospacing="1" w:line="360" w:lineRule="auto"/>
        <w:rPr>
          <w:rFonts w:eastAsia="Times New Roman"/>
          <w:lang w:eastAsia="en-GB"/>
        </w:rPr>
      </w:pPr>
      <w:r w:rsidRPr="00DE07E6">
        <w:rPr>
          <w:rFonts w:eastAsia="Times New Roman"/>
          <w:lang w:eastAsia="en-GB"/>
        </w:rPr>
        <w:t>if they feel vulnerable or intimidated</w:t>
      </w:r>
    </w:p>
    <w:p w14:paraId="3D54EF17" w14:textId="77777777" w:rsidR="00DE07E6" w:rsidRPr="00DE07E6" w:rsidRDefault="00DE07E6" w:rsidP="00DE07E6">
      <w:pPr>
        <w:numPr>
          <w:ilvl w:val="0"/>
          <w:numId w:val="5"/>
        </w:numPr>
        <w:spacing w:before="100" w:beforeAutospacing="1" w:after="100" w:afterAutospacing="1" w:line="360" w:lineRule="auto"/>
        <w:rPr>
          <w:rFonts w:eastAsia="Times New Roman"/>
          <w:lang w:eastAsia="en-GB"/>
        </w:rPr>
      </w:pPr>
      <w:r w:rsidRPr="00DE07E6">
        <w:rPr>
          <w:rFonts w:eastAsia="Times New Roman"/>
          <w:lang w:eastAsia="en-GB"/>
        </w:rPr>
        <w:t>if they no longer feel safe</w:t>
      </w:r>
    </w:p>
    <w:p w14:paraId="7E651FCA" w14:textId="77777777" w:rsidR="00DE07E6" w:rsidRPr="00DE07E6" w:rsidRDefault="00DE07E6" w:rsidP="00DE07E6">
      <w:pPr>
        <w:numPr>
          <w:ilvl w:val="0"/>
          <w:numId w:val="5"/>
        </w:numPr>
        <w:spacing w:before="100" w:beforeAutospacing="1" w:after="100" w:afterAutospacing="1" w:line="360" w:lineRule="auto"/>
        <w:rPr>
          <w:rFonts w:eastAsia="Times New Roman"/>
          <w:lang w:eastAsia="en-GB"/>
        </w:rPr>
      </w:pPr>
      <w:r w:rsidRPr="00DE07E6">
        <w:rPr>
          <w:rFonts w:eastAsia="Times New Roman"/>
          <w:lang w:eastAsia="en-GB"/>
        </w:rPr>
        <w:t>the impact on their family</w:t>
      </w:r>
    </w:p>
    <w:p w14:paraId="088191CE" w14:textId="77777777" w:rsidR="00DE07E6" w:rsidRPr="00DE07E6" w:rsidRDefault="00DE07E6" w:rsidP="00DE07E6">
      <w:pPr>
        <w:numPr>
          <w:ilvl w:val="0"/>
          <w:numId w:val="5"/>
        </w:numPr>
        <w:spacing w:before="100" w:beforeAutospacing="1" w:after="100" w:afterAutospacing="1" w:line="360" w:lineRule="auto"/>
        <w:rPr>
          <w:rFonts w:eastAsia="Times New Roman"/>
          <w:lang w:eastAsia="en-GB"/>
        </w:rPr>
      </w:pPr>
      <w:r w:rsidRPr="00DE07E6">
        <w:rPr>
          <w:rFonts w:eastAsia="Times New Roman"/>
          <w:lang w:eastAsia="en-GB"/>
        </w:rPr>
        <w:t>how their quality of life has changed on a day-to-day basis</w:t>
      </w:r>
    </w:p>
    <w:p w14:paraId="1B3C745D" w14:textId="77777777" w:rsidR="00DE07E6" w:rsidRDefault="00DE07E6" w:rsidP="00DE07E6">
      <w:pPr>
        <w:pStyle w:val="NormalWeb"/>
        <w:numPr>
          <w:ilvl w:val="0"/>
          <w:numId w:val="5"/>
        </w:numPr>
        <w:spacing w:before="0" w:beforeAutospacing="0" w:after="150" w:afterAutospacing="0" w:line="360" w:lineRule="auto"/>
        <w:rPr>
          <w:rFonts w:ascii="Arial" w:hAnsi="Arial" w:cs="Arial"/>
        </w:rPr>
      </w:pPr>
      <w:r w:rsidRPr="00DE07E6">
        <w:rPr>
          <w:rFonts w:ascii="Arial" w:hAnsi="Arial" w:cs="Arial"/>
        </w:rPr>
        <w:lastRenderedPageBreak/>
        <w:t xml:space="preserve">if they need additional support, </w:t>
      </w:r>
      <w:proofErr w:type="spellStart"/>
      <w:r w:rsidRPr="00DE07E6">
        <w:rPr>
          <w:rFonts w:ascii="Arial" w:hAnsi="Arial" w:cs="Arial"/>
        </w:rPr>
        <w:t>eg</w:t>
      </w:r>
      <w:proofErr w:type="spellEnd"/>
      <w:r w:rsidRPr="00DE07E6">
        <w:rPr>
          <w:rFonts w:ascii="Arial" w:hAnsi="Arial" w:cs="Arial"/>
        </w:rPr>
        <w:t>, because they are likely to appear as a witness at the trial.</w:t>
      </w:r>
    </w:p>
    <w:p w14:paraId="021B48F5" w14:textId="1BB57454" w:rsidR="00DE07E6" w:rsidRPr="00DE07E6" w:rsidRDefault="00DE07E6" w:rsidP="00DE07E6">
      <w:pPr>
        <w:pStyle w:val="NormalWeb"/>
        <w:spacing w:before="0" w:beforeAutospacing="0" w:after="150" w:afterAutospacing="0" w:line="360" w:lineRule="auto"/>
        <w:rPr>
          <w:rFonts w:ascii="Arial" w:hAnsi="Arial" w:cs="Arial"/>
        </w:rPr>
      </w:pPr>
      <w:r w:rsidRPr="00DE07E6">
        <w:t xml:space="preserve"> </w:t>
      </w:r>
      <w:r w:rsidRPr="00DE07E6">
        <w:rPr>
          <w:rFonts w:ascii="Arial" w:hAnsi="Arial" w:cs="Arial"/>
        </w:rPr>
        <w:t>The VPS should not contain the opinions of the victim or the victim’s close relatives on what the sentence should be.</w:t>
      </w:r>
    </w:p>
    <w:p w14:paraId="6BCA8524" w14:textId="09927ABC" w:rsidR="00DE07E6" w:rsidRDefault="00DE07E6" w:rsidP="00DE07E6">
      <w:pPr>
        <w:spacing w:after="150" w:line="360" w:lineRule="auto"/>
        <w:rPr>
          <w:rFonts w:eastAsia="Times New Roman"/>
          <w:lang w:eastAsia="en-GB"/>
        </w:rPr>
      </w:pPr>
      <w:r w:rsidRPr="00DE07E6">
        <w:rPr>
          <w:rFonts w:eastAsia="Times New Roman"/>
          <w:lang w:eastAsia="en-GB"/>
        </w:rPr>
        <w:t>Under the </w:t>
      </w:r>
      <w:hyperlink r:id="rId9" w:tgtFrame="_blank" w:history="1">
        <w:r w:rsidRPr="00DE07E6">
          <w:rPr>
            <w:rFonts w:eastAsia="Times New Roman"/>
            <w:lang w:eastAsia="en-GB"/>
          </w:rPr>
          <w:t>Ministry of Justice (2015) Code of Practice for Victims of Crime</w:t>
        </w:r>
      </w:hyperlink>
      <w:r w:rsidRPr="00DE07E6">
        <w:rPr>
          <w:rFonts w:eastAsia="Times New Roman"/>
          <w:lang w:eastAsia="en-GB"/>
        </w:rPr>
        <w:t>, the victim can request to </w:t>
      </w:r>
      <w:hyperlink r:id="rId10" w:tgtFrame="_blank" w:history="1">
        <w:r w:rsidRPr="00DE07E6">
          <w:rPr>
            <w:rFonts w:eastAsia="Times New Roman"/>
            <w:lang w:eastAsia="en-GB"/>
          </w:rPr>
          <w:t>read out their VPS in court</w:t>
        </w:r>
      </w:hyperlink>
      <w:r w:rsidRPr="00DE07E6">
        <w:rPr>
          <w:rFonts w:eastAsia="Times New Roman"/>
          <w:lang w:eastAsia="en-GB"/>
        </w:rPr>
        <w:t xml:space="preserve"> after the defendant is convicted. They can also request for another person, usually the prosecutor, to do so on their behalf.  The court decides whether the victim or another person </w:t>
      </w:r>
      <w:proofErr w:type="gramStart"/>
      <w:r w:rsidRPr="00DE07E6">
        <w:rPr>
          <w:rFonts w:eastAsia="Times New Roman"/>
          <w:lang w:eastAsia="en-GB"/>
        </w:rPr>
        <w:t>is allowed to</w:t>
      </w:r>
      <w:proofErr w:type="gramEnd"/>
      <w:r w:rsidRPr="00DE07E6">
        <w:rPr>
          <w:rFonts w:eastAsia="Times New Roman"/>
          <w:lang w:eastAsia="en-GB"/>
        </w:rPr>
        <w:t xml:space="preserve"> read out the statement.</w:t>
      </w:r>
      <w:r>
        <w:rPr>
          <w:rFonts w:eastAsia="Times New Roman"/>
          <w:lang w:eastAsia="en-GB"/>
        </w:rPr>
        <w:t xml:space="preserve"> </w:t>
      </w:r>
    </w:p>
    <w:p w14:paraId="30415118" w14:textId="5E8FA048" w:rsidR="00DE07E6" w:rsidRPr="00DE07E6" w:rsidRDefault="00DE07E6" w:rsidP="00DE07E6">
      <w:pPr>
        <w:spacing w:before="300" w:after="150" w:line="360" w:lineRule="auto"/>
        <w:outlineLvl w:val="3"/>
        <w:rPr>
          <w:rFonts w:eastAsia="Times New Roman"/>
          <w:b/>
          <w:bCs/>
          <w:color w:val="333333"/>
          <w:lang w:eastAsia="en-GB"/>
        </w:rPr>
      </w:pPr>
      <w:r w:rsidRPr="00DE07E6">
        <w:rPr>
          <w:rFonts w:eastAsia="Times New Roman"/>
          <w:b/>
          <w:bCs/>
          <w:color w:val="333333"/>
          <w:lang w:eastAsia="en-GB"/>
        </w:rPr>
        <w:t>Witness care units</w:t>
      </w:r>
    </w:p>
    <w:p w14:paraId="7C779A77"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 xml:space="preserve">As part of the government’s ongoing programme to transform the experiences of victims and witnesses of crime, the Cabinet Office introduced witness care units (WCUs) across England and Wales. They are run by police and Crown Prosecution Service (CPS) staff, in </w:t>
      </w:r>
      <w:proofErr w:type="gramStart"/>
      <w:r w:rsidRPr="00DE07E6">
        <w:rPr>
          <w:rFonts w:eastAsia="Times New Roman"/>
          <w:lang w:eastAsia="en-GB"/>
        </w:rPr>
        <w:t>joint partnership</w:t>
      </w:r>
      <w:proofErr w:type="gramEnd"/>
      <w:r w:rsidRPr="00DE07E6">
        <w:rPr>
          <w:rFonts w:eastAsia="Times New Roman"/>
          <w:lang w:eastAsia="en-GB"/>
        </w:rPr>
        <w:t>.</w:t>
      </w:r>
    </w:p>
    <w:p w14:paraId="136DBE98"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 xml:space="preserve">The units are a single point of contact for victims and </w:t>
      </w:r>
      <w:proofErr w:type="gramStart"/>
      <w:r w:rsidRPr="00DE07E6">
        <w:rPr>
          <w:rFonts w:eastAsia="Times New Roman"/>
          <w:lang w:eastAsia="en-GB"/>
        </w:rPr>
        <w:t>witnesses, and</w:t>
      </w:r>
      <w:proofErr w:type="gramEnd"/>
      <w:r w:rsidRPr="00DE07E6">
        <w:rPr>
          <w:rFonts w:eastAsia="Times New Roman"/>
          <w:lang w:eastAsia="en-GB"/>
        </w:rPr>
        <w:t xml:space="preserve"> provide support and information from the point of charge through to the conclusion of the case, tailored to the needs of the victim or witness. By being better equipped, witnesses are more likely to feel confident and be willing to support the prosecution process. WCUs aim to achieve positive outcomes for the criminal justice system, by having fewer failed cases and more offences brought to justice, in addition to improving the experience for victims and witnesses.</w:t>
      </w:r>
    </w:p>
    <w:p w14:paraId="74358E54" w14:textId="5498A4F5" w:rsidR="00DE07E6" w:rsidRDefault="00DE07E6" w:rsidP="00DE07E6">
      <w:pPr>
        <w:spacing w:after="150" w:line="360" w:lineRule="auto"/>
        <w:rPr>
          <w:rFonts w:eastAsia="Times New Roman"/>
          <w:lang w:eastAsia="en-GB"/>
        </w:rPr>
      </w:pPr>
      <w:r w:rsidRPr="00DE07E6">
        <w:rPr>
          <w:rFonts w:eastAsia="Times New Roman"/>
          <w:lang w:eastAsia="en-GB"/>
        </w:rPr>
        <w:t>Each CPS area should have a local protocol which clearly sets out the roles and responsibilities for each WCU. WCUs do not affect the obligations placed on the police and prosecutors to inform victims of decisions as set out by </w:t>
      </w:r>
      <w:hyperlink r:id="rId11" w:tgtFrame="_blank" w:tooltip="Code of Practice for Victims of Crime" w:history="1">
        <w:r w:rsidRPr="00DE07E6">
          <w:rPr>
            <w:rFonts w:eastAsia="Times New Roman"/>
            <w:lang w:eastAsia="en-GB"/>
          </w:rPr>
          <w:t>Ministry of Justice (2015) Code of Practice for Victims of Crime</w:t>
        </w:r>
      </w:hyperlink>
      <w:r w:rsidRPr="00DE07E6">
        <w:rPr>
          <w:rFonts w:eastAsia="Times New Roman"/>
          <w:lang w:eastAsia="en-GB"/>
        </w:rPr>
        <w:t>.</w:t>
      </w:r>
    </w:p>
    <w:p w14:paraId="7EFD3F84" w14:textId="0A3B5F1D" w:rsidR="00DE07E6" w:rsidRPr="00DE07E6" w:rsidRDefault="00DE07E6" w:rsidP="00DE07E6">
      <w:pPr>
        <w:spacing w:after="150" w:line="360" w:lineRule="auto"/>
        <w:rPr>
          <w:rFonts w:eastAsia="Times New Roman"/>
          <w:b/>
          <w:bCs/>
          <w:lang w:eastAsia="en-GB"/>
        </w:rPr>
      </w:pPr>
      <w:r w:rsidRPr="00DE07E6">
        <w:rPr>
          <w:rFonts w:eastAsia="Times New Roman"/>
          <w:b/>
          <w:bCs/>
          <w:lang w:eastAsia="en-GB"/>
        </w:rPr>
        <w:t xml:space="preserve">Responsibilities </w:t>
      </w:r>
    </w:p>
    <w:p w14:paraId="0FE6C77D"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WCUs oversee the provision to court of relevant documentation relating to victims and witnesses, for example, the </w:t>
      </w:r>
      <w:hyperlink r:id="rId12" w:tgtFrame="_blank" w:history="1">
        <w:r w:rsidRPr="00DE07E6">
          <w:rPr>
            <w:rFonts w:eastAsia="Times New Roman"/>
            <w:lang w:eastAsia="en-GB"/>
          </w:rPr>
          <w:t>victim personal statement</w:t>
        </w:r>
      </w:hyperlink>
      <w:r w:rsidRPr="00DE07E6">
        <w:rPr>
          <w:rFonts w:eastAsia="Times New Roman"/>
          <w:lang w:eastAsia="en-GB"/>
        </w:rPr>
        <w:t>. They also work closely with </w:t>
      </w:r>
      <w:hyperlink r:id="rId13" w:tgtFrame="_blank" w:tooltip="Victim Support Website" w:history="1">
        <w:r w:rsidRPr="00DE07E6">
          <w:rPr>
            <w:rFonts w:eastAsia="Times New Roman"/>
            <w:lang w:eastAsia="en-GB"/>
          </w:rPr>
          <w:t>Victim Support</w:t>
        </w:r>
      </w:hyperlink>
      <w:r w:rsidRPr="00DE07E6">
        <w:rPr>
          <w:rFonts w:eastAsia="Times New Roman"/>
          <w:lang w:eastAsia="en-GB"/>
        </w:rPr>
        <w:t>.</w:t>
      </w:r>
    </w:p>
    <w:p w14:paraId="237FAFC6" w14:textId="639E349A" w:rsidR="00DE07E6" w:rsidRPr="00DE07E6" w:rsidRDefault="00DE07E6" w:rsidP="00DE07E6">
      <w:pPr>
        <w:spacing w:after="150" w:line="360" w:lineRule="auto"/>
        <w:rPr>
          <w:rFonts w:eastAsia="Times New Roman"/>
          <w:lang w:eastAsia="en-GB"/>
        </w:rPr>
      </w:pPr>
      <w:r w:rsidRPr="00DE07E6">
        <w:rPr>
          <w:rFonts w:eastAsia="Times New Roman"/>
          <w:lang w:eastAsia="en-GB"/>
        </w:rPr>
        <w:lastRenderedPageBreak/>
        <w:t>The witness care officer (WCO) is the central point of contact in a WCU for a victim/witness, from the time an offender is charged to the end of the court case. Arrangements for managing contact should be clarified and agreed by the WCO with the officer in the case on a case-by-case basis. The WCO:</w:t>
      </w:r>
    </w:p>
    <w:p w14:paraId="420418AB" w14:textId="77777777" w:rsidR="00DE07E6" w:rsidRPr="00DE07E6" w:rsidRDefault="00DE07E6" w:rsidP="00DE07E6">
      <w:pPr>
        <w:numPr>
          <w:ilvl w:val="0"/>
          <w:numId w:val="6"/>
        </w:numPr>
        <w:spacing w:before="100" w:beforeAutospacing="1" w:after="100" w:afterAutospacing="1" w:line="360" w:lineRule="auto"/>
        <w:rPr>
          <w:rFonts w:eastAsia="Times New Roman"/>
          <w:lang w:eastAsia="en-GB"/>
        </w:rPr>
      </w:pPr>
      <w:r w:rsidRPr="00DE07E6">
        <w:rPr>
          <w:rFonts w:eastAsia="Times New Roman"/>
          <w:lang w:eastAsia="en-GB"/>
        </w:rPr>
        <w:t>informs a victim/witness of trial dates</w:t>
      </w:r>
    </w:p>
    <w:p w14:paraId="32332838" w14:textId="77777777" w:rsidR="00DE07E6" w:rsidRPr="00DE07E6" w:rsidRDefault="00DE07E6" w:rsidP="00DE07E6">
      <w:pPr>
        <w:numPr>
          <w:ilvl w:val="0"/>
          <w:numId w:val="6"/>
        </w:numPr>
        <w:spacing w:before="100" w:beforeAutospacing="1" w:after="100" w:afterAutospacing="1" w:line="360" w:lineRule="auto"/>
        <w:rPr>
          <w:rFonts w:eastAsia="Times New Roman"/>
          <w:lang w:eastAsia="en-GB"/>
        </w:rPr>
      </w:pPr>
      <w:r w:rsidRPr="00DE07E6">
        <w:rPr>
          <w:rFonts w:eastAsia="Times New Roman"/>
          <w:lang w:eastAsia="en-GB"/>
        </w:rPr>
        <w:t>monitors dates that they cannot attend court</w:t>
      </w:r>
    </w:p>
    <w:p w14:paraId="6F9ACCD9" w14:textId="77777777" w:rsidR="00DE07E6" w:rsidRPr="00DE07E6" w:rsidRDefault="00DE07E6" w:rsidP="00DE07E6">
      <w:pPr>
        <w:numPr>
          <w:ilvl w:val="0"/>
          <w:numId w:val="6"/>
        </w:numPr>
        <w:spacing w:before="100" w:beforeAutospacing="1" w:after="100" w:afterAutospacing="1" w:line="360" w:lineRule="auto"/>
        <w:rPr>
          <w:rFonts w:eastAsia="Times New Roman"/>
          <w:lang w:eastAsia="en-GB"/>
        </w:rPr>
      </w:pPr>
      <w:r w:rsidRPr="00DE07E6">
        <w:rPr>
          <w:rFonts w:eastAsia="Times New Roman"/>
          <w:lang w:eastAsia="en-GB"/>
        </w:rPr>
        <w:t>carries out a detailed needs assessment to identify the support needed to enable witnesses to attend court and to give their </w:t>
      </w:r>
      <w:hyperlink r:id="rId14" w:tgtFrame="_blank" w:history="1">
        <w:r w:rsidRPr="00DE07E6">
          <w:rPr>
            <w:rFonts w:eastAsia="Times New Roman"/>
            <w:lang w:eastAsia="en-GB"/>
          </w:rPr>
          <w:t>best evidence</w:t>
        </w:r>
      </w:hyperlink>
      <w:r w:rsidRPr="00DE07E6">
        <w:rPr>
          <w:rFonts w:eastAsia="Times New Roman"/>
          <w:lang w:eastAsia="en-GB"/>
        </w:rPr>
        <w:t>. This includes any requirement for special measures for vulnerable and intimidated witnesses.</w:t>
      </w:r>
    </w:p>
    <w:p w14:paraId="20B19F3D"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The WCO ensures that these special measures, including, for example, pre-trial court familiarisation visits, are made available via the </w:t>
      </w:r>
      <w:hyperlink r:id="rId15" w:tgtFrame="_blank" w:tooltip="Victim Support Website" w:history="1">
        <w:r w:rsidRPr="00DE07E6">
          <w:rPr>
            <w:rFonts w:eastAsia="Times New Roman"/>
            <w:lang w:eastAsia="en-GB"/>
          </w:rPr>
          <w:t>Witness Service</w:t>
        </w:r>
      </w:hyperlink>
      <w:r w:rsidRPr="00DE07E6">
        <w:rPr>
          <w:rFonts w:eastAsia="Times New Roman"/>
          <w:lang w:eastAsia="en-GB"/>
        </w:rPr>
        <w:t xml:space="preserve">. If help is required on the day of the trial, </w:t>
      </w:r>
      <w:proofErr w:type="spellStart"/>
      <w:r w:rsidRPr="00DE07E6">
        <w:rPr>
          <w:rFonts w:eastAsia="Times New Roman"/>
          <w:lang w:eastAsia="en-GB"/>
        </w:rPr>
        <w:t>eg</w:t>
      </w:r>
      <w:proofErr w:type="spellEnd"/>
      <w:r w:rsidRPr="00DE07E6">
        <w:rPr>
          <w:rFonts w:eastAsia="Times New Roman"/>
          <w:lang w:eastAsia="en-GB"/>
        </w:rPr>
        <w:t>, childcare provision, the WCO will arrange this. They also update victims/witnesses of a trial outcome within one day of the court’s decision.</w:t>
      </w:r>
    </w:p>
    <w:p w14:paraId="5936AB1E"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For victims/witnesses in cases of rape, domestic violence and those involving crimes against children, a specially trained police officer may be assigned as the point of contact and fulfil a similar role to that of a WCO.</w:t>
      </w:r>
    </w:p>
    <w:p w14:paraId="467B7FA9" w14:textId="7B378209" w:rsidR="00DE07E6" w:rsidRDefault="00DE07E6" w:rsidP="00DE07E6">
      <w:pPr>
        <w:pStyle w:val="Heading4"/>
        <w:spacing w:before="300" w:beforeAutospacing="0" w:after="150" w:afterAutospacing="0"/>
        <w:rPr>
          <w:rFonts w:ascii="Arial" w:hAnsi="Arial" w:cs="Arial"/>
          <w:color w:val="333333"/>
        </w:rPr>
      </w:pPr>
      <w:r w:rsidRPr="00DE07E6">
        <w:rPr>
          <w:rFonts w:ascii="Arial" w:hAnsi="Arial" w:cs="Arial"/>
          <w:color w:val="333333"/>
        </w:rPr>
        <w:t>Special measures for vulnerable and intimidated witnesses</w:t>
      </w:r>
    </w:p>
    <w:p w14:paraId="27B06120"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A </w:t>
      </w:r>
      <w:hyperlink r:id="rId16" w:tgtFrame="_blank" w:history="1">
        <w:r w:rsidRPr="00DE07E6">
          <w:rPr>
            <w:rStyle w:val="Hyperlink"/>
            <w:rFonts w:ascii="Arial" w:hAnsi="Arial" w:cs="Arial"/>
            <w:color w:val="auto"/>
            <w:u w:val="none"/>
          </w:rPr>
          <w:t>vulnerable and intimidated witness</w:t>
        </w:r>
      </w:hyperlink>
      <w:r w:rsidRPr="00DE07E6">
        <w:rPr>
          <w:rFonts w:ascii="Arial" w:hAnsi="Arial" w:cs="Arial"/>
        </w:rPr>
        <w:t> may require special measures, which are provided on the basis of a witness’s vulnerability. An </w:t>
      </w:r>
      <w:hyperlink r:id="rId17" w:tgtFrame="_blank" w:history="1">
        <w:r w:rsidRPr="00DE07E6">
          <w:rPr>
            <w:rStyle w:val="Hyperlink"/>
            <w:rFonts w:ascii="Arial" w:hAnsi="Arial" w:cs="Arial"/>
            <w:color w:val="auto"/>
            <w:u w:val="none"/>
          </w:rPr>
          <w:t>application for special measures</w:t>
        </w:r>
      </w:hyperlink>
      <w:r w:rsidRPr="00DE07E6">
        <w:rPr>
          <w:rFonts w:ascii="Arial" w:hAnsi="Arial" w:cs="Arial"/>
        </w:rPr>
        <w:t xml:space="preserve"> is made to the court by a prosecutor or the defence. The court can also raise the </w:t>
      </w:r>
      <w:proofErr w:type="gramStart"/>
      <w:r w:rsidRPr="00DE07E6">
        <w:rPr>
          <w:rFonts w:ascii="Arial" w:hAnsi="Arial" w:cs="Arial"/>
        </w:rPr>
        <w:t>question, and</w:t>
      </w:r>
      <w:proofErr w:type="gramEnd"/>
      <w:r w:rsidRPr="00DE07E6">
        <w:rPr>
          <w:rFonts w:ascii="Arial" w:hAnsi="Arial" w:cs="Arial"/>
        </w:rPr>
        <w:t xml:space="preserve"> decide on whether special measures and other support should apply.</w:t>
      </w:r>
    </w:p>
    <w:p w14:paraId="348AD6ED"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The police and the prosecutor should consider special measures options at the earliest stage in the proceedings.</w:t>
      </w:r>
    </w:p>
    <w:p w14:paraId="4D6414D1" w14:textId="77777777" w:rsidR="00DE07E6" w:rsidRPr="00DE07E6" w:rsidRDefault="00DE07E6" w:rsidP="00DE07E6">
      <w:pPr>
        <w:pStyle w:val="Heading5"/>
        <w:spacing w:before="150" w:after="150" w:line="360" w:lineRule="auto"/>
        <w:rPr>
          <w:rFonts w:ascii="Arial" w:hAnsi="Arial" w:cs="Arial"/>
          <w:color w:val="auto"/>
        </w:rPr>
      </w:pPr>
      <w:bookmarkStart w:id="0" w:name="special-measures-options"/>
      <w:bookmarkEnd w:id="0"/>
      <w:r w:rsidRPr="00DE07E6">
        <w:rPr>
          <w:rFonts w:ascii="Arial" w:hAnsi="Arial" w:cs="Arial"/>
          <w:color w:val="auto"/>
        </w:rPr>
        <w:t>Special measures options</w:t>
      </w:r>
    </w:p>
    <w:p w14:paraId="137F8426"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These include, but are not limited to:</w:t>
      </w:r>
    </w:p>
    <w:p w14:paraId="1DFD60B3" w14:textId="77777777" w:rsidR="00DE07E6" w:rsidRPr="00DE07E6" w:rsidRDefault="00DE07E6" w:rsidP="00DE07E6">
      <w:pPr>
        <w:numPr>
          <w:ilvl w:val="0"/>
          <w:numId w:val="7"/>
        </w:numPr>
        <w:spacing w:before="100" w:beforeAutospacing="1" w:after="100" w:afterAutospacing="1" w:line="360" w:lineRule="auto"/>
      </w:pPr>
      <w:r w:rsidRPr="00DE07E6">
        <w:t>screening a witness from the accused</w:t>
      </w:r>
    </w:p>
    <w:p w14:paraId="1C738407" w14:textId="77777777" w:rsidR="00DE07E6" w:rsidRPr="00DE07E6" w:rsidRDefault="00DE07E6" w:rsidP="00DE07E6">
      <w:pPr>
        <w:numPr>
          <w:ilvl w:val="0"/>
          <w:numId w:val="7"/>
        </w:numPr>
        <w:spacing w:before="100" w:beforeAutospacing="1" w:after="100" w:afterAutospacing="1" w:line="360" w:lineRule="auto"/>
      </w:pPr>
      <w:r w:rsidRPr="00DE07E6">
        <w:lastRenderedPageBreak/>
        <w:t>giving evidence by live link</w:t>
      </w:r>
    </w:p>
    <w:p w14:paraId="169CC195" w14:textId="77777777" w:rsidR="00DE07E6" w:rsidRPr="00DE07E6" w:rsidRDefault="00DE07E6" w:rsidP="00DE07E6">
      <w:pPr>
        <w:numPr>
          <w:ilvl w:val="0"/>
          <w:numId w:val="7"/>
        </w:numPr>
        <w:spacing w:before="100" w:beforeAutospacing="1" w:after="100" w:afterAutospacing="1" w:line="360" w:lineRule="auto"/>
      </w:pPr>
      <w:r w:rsidRPr="00DE07E6">
        <w:t>giving evidence in private in a sexual case or where the court considers that the witness may be vulnerable or intimidated</w:t>
      </w:r>
    </w:p>
    <w:p w14:paraId="16BB3E15" w14:textId="77777777" w:rsidR="00DE07E6" w:rsidRPr="00DE07E6" w:rsidRDefault="00DE07E6" w:rsidP="00DE07E6">
      <w:pPr>
        <w:numPr>
          <w:ilvl w:val="0"/>
          <w:numId w:val="7"/>
        </w:numPr>
        <w:spacing w:before="100" w:beforeAutospacing="1" w:after="100" w:afterAutospacing="1" w:line="360" w:lineRule="auto"/>
      </w:pPr>
      <w:r w:rsidRPr="00DE07E6">
        <w:t>ordering the removal of wigs and gowns</w:t>
      </w:r>
    </w:p>
    <w:p w14:paraId="28497403" w14:textId="77777777" w:rsidR="00DE07E6" w:rsidRPr="00DE07E6" w:rsidRDefault="00DE07E6" w:rsidP="00DE07E6">
      <w:pPr>
        <w:numPr>
          <w:ilvl w:val="0"/>
          <w:numId w:val="7"/>
        </w:numPr>
        <w:spacing w:before="100" w:beforeAutospacing="1" w:after="100" w:afterAutospacing="1" w:line="360" w:lineRule="auto"/>
      </w:pPr>
      <w:r w:rsidRPr="00DE07E6">
        <w:t>video-recorded evidence in chief</w:t>
      </w:r>
    </w:p>
    <w:p w14:paraId="24F45C67" w14:textId="77777777" w:rsidR="00DE07E6" w:rsidRPr="00DE07E6" w:rsidRDefault="00DE07E6" w:rsidP="00DE07E6">
      <w:pPr>
        <w:numPr>
          <w:ilvl w:val="0"/>
          <w:numId w:val="7"/>
        </w:numPr>
        <w:spacing w:before="100" w:beforeAutospacing="1" w:after="100" w:afterAutospacing="1" w:line="360" w:lineRule="auto"/>
      </w:pPr>
      <w:r w:rsidRPr="00DE07E6">
        <w:t>witness intermediaries to enhance witness communication (available only to eligible vulnerable witnesses)</w:t>
      </w:r>
    </w:p>
    <w:p w14:paraId="4D898F91" w14:textId="333560FF" w:rsidR="00DE07E6" w:rsidRDefault="00DE07E6" w:rsidP="00DE07E6">
      <w:pPr>
        <w:numPr>
          <w:ilvl w:val="0"/>
          <w:numId w:val="7"/>
        </w:numPr>
        <w:spacing w:before="100" w:beforeAutospacing="1" w:after="100" w:afterAutospacing="1" w:line="360" w:lineRule="auto"/>
      </w:pPr>
      <w:r w:rsidRPr="00DE07E6">
        <w:t xml:space="preserve">aids to communication, </w:t>
      </w:r>
      <w:proofErr w:type="spellStart"/>
      <w:r w:rsidRPr="00DE07E6">
        <w:t>eg</w:t>
      </w:r>
      <w:proofErr w:type="spellEnd"/>
      <w:r w:rsidRPr="00DE07E6">
        <w:t>, alphabet boards (available only to eligible vulnerable witnesses).</w:t>
      </w:r>
    </w:p>
    <w:p w14:paraId="4AEA6A30" w14:textId="77777777" w:rsidR="00DE07E6" w:rsidRPr="00DE07E6" w:rsidRDefault="00DE07E6" w:rsidP="00DE07E6">
      <w:pPr>
        <w:pStyle w:val="Heading4"/>
        <w:spacing w:before="300" w:beforeAutospacing="0" w:after="150" w:afterAutospacing="0" w:line="360" w:lineRule="auto"/>
        <w:rPr>
          <w:rFonts w:ascii="Arial" w:hAnsi="Arial" w:cs="Arial"/>
        </w:rPr>
      </w:pPr>
      <w:r w:rsidRPr="00DE07E6">
        <w:rPr>
          <w:rFonts w:ascii="Arial" w:hAnsi="Arial" w:cs="Arial"/>
        </w:rPr>
        <w:t>Very young witnesses</w:t>
      </w:r>
    </w:p>
    <w:p w14:paraId="1DF87EE5"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Very young children are particularly vulnerable within the criminal justice process. They may find the process frightening and stressful and they are likely to forget details more quickly than other witnesses. Special measures may not be sufficient to enable them to give their best evidence.</w:t>
      </w:r>
    </w:p>
    <w:p w14:paraId="6128C74B"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In recognition of this, ACPO, the CPS and Her Majesty’s Court and Tribunals Service have adopted a </w:t>
      </w:r>
      <w:hyperlink r:id="rId18" w:tgtFrame="_blank" w:history="1">
        <w:r w:rsidRPr="00DE07E6">
          <w:rPr>
            <w:rStyle w:val="Hyperlink"/>
            <w:rFonts w:ascii="Arial" w:hAnsi="Arial" w:cs="Arial"/>
            <w:color w:val="auto"/>
            <w:u w:val="none"/>
          </w:rPr>
          <w:t>protocol to expedite cases involving witnesses under 10 years</w:t>
        </w:r>
      </w:hyperlink>
      <w:r w:rsidRPr="00DE07E6">
        <w:rPr>
          <w:rFonts w:ascii="Arial" w:hAnsi="Arial" w:cs="Arial"/>
        </w:rPr>
        <w:t>. It applies to cases charged on or after 1 April 2015 where a witness is under 10 at the time the incident is reported to the police and that witness has provided an evidential statement or ABE interview about the incident. The child can be a witness for either the prosecution or the defence. The protocol sets out the signatories’ obligations to be expeditious at all stages of the investigation and prosecution.</w:t>
      </w:r>
    </w:p>
    <w:p w14:paraId="7472799C" w14:textId="77777777" w:rsidR="00DE07E6" w:rsidRPr="00DE07E6" w:rsidRDefault="00DE07E6" w:rsidP="00DE07E6">
      <w:pPr>
        <w:pStyle w:val="Heading4"/>
        <w:spacing w:before="300" w:beforeAutospacing="0" w:after="150" w:afterAutospacing="0" w:line="360" w:lineRule="auto"/>
        <w:rPr>
          <w:rFonts w:ascii="Arial" w:hAnsi="Arial" w:cs="Arial"/>
        </w:rPr>
      </w:pPr>
      <w:bookmarkStart w:id="1" w:name="victim-witness-withdrawal-of-support-for"/>
      <w:bookmarkEnd w:id="1"/>
      <w:r w:rsidRPr="00DE07E6">
        <w:rPr>
          <w:rFonts w:ascii="Arial" w:hAnsi="Arial" w:cs="Arial"/>
        </w:rPr>
        <w:t>Victim/witness withdrawal of support for prosecution</w:t>
      </w:r>
    </w:p>
    <w:p w14:paraId="66B04F0E"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 xml:space="preserve">Victims and witnesses may withdraw support for a prosecution for </w:t>
      </w:r>
      <w:proofErr w:type="gramStart"/>
      <w:r w:rsidRPr="00DE07E6">
        <w:rPr>
          <w:rFonts w:ascii="Arial" w:hAnsi="Arial" w:cs="Arial"/>
        </w:rPr>
        <w:t>a number of</w:t>
      </w:r>
      <w:proofErr w:type="gramEnd"/>
      <w:r w:rsidRPr="00DE07E6">
        <w:rPr>
          <w:rFonts w:ascii="Arial" w:hAnsi="Arial" w:cs="Arial"/>
        </w:rPr>
        <w:t xml:space="preserve"> reasons. This could be because of a fear of reprisals, witness intimidation, anxiety caused by a forthcoming court case or because they lack support and information about an impending court case. A request to withdraw support for the prosecution might be made directly to the police or via the CPS, through a statement of withdrawal of support for prosecution.</w:t>
      </w:r>
    </w:p>
    <w:p w14:paraId="14D5AFD2"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 xml:space="preserve">The reviewing prosecutor must apply the evidential and public interest tests to this statement of withdrawal. When considering the public interest, the consequences on the victim/witness of the decision made </w:t>
      </w:r>
      <w:proofErr w:type="gramStart"/>
      <w:r w:rsidRPr="00DE07E6">
        <w:rPr>
          <w:rFonts w:ascii="Arial" w:hAnsi="Arial" w:cs="Arial"/>
        </w:rPr>
        <w:t>whether or not</w:t>
      </w:r>
      <w:proofErr w:type="gramEnd"/>
      <w:r w:rsidRPr="00DE07E6">
        <w:rPr>
          <w:rFonts w:ascii="Arial" w:hAnsi="Arial" w:cs="Arial"/>
        </w:rPr>
        <w:t xml:space="preserve"> to prosecute should be taken </w:t>
      </w:r>
      <w:r w:rsidRPr="00DE07E6">
        <w:rPr>
          <w:rFonts w:ascii="Arial" w:hAnsi="Arial" w:cs="Arial"/>
        </w:rPr>
        <w:lastRenderedPageBreak/>
        <w:t>into account. This includes any views expressed by the victim/witness. In assessing the statement of withdrawal, there are specific </w:t>
      </w:r>
      <w:hyperlink r:id="rId19" w:anchor="public-interest-considerations" w:history="1">
        <w:r w:rsidRPr="00DE07E6">
          <w:rPr>
            <w:rStyle w:val="Hyperlink"/>
            <w:rFonts w:ascii="Arial" w:hAnsi="Arial" w:cs="Arial"/>
            <w:color w:val="auto"/>
            <w:u w:val="none"/>
          </w:rPr>
          <w:t>public interest considerations</w:t>
        </w:r>
      </w:hyperlink>
      <w:r w:rsidRPr="00DE07E6">
        <w:rPr>
          <w:rFonts w:ascii="Arial" w:hAnsi="Arial" w:cs="Arial"/>
        </w:rPr>
        <w:t> for the prosecutor.</w:t>
      </w:r>
    </w:p>
    <w:p w14:paraId="64C6B5B2"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In some cases an </w:t>
      </w:r>
      <w:hyperlink r:id="rId20" w:tgtFrame="_blank" w:history="1">
        <w:r w:rsidRPr="00DE07E6">
          <w:rPr>
            <w:rStyle w:val="Hyperlink"/>
            <w:rFonts w:ascii="Arial" w:hAnsi="Arial" w:cs="Arial"/>
            <w:color w:val="auto"/>
            <w:u w:val="none"/>
          </w:rPr>
          <w:t>application for special measures</w:t>
        </w:r>
      </w:hyperlink>
      <w:r w:rsidRPr="00DE07E6">
        <w:rPr>
          <w:rFonts w:ascii="Arial" w:hAnsi="Arial" w:cs="Arial"/>
        </w:rPr>
        <w:t> may provide sufficient reassurance to the victim/witness for them to decide to reconsider and to support a prosecution.</w:t>
      </w:r>
    </w:p>
    <w:p w14:paraId="36356686"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 xml:space="preserve">However, if after receiving a request from the investigator or prosecutor a </w:t>
      </w:r>
      <w:proofErr w:type="gramStart"/>
      <w:r w:rsidRPr="00DE07E6">
        <w:rPr>
          <w:rFonts w:ascii="Arial" w:hAnsi="Arial" w:cs="Arial"/>
        </w:rPr>
        <w:t>third party</w:t>
      </w:r>
      <w:proofErr w:type="gramEnd"/>
      <w:r w:rsidRPr="00DE07E6">
        <w:rPr>
          <w:rFonts w:ascii="Arial" w:hAnsi="Arial" w:cs="Arial"/>
        </w:rPr>
        <w:t xml:space="preserve"> refuses to cooperate, the prosecutor can consider whether to make an application for a witness summons.</w:t>
      </w:r>
    </w:p>
    <w:p w14:paraId="39AAFBFF" w14:textId="77777777" w:rsidR="00DE07E6" w:rsidRPr="00DE07E6" w:rsidRDefault="00DE07E6" w:rsidP="00DE07E6">
      <w:pPr>
        <w:pStyle w:val="Heading5"/>
        <w:spacing w:before="150" w:after="150" w:line="360" w:lineRule="auto"/>
        <w:rPr>
          <w:rFonts w:ascii="Arial" w:hAnsi="Arial" w:cs="Arial"/>
          <w:color w:val="auto"/>
        </w:rPr>
      </w:pPr>
      <w:bookmarkStart w:id="2" w:name="statement-of-withdrawal-of-support"/>
      <w:bookmarkEnd w:id="2"/>
      <w:r w:rsidRPr="00DE07E6">
        <w:rPr>
          <w:rFonts w:ascii="Arial" w:hAnsi="Arial" w:cs="Arial"/>
          <w:color w:val="auto"/>
        </w:rPr>
        <w:t>Statement of withdrawal of support</w:t>
      </w:r>
    </w:p>
    <w:p w14:paraId="6F922CE4"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This should contain:</w:t>
      </w:r>
    </w:p>
    <w:p w14:paraId="55D11D10" w14:textId="77777777" w:rsidR="00DE07E6" w:rsidRPr="00DE07E6" w:rsidRDefault="00DE07E6" w:rsidP="00DE07E6">
      <w:pPr>
        <w:numPr>
          <w:ilvl w:val="0"/>
          <w:numId w:val="8"/>
        </w:numPr>
        <w:spacing w:before="100" w:beforeAutospacing="1" w:after="100" w:afterAutospacing="1" w:line="360" w:lineRule="auto"/>
      </w:pPr>
      <w:r w:rsidRPr="00DE07E6">
        <w:t xml:space="preserve">confirmation of whether the original statement given to the police was correct (if the account given in the original statement </w:t>
      </w:r>
      <w:proofErr w:type="gramStart"/>
      <w:r w:rsidRPr="00DE07E6">
        <w:t>has to</w:t>
      </w:r>
      <w:proofErr w:type="gramEnd"/>
      <w:r w:rsidRPr="00DE07E6">
        <w:t xml:space="preserve"> be amended, an application for this should be included)</w:t>
      </w:r>
    </w:p>
    <w:p w14:paraId="5254E0ED" w14:textId="77777777" w:rsidR="00DE07E6" w:rsidRPr="00DE07E6" w:rsidRDefault="00DE07E6" w:rsidP="00DE07E6">
      <w:pPr>
        <w:numPr>
          <w:ilvl w:val="0"/>
          <w:numId w:val="8"/>
        </w:numPr>
        <w:spacing w:before="100" w:beforeAutospacing="1" w:after="100" w:afterAutospacing="1" w:line="360" w:lineRule="auto"/>
      </w:pPr>
      <w:r w:rsidRPr="00DE07E6">
        <w:t>whether the victim has been put under pressure to withdraw or has been subjected to threats or intimidation</w:t>
      </w:r>
    </w:p>
    <w:p w14:paraId="1D45D671" w14:textId="77777777" w:rsidR="00DE07E6" w:rsidRPr="00DE07E6" w:rsidRDefault="00DE07E6" w:rsidP="00DE07E6">
      <w:pPr>
        <w:numPr>
          <w:ilvl w:val="0"/>
          <w:numId w:val="8"/>
        </w:numPr>
        <w:spacing w:before="100" w:beforeAutospacing="1" w:after="100" w:afterAutospacing="1" w:line="360" w:lineRule="auto"/>
      </w:pPr>
      <w:r w:rsidRPr="00DE07E6">
        <w:t>nature of the original allegation (if not fully covered in a previous statement)</w:t>
      </w:r>
    </w:p>
    <w:p w14:paraId="1B406793" w14:textId="77777777" w:rsidR="00DE07E6" w:rsidRPr="00DE07E6" w:rsidRDefault="00DE07E6" w:rsidP="00DE07E6">
      <w:pPr>
        <w:numPr>
          <w:ilvl w:val="0"/>
          <w:numId w:val="8"/>
        </w:numPr>
        <w:spacing w:before="100" w:beforeAutospacing="1" w:after="100" w:afterAutospacing="1" w:line="360" w:lineRule="auto"/>
      </w:pPr>
      <w:r w:rsidRPr="00DE07E6">
        <w:t>victim’s reasons for withdrawing support for the prosecution</w:t>
      </w:r>
    </w:p>
    <w:p w14:paraId="10D22090" w14:textId="77777777" w:rsidR="00DE07E6" w:rsidRPr="00DE07E6" w:rsidRDefault="00DE07E6" w:rsidP="00DE07E6">
      <w:pPr>
        <w:numPr>
          <w:ilvl w:val="0"/>
          <w:numId w:val="8"/>
        </w:numPr>
        <w:spacing w:before="100" w:beforeAutospacing="1" w:after="100" w:afterAutospacing="1" w:line="360" w:lineRule="auto"/>
      </w:pPr>
      <w:r w:rsidRPr="00DE07E6">
        <w:t>with whom the victim has discussed the case, particularly anyone who has advised them (a solicitor, for example)</w:t>
      </w:r>
    </w:p>
    <w:p w14:paraId="6837E397" w14:textId="77777777" w:rsidR="00DE07E6" w:rsidRPr="00DE07E6" w:rsidRDefault="00DE07E6" w:rsidP="00DE07E6">
      <w:pPr>
        <w:numPr>
          <w:ilvl w:val="0"/>
          <w:numId w:val="8"/>
        </w:numPr>
        <w:spacing w:before="100" w:beforeAutospacing="1" w:after="100" w:afterAutospacing="1" w:line="360" w:lineRule="auto"/>
      </w:pPr>
      <w:r w:rsidRPr="00DE07E6">
        <w:t>whether any related civil proceedings have been or are likely to be instigated (this is particularly relevant in domestic serious sexual offences)</w:t>
      </w:r>
    </w:p>
    <w:p w14:paraId="4323094C" w14:textId="77777777" w:rsidR="00DE07E6" w:rsidRPr="00DE07E6" w:rsidRDefault="00DE07E6" w:rsidP="00DE07E6">
      <w:pPr>
        <w:numPr>
          <w:ilvl w:val="0"/>
          <w:numId w:val="8"/>
        </w:numPr>
        <w:spacing w:before="100" w:beforeAutospacing="1" w:after="100" w:afterAutospacing="1" w:line="360" w:lineRule="auto"/>
      </w:pPr>
      <w:r w:rsidRPr="00DE07E6">
        <w:t>the likely impact on the victim’s life and that of other witnesses or people affected if the case continues.</w:t>
      </w:r>
    </w:p>
    <w:p w14:paraId="32288299" w14:textId="421F2F4B" w:rsid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Statements of withdrawal of support can be used as evidence in current or future criminal proceedings, or as evidence within the family court system. These statements should be retained as information that might be relevant to future investigations.</w:t>
      </w:r>
    </w:p>
    <w:p w14:paraId="4166181A" w14:textId="77777777" w:rsidR="00DE07E6" w:rsidRPr="00DE07E6" w:rsidRDefault="00DE07E6" w:rsidP="00DE07E6">
      <w:pPr>
        <w:pStyle w:val="NormalWeb"/>
        <w:spacing w:before="0" w:beforeAutospacing="0" w:after="150" w:afterAutospacing="0" w:line="360" w:lineRule="auto"/>
        <w:rPr>
          <w:rFonts w:ascii="Arial" w:hAnsi="Arial" w:cs="Arial"/>
        </w:rPr>
      </w:pPr>
    </w:p>
    <w:p w14:paraId="57270730" w14:textId="77777777" w:rsidR="00DE07E6" w:rsidRPr="00DE07E6" w:rsidRDefault="00DE07E6" w:rsidP="00DE07E6">
      <w:pPr>
        <w:pStyle w:val="Heading5"/>
        <w:spacing w:before="150" w:after="150" w:line="360" w:lineRule="auto"/>
        <w:rPr>
          <w:rFonts w:ascii="Arial" w:hAnsi="Arial" w:cs="Arial"/>
          <w:b/>
          <w:bCs/>
          <w:color w:val="auto"/>
        </w:rPr>
      </w:pPr>
      <w:bookmarkStart w:id="3" w:name="witness-summons"/>
      <w:bookmarkEnd w:id="3"/>
      <w:r w:rsidRPr="00DE07E6">
        <w:rPr>
          <w:rFonts w:ascii="Arial" w:hAnsi="Arial" w:cs="Arial"/>
          <w:b/>
          <w:bCs/>
          <w:color w:val="auto"/>
        </w:rPr>
        <w:lastRenderedPageBreak/>
        <w:t>Witness summons</w:t>
      </w:r>
    </w:p>
    <w:p w14:paraId="0F4BB3F4" w14:textId="77777777"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 xml:space="preserve">In some </w:t>
      </w:r>
      <w:proofErr w:type="gramStart"/>
      <w:r w:rsidRPr="00DE07E6">
        <w:rPr>
          <w:rFonts w:ascii="Arial" w:hAnsi="Arial" w:cs="Arial"/>
        </w:rPr>
        <w:t>cases</w:t>
      </w:r>
      <w:proofErr w:type="gramEnd"/>
      <w:r w:rsidRPr="00DE07E6">
        <w:rPr>
          <w:rFonts w:ascii="Arial" w:hAnsi="Arial" w:cs="Arial"/>
        </w:rPr>
        <w:t xml:space="preserve"> a witness summons may be necessary to compel a witness to give evidence. If this is required a summons will issued under </w:t>
      </w:r>
      <w:hyperlink r:id="rId21" w:tgtFrame="_blank" w:tooltip="Section 97 Magistrates' Courts Act 1980" w:history="1">
        <w:r w:rsidRPr="00DE07E6">
          <w:rPr>
            <w:rStyle w:val="Hyperlink"/>
            <w:rFonts w:ascii="Arial" w:hAnsi="Arial" w:cs="Arial"/>
            <w:color w:val="auto"/>
            <w:u w:val="none"/>
          </w:rPr>
          <w:t>section 97</w:t>
        </w:r>
      </w:hyperlink>
      <w:r w:rsidRPr="00DE07E6">
        <w:rPr>
          <w:rFonts w:ascii="Arial" w:hAnsi="Arial" w:cs="Arial"/>
        </w:rPr>
        <w:t>, Magistrates’ Courts Act 1980. The </w:t>
      </w:r>
      <w:hyperlink r:id="rId22" w:tgtFrame="_blank" w:tooltip="Criminal Procedure Rules 2011" w:history="1">
        <w:r w:rsidRPr="00DE07E6">
          <w:rPr>
            <w:rStyle w:val="Hyperlink"/>
            <w:rFonts w:ascii="Arial" w:hAnsi="Arial" w:cs="Arial"/>
            <w:color w:val="auto"/>
            <w:u w:val="none"/>
          </w:rPr>
          <w:t>Criminal Procedure Rules 2011</w:t>
        </w:r>
      </w:hyperlink>
      <w:r w:rsidRPr="00DE07E6">
        <w:rPr>
          <w:rFonts w:ascii="Arial" w:hAnsi="Arial" w:cs="Arial"/>
        </w:rPr>
        <w:t> set out how to apply for a witness summons.</w:t>
      </w:r>
    </w:p>
    <w:p w14:paraId="66434040" w14:textId="6BF5CAA3" w:rsid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If a decision is made to issue a witness summons this will be done in consultation with the CPS lawyer.</w:t>
      </w:r>
    </w:p>
    <w:p w14:paraId="65DB51C3" w14:textId="7814489A" w:rsidR="00DE07E6" w:rsidRPr="00DE07E6" w:rsidRDefault="00DE07E6" w:rsidP="00DE07E6">
      <w:pPr>
        <w:pStyle w:val="Heading4"/>
        <w:spacing w:before="300" w:beforeAutospacing="0" w:after="150" w:afterAutospacing="0" w:line="360" w:lineRule="auto"/>
        <w:rPr>
          <w:rFonts w:ascii="Arial" w:hAnsi="Arial" w:cs="Arial"/>
          <w:color w:val="333333"/>
        </w:rPr>
      </w:pPr>
      <w:r w:rsidRPr="00DE07E6">
        <w:rPr>
          <w:rFonts w:ascii="Arial" w:hAnsi="Arial" w:cs="Arial"/>
          <w:color w:val="333333"/>
        </w:rPr>
        <w:t>Victim and witness protection</w:t>
      </w:r>
    </w:p>
    <w:p w14:paraId="21053F50" w14:textId="77777777" w:rsidR="00DE07E6" w:rsidRPr="00DE07E6" w:rsidRDefault="00DE07E6" w:rsidP="00DE07E6">
      <w:pPr>
        <w:pStyle w:val="NormalWeb"/>
        <w:spacing w:before="0" w:beforeAutospacing="0" w:after="150" w:afterAutospacing="0" w:line="360" w:lineRule="auto"/>
        <w:rPr>
          <w:rFonts w:ascii="Arial" w:hAnsi="Arial" w:cs="Arial"/>
          <w:color w:val="333333"/>
        </w:rPr>
      </w:pPr>
      <w:r w:rsidRPr="00DE07E6">
        <w:rPr>
          <w:rFonts w:ascii="Arial" w:hAnsi="Arial" w:cs="Arial"/>
          <w:color w:val="333333"/>
        </w:rPr>
        <w:t>Keeping the victim informed of case progress should include a requirement for information on court hearing dates, court bail and court bail conditions.</w:t>
      </w:r>
    </w:p>
    <w:p w14:paraId="615A93E9" w14:textId="77777777" w:rsidR="00DE07E6" w:rsidRPr="00DE07E6" w:rsidRDefault="00DE07E6" w:rsidP="00DE07E6">
      <w:pPr>
        <w:pStyle w:val="NormalWeb"/>
        <w:spacing w:before="0" w:beforeAutospacing="0" w:after="150" w:afterAutospacing="0" w:line="360" w:lineRule="auto"/>
        <w:rPr>
          <w:rFonts w:ascii="Arial" w:hAnsi="Arial" w:cs="Arial"/>
          <w:color w:val="333333"/>
        </w:rPr>
      </w:pPr>
      <w:r w:rsidRPr="00DE07E6">
        <w:rPr>
          <w:rFonts w:ascii="Arial" w:hAnsi="Arial" w:cs="Arial"/>
          <w:color w:val="333333"/>
        </w:rPr>
        <w:t>The victim must be informed and updated by the police and/or CPS as appropriate if a suspect is:</w:t>
      </w:r>
    </w:p>
    <w:p w14:paraId="6AE94628" w14:textId="77777777" w:rsidR="00DE07E6" w:rsidRPr="00DE07E6" w:rsidRDefault="00DE07E6" w:rsidP="00DE07E6">
      <w:pPr>
        <w:numPr>
          <w:ilvl w:val="0"/>
          <w:numId w:val="9"/>
        </w:numPr>
        <w:spacing w:before="100" w:beforeAutospacing="1" w:after="100" w:afterAutospacing="1" w:line="360" w:lineRule="auto"/>
        <w:rPr>
          <w:color w:val="333333"/>
        </w:rPr>
      </w:pPr>
      <w:r w:rsidRPr="00DE07E6">
        <w:rPr>
          <w:color w:val="333333"/>
        </w:rPr>
        <w:t>charged with an offence in relation to relevant criminal conduct and is released on police bail</w:t>
      </w:r>
    </w:p>
    <w:p w14:paraId="123557AF" w14:textId="77777777" w:rsidR="00DE07E6" w:rsidRPr="00DE07E6" w:rsidRDefault="00DE07E6" w:rsidP="00DE07E6">
      <w:pPr>
        <w:numPr>
          <w:ilvl w:val="0"/>
          <w:numId w:val="9"/>
        </w:numPr>
        <w:spacing w:before="100" w:beforeAutospacing="1" w:after="100" w:afterAutospacing="1" w:line="360" w:lineRule="auto"/>
        <w:rPr>
          <w:color w:val="333333"/>
        </w:rPr>
      </w:pPr>
      <w:r w:rsidRPr="00DE07E6">
        <w:rPr>
          <w:color w:val="333333"/>
        </w:rPr>
        <w:t>given bail conditions or the bail conditions are amended</w:t>
      </w:r>
    </w:p>
    <w:p w14:paraId="23717E76" w14:textId="77777777" w:rsidR="00DE07E6" w:rsidRPr="00DE07E6" w:rsidRDefault="00DE07E6" w:rsidP="00DE07E6">
      <w:pPr>
        <w:numPr>
          <w:ilvl w:val="0"/>
          <w:numId w:val="9"/>
        </w:numPr>
        <w:spacing w:before="100" w:beforeAutospacing="1" w:after="100" w:afterAutospacing="1" w:line="360" w:lineRule="auto"/>
        <w:rPr>
          <w:color w:val="333333"/>
        </w:rPr>
      </w:pPr>
      <w:r w:rsidRPr="00DE07E6">
        <w:rPr>
          <w:color w:val="333333"/>
        </w:rPr>
        <w:t>remanded in custody or is administered a neighbourhood justice disposal.</w:t>
      </w:r>
    </w:p>
    <w:p w14:paraId="540D3CF3" w14:textId="77777777" w:rsidR="00DE07E6" w:rsidRPr="00DE07E6" w:rsidRDefault="00DE07E6" w:rsidP="00DE07E6">
      <w:pPr>
        <w:pStyle w:val="NormalWeb"/>
        <w:spacing w:before="0" w:beforeAutospacing="0" w:after="150" w:afterAutospacing="0" w:line="360" w:lineRule="auto"/>
        <w:rPr>
          <w:rFonts w:ascii="Arial" w:hAnsi="Arial" w:cs="Arial"/>
          <w:color w:val="333333"/>
        </w:rPr>
      </w:pPr>
      <w:r w:rsidRPr="00DE07E6">
        <w:rPr>
          <w:rFonts w:ascii="Arial" w:hAnsi="Arial" w:cs="Arial"/>
          <w:color w:val="333333"/>
        </w:rPr>
        <w:t>All details of persons granted bail by the police or granted bail by the courts with conditions are entered onto the police national computer (PNC). Suspects failing to meet the terms of their bail are circulated on the PNC with a wanted/missing entry.</w:t>
      </w:r>
    </w:p>
    <w:p w14:paraId="1AE80614" w14:textId="77777777" w:rsidR="00DE07E6" w:rsidRPr="00DE07E6" w:rsidRDefault="00DE07E6" w:rsidP="00DE07E6">
      <w:pPr>
        <w:pStyle w:val="NormalWeb"/>
        <w:spacing w:before="0" w:beforeAutospacing="0" w:after="150" w:afterAutospacing="0" w:line="360" w:lineRule="auto"/>
        <w:rPr>
          <w:rFonts w:ascii="Arial" w:hAnsi="Arial" w:cs="Arial"/>
          <w:color w:val="333333"/>
        </w:rPr>
      </w:pPr>
      <w:r w:rsidRPr="00DE07E6">
        <w:rPr>
          <w:rFonts w:ascii="Arial" w:hAnsi="Arial" w:cs="Arial"/>
          <w:color w:val="333333"/>
        </w:rPr>
        <w:t xml:space="preserve">Where a remand in custody is sought, consideration must be given to whether there is a risk of the defendant trying to intimidate witnesses (directly or indirectly) while remanded in custody. If there are grounds to believe that this is likely, full details of witnesses and their contact details must be included on </w:t>
      </w:r>
      <w:r w:rsidRPr="00DE07E6">
        <w:rPr>
          <w:rFonts w:ascii="Arial" w:hAnsi="Arial" w:cs="Arial"/>
        </w:rPr>
        <w:t>the </w:t>
      </w:r>
      <w:hyperlink r:id="rId23" w:anchor="page=83" w:tgtFrame="_blank" w:tooltip="MG6 Form" w:history="1">
        <w:r w:rsidRPr="00DE07E6">
          <w:rPr>
            <w:rStyle w:val="Hyperlink"/>
            <w:rFonts w:ascii="Arial" w:hAnsi="Arial" w:cs="Arial"/>
            <w:color w:val="auto"/>
            <w:u w:val="none"/>
          </w:rPr>
          <w:t>MG6 form</w:t>
        </w:r>
      </w:hyperlink>
      <w:r w:rsidRPr="00DE07E6">
        <w:rPr>
          <w:rFonts w:ascii="Arial" w:hAnsi="Arial" w:cs="Arial"/>
        </w:rPr>
        <w:t xml:space="preserve">. </w:t>
      </w:r>
      <w:r w:rsidRPr="00DE07E6">
        <w:rPr>
          <w:rFonts w:ascii="Arial" w:hAnsi="Arial" w:cs="Arial"/>
          <w:color w:val="333333"/>
        </w:rPr>
        <w:t xml:space="preserve">This information can then be passed to HM Prison Service </w:t>
      </w:r>
      <w:proofErr w:type="gramStart"/>
      <w:r w:rsidRPr="00DE07E6">
        <w:rPr>
          <w:rFonts w:ascii="Arial" w:hAnsi="Arial" w:cs="Arial"/>
          <w:color w:val="333333"/>
        </w:rPr>
        <w:t>in order to</w:t>
      </w:r>
      <w:proofErr w:type="gramEnd"/>
      <w:r w:rsidRPr="00DE07E6">
        <w:rPr>
          <w:rFonts w:ascii="Arial" w:hAnsi="Arial" w:cs="Arial"/>
          <w:color w:val="333333"/>
        </w:rPr>
        <w:t xml:space="preserve"> prevent the defendant from contacting witnesses while on remand.</w:t>
      </w:r>
    </w:p>
    <w:p w14:paraId="523DF1E6" w14:textId="77777777" w:rsidR="00DE07E6" w:rsidRPr="00DE07E6" w:rsidRDefault="00DE07E6" w:rsidP="00DE07E6">
      <w:pPr>
        <w:pStyle w:val="Heading4"/>
        <w:spacing w:before="300" w:beforeAutospacing="0" w:after="150" w:afterAutospacing="0" w:line="360" w:lineRule="auto"/>
        <w:rPr>
          <w:rFonts w:ascii="Arial" w:hAnsi="Arial" w:cs="Arial"/>
          <w:color w:val="333333"/>
        </w:rPr>
      </w:pPr>
      <w:bookmarkStart w:id="4" w:name="compensation"/>
      <w:bookmarkEnd w:id="4"/>
      <w:r w:rsidRPr="00DE07E6">
        <w:rPr>
          <w:rFonts w:ascii="Arial" w:hAnsi="Arial" w:cs="Arial"/>
          <w:color w:val="333333"/>
        </w:rPr>
        <w:t>Compensation</w:t>
      </w:r>
    </w:p>
    <w:p w14:paraId="2D75ED15" w14:textId="77777777" w:rsidR="00DE07E6" w:rsidRPr="00DE07E6" w:rsidRDefault="00DE07E6" w:rsidP="00DE07E6">
      <w:pPr>
        <w:pStyle w:val="NormalWeb"/>
        <w:spacing w:before="0" w:beforeAutospacing="0" w:after="150" w:afterAutospacing="0" w:line="360" w:lineRule="auto"/>
        <w:rPr>
          <w:rFonts w:ascii="Arial" w:hAnsi="Arial" w:cs="Arial"/>
          <w:color w:val="333333"/>
        </w:rPr>
      </w:pPr>
      <w:r w:rsidRPr="00DE07E6">
        <w:rPr>
          <w:rFonts w:ascii="Arial" w:hAnsi="Arial" w:cs="Arial"/>
          <w:color w:val="333333"/>
        </w:rPr>
        <w:t>Victims of a violent crime can be compensated for physical or mental injury either through the court or by application to the Criminal Injuries Compensation Authority (CICA).</w:t>
      </w:r>
    </w:p>
    <w:p w14:paraId="20150105" w14:textId="1C90D8C7" w:rsidR="00DE07E6" w:rsidRDefault="00DE07E6" w:rsidP="00DE07E6">
      <w:pPr>
        <w:pStyle w:val="Heading5"/>
        <w:spacing w:before="150" w:after="150" w:line="360" w:lineRule="auto"/>
        <w:rPr>
          <w:rFonts w:ascii="Arial" w:hAnsi="Arial" w:cs="Arial"/>
          <w:b/>
          <w:bCs/>
          <w:color w:val="333333"/>
        </w:rPr>
      </w:pPr>
      <w:bookmarkStart w:id="5" w:name="court-award"/>
      <w:bookmarkEnd w:id="5"/>
      <w:r w:rsidRPr="00DE07E6">
        <w:rPr>
          <w:rFonts w:ascii="Arial" w:hAnsi="Arial" w:cs="Arial"/>
          <w:b/>
          <w:bCs/>
          <w:color w:val="333333"/>
        </w:rPr>
        <w:lastRenderedPageBreak/>
        <w:t>Court award</w:t>
      </w:r>
    </w:p>
    <w:p w14:paraId="7BD9124C" w14:textId="7E4F5E95" w:rsidR="00DE07E6" w:rsidRPr="00DE07E6" w:rsidRDefault="00DE07E6" w:rsidP="00DE07E6">
      <w:pPr>
        <w:spacing w:line="360" w:lineRule="auto"/>
      </w:pPr>
      <w:r w:rsidRPr="00DE07E6">
        <w:t>The court may order a defendant to pay compensation for any injury, loss or damage resulting from an offence for which he or she has been convicted. The police should supply the victim with an </w:t>
      </w:r>
      <w:hyperlink r:id="rId24" w:anchor="page=115" w:tgtFrame="_blank" w:history="1">
        <w:r w:rsidRPr="00DE07E6">
          <w:rPr>
            <w:rStyle w:val="Hyperlink"/>
            <w:color w:val="auto"/>
            <w:u w:val="none"/>
          </w:rPr>
          <w:t>MG19 compensation claim form</w:t>
        </w:r>
      </w:hyperlink>
      <w:r w:rsidRPr="00DE07E6">
        <w:t> as soon as possible after a defendant has been charged, so that the victim can provide details of any financial loss or injury. In cases where a defendant pleads guilty at the first hearing, the court may make an order based on information contained in an </w:t>
      </w:r>
      <w:hyperlink r:id="rId25" w:anchor="page=78" w:tgtFrame="_blank" w:history="1">
        <w:r w:rsidRPr="00DE07E6">
          <w:rPr>
            <w:rStyle w:val="Hyperlink"/>
            <w:color w:val="auto"/>
            <w:u w:val="none"/>
          </w:rPr>
          <w:t>MG5 police report</w:t>
        </w:r>
      </w:hyperlink>
      <w:r w:rsidRPr="00DE07E6">
        <w:t>.</w:t>
      </w:r>
    </w:p>
    <w:p w14:paraId="24832C92" w14:textId="2E52F5BF" w:rsidR="00DE07E6" w:rsidRDefault="00DE07E6" w:rsidP="00DE07E6">
      <w:pPr>
        <w:pStyle w:val="Heading5"/>
        <w:spacing w:before="150" w:after="150"/>
        <w:rPr>
          <w:rFonts w:ascii="Arial" w:hAnsi="Arial" w:cs="Arial"/>
          <w:b/>
          <w:bCs/>
          <w:color w:val="333333"/>
        </w:rPr>
      </w:pPr>
      <w:r w:rsidRPr="00DE07E6">
        <w:rPr>
          <w:rFonts w:ascii="Arial" w:hAnsi="Arial" w:cs="Arial"/>
          <w:b/>
          <w:bCs/>
          <w:color w:val="333333"/>
        </w:rPr>
        <w:t>Criminal Injuries Compensation Authority</w:t>
      </w:r>
    </w:p>
    <w:p w14:paraId="7BB5DAB2"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The Criminal Injuries Compensation Scheme is a government funded scheme administered by the Criminal Injuries Compensation Authority (CICA).</w:t>
      </w:r>
    </w:p>
    <w:p w14:paraId="0A93C758"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 xml:space="preserve">Victims should be told about and offered in writing, information about their rights and entitlements in accordance with the victims Code, including compensation, from their first point of contact with the relevant service provider (see section 1.24 of the Code of Practice for Victims of Crime), the Ministry of Justice produces materials to help fulfil this duty, although your force may have its own local procedures. If you are </w:t>
      </w:r>
      <w:proofErr w:type="gramStart"/>
      <w:r w:rsidRPr="00DE07E6">
        <w:rPr>
          <w:rFonts w:eastAsia="Times New Roman"/>
          <w:lang w:eastAsia="en-GB"/>
        </w:rPr>
        <w:t>unsure</w:t>
      </w:r>
      <w:proofErr w:type="gramEnd"/>
      <w:r w:rsidRPr="00DE07E6">
        <w:rPr>
          <w:rFonts w:eastAsia="Times New Roman"/>
          <w:lang w:eastAsia="en-GB"/>
        </w:rPr>
        <w:t xml:space="preserve"> please check.</w:t>
      </w:r>
    </w:p>
    <w:p w14:paraId="62532500"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 xml:space="preserve">Forces should be aware that often the police are the only source for some of the information which CICA needs to verify an applicant’s eligibility in terms of the rules of the Schemes. There is a protocol between NPCC and CICA which set out these requirements entitled ‘Compensating Victims of Violent Crime – A Working </w:t>
      </w:r>
      <w:proofErr w:type="spellStart"/>
      <w:r w:rsidRPr="00DE07E6">
        <w:rPr>
          <w:rFonts w:eastAsia="Times New Roman"/>
          <w:lang w:eastAsia="en-GB"/>
        </w:rPr>
        <w:t>Prtotocol</w:t>
      </w:r>
      <w:proofErr w:type="spellEnd"/>
      <w:r w:rsidRPr="00DE07E6">
        <w:rPr>
          <w:rFonts w:eastAsia="Times New Roman"/>
          <w:lang w:eastAsia="en-GB"/>
        </w:rPr>
        <w:t xml:space="preserve"> Between Criminal Injuries Compensation Authority and National Police Chiefs Council’.</w:t>
      </w:r>
    </w:p>
    <w:p w14:paraId="2ABF6D62"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Through the compensation scheme CICA can consider claims for:</w:t>
      </w:r>
    </w:p>
    <w:p w14:paraId="0CD41029" w14:textId="77777777" w:rsidR="00DE07E6" w:rsidRPr="00DE07E6" w:rsidRDefault="00DE07E6" w:rsidP="00DE07E6">
      <w:pPr>
        <w:numPr>
          <w:ilvl w:val="0"/>
          <w:numId w:val="10"/>
        </w:numPr>
        <w:spacing w:before="100" w:beforeAutospacing="1" w:after="100" w:afterAutospacing="1" w:line="360" w:lineRule="auto"/>
        <w:rPr>
          <w:rFonts w:eastAsia="Times New Roman"/>
          <w:lang w:eastAsia="en-GB"/>
        </w:rPr>
      </w:pPr>
      <w:r w:rsidRPr="00DE07E6">
        <w:rPr>
          <w:rFonts w:eastAsia="Times New Roman"/>
          <w:lang w:eastAsia="en-GB"/>
        </w:rPr>
        <w:t>mental or physical injury following a crime of violence (as defined by the scheme)</w:t>
      </w:r>
    </w:p>
    <w:p w14:paraId="3E7CBA47" w14:textId="77777777" w:rsidR="00DE07E6" w:rsidRPr="00DE07E6" w:rsidRDefault="00DE07E6" w:rsidP="00DE07E6">
      <w:pPr>
        <w:numPr>
          <w:ilvl w:val="0"/>
          <w:numId w:val="10"/>
        </w:numPr>
        <w:spacing w:before="100" w:beforeAutospacing="1" w:after="100" w:afterAutospacing="1" w:line="360" w:lineRule="auto"/>
        <w:rPr>
          <w:rFonts w:eastAsia="Times New Roman"/>
          <w:lang w:eastAsia="en-GB"/>
        </w:rPr>
      </w:pPr>
      <w:r w:rsidRPr="00DE07E6">
        <w:rPr>
          <w:rFonts w:eastAsia="Times New Roman"/>
          <w:lang w:eastAsia="en-GB"/>
        </w:rPr>
        <w:t>sexual or physical abuse</w:t>
      </w:r>
    </w:p>
    <w:p w14:paraId="52031746" w14:textId="77777777" w:rsidR="00DE07E6" w:rsidRPr="00DE07E6" w:rsidRDefault="00DE07E6" w:rsidP="00DE07E6">
      <w:pPr>
        <w:numPr>
          <w:ilvl w:val="0"/>
          <w:numId w:val="10"/>
        </w:numPr>
        <w:spacing w:before="100" w:beforeAutospacing="1" w:after="100" w:afterAutospacing="1" w:line="360" w:lineRule="auto"/>
        <w:rPr>
          <w:rFonts w:eastAsia="Times New Roman"/>
          <w:lang w:eastAsia="en-GB"/>
        </w:rPr>
      </w:pPr>
      <w:r w:rsidRPr="00DE07E6">
        <w:rPr>
          <w:rFonts w:eastAsia="Times New Roman"/>
          <w:lang w:eastAsia="en-GB"/>
        </w:rPr>
        <w:t>loss of earnings ‒ where the victim has no or very limited capacity to work (for more than 28 weeks) as the direct result of a criminal injury</w:t>
      </w:r>
    </w:p>
    <w:p w14:paraId="5BA0BE55" w14:textId="77777777" w:rsidR="00DE07E6" w:rsidRPr="00DE07E6" w:rsidRDefault="00DE07E6" w:rsidP="00DE07E6">
      <w:pPr>
        <w:numPr>
          <w:ilvl w:val="0"/>
          <w:numId w:val="10"/>
        </w:numPr>
        <w:spacing w:before="100" w:beforeAutospacing="1" w:after="100" w:afterAutospacing="1" w:line="360" w:lineRule="auto"/>
        <w:rPr>
          <w:rFonts w:eastAsia="Times New Roman"/>
          <w:lang w:eastAsia="en-GB"/>
        </w:rPr>
      </w:pPr>
      <w:r w:rsidRPr="00DE07E6">
        <w:rPr>
          <w:rFonts w:eastAsia="Times New Roman"/>
          <w:lang w:eastAsia="en-GB"/>
        </w:rPr>
        <w:t>a fatality caused by a crime of violence, including bereavement payments, payments for loss of parental services and financial dependency, and funeral payments</w:t>
      </w:r>
    </w:p>
    <w:p w14:paraId="40B29DEB" w14:textId="77777777" w:rsidR="00DE07E6" w:rsidRPr="00DE07E6" w:rsidRDefault="00DE07E6" w:rsidP="00DE07E6">
      <w:pPr>
        <w:numPr>
          <w:ilvl w:val="0"/>
          <w:numId w:val="10"/>
        </w:numPr>
        <w:spacing w:before="100" w:beforeAutospacing="1" w:after="100" w:afterAutospacing="1" w:line="360" w:lineRule="auto"/>
        <w:rPr>
          <w:rFonts w:eastAsia="Times New Roman"/>
          <w:lang w:eastAsia="en-GB"/>
        </w:rPr>
      </w:pPr>
      <w:r w:rsidRPr="00DE07E6">
        <w:rPr>
          <w:rFonts w:eastAsia="Times New Roman"/>
          <w:lang w:eastAsia="en-GB"/>
        </w:rPr>
        <w:lastRenderedPageBreak/>
        <w:t xml:space="preserve">special expenses payments ‒ these cover certain costs incurred as a direct result of an </w:t>
      </w:r>
      <w:proofErr w:type="gramStart"/>
      <w:r w:rsidRPr="00DE07E6">
        <w:rPr>
          <w:rFonts w:eastAsia="Times New Roman"/>
          <w:lang w:eastAsia="en-GB"/>
        </w:rPr>
        <w:t>incident,</w:t>
      </w:r>
      <w:proofErr w:type="gramEnd"/>
      <w:r w:rsidRPr="00DE07E6">
        <w:rPr>
          <w:rFonts w:eastAsia="Times New Roman"/>
          <w:lang w:eastAsia="en-GB"/>
        </w:rPr>
        <w:t xml:space="preserve"> these are however limited to the expenses specified within the scheme. CICA will only consider special expenses if the victim has been unable to work or has been incapacitated to a similar extent for more than 28 weeks.</w:t>
      </w:r>
    </w:p>
    <w:p w14:paraId="1F610E73"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 xml:space="preserve">Not all claims for compensation will be successful. A victim must be eligible under the rules of the scheme. The scheme is intended to be a last resort. Victims are also entitled to seek compensation through the civil courts. If they wish to do so they should seek their own legal advice. Where the opportunity exists for the victim to pursue compensation </w:t>
      </w:r>
      <w:proofErr w:type="gramStart"/>
      <w:r w:rsidRPr="00DE07E6">
        <w:rPr>
          <w:rFonts w:eastAsia="Times New Roman"/>
          <w:lang w:eastAsia="en-GB"/>
        </w:rPr>
        <w:t>elsewhere</w:t>
      </w:r>
      <w:proofErr w:type="gramEnd"/>
      <w:r w:rsidRPr="00DE07E6">
        <w:rPr>
          <w:rFonts w:eastAsia="Times New Roman"/>
          <w:lang w:eastAsia="en-GB"/>
        </w:rPr>
        <w:t xml:space="preserve"> they should do so. Claims under to CICA must be made within two years of the date of the incident (exceptions apply). CICA do not have to wait for the outcome of any criminal trial to make an award under the scheme.</w:t>
      </w:r>
    </w:p>
    <w:p w14:paraId="69740F97"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The rules of the scheme and the value of the payments awarded are set by Parliament and are calculated by reference to a </w:t>
      </w:r>
      <w:hyperlink r:id="rId26" w:tgtFrame="_blank" w:history="1">
        <w:r w:rsidRPr="00DE07E6">
          <w:rPr>
            <w:rFonts w:eastAsia="Times New Roman"/>
            <w:lang w:eastAsia="en-GB"/>
          </w:rPr>
          <w:t>tariff of injuries</w:t>
        </w:r>
      </w:hyperlink>
      <w:r w:rsidRPr="00DE07E6">
        <w:rPr>
          <w:rFonts w:eastAsia="Times New Roman"/>
          <w:lang w:eastAsia="en-GB"/>
        </w:rPr>
        <w:t>. Although the size of the award varies to reflect the seriousness of the injury, it is acknowledged that this will never fully compensate a victim for what they may have suffered or lost.</w:t>
      </w:r>
    </w:p>
    <w:p w14:paraId="02E7074B" w14:textId="436918DC" w:rsidR="00DE07E6" w:rsidRPr="00DE07E6" w:rsidRDefault="00DE07E6" w:rsidP="00DE07E6">
      <w:pPr>
        <w:pStyle w:val="NormalWeb"/>
        <w:spacing w:before="0" w:beforeAutospacing="0" w:after="150" w:afterAutospacing="0" w:line="360" w:lineRule="auto"/>
        <w:rPr>
          <w:rFonts w:ascii="Arial" w:hAnsi="Arial" w:cs="Arial"/>
        </w:rPr>
      </w:pPr>
      <w:r w:rsidRPr="00DE07E6">
        <w:rPr>
          <w:rFonts w:ascii="Arial" w:hAnsi="Arial" w:cs="Arial"/>
        </w:rPr>
        <w:t>It should be noted that vulnerable and intimidated victims are entitled to assistance in making their application. Such assistance should be provided by suitably qualified and trained personnel in the circumstances, such as independent sexual violence advisers</w:t>
      </w:r>
      <w:r w:rsidR="003E7DFE">
        <w:rPr>
          <w:rFonts w:ascii="Arial" w:hAnsi="Arial" w:cs="Arial"/>
        </w:rPr>
        <w:t xml:space="preserve">, </w:t>
      </w:r>
      <w:r w:rsidRPr="00DE07E6">
        <w:rPr>
          <w:rFonts w:ascii="Arial" w:hAnsi="Arial" w:cs="Arial"/>
        </w:rPr>
        <w:t>for example.</w:t>
      </w:r>
    </w:p>
    <w:p w14:paraId="740F7247" w14:textId="77777777" w:rsidR="00DE07E6" w:rsidRPr="00DE07E6" w:rsidRDefault="00DE07E6" w:rsidP="00DE07E6">
      <w:pPr>
        <w:spacing w:after="150" w:line="360" w:lineRule="auto"/>
        <w:rPr>
          <w:rFonts w:eastAsia="Times New Roman"/>
          <w:lang w:eastAsia="en-GB"/>
        </w:rPr>
      </w:pPr>
      <w:r w:rsidRPr="00DE07E6">
        <w:rPr>
          <w:rFonts w:eastAsia="Times New Roman"/>
          <w:b/>
          <w:bCs/>
          <w:lang w:eastAsia="en-GB"/>
        </w:rPr>
        <w:t>Investigators’ Responsibilities</w:t>
      </w:r>
    </w:p>
    <w:p w14:paraId="0FA00A2E"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Investigators must not discourage a victim from making an application for criminal injuries compensation as this may affect their eligibility under the time limits.</w:t>
      </w:r>
    </w:p>
    <w:p w14:paraId="09B33EFC"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 xml:space="preserve">Concerns have been raised that applications for compensation may be cited in subsequent court proceedings to undermine a victim’s credibility, particularly in cases relating to allegations of sexual abuse. In all cases, however, victims should be offered information about their rights and entitlements in accordance with the Victims’ Code, including compensation, from their first point of contact with the relevant service provider this is a positive duty to provide information (see sec 1.24 of the Code of Practice for Victims of Crime). Victims should be advised that claims </w:t>
      </w:r>
      <w:r w:rsidRPr="00DE07E6">
        <w:rPr>
          <w:rFonts w:eastAsia="Times New Roman"/>
          <w:lang w:eastAsia="en-GB"/>
        </w:rPr>
        <w:lastRenderedPageBreak/>
        <w:t>must be made as soon as possible and should not be delayed until the conclusion of an investigation or trial.</w:t>
      </w:r>
    </w:p>
    <w:p w14:paraId="3C840CD5"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CPS prosecutors will manage any challenges in relation to compensation claims during the trial if this is raised by the defence.</w:t>
      </w:r>
    </w:p>
    <w:p w14:paraId="30ED2591"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Investigators should refer victims to </w:t>
      </w:r>
      <w:hyperlink r:id="rId27" w:history="1">
        <w:r w:rsidRPr="00DE07E6">
          <w:rPr>
            <w:rFonts w:eastAsia="Times New Roman"/>
            <w:lang w:eastAsia="en-GB"/>
          </w:rPr>
          <w:t>Victim Support</w:t>
        </w:r>
      </w:hyperlink>
      <w:r w:rsidRPr="00DE07E6">
        <w:rPr>
          <w:rFonts w:eastAsia="Times New Roman"/>
          <w:lang w:eastAsia="en-GB"/>
        </w:rPr>
        <w:t> where they can obtain independent advice about making a claim.</w:t>
      </w:r>
    </w:p>
    <w:p w14:paraId="14C6EB85" w14:textId="77777777" w:rsidR="00DE07E6" w:rsidRPr="00DE07E6" w:rsidRDefault="00DE07E6" w:rsidP="00DE07E6">
      <w:pPr>
        <w:spacing w:after="150" w:line="360" w:lineRule="auto"/>
        <w:rPr>
          <w:rFonts w:eastAsia="Times New Roman"/>
          <w:lang w:eastAsia="en-GB"/>
        </w:rPr>
      </w:pPr>
      <w:r w:rsidRPr="00DE07E6">
        <w:rPr>
          <w:rFonts w:eastAsia="Times New Roman"/>
          <w:b/>
          <w:bCs/>
          <w:lang w:eastAsia="en-GB"/>
        </w:rPr>
        <w:t>Time limits for making applications</w:t>
      </w:r>
    </w:p>
    <w:p w14:paraId="2E45F781"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Victims must apply for compensation as soon as it is reasonably practicable to do so. If they were an adult at the time of the incident, this should not normally be any later than two years after the incident occurred (exceptions apply).</w:t>
      </w:r>
    </w:p>
    <w:p w14:paraId="4D34CD74" w14:textId="77777777" w:rsidR="00DE07E6" w:rsidRPr="00DE07E6" w:rsidRDefault="00DE07E6" w:rsidP="00DE07E6">
      <w:pPr>
        <w:spacing w:after="150" w:line="360" w:lineRule="auto"/>
        <w:rPr>
          <w:rFonts w:eastAsia="Times New Roman"/>
          <w:lang w:eastAsia="en-GB"/>
        </w:rPr>
      </w:pPr>
      <w:r w:rsidRPr="00DE07E6">
        <w:rPr>
          <w:rFonts w:eastAsia="Times New Roman"/>
          <w:b/>
          <w:bCs/>
          <w:lang w:eastAsia="en-GB"/>
        </w:rPr>
        <w:t>Time limit for applicants under 18 years of age on the date of the incident</w:t>
      </w:r>
    </w:p>
    <w:p w14:paraId="7DBAC0D1"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Special provision is made in the scheme for victims under 18 at the time of the incident. Although CICA will consider later applications in those circumstances, it is better to apply as soon as possible.</w:t>
      </w:r>
    </w:p>
    <w:p w14:paraId="0083FE6D"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If the incident or period of abuse </w:t>
      </w:r>
      <w:r w:rsidRPr="00DE07E6">
        <w:rPr>
          <w:rFonts w:eastAsia="Times New Roman"/>
          <w:b/>
          <w:bCs/>
          <w:lang w:eastAsia="en-GB"/>
        </w:rPr>
        <w:t>was reported to the police before the victim became 18</w:t>
      </w:r>
      <w:r w:rsidRPr="00DE07E6">
        <w:rPr>
          <w:rFonts w:eastAsia="Times New Roman"/>
          <w:lang w:eastAsia="en-GB"/>
        </w:rPr>
        <w:t>, and no one made a claim on their behalf, they can make a claim up until the day of their 20th birthday.</w:t>
      </w:r>
    </w:p>
    <w:p w14:paraId="62C44FAC"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If the incident or period of </w:t>
      </w:r>
      <w:r w:rsidRPr="00DE07E6">
        <w:rPr>
          <w:rFonts w:eastAsia="Times New Roman"/>
          <w:b/>
          <w:bCs/>
          <w:lang w:eastAsia="en-GB"/>
        </w:rPr>
        <w:t>abuse took place before the victim became 18 but was not reported to the police at the time</w:t>
      </w:r>
      <w:r w:rsidRPr="00DE07E6">
        <w:rPr>
          <w:rFonts w:eastAsia="Times New Roman"/>
          <w:lang w:eastAsia="en-GB"/>
        </w:rPr>
        <w:t>, they can apply within two years from the date of reporting the incident or abuse to the police.</w:t>
      </w:r>
    </w:p>
    <w:p w14:paraId="20315C8B"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If the victim wishes to extend these periods, they will need to provide evidence that shows why the application could not have been made earlier.</w:t>
      </w:r>
    </w:p>
    <w:p w14:paraId="20B80462"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Victim Support can provide victims with free independent advice on how to make a claim although they no longer formally represent applicants.</w:t>
      </w:r>
    </w:p>
    <w:p w14:paraId="4E8CECCE" w14:textId="77777777" w:rsidR="00DE07E6" w:rsidRPr="00DE07E6" w:rsidRDefault="00DE07E6" w:rsidP="00DE07E6">
      <w:pPr>
        <w:spacing w:after="150" w:line="360" w:lineRule="auto"/>
        <w:rPr>
          <w:rFonts w:eastAsia="Times New Roman"/>
          <w:lang w:eastAsia="en-GB"/>
        </w:rPr>
      </w:pPr>
      <w:r w:rsidRPr="00DE07E6">
        <w:rPr>
          <w:rFonts w:eastAsia="Times New Roman"/>
          <w:lang w:eastAsia="en-GB"/>
        </w:rPr>
        <w:t>Victims and witnesses in court</w:t>
      </w:r>
    </w:p>
    <w:p w14:paraId="0F658670" w14:textId="1FCD9A37" w:rsidR="00DE07E6" w:rsidRDefault="00DE07E6" w:rsidP="00DE07E6">
      <w:pPr>
        <w:spacing w:after="150" w:line="360" w:lineRule="auto"/>
        <w:rPr>
          <w:rFonts w:eastAsia="Times New Roman"/>
          <w:lang w:eastAsia="en-GB"/>
        </w:rPr>
      </w:pPr>
      <w:r w:rsidRPr="00DE07E6">
        <w:rPr>
          <w:rFonts w:eastAsia="Times New Roman"/>
          <w:lang w:eastAsia="en-GB"/>
        </w:rPr>
        <w:t xml:space="preserve">Victims and witnesses involved in an investigation may be required to attend court and provide evidence against or in defence of the accused. In court, victims and witnesses are informed and protected by staff of Her Majesty’s Court and Tribunals </w:t>
      </w:r>
      <w:r w:rsidRPr="00DE07E6">
        <w:rPr>
          <w:rFonts w:eastAsia="Times New Roman"/>
          <w:lang w:eastAsia="en-GB"/>
        </w:rPr>
        <w:lastRenderedPageBreak/>
        <w:t>Service (HMCTS), which is an agency of the Ministry of Justice. HMCTS is responsible for the administration of criminal courts in England and Wales.</w:t>
      </w:r>
    </w:p>
    <w:p w14:paraId="2DA1E51B" w14:textId="2505B1F1" w:rsidR="003E7DFE" w:rsidRPr="00DE07E6" w:rsidRDefault="003E7DFE" w:rsidP="00DE07E6">
      <w:pPr>
        <w:spacing w:after="150" w:line="360" w:lineRule="auto"/>
        <w:rPr>
          <w:rFonts w:eastAsia="Times New Roman"/>
          <w:lang w:eastAsia="en-GB"/>
        </w:rPr>
      </w:pPr>
      <w:r w:rsidRPr="003E7DFE">
        <w:rPr>
          <w:b/>
          <w:bCs/>
        </w:rPr>
        <w:t>Working with victims and witnesses</w:t>
      </w:r>
    </w:p>
    <w:p w14:paraId="75345797" w14:textId="77777777" w:rsidR="003E7DFE" w:rsidRPr="003E7DFE" w:rsidRDefault="003E7DFE" w:rsidP="003E7DFE">
      <w:pPr>
        <w:spacing w:after="150" w:line="360" w:lineRule="auto"/>
        <w:rPr>
          <w:rFonts w:eastAsia="Times New Roman"/>
          <w:lang w:eastAsia="en-GB"/>
        </w:rPr>
      </w:pPr>
      <w:r w:rsidRPr="003E7DFE">
        <w:rPr>
          <w:rFonts w:eastAsia="Times New Roman"/>
          <w:lang w:eastAsia="en-GB"/>
        </w:rPr>
        <w:t xml:space="preserve">A witness is considered as a person, other than a defendant, who is likely to give evidence in court. All victims are also </w:t>
      </w:r>
      <w:proofErr w:type="gramStart"/>
      <w:r w:rsidRPr="003E7DFE">
        <w:rPr>
          <w:rFonts w:eastAsia="Times New Roman"/>
          <w:lang w:eastAsia="en-GB"/>
        </w:rPr>
        <w:t>witnesses</w:t>
      </w:r>
      <w:proofErr w:type="gramEnd"/>
      <w:r w:rsidRPr="003E7DFE">
        <w:rPr>
          <w:rFonts w:eastAsia="Times New Roman"/>
          <w:lang w:eastAsia="en-GB"/>
        </w:rPr>
        <w:t xml:space="preserve"> and should be treated as such.</w:t>
      </w:r>
    </w:p>
    <w:p w14:paraId="741123B4" w14:textId="5FB5A92C" w:rsidR="003E7DFE" w:rsidRDefault="003E7DFE" w:rsidP="003E7DFE">
      <w:pPr>
        <w:spacing w:after="150" w:line="360" w:lineRule="auto"/>
        <w:rPr>
          <w:rFonts w:eastAsia="Times New Roman"/>
          <w:lang w:eastAsia="en-GB"/>
        </w:rPr>
      </w:pPr>
      <w:r w:rsidRPr="003E7DFE">
        <w:rPr>
          <w:rFonts w:eastAsia="Times New Roman"/>
          <w:lang w:eastAsia="en-GB"/>
        </w:rPr>
        <w:t>The success of any investigation depends largely on the accuracy and detail of the material obtained from witnesses. Investigators, whether tasked with a volume crime or major investigation, must recognise the individual needs and concerns of witnesses and treat them with dignity and respect. This can have a significant impact on how witnesses cooperate with the investigation and any subsequent prosecution.</w:t>
      </w:r>
      <w:r>
        <w:rPr>
          <w:rFonts w:eastAsia="Times New Roman"/>
          <w:lang w:eastAsia="en-GB"/>
        </w:rPr>
        <w:t xml:space="preserve"> </w:t>
      </w:r>
    </w:p>
    <w:p w14:paraId="5727E9DB" w14:textId="77777777" w:rsidR="003E7DFE" w:rsidRDefault="003E7DFE" w:rsidP="003E7DFE">
      <w:pPr>
        <w:spacing w:after="150" w:line="360" w:lineRule="auto"/>
        <w:rPr>
          <w:rFonts w:eastAsia="Times New Roman"/>
          <w:lang w:eastAsia="en-GB"/>
        </w:rPr>
      </w:pPr>
    </w:p>
    <w:p w14:paraId="0D2150D4" w14:textId="52269AA0" w:rsidR="003E7DFE" w:rsidRDefault="003E7DFE" w:rsidP="003E7DFE">
      <w:pPr>
        <w:spacing w:after="150" w:line="360" w:lineRule="auto"/>
        <w:rPr>
          <w:rFonts w:eastAsia="Times New Roman"/>
          <w:lang w:eastAsia="en-GB"/>
        </w:rPr>
      </w:pPr>
    </w:p>
    <w:p w14:paraId="0B156816" w14:textId="0F2E1DE9" w:rsidR="003E7DFE" w:rsidRDefault="003E7DFE" w:rsidP="003E7DFE">
      <w:pPr>
        <w:spacing w:after="0" w:line="480" w:lineRule="auto"/>
        <w:ind w:right="1089"/>
        <w:jc w:val="both"/>
        <w:rPr>
          <w:b/>
          <w:bCs/>
        </w:rPr>
      </w:pPr>
      <w:r w:rsidRPr="003E7DFE">
        <w:rPr>
          <w:rFonts w:eastAsia="Times New Roman"/>
          <w:b/>
          <w:bCs/>
          <w:lang w:eastAsia="en-GB"/>
        </w:rPr>
        <w:t>5.Q.</w:t>
      </w:r>
      <w:r>
        <w:rPr>
          <w:rFonts w:eastAsia="Times New Roman"/>
          <w:lang w:eastAsia="en-GB"/>
        </w:rPr>
        <w:t xml:space="preserve"> </w:t>
      </w:r>
      <w:r>
        <w:rPr>
          <w:b/>
          <w:bCs/>
        </w:rPr>
        <w:t xml:space="preserve">Explain the PEACE model component parts and critically evaluate its effectiveness in interviewing suspects. </w:t>
      </w:r>
    </w:p>
    <w:p w14:paraId="4B1C0C0C" w14:textId="3E2E9F1E" w:rsidR="00696EBE" w:rsidRDefault="00696EBE" w:rsidP="00696EBE">
      <w:pPr>
        <w:pStyle w:val="Heading4"/>
        <w:spacing w:before="300" w:beforeAutospacing="0" w:after="150" w:afterAutospacing="0" w:line="360" w:lineRule="auto"/>
        <w:rPr>
          <w:rFonts w:ascii="Arial" w:hAnsi="Arial" w:cs="Arial"/>
          <w:b w:val="0"/>
          <w:bCs w:val="0"/>
        </w:rPr>
      </w:pPr>
      <w:r>
        <w:rPr>
          <w:rFonts w:ascii="Arial" w:hAnsi="Arial" w:cs="Arial"/>
          <w:b w:val="0"/>
          <w:bCs w:val="0"/>
        </w:rPr>
        <w:t xml:space="preserve">Investigation is a core duty of policing. Interviewing victims, witnesses and suspects is central to success of an investigation and the highest standards need to be upheld. Forces need to develop and maintain the valuable resource of a skilled interviewer. Interviews that are conducted professionally and quality assured realise several benefits. </w:t>
      </w:r>
      <w:proofErr w:type="gramStart"/>
      <w:r>
        <w:rPr>
          <w:rFonts w:ascii="Arial" w:hAnsi="Arial" w:cs="Arial"/>
          <w:b w:val="0"/>
          <w:bCs w:val="0"/>
        </w:rPr>
        <w:t>In particular they</w:t>
      </w:r>
      <w:proofErr w:type="gramEnd"/>
      <w:r>
        <w:rPr>
          <w:rFonts w:ascii="Arial" w:hAnsi="Arial" w:cs="Arial"/>
          <w:b w:val="0"/>
          <w:bCs w:val="0"/>
        </w:rPr>
        <w:t xml:space="preserve"> can: </w:t>
      </w:r>
    </w:p>
    <w:p w14:paraId="4D03B286" w14:textId="6DCAA0D2" w:rsidR="00696EBE" w:rsidRDefault="00696EBE" w:rsidP="00696EBE">
      <w:pPr>
        <w:pStyle w:val="Heading4"/>
        <w:numPr>
          <w:ilvl w:val="0"/>
          <w:numId w:val="31"/>
        </w:numPr>
        <w:spacing w:before="300" w:beforeAutospacing="0" w:after="150" w:afterAutospacing="0" w:line="360" w:lineRule="auto"/>
        <w:rPr>
          <w:rFonts w:ascii="Arial" w:hAnsi="Arial" w:cs="Arial"/>
          <w:b w:val="0"/>
          <w:bCs w:val="0"/>
        </w:rPr>
      </w:pPr>
      <w:r>
        <w:rPr>
          <w:rFonts w:ascii="Arial" w:hAnsi="Arial" w:cs="Arial"/>
          <w:b w:val="0"/>
          <w:bCs w:val="0"/>
        </w:rPr>
        <w:t>Direct an investigation and gather material, which in turn can lead to a prosecution or early release of an innocent person</w:t>
      </w:r>
    </w:p>
    <w:p w14:paraId="25BB5811" w14:textId="77777777" w:rsidR="00696EBE" w:rsidRDefault="00696EBE" w:rsidP="00696EBE">
      <w:pPr>
        <w:pStyle w:val="Heading4"/>
        <w:numPr>
          <w:ilvl w:val="0"/>
          <w:numId w:val="31"/>
        </w:numPr>
        <w:spacing w:before="300" w:beforeAutospacing="0" w:after="150" w:afterAutospacing="0" w:line="360" w:lineRule="auto"/>
        <w:rPr>
          <w:rFonts w:ascii="Arial" w:hAnsi="Arial" w:cs="Arial"/>
          <w:b w:val="0"/>
          <w:bCs w:val="0"/>
        </w:rPr>
      </w:pPr>
      <w:r>
        <w:rPr>
          <w:rFonts w:ascii="Arial" w:hAnsi="Arial" w:cs="Arial"/>
          <w:b w:val="0"/>
          <w:bCs w:val="0"/>
        </w:rPr>
        <w:t xml:space="preserve">Support the prosecution case, thereby saving time, </w:t>
      </w:r>
      <w:proofErr w:type="gramStart"/>
      <w:r>
        <w:rPr>
          <w:rFonts w:ascii="Arial" w:hAnsi="Arial" w:cs="Arial"/>
          <w:b w:val="0"/>
          <w:bCs w:val="0"/>
        </w:rPr>
        <w:t>money</w:t>
      </w:r>
      <w:proofErr w:type="gramEnd"/>
      <w:r>
        <w:rPr>
          <w:rFonts w:ascii="Arial" w:hAnsi="Arial" w:cs="Arial"/>
          <w:b w:val="0"/>
          <w:bCs w:val="0"/>
        </w:rPr>
        <w:t xml:space="preserve"> and resources. </w:t>
      </w:r>
    </w:p>
    <w:p w14:paraId="4075BE8F" w14:textId="3D5AFC8E" w:rsidR="00696EBE" w:rsidRDefault="00696EBE" w:rsidP="00696EBE">
      <w:pPr>
        <w:pStyle w:val="Heading4"/>
        <w:numPr>
          <w:ilvl w:val="0"/>
          <w:numId w:val="31"/>
        </w:numPr>
        <w:spacing w:before="300" w:beforeAutospacing="0" w:after="150" w:afterAutospacing="0" w:line="360" w:lineRule="auto"/>
        <w:rPr>
          <w:rFonts w:ascii="Arial" w:hAnsi="Arial" w:cs="Arial"/>
          <w:b w:val="0"/>
          <w:bCs w:val="0"/>
        </w:rPr>
      </w:pPr>
      <w:r>
        <w:rPr>
          <w:rFonts w:ascii="Arial" w:hAnsi="Arial" w:cs="Arial"/>
          <w:b w:val="0"/>
          <w:bCs w:val="0"/>
        </w:rPr>
        <w:t>Increase public confidence in the police service, particularly with witnesses and victims of crimes who came into direct contact with the police.</w:t>
      </w:r>
    </w:p>
    <w:p w14:paraId="5625F57B" w14:textId="12E17D0E" w:rsidR="00424AB2" w:rsidRDefault="00696EBE" w:rsidP="00696EBE">
      <w:pPr>
        <w:pStyle w:val="Heading4"/>
        <w:spacing w:before="300" w:beforeAutospacing="0" w:after="150" w:afterAutospacing="0" w:line="360" w:lineRule="auto"/>
        <w:rPr>
          <w:rFonts w:ascii="Arial" w:hAnsi="Arial" w:cs="Arial"/>
          <w:b w:val="0"/>
          <w:bCs w:val="0"/>
        </w:rPr>
      </w:pPr>
      <w:r>
        <w:rPr>
          <w:rFonts w:ascii="Arial" w:hAnsi="Arial" w:cs="Arial"/>
          <w:b w:val="0"/>
          <w:bCs w:val="0"/>
        </w:rPr>
        <w:t xml:space="preserve">Without the accounts of these who played a central role in the crime, or those who have witnesses an important aspect of the commission of the crime, other sources of </w:t>
      </w:r>
      <w:r w:rsidR="00424AB2">
        <w:rPr>
          <w:rFonts w:ascii="Arial" w:hAnsi="Arial" w:cs="Arial"/>
          <w:b w:val="0"/>
          <w:bCs w:val="0"/>
        </w:rPr>
        <w:lastRenderedPageBreak/>
        <w:t>material</w:t>
      </w:r>
      <w:r>
        <w:rPr>
          <w:rFonts w:ascii="Arial" w:hAnsi="Arial" w:cs="Arial"/>
          <w:b w:val="0"/>
          <w:bCs w:val="0"/>
        </w:rPr>
        <w:t xml:space="preserve"> such as CCTV</w:t>
      </w:r>
      <w:r w:rsidR="00424AB2">
        <w:rPr>
          <w:rFonts w:ascii="Arial" w:hAnsi="Arial" w:cs="Arial"/>
          <w:b w:val="0"/>
          <w:bCs w:val="0"/>
        </w:rPr>
        <w:t xml:space="preserve"> images, fingerprints and forensic material, although extremely important, may have little value. </w:t>
      </w:r>
    </w:p>
    <w:p w14:paraId="6F8749F1" w14:textId="729DF198" w:rsidR="00424AB2" w:rsidRPr="00696EBE" w:rsidRDefault="00424AB2" w:rsidP="00696EBE">
      <w:pPr>
        <w:pStyle w:val="Heading4"/>
        <w:spacing w:before="300" w:beforeAutospacing="0" w:after="150" w:afterAutospacing="0" w:line="360" w:lineRule="auto"/>
        <w:rPr>
          <w:rFonts w:ascii="Arial" w:hAnsi="Arial" w:cs="Arial"/>
          <w:b w:val="0"/>
          <w:bCs w:val="0"/>
        </w:rPr>
      </w:pPr>
      <w:r>
        <w:rPr>
          <w:rFonts w:ascii="Arial" w:hAnsi="Arial" w:cs="Arial"/>
          <w:b w:val="0"/>
          <w:bCs w:val="0"/>
        </w:rPr>
        <w:t xml:space="preserve">Conducting investigative interviews is, therefore, a crucial element of the process of investigation. </w:t>
      </w:r>
    </w:p>
    <w:p w14:paraId="2CA43B6E" w14:textId="77777777" w:rsidR="00424AB2" w:rsidRDefault="00696EBE" w:rsidP="003E7DFE">
      <w:pPr>
        <w:pStyle w:val="Heading4"/>
        <w:spacing w:before="300" w:beforeAutospacing="0" w:after="150" w:afterAutospacing="0" w:line="360" w:lineRule="auto"/>
        <w:rPr>
          <w:rFonts w:ascii="Arial" w:hAnsi="Arial" w:cs="Arial"/>
          <w:b w:val="0"/>
          <w:bCs w:val="0"/>
        </w:rPr>
      </w:pPr>
      <w:r>
        <w:rPr>
          <w:rFonts w:ascii="Arial" w:hAnsi="Arial" w:cs="Arial"/>
          <w:b w:val="0"/>
          <w:bCs w:val="0"/>
        </w:rPr>
        <w:t xml:space="preserve"> </w:t>
      </w:r>
      <w:r w:rsidR="003E7DFE" w:rsidRPr="00696EBE">
        <w:rPr>
          <w:rFonts w:ascii="Arial" w:hAnsi="Arial" w:cs="Arial"/>
          <w:b w:val="0"/>
          <w:bCs w:val="0"/>
        </w:rPr>
        <w:t xml:space="preserve">There are five phases to the PEACE framework. </w:t>
      </w:r>
    </w:p>
    <w:p w14:paraId="762826F5" w14:textId="304A4776" w:rsidR="003E7DFE" w:rsidRPr="00424AB2" w:rsidRDefault="003E7DFE" w:rsidP="003E7DFE">
      <w:pPr>
        <w:pStyle w:val="Heading4"/>
        <w:spacing w:before="300" w:beforeAutospacing="0" w:after="150" w:afterAutospacing="0" w:line="360" w:lineRule="auto"/>
        <w:rPr>
          <w:rFonts w:ascii="Arial" w:hAnsi="Arial" w:cs="Arial"/>
        </w:rPr>
      </w:pPr>
      <w:r w:rsidRPr="00424AB2">
        <w:rPr>
          <w:rFonts w:ascii="Arial" w:hAnsi="Arial" w:cs="Arial"/>
        </w:rPr>
        <w:t>Planning and preparation</w:t>
      </w:r>
      <w:r w:rsidR="00696EBE" w:rsidRPr="00424AB2">
        <w:rPr>
          <w:rFonts w:ascii="Arial" w:hAnsi="Arial" w:cs="Arial"/>
        </w:rPr>
        <w:t>.</w:t>
      </w:r>
    </w:p>
    <w:p w14:paraId="7D6B7B50"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This is one of the most important phases in effective interviewing. The success of the interview and, consequently, the investigation could depend on it.</w:t>
      </w:r>
    </w:p>
    <w:p w14:paraId="1F66A513"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A planning session that takes account of all the available information and identifies the key issues and objectives is required, even where it is essential that an early interview takes place.</w:t>
      </w:r>
    </w:p>
    <w:p w14:paraId="3FD78ADE"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Interviewers should consider the following:</w:t>
      </w:r>
    </w:p>
    <w:p w14:paraId="4AF72CA2" w14:textId="77777777" w:rsidR="003E7DFE" w:rsidRPr="003E7DFE" w:rsidRDefault="003E7DFE" w:rsidP="003E7DFE">
      <w:pPr>
        <w:numPr>
          <w:ilvl w:val="0"/>
          <w:numId w:val="11"/>
        </w:numPr>
        <w:spacing w:before="100" w:beforeAutospacing="1" w:after="100" w:afterAutospacing="1" w:line="360" w:lineRule="auto"/>
      </w:pPr>
      <w:r w:rsidRPr="003E7DFE">
        <w:t>create and record the interview plan</w:t>
      </w:r>
    </w:p>
    <w:p w14:paraId="07780F5B" w14:textId="77777777" w:rsidR="003E7DFE" w:rsidRPr="003E7DFE" w:rsidRDefault="003E7DFE" w:rsidP="003E7DFE">
      <w:pPr>
        <w:numPr>
          <w:ilvl w:val="0"/>
          <w:numId w:val="11"/>
        </w:numPr>
        <w:spacing w:before="100" w:beforeAutospacing="1" w:after="100" w:afterAutospacing="1" w:line="360" w:lineRule="auto"/>
      </w:pPr>
      <w:r w:rsidRPr="003E7DFE">
        <w:t>characteristics of the interviewee</w:t>
      </w:r>
    </w:p>
    <w:p w14:paraId="23F1DAFF" w14:textId="77777777" w:rsidR="003E7DFE" w:rsidRPr="003E7DFE" w:rsidRDefault="003E7DFE" w:rsidP="003E7DFE">
      <w:pPr>
        <w:numPr>
          <w:ilvl w:val="0"/>
          <w:numId w:val="11"/>
        </w:numPr>
        <w:spacing w:before="100" w:beforeAutospacing="1" w:after="100" w:afterAutospacing="1" w:line="360" w:lineRule="auto"/>
      </w:pPr>
      <w:r w:rsidRPr="003E7DFE">
        <w:t>practical arrangements</w:t>
      </w:r>
    </w:p>
    <w:p w14:paraId="106B2050" w14:textId="77777777" w:rsidR="003E7DFE" w:rsidRPr="003E7DFE" w:rsidRDefault="003E7DFE" w:rsidP="003E7DFE">
      <w:pPr>
        <w:numPr>
          <w:ilvl w:val="0"/>
          <w:numId w:val="11"/>
        </w:numPr>
        <w:spacing w:before="100" w:beforeAutospacing="1" w:after="100" w:afterAutospacing="1" w:line="360" w:lineRule="auto"/>
      </w:pPr>
      <w:r w:rsidRPr="003E7DFE">
        <w:t>making a written interview plan.</w:t>
      </w:r>
    </w:p>
    <w:p w14:paraId="78C34EF6" w14:textId="77777777" w:rsidR="003E7DFE" w:rsidRPr="003E7DFE" w:rsidRDefault="003E7DFE" w:rsidP="003E7DFE">
      <w:pPr>
        <w:pStyle w:val="Heading5"/>
        <w:spacing w:before="150" w:after="150" w:line="360" w:lineRule="auto"/>
        <w:rPr>
          <w:rFonts w:ascii="Arial" w:hAnsi="Arial" w:cs="Arial"/>
          <w:color w:val="auto"/>
        </w:rPr>
      </w:pPr>
      <w:bookmarkStart w:id="6" w:name="interview-plan"/>
      <w:bookmarkEnd w:id="6"/>
      <w:r w:rsidRPr="003E7DFE">
        <w:rPr>
          <w:rFonts w:ascii="Arial" w:hAnsi="Arial" w:cs="Arial"/>
          <w:color w:val="auto"/>
        </w:rPr>
        <w:t>Interview plan</w:t>
      </w:r>
    </w:p>
    <w:p w14:paraId="77B93284"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 xml:space="preserve">Planning and preparation </w:t>
      </w:r>
      <w:proofErr w:type="gramStart"/>
      <w:r w:rsidRPr="003E7DFE">
        <w:rPr>
          <w:rFonts w:ascii="Arial" w:hAnsi="Arial" w:cs="Arial"/>
        </w:rPr>
        <w:t>gives</w:t>
      </w:r>
      <w:proofErr w:type="gramEnd"/>
      <w:r w:rsidRPr="003E7DFE">
        <w:rPr>
          <w:rFonts w:ascii="Arial" w:hAnsi="Arial" w:cs="Arial"/>
        </w:rPr>
        <w:t xml:space="preserve"> the interviewer the opportunity to:</w:t>
      </w:r>
    </w:p>
    <w:p w14:paraId="16D3FB99" w14:textId="77777777" w:rsidR="003E7DFE" w:rsidRPr="003E7DFE" w:rsidRDefault="003E7DFE" w:rsidP="003E7DFE">
      <w:pPr>
        <w:numPr>
          <w:ilvl w:val="0"/>
          <w:numId w:val="12"/>
        </w:numPr>
        <w:spacing w:before="100" w:beforeAutospacing="1" w:after="100" w:afterAutospacing="1" w:line="360" w:lineRule="auto"/>
      </w:pPr>
      <w:r w:rsidRPr="003E7DFE">
        <w:t>review the investigation</w:t>
      </w:r>
    </w:p>
    <w:p w14:paraId="5D67E9FB" w14:textId="77777777" w:rsidR="003E7DFE" w:rsidRPr="003E7DFE" w:rsidRDefault="003E7DFE" w:rsidP="003E7DFE">
      <w:pPr>
        <w:numPr>
          <w:ilvl w:val="0"/>
          <w:numId w:val="12"/>
        </w:numPr>
        <w:spacing w:before="100" w:beforeAutospacing="1" w:after="100" w:afterAutospacing="1" w:line="360" w:lineRule="auto"/>
      </w:pPr>
      <w:r w:rsidRPr="003E7DFE">
        <w:t>establish what material is already available</w:t>
      </w:r>
    </w:p>
    <w:p w14:paraId="7688345F" w14:textId="77777777" w:rsidR="003E7DFE" w:rsidRPr="003E7DFE" w:rsidRDefault="003E7DFE" w:rsidP="003E7DFE">
      <w:pPr>
        <w:numPr>
          <w:ilvl w:val="0"/>
          <w:numId w:val="12"/>
        </w:numPr>
        <w:spacing w:before="100" w:beforeAutospacing="1" w:after="100" w:afterAutospacing="1" w:line="360" w:lineRule="auto"/>
      </w:pPr>
      <w:r w:rsidRPr="003E7DFE">
        <w:t>decide on what the aims and objectives of the interview are.</w:t>
      </w:r>
    </w:p>
    <w:p w14:paraId="624E19D2"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Every interview must be prepared with the needs of the investigation in mind. How the material is obtained during interview helps to establish the accuracy of the matter under investigation and should be considered carefully.</w:t>
      </w:r>
    </w:p>
    <w:p w14:paraId="69416A1F"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The following questions may be helpful at this stage:</w:t>
      </w:r>
    </w:p>
    <w:p w14:paraId="0D91297E" w14:textId="77777777" w:rsidR="003E7DFE" w:rsidRPr="003E7DFE" w:rsidRDefault="003E7DFE" w:rsidP="003E7DFE">
      <w:pPr>
        <w:numPr>
          <w:ilvl w:val="0"/>
          <w:numId w:val="13"/>
        </w:numPr>
        <w:spacing w:before="100" w:beforeAutospacing="1" w:after="100" w:afterAutospacing="1" w:line="360" w:lineRule="auto"/>
      </w:pPr>
      <w:r w:rsidRPr="003E7DFE">
        <w:t>who needs to be interviewed and in what order?</w:t>
      </w:r>
    </w:p>
    <w:p w14:paraId="14F16E6A" w14:textId="77777777" w:rsidR="003E7DFE" w:rsidRPr="003E7DFE" w:rsidRDefault="003E7DFE" w:rsidP="003E7DFE">
      <w:pPr>
        <w:numPr>
          <w:ilvl w:val="0"/>
          <w:numId w:val="13"/>
        </w:numPr>
        <w:spacing w:before="100" w:beforeAutospacing="1" w:after="100" w:afterAutospacing="1" w:line="360" w:lineRule="auto"/>
      </w:pPr>
      <w:r w:rsidRPr="003E7DFE">
        <w:lastRenderedPageBreak/>
        <w:t>why is a particular interviewee’s viewpoint so important?</w:t>
      </w:r>
    </w:p>
    <w:p w14:paraId="0D258F5C" w14:textId="77777777" w:rsidR="003E7DFE" w:rsidRPr="003E7DFE" w:rsidRDefault="003E7DFE" w:rsidP="003E7DFE">
      <w:pPr>
        <w:numPr>
          <w:ilvl w:val="0"/>
          <w:numId w:val="13"/>
        </w:numPr>
        <w:spacing w:before="100" w:beforeAutospacing="1" w:after="100" w:afterAutospacing="1" w:line="360" w:lineRule="auto"/>
      </w:pPr>
      <w:r w:rsidRPr="003E7DFE">
        <w:t>what information should now be obtained?</w:t>
      </w:r>
    </w:p>
    <w:p w14:paraId="74F96E65" w14:textId="77777777" w:rsidR="003E7DFE" w:rsidRPr="003E7DFE" w:rsidRDefault="003E7DFE" w:rsidP="003E7DFE">
      <w:pPr>
        <w:numPr>
          <w:ilvl w:val="0"/>
          <w:numId w:val="13"/>
        </w:numPr>
        <w:spacing w:before="100" w:beforeAutospacing="1" w:after="100" w:afterAutospacing="1" w:line="360" w:lineRule="auto"/>
      </w:pPr>
      <w:r w:rsidRPr="003E7DFE">
        <w:t xml:space="preserve">should the interviewee be interviewed </w:t>
      </w:r>
      <w:proofErr w:type="gramStart"/>
      <w:r w:rsidRPr="003E7DFE">
        <w:t>immediately</w:t>
      </w:r>
      <w:proofErr w:type="gramEnd"/>
      <w:r w:rsidRPr="003E7DFE">
        <w:t xml:space="preserve"> or would it be more useful to wait until more information has been obtained about the circumstances of the offence from other sources?</w:t>
      </w:r>
    </w:p>
    <w:p w14:paraId="200D1ED1" w14:textId="77777777" w:rsidR="003E7DFE" w:rsidRPr="003E7DFE" w:rsidRDefault="003E7DFE" w:rsidP="003E7DFE">
      <w:pPr>
        <w:pStyle w:val="Heading5"/>
        <w:spacing w:before="150" w:after="150" w:line="360" w:lineRule="auto"/>
        <w:rPr>
          <w:rFonts w:ascii="Arial" w:hAnsi="Arial" w:cs="Arial"/>
          <w:color w:val="auto"/>
        </w:rPr>
      </w:pPr>
      <w:bookmarkStart w:id="7" w:name="interviewee"/>
      <w:bookmarkEnd w:id="7"/>
      <w:r w:rsidRPr="003E7DFE">
        <w:rPr>
          <w:rFonts w:ascii="Arial" w:hAnsi="Arial" w:cs="Arial"/>
          <w:color w:val="auto"/>
        </w:rPr>
        <w:t>Interviewee</w:t>
      </w:r>
    </w:p>
    <w:p w14:paraId="3263F0CC"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 xml:space="preserve">Individual characteristics should be </w:t>
      </w:r>
      <w:proofErr w:type="gramStart"/>
      <w:r w:rsidRPr="003E7DFE">
        <w:rPr>
          <w:rFonts w:ascii="Arial" w:hAnsi="Arial" w:cs="Arial"/>
        </w:rPr>
        <w:t>taken into account</w:t>
      </w:r>
      <w:proofErr w:type="gramEnd"/>
      <w:r w:rsidRPr="003E7DFE">
        <w:rPr>
          <w:rFonts w:ascii="Arial" w:hAnsi="Arial" w:cs="Arial"/>
        </w:rPr>
        <w:t xml:space="preserve"> when planning and preparing for an interview. Although not an exhaustive list, these may include:</w:t>
      </w:r>
    </w:p>
    <w:p w14:paraId="3F1996C7" w14:textId="77777777" w:rsidR="003E7DFE" w:rsidRPr="003E7DFE" w:rsidRDefault="003E7DFE" w:rsidP="003E7DFE">
      <w:pPr>
        <w:numPr>
          <w:ilvl w:val="0"/>
          <w:numId w:val="14"/>
        </w:numPr>
        <w:spacing w:before="100" w:beforeAutospacing="1" w:after="100" w:afterAutospacing="1" w:line="360" w:lineRule="auto"/>
      </w:pPr>
      <w:r w:rsidRPr="003E7DFE">
        <w:t>age – knowing the interviewee’s age helps to determine the best time to undertake the interview and whether an appropriate adult/interview supporter is required</w:t>
      </w:r>
    </w:p>
    <w:p w14:paraId="53BA33DF" w14:textId="77777777" w:rsidR="003E7DFE" w:rsidRPr="003E7DFE" w:rsidRDefault="003E7DFE" w:rsidP="003E7DFE">
      <w:pPr>
        <w:numPr>
          <w:ilvl w:val="0"/>
          <w:numId w:val="14"/>
        </w:numPr>
        <w:spacing w:before="100" w:beforeAutospacing="1" w:after="100" w:afterAutospacing="1" w:line="360" w:lineRule="auto"/>
      </w:pPr>
      <w:r w:rsidRPr="003E7DFE">
        <w:t>cultural background – this can affect the way a person prefers to be addressed, and may also indicate the need for an interpreter</w:t>
      </w:r>
    </w:p>
    <w:p w14:paraId="2964DB36" w14:textId="77777777" w:rsidR="003E7DFE" w:rsidRPr="003E7DFE" w:rsidRDefault="003E7DFE" w:rsidP="003E7DFE">
      <w:pPr>
        <w:numPr>
          <w:ilvl w:val="0"/>
          <w:numId w:val="14"/>
        </w:numPr>
        <w:spacing w:before="100" w:beforeAutospacing="1" w:after="100" w:afterAutospacing="1" w:line="360" w:lineRule="auto"/>
      </w:pPr>
      <w:r w:rsidRPr="003E7DFE">
        <w:t>religion or belief – </w:t>
      </w:r>
      <w:proofErr w:type="spellStart"/>
      <w:r w:rsidRPr="003E7DFE">
        <w:t>eg</w:t>
      </w:r>
      <w:proofErr w:type="spellEnd"/>
      <w:r w:rsidRPr="003E7DFE">
        <w:t>, interviewers may need to take prayer requirements into account</w:t>
      </w:r>
    </w:p>
    <w:p w14:paraId="1D3A815C" w14:textId="77777777" w:rsidR="003E7DFE" w:rsidRPr="003E7DFE" w:rsidRDefault="003E7DFE" w:rsidP="003E7DFE">
      <w:pPr>
        <w:numPr>
          <w:ilvl w:val="0"/>
          <w:numId w:val="14"/>
        </w:numPr>
        <w:spacing w:before="100" w:beforeAutospacing="1" w:after="100" w:afterAutospacing="1" w:line="360" w:lineRule="auto"/>
      </w:pPr>
      <w:r w:rsidRPr="003E7DFE">
        <w:t xml:space="preserve">domestic circumstances – this can help to identify other people who may be useful to the investigation, </w:t>
      </w:r>
      <w:proofErr w:type="spellStart"/>
      <w:r w:rsidRPr="003E7DFE">
        <w:t>eg</w:t>
      </w:r>
      <w:proofErr w:type="spellEnd"/>
      <w:r w:rsidRPr="003E7DFE">
        <w:t xml:space="preserve">, family, </w:t>
      </w:r>
      <w:proofErr w:type="gramStart"/>
      <w:r w:rsidRPr="003E7DFE">
        <w:t>associates</w:t>
      </w:r>
      <w:proofErr w:type="gramEnd"/>
      <w:r w:rsidRPr="003E7DFE">
        <w:t xml:space="preserve"> or neighbours</w:t>
      </w:r>
    </w:p>
    <w:p w14:paraId="6881589F" w14:textId="77777777" w:rsidR="003E7DFE" w:rsidRPr="003E7DFE" w:rsidRDefault="003E7DFE" w:rsidP="003E7DFE">
      <w:pPr>
        <w:numPr>
          <w:ilvl w:val="0"/>
          <w:numId w:val="14"/>
        </w:numPr>
        <w:spacing w:before="100" w:beforeAutospacing="1" w:after="100" w:afterAutospacing="1" w:line="360" w:lineRule="auto"/>
      </w:pPr>
      <w:r w:rsidRPr="003E7DFE">
        <w:t>physical and mental health – knowledge of an existing medical condition and ensuring that appropriate facilities are used</w:t>
      </w:r>
    </w:p>
    <w:p w14:paraId="4531C06D" w14:textId="77777777" w:rsidR="003E7DFE" w:rsidRPr="003E7DFE" w:rsidRDefault="003E7DFE" w:rsidP="003E7DFE">
      <w:pPr>
        <w:numPr>
          <w:ilvl w:val="0"/>
          <w:numId w:val="14"/>
        </w:numPr>
        <w:spacing w:before="100" w:beforeAutospacing="1" w:after="100" w:afterAutospacing="1" w:line="360" w:lineRule="auto"/>
      </w:pPr>
      <w:r w:rsidRPr="003E7DFE">
        <w:t>disability</w:t>
      </w:r>
    </w:p>
    <w:p w14:paraId="20AFE852" w14:textId="77777777" w:rsidR="003E7DFE" w:rsidRPr="003E7DFE" w:rsidRDefault="003E7DFE" w:rsidP="003E7DFE">
      <w:pPr>
        <w:numPr>
          <w:ilvl w:val="0"/>
          <w:numId w:val="14"/>
        </w:numPr>
        <w:spacing w:before="100" w:beforeAutospacing="1" w:after="100" w:afterAutospacing="1" w:line="360" w:lineRule="auto"/>
      </w:pPr>
      <w:r w:rsidRPr="003E7DFE">
        <w:t>previous contact with the police – this helps to determine factors such as the interviewee’s reaction, and the interviewer’s safety</w:t>
      </w:r>
    </w:p>
    <w:p w14:paraId="177059A6" w14:textId="77777777" w:rsidR="003E7DFE" w:rsidRPr="003E7DFE" w:rsidRDefault="003E7DFE" w:rsidP="003E7DFE">
      <w:pPr>
        <w:numPr>
          <w:ilvl w:val="0"/>
          <w:numId w:val="14"/>
        </w:numPr>
        <w:spacing w:before="100" w:beforeAutospacing="1" w:after="100" w:afterAutospacing="1" w:line="360" w:lineRule="auto"/>
      </w:pPr>
      <w:r w:rsidRPr="003E7DFE">
        <w:t xml:space="preserve">gender – in certain types of crime, </w:t>
      </w:r>
      <w:proofErr w:type="spellStart"/>
      <w:r w:rsidRPr="003E7DFE">
        <w:t>eg</w:t>
      </w:r>
      <w:proofErr w:type="spellEnd"/>
      <w:r w:rsidRPr="003E7DFE">
        <w:t xml:space="preserve">, sexual offences or domestic violence, it is important to consider the gender of the interviewee. Potentially sensitive issues such as an interviewee’s sexual orientation or gender assignment should be approached </w:t>
      </w:r>
      <w:proofErr w:type="gramStart"/>
      <w:r w:rsidRPr="003E7DFE">
        <w:t>tactfully, if</w:t>
      </w:r>
      <w:proofErr w:type="gramEnd"/>
      <w:r w:rsidRPr="003E7DFE">
        <w:t xml:space="preserve"> these matters become relevant to the interview.</w:t>
      </w:r>
    </w:p>
    <w:p w14:paraId="4C2BF033"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For further information on working with interpreters see:</w:t>
      </w:r>
    </w:p>
    <w:p w14:paraId="4CAAA586" w14:textId="77777777" w:rsidR="003E7DFE" w:rsidRPr="003E7DFE" w:rsidRDefault="003E7DFE" w:rsidP="003E7DFE">
      <w:pPr>
        <w:pStyle w:val="NormalWeb"/>
        <w:spacing w:before="0" w:beforeAutospacing="0" w:after="150" w:afterAutospacing="0" w:line="360" w:lineRule="auto"/>
        <w:rPr>
          <w:rFonts w:ascii="Arial" w:hAnsi="Arial" w:cs="Arial"/>
        </w:rPr>
      </w:pPr>
      <w:hyperlink r:id="rId28" w:tgtFrame="_blank" w:history="1">
        <w:r w:rsidRPr="003E7DFE">
          <w:rPr>
            <w:rStyle w:val="Hyperlink"/>
            <w:rFonts w:ascii="Arial" w:hAnsi="Arial" w:cs="Arial"/>
            <w:color w:val="auto"/>
            <w:u w:val="none"/>
          </w:rPr>
          <w:t>College of Policing (2020) Briefing Note: Using Language Services</w:t>
        </w:r>
      </w:hyperlink>
    </w:p>
    <w:p w14:paraId="499CED15" w14:textId="77777777" w:rsidR="003E7DFE" w:rsidRPr="003E7DFE" w:rsidRDefault="003E7DFE" w:rsidP="003E7DFE">
      <w:pPr>
        <w:pStyle w:val="NormalWeb"/>
        <w:spacing w:before="0" w:beforeAutospacing="0" w:after="150" w:afterAutospacing="0" w:line="360" w:lineRule="auto"/>
        <w:rPr>
          <w:rFonts w:ascii="Arial" w:hAnsi="Arial" w:cs="Arial"/>
        </w:rPr>
      </w:pPr>
      <w:hyperlink r:id="rId29" w:tgtFrame="_blank" w:history="1">
        <w:r w:rsidRPr="003E7DFE">
          <w:rPr>
            <w:rStyle w:val="Hyperlink"/>
            <w:rFonts w:ascii="Arial" w:hAnsi="Arial" w:cs="Arial"/>
            <w:color w:val="auto"/>
            <w:u w:val="none"/>
          </w:rPr>
          <w:t xml:space="preserve">College of Policing (2020) Interpreting, </w:t>
        </w:r>
        <w:proofErr w:type="gramStart"/>
        <w:r w:rsidRPr="003E7DFE">
          <w:rPr>
            <w:rStyle w:val="Hyperlink"/>
            <w:rFonts w:ascii="Arial" w:hAnsi="Arial" w:cs="Arial"/>
            <w:color w:val="auto"/>
            <w:u w:val="none"/>
          </w:rPr>
          <w:t>Working</w:t>
        </w:r>
        <w:proofErr w:type="gramEnd"/>
        <w:r w:rsidRPr="003E7DFE">
          <w:rPr>
            <w:rStyle w:val="Hyperlink"/>
            <w:rFonts w:ascii="Arial" w:hAnsi="Arial" w:cs="Arial"/>
            <w:color w:val="auto"/>
            <w:u w:val="none"/>
          </w:rPr>
          <w:t xml:space="preserve"> with an Interpreter: Aide memoire for Interpreter assisted interviews</w:t>
        </w:r>
      </w:hyperlink>
      <w:r w:rsidRPr="003E7DFE">
        <w:rPr>
          <w:rFonts w:ascii="Arial" w:hAnsi="Arial" w:cs="Arial"/>
        </w:rPr>
        <w:t>.</w:t>
      </w:r>
    </w:p>
    <w:p w14:paraId="24400B95" w14:textId="77777777" w:rsidR="003E7DFE" w:rsidRPr="003E7DFE" w:rsidRDefault="003E7DFE" w:rsidP="003E7DFE">
      <w:pPr>
        <w:pStyle w:val="NormalWeb"/>
        <w:spacing w:before="0" w:beforeAutospacing="0" w:after="150" w:afterAutospacing="0" w:line="360" w:lineRule="auto"/>
        <w:rPr>
          <w:rFonts w:ascii="Arial" w:hAnsi="Arial" w:cs="Arial"/>
        </w:rPr>
      </w:pPr>
      <w:hyperlink r:id="rId30" w:tgtFrame="_blank" w:history="1">
        <w:r w:rsidRPr="003E7DFE">
          <w:rPr>
            <w:rStyle w:val="Hyperlink"/>
            <w:rFonts w:ascii="Arial" w:hAnsi="Arial" w:cs="Arial"/>
            <w:color w:val="auto"/>
            <w:u w:val="none"/>
          </w:rPr>
          <w:t>College of Policing (2020) Interpreting, Briefing the Interviewee: Aide memoire for Interpreter assisted interviews</w:t>
        </w:r>
      </w:hyperlink>
      <w:r w:rsidRPr="003E7DFE">
        <w:rPr>
          <w:rFonts w:ascii="Arial" w:hAnsi="Arial" w:cs="Arial"/>
        </w:rPr>
        <w:t>.</w:t>
      </w:r>
    </w:p>
    <w:p w14:paraId="48091B82" w14:textId="77777777" w:rsidR="003E7DFE" w:rsidRPr="003E7DFE" w:rsidRDefault="003E7DFE" w:rsidP="003E7DFE">
      <w:pPr>
        <w:pStyle w:val="Heading5"/>
        <w:spacing w:before="150" w:after="150" w:line="360" w:lineRule="auto"/>
        <w:rPr>
          <w:rFonts w:ascii="Arial" w:hAnsi="Arial" w:cs="Arial"/>
          <w:color w:val="auto"/>
        </w:rPr>
      </w:pPr>
      <w:bookmarkStart w:id="8" w:name="practical-arrangements"/>
      <w:bookmarkEnd w:id="8"/>
      <w:r w:rsidRPr="003E7DFE">
        <w:rPr>
          <w:rFonts w:ascii="Arial" w:hAnsi="Arial" w:cs="Arial"/>
          <w:color w:val="auto"/>
        </w:rPr>
        <w:t>Practical arrangements</w:t>
      </w:r>
    </w:p>
    <w:p w14:paraId="207135E7"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 xml:space="preserve">The interviewer may need to consider </w:t>
      </w:r>
      <w:proofErr w:type="gramStart"/>
      <w:r w:rsidRPr="003E7DFE">
        <w:rPr>
          <w:rFonts w:ascii="Arial" w:hAnsi="Arial" w:cs="Arial"/>
        </w:rPr>
        <w:t>a number of</w:t>
      </w:r>
      <w:proofErr w:type="gramEnd"/>
      <w:r w:rsidRPr="003E7DFE">
        <w:rPr>
          <w:rFonts w:ascii="Arial" w:hAnsi="Arial" w:cs="Arial"/>
        </w:rPr>
        <w:t xml:space="preserve"> activities and practical considerations which may help them to understand the circumstances of the offence, and to achieve the best interview from the interviewee.</w:t>
      </w:r>
    </w:p>
    <w:p w14:paraId="322D9312"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These include:</w:t>
      </w:r>
    </w:p>
    <w:p w14:paraId="196FDD34" w14:textId="77777777" w:rsidR="003E7DFE" w:rsidRPr="003E7DFE" w:rsidRDefault="003E7DFE" w:rsidP="003E7DFE">
      <w:pPr>
        <w:numPr>
          <w:ilvl w:val="0"/>
          <w:numId w:val="15"/>
        </w:numPr>
        <w:spacing w:before="100" w:beforeAutospacing="1" w:after="100" w:afterAutospacing="1" w:line="360" w:lineRule="auto"/>
      </w:pPr>
      <w:r w:rsidRPr="003E7DFE">
        <w:t>visiting the scene</w:t>
      </w:r>
    </w:p>
    <w:p w14:paraId="7385C830" w14:textId="77777777" w:rsidR="003E7DFE" w:rsidRPr="003E7DFE" w:rsidRDefault="003E7DFE" w:rsidP="003E7DFE">
      <w:pPr>
        <w:numPr>
          <w:ilvl w:val="0"/>
          <w:numId w:val="15"/>
        </w:numPr>
        <w:spacing w:before="100" w:beforeAutospacing="1" w:after="100" w:afterAutospacing="1" w:line="360" w:lineRule="auto"/>
      </w:pPr>
      <w:r w:rsidRPr="003E7DFE">
        <w:t>searching relevant premises</w:t>
      </w:r>
    </w:p>
    <w:p w14:paraId="6E5DD165" w14:textId="77777777" w:rsidR="003E7DFE" w:rsidRPr="003E7DFE" w:rsidRDefault="003E7DFE" w:rsidP="003E7DFE">
      <w:pPr>
        <w:numPr>
          <w:ilvl w:val="0"/>
          <w:numId w:val="15"/>
        </w:numPr>
        <w:spacing w:before="100" w:beforeAutospacing="1" w:after="100" w:afterAutospacing="1" w:line="360" w:lineRule="auto"/>
      </w:pPr>
      <w:r w:rsidRPr="003E7DFE">
        <w:t>location of the interview</w:t>
      </w:r>
    </w:p>
    <w:p w14:paraId="2037088E" w14:textId="77777777" w:rsidR="003E7DFE" w:rsidRPr="003E7DFE" w:rsidRDefault="003E7DFE" w:rsidP="003E7DFE">
      <w:pPr>
        <w:numPr>
          <w:ilvl w:val="0"/>
          <w:numId w:val="15"/>
        </w:numPr>
        <w:spacing w:before="100" w:beforeAutospacing="1" w:after="100" w:afterAutospacing="1" w:line="360" w:lineRule="auto"/>
      </w:pPr>
      <w:r w:rsidRPr="003E7DFE">
        <w:t>role of interviewers</w:t>
      </w:r>
    </w:p>
    <w:p w14:paraId="7A4FE29C" w14:textId="77777777" w:rsidR="003E7DFE" w:rsidRPr="003E7DFE" w:rsidRDefault="003E7DFE" w:rsidP="003E7DFE">
      <w:pPr>
        <w:numPr>
          <w:ilvl w:val="0"/>
          <w:numId w:val="15"/>
        </w:numPr>
        <w:spacing w:before="100" w:beforeAutospacing="1" w:after="100" w:afterAutospacing="1" w:line="360" w:lineRule="auto"/>
      </w:pPr>
      <w:r w:rsidRPr="003E7DFE">
        <w:t>timings</w:t>
      </w:r>
    </w:p>
    <w:p w14:paraId="65B56F42" w14:textId="77777777" w:rsidR="003E7DFE" w:rsidRPr="003E7DFE" w:rsidRDefault="003E7DFE" w:rsidP="003E7DFE">
      <w:pPr>
        <w:numPr>
          <w:ilvl w:val="0"/>
          <w:numId w:val="15"/>
        </w:numPr>
        <w:spacing w:before="100" w:beforeAutospacing="1" w:after="100" w:afterAutospacing="1" w:line="360" w:lineRule="auto"/>
      </w:pPr>
      <w:r w:rsidRPr="003E7DFE">
        <w:t>equipment</w:t>
      </w:r>
    </w:p>
    <w:p w14:paraId="7C7A2917" w14:textId="77777777" w:rsidR="003E7DFE" w:rsidRPr="003E7DFE" w:rsidRDefault="003E7DFE" w:rsidP="003E7DFE">
      <w:pPr>
        <w:numPr>
          <w:ilvl w:val="0"/>
          <w:numId w:val="15"/>
        </w:numPr>
        <w:spacing w:before="100" w:beforeAutospacing="1" w:after="100" w:afterAutospacing="1" w:line="360" w:lineRule="auto"/>
      </w:pPr>
      <w:r w:rsidRPr="003E7DFE">
        <w:t>exhibits and property</w:t>
      </w:r>
    </w:p>
    <w:p w14:paraId="758749B1" w14:textId="77777777" w:rsidR="003E7DFE" w:rsidRPr="003E7DFE" w:rsidRDefault="003E7DFE" w:rsidP="003E7DFE">
      <w:pPr>
        <w:numPr>
          <w:ilvl w:val="0"/>
          <w:numId w:val="15"/>
        </w:numPr>
        <w:spacing w:before="100" w:beforeAutospacing="1" w:after="100" w:afterAutospacing="1" w:line="360" w:lineRule="auto"/>
      </w:pPr>
      <w:r w:rsidRPr="003E7DFE">
        <w:t>knowledge of the offence.</w:t>
      </w:r>
    </w:p>
    <w:p w14:paraId="622312B2" w14:textId="77777777" w:rsidR="003E7DFE" w:rsidRPr="003E7DFE" w:rsidRDefault="003E7DFE" w:rsidP="003E7DFE">
      <w:pPr>
        <w:pStyle w:val="Heading5"/>
        <w:spacing w:before="150" w:after="150" w:line="360" w:lineRule="auto"/>
        <w:rPr>
          <w:rFonts w:ascii="Arial" w:hAnsi="Arial" w:cs="Arial"/>
          <w:color w:val="auto"/>
        </w:rPr>
      </w:pPr>
      <w:bookmarkStart w:id="9" w:name="written-interview-plan"/>
      <w:bookmarkEnd w:id="9"/>
      <w:r w:rsidRPr="003E7DFE">
        <w:rPr>
          <w:rFonts w:ascii="Arial" w:hAnsi="Arial" w:cs="Arial"/>
          <w:color w:val="auto"/>
        </w:rPr>
        <w:t>Written interview plan</w:t>
      </w:r>
    </w:p>
    <w:p w14:paraId="76911931"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The interview plan summarises the aim(s) of an interview and provides framework for questioning. It can increase the confidence of the interviewer and provide the flexibility to conduct a professional and effective interview. A written interview plan should be used for key witnesses, as well as suspects. It should include:</w:t>
      </w:r>
    </w:p>
    <w:p w14:paraId="37806789" w14:textId="77777777" w:rsidR="003E7DFE" w:rsidRPr="003E7DFE" w:rsidRDefault="003E7DFE" w:rsidP="003E7DFE">
      <w:pPr>
        <w:numPr>
          <w:ilvl w:val="0"/>
          <w:numId w:val="16"/>
        </w:numPr>
        <w:spacing w:before="100" w:beforeAutospacing="1" w:after="100" w:afterAutospacing="1" w:line="360" w:lineRule="auto"/>
      </w:pPr>
      <w:r w:rsidRPr="003E7DFE">
        <w:t>the time a suspect has been in custody (investigators should be aware of the </w:t>
      </w:r>
      <w:hyperlink r:id="rId31" w:tgtFrame="_blank" w:tooltip="Detention clock" w:history="1">
        <w:r w:rsidRPr="003E7DFE">
          <w:rPr>
            <w:rStyle w:val="Hyperlink"/>
            <w:color w:val="auto"/>
            <w:u w:val="none"/>
          </w:rPr>
          <w:t>detention clock</w:t>
        </w:r>
      </w:hyperlink>
      <w:r w:rsidRPr="003E7DFE">
        <w:t> and its impact on the interview)</w:t>
      </w:r>
    </w:p>
    <w:p w14:paraId="5410BAA0" w14:textId="77777777" w:rsidR="003E7DFE" w:rsidRPr="003E7DFE" w:rsidRDefault="003E7DFE" w:rsidP="003E7DFE">
      <w:pPr>
        <w:numPr>
          <w:ilvl w:val="0"/>
          <w:numId w:val="16"/>
        </w:numPr>
        <w:spacing w:before="100" w:beforeAutospacing="1" w:after="100" w:afterAutospacing="1" w:line="360" w:lineRule="auto"/>
      </w:pPr>
      <w:r w:rsidRPr="003E7DFE">
        <w:t>the range of topics to be covered around identified time parameters (this may vary depending on whether it is a witness or suspect interview)</w:t>
      </w:r>
    </w:p>
    <w:p w14:paraId="20D46D62" w14:textId="77777777" w:rsidR="003E7DFE" w:rsidRPr="003E7DFE" w:rsidRDefault="003E7DFE" w:rsidP="003E7DFE">
      <w:pPr>
        <w:numPr>
          <w:ilvl w:val="0"/>
          <w:numId w:val="16"/>
        </w:numPr>
        <w:spacing w:before="100" w:beforeAutospacing="1" w:after="100" w:afterAutospacing="1" w:line="360" w:lineRule="auto"/>
      </w:pPr>
      <w:r w:rsidRPr="003E7DFE">
        <w:t>the points necessary to prove the potential offence(s) under investigation</w:t>
      </w:r>
    </w:p>
    <w:p w14:paraId="1075199A" w14:textId="77777777" w:rsidR="003E7DFE" w:rsidRPr="003E7DFE" w:rsidRDefault="003E7DFE" w:rsidP="003E7DFE">
      <w:pPr>
        <w:numPr>
          <w:ilvl w:val="0"/>
          <w:numId w:val="16"/>
        </w:numPr>
        <w:spacing w:before="100" w:beforeAutospacing="1" w:after="100" w:afterAutospacing="1" w:line="360" w:lineRule="auto"/>
      </w:pPr>
      <w:r w:rsidRPr="003E7DFE">
        <w:t>any points which may be a defence for committing the offence(s) under investigation</w:t>
      </w:r>
    </w:p>
    <w:p w14:paraId="7763E9FB" w14:textId="77777777" w:rsidR="003E7DFE" w:rsidRPr="003E7DFE" w:rsidRDefault="003E7DFE" w:rsidP="003E7DFE">
      <w:pPr>
        <w:numPr>
          <w:ilvl w:val="0"/>
          <w:numId w:val="16"/>
        </w:numPr>
        <w:spacing w:before="100" w:beforeAutospacing="1" w:after="100" w:afterAutospacing="1" w:line="360" w:lineRule="auto"/>
      </w:pPr>
      <w:r w:rsidRPr="003E7DFE">
        <w:t>introduction of exhibits</w:t>
      </w:r>
    </w:p>
    <w:p w14:paraId="4F14357F" w14:textId="77777777" w:rsidR="003E7DFE" w:rsidRPr="003E7DFE" w:rsidRDefault="003E7DFE" w:rsidP="003E7DFE">
      <w:pPr>
        <w:numPr>
          <w:ilvl w:val="0"/>
          <w:numId w:val="16"/>
        </w:numPr>
        <w:spacing w:before="100" w:beforeAutospacing="1" w:after="100" w:afterAutospacing="1" w:line="360" w:lineRule="auto"/>
      </w:pPr>
      <w:r w:rsidRPr="003E7DFE">
        <w:lastRenderedPageBreak/>
        <w:t>material which suggests the suspect may have committed the offence</w:t>
      </w:r>
    </w:p>
    <w:p w14:paraId="555537F4" w14:textId="77777777" w:rsidR="003E7DFE" w:rsidRPr="003E7DFE" w:rsidRDefault="003E7DFE" w:rsidP="003E7DFE">
      <w:pPr>
        <w:numPr>
          <w:ilvl w:val="0"/>
          <w:numId w:val="16"/>
        </w:numPr>
        <w:spacing w:before="100" w:beforeAutospacing="1" w:after="100" w:afterAutospacing="1" w:line="360" w:lineRule="auto"/>
      </w:pPr>
      <w:r w:rsidRPr="003E7DFE">
        <w:t>identified information which may assist the investigation</w:t>
      </w:r>
    </w:p>
    <w:p w14:paraId="41507E48" w14:textId="77777777" w:rsidR="003E7DFE" w:rsidRPr="003E7DFE" w:rsidRDefault="003E7DFE" w:rsidP="003E7DFE">
      <w:pPr>
        <w:numPr>
          <w:ilvl w:val="0"/>
          <w:numId w:val="16"/>
        </w:numPr>
        <w:spacing w:before="100" w:beforeAutospacing="1" w:after="100" w:afterAutospacing="1" w:line="360" w:lineRule="auto"/>
      </w:pPr>
      <w:r w:rsidRPr="003E7DFE">
        <w:t xml:space="preserve">any other relevant points, </w:t>
      </w:r>
      <w:proofErr w:type="spellStart"/>
      <w:r w:rsidRPr="003E7DFE">
        <w:t>eg</w:t>
      </w:r>
      <w:proofErr w:type="spellEnd"/>
      <w:r w:rsidRPr="003E7DFE">
        <w:t xml:space="preserve">, actus reus (guilty act), </w:t>
      </w:r>
      <w:proofErr w:type="spellStart"/>
      <w:r w:rsidRPr="003E7DFE">
        <w:t>mens</w:t>
      </w:r>
      <w:proofErr w:type="spellEnd"/>
      <w:r w:rsidRPr="003E7DFE">
        <w:t xml:space="preserve"> rea (guilty mind), intention, no valid defence</w:t>
      </w:r>
    </w:p>
    <w:p w14:paraId="4809668C" w14:textId="77777777" w:rsidR="003E7DFE" w:rsidRPr="003E7DFE" w:rsidRDefault="003E7DFE" w:rsidP="003E7DFE">
      <w:pPr>
        <w:numPr>
          <w:ilvl w:val="0"/>
          <w:numId w:val="16"/>
        </w:numPr>
        <w:spacing w:before="100" w:beforeAutospacing="1" w:after="100" w:afterAutospacing="1" w:line="360" w:lineRule="auto"/>
      </w:pPr>
      <w:r w:rsidRPr="003E7DFE">
        <w:t xml:space="preserve">planning for a prepared statement, special warnings, adverse inference, significant </w:t>
      </w:r>
      <w:proofErr w:type="gramStart"/>
      <w:r w:rsidRPr="003E7DFE">
        <w:t>comments</w:t>
      </w:r>
      <w:proofErr w:type="gramEnd"/>
      <w:r w:rsidRPr="003E7DFE">
        <w:t> or silences.</w:t>
      </w:r>
    </w:p>
    <w:p w14:paraId="2BAFF342"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Style w:val="Strong"/>
          <w:rFonts w:ascii="Arial" w:hAnsi="Arial" w:cs="Arial"/>
        </w:rPr>
        <w:t>Multiple interviewers</w:t>
      </w:r>
    </w:p>
    <w:p w14:paraId="1814021F"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 xml:space="preserve">The plan should record who will be the lead interviewer, and who is responsible for </w:t>
      </w:r>
      <w:proofErr w:type="gramStart"/>
      <w:r w:rsidRPr="003E7DFE">
        <w:rPr>
          <w:rFonts w:ascii="Arial" w:hAnsi="Arial" w:cs="Arial"/>
        </w:rPr>
        <w:t>note-taking</w:t>
      </w:r>
      <w:proofErr w:type="gramEnd"/>
      <w:r w:rsidRPr="003E7DFE">
        <w:rPr>
          <w:rFonts w:ascii="Arial" w:hAnsi="Arial" w:cs="Arial"/>
        </w:rPr>
        <w:t>. It is important that interviewers understand their respective roles and maintain the role agreed. Two interviewers asking multiple questions in an unstructured manner is unlikely to achieve the interview’s objective.</w:t>
      </w:r>
    </w:p>
    <w:p w14:paraId="52A21C41" w14:textId="77777777" w:rsidR="003E7DFE" w:rsidRPr="003E7DFE" w:rsidRDefault="003E7DFE" w:rsidP="003E7DFE">
      <w:pPr>
        <w:pStyle w:val="Heading4"/>
        <w:spacing w:before="300" w:beforeAutospacing="0" w:after="150" w:afterAutospacing="0" w:line="360" w:lineRule="auto"/>
        <w:rPr>
          <w:rFonts w:ascii="Arial" w:hAnsi="Arial" w:cs="Arial"/>
        </w:rPr>
      </w:pPr>
      <w:bookmarkStart w:id="10" w:name="engage-and-explain"/>
      <w:bookmarkEnd w:id="10"/>
      <w:r w:rsidRPr="003E7DFE">
        <w:rPr>
          <w:rFonts w:ascii="Arial" w:hAnsi="Arial" w:cs="Arial"/>
        </w:rPr>
        <w:t>Engage and explain</w:t>
      </w:r>
    </w:p>
    <w:p w14:paraId="3022BDE9"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The first step to encouraging conversation is to engage the interviewee. This is not always easy, especially if the person is previously unknown to the police.</w:t>
      </w:r>
    </w:p>
    <w:p w14:paraId="3FDC5462"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Active listening assists the interviewer to establish and maintain a rapport. This then enables them to:</w:t>
      </w:r>
    </w:p>
    <w:p w14:paraId="029E0B0C" w14:textId="77777777" w:rsidR="003E7DFE" w:rsidRPr="003E7DFE" w:rsidRDefault="003E7DFE" w:rsidP="003E7DFE">
      <w:pPr>
        <w:numPr>
          <w:ilvl w:val="0"/>
          <w:numId w:val="17"/>
        </w:numPr>
        <w:spacing w:before="100" w:beforeAutospacing="1" w:after="100" w:afterAutospacing="1" w:line="360" w:lineRule="auto"/>
      </w:pPr>
      <w:r w:rsidRPr="003E7DFE">
        <w:t>identify topics during the interview and, therefore, manage the conversation</w:t>
      </w:r>
    </w:p>
    <w:p w14:paraId="041A7DDD" w14:textId="77777777" w:rsidR="003E7DFE" w:rsidRPr="003E7DFE" w:rsidRDefault="003E7DFE" w:rsidP="003E7DFE">
      <w:pPr>
        <w:numPr>
          <w:ilvl w:val="0"/>
          <w:numId w:val="17"/>
        </w:numPr>
        <w:spacing w:before="100" w:beforeAutospacing="1" w:after="100" w:afterAutospacing="1" w:line="360" w:lineRule="auto"/>
      </w:pPr>
      <w:r w:rsidRPr="003E7DFE">
        <w:t>communicate interest to the interviewee in their account</w:t>
      </w:r>
    </w:p>
    <w:p w14:paraId="075B4B1A" w14:textId="77777777" w:rsidR="003E7DFE" w:rsidRPr="003E7DFE" w:rsidRDefault="003E7DFE" w:rsidP="003E7DFE">
      <w:pPr>
        <w:numPr>
          <w:ilvl w:val="0"/>
          <w:numId w:val="17"/>
        </w:numPr>
        <w:spacing w:before="100" w:beforeAutospacing="1" w:after="100" w:afterAutospacing="1" w:line="360" w:lineRule="auto"/>
      </w:pPr>
      <w:r w:rsidRPr="003E7DFE">
        <w:t>identify important evidential information.</w:t>
      </w:r>
    </w:p>
    <w:p w14:paraId="545CD750"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Factors such as the interviewee’s background and personal </w:t>
      </w:r>
      <w:hyperlink r:id="rId32" w:anchor="interviewee" w:tooltip="interviewee" w:history="1">
        <w:r w:rsidRPr="003E7DFE">
          <w:rPr>
            <w:rStyle w:val="Hyperlink"/>
            <w:rFonts w:ascii="Arial" w:hAnsi="Arial" w:cs="Arial"/>
            <w:color w:val="auto"/>
            <w:u w:val="none"/>
          </w:rPr>
          <w:t>characteristics</w:t>
        </w:r>
      </w:hyperlink>
      <w:r w:rsidRPr="003E7DFE">
        <w:rPr>
          <w:rFonts w:ascii="Arial" w:hAnsi="Arial" w:cs="Arial"/>
        </w:rPr>
        <w:t> should be taken into account.</w:t>
      </w:r>
    </w:p>
    <w:p w14:paraId="08BCEF76"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Style w:val="Strong"/>
          <w:rFonts w:ascii="Arial" w:hAnsi="Arial" w:cs="Arial"/>
        </w:rPr>
        <w:t>Beginning the interview</w:t>
      </w:r>
    </w:p>
    <w:p w14:paraId="533B34D1"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 xml:space="preserve">This is important and should be considered in the planning stage. The reason for the interview should also be clearly explained, </w:t>
      </w:r>
      <w:proofErr w:type="spellStart"/>
      <w:r w:rsidRPr="003E7DFE">
        <w:rPr>
          <w:rFonts w:ascii="Arial" w:hAnsi="Arial" w:cs="Arial"/>
        </w:rPr>
        <w:t>eg</w:t>
      </w:r>
      <w:proofErr w:type="spellEnd"/>
      <w:r w:rsidRPr="003E7DFE">
        <w:rPr>
          <w:rFonts w:ascii="Arial" w:hAnsi="Arial" w:cs="Arial"/>
        </w:rPr>
        <w:t>, the interviewer may say:</w:t>
      </w:r>
    </w:p>
    <w:p w14:paraId="2166238C" w14:textId="77777777" w:rsidR="003E7DFE" w:rsidRPr="003E7DFE" w:rsidRDefault="003E7DFE" w:rsidP="003E7DFE">
      <w:pPr>
        <w:numPr>
          <w:ilvl w:val="0"/>
          <w:numId w:val="18"/>
        </w:numPr>
        <w:spacing w:before="100" w:beforeAutospacing="1" w:after="100" w:afterAutospacing="1" w:line="360" w:lineRule="auto"/>
      </w:pPr>
      <w:r w:rsidRPr="003E7DFE">
        <w:t>‘You are here because you have been arrested for (offence)’ or</w:t>
      </w:r>
    </w:p>
    <w:p w14:paraId="666E81BB" w14:textId="77777777" w:rsidR="003E7DFE" w:rsidRPr="003E7DFE" w:rsidRDefault="003E7DFE" w:rsidP="003E7DFE">
      <w:pPr>
        <w:numPr>
          <w:ilvl w:val="0"/>
          <w:numId w:val="18"/>
        </w:numPr>
        <w:spacing w:before="100" w:beforeAutospacing="1" w:after="100" w:afterAutospacing="1" w:line="360" w:lineRule="auto"/>
      </w:pPr>
      <w:r w:rsidRPr="003E7DFE">
        <w:t>‘You are here because you witnessed (offence/incident).’</w:t>
      </w:r>
    </w:p>
    <w:p w14:paraId="3873D4E6"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The interviewer should then check the interviewee has understood the explanation.</w:t>
      </w:r>
    </w:p>
    <w:p w14:paraId="4EBB5FF5" w14:textId="77777777" w:rsidR="003E7DFE" w:rsidRPr="003E7DFE" w:rsidRDefault="003E7DFE" w:rsidP="003E7DFE">
      <w:pPr>
        <w:pStyle w:val="Heading5"/>
        <w:spacing w:before="150" w:after="150" w:line="360" w:lineRule="auto"/>
        <w:rPr>
          <w:rFonts w:ascii="Arial" w:hAnsi="Arial" w:cs="Arial"/>
          <w:color w:val="auto"/>
        </w:rPr>
      </w:pPr>
      <w:bookmarkStart w:id="11" w:name="objectives-of-the-interview"/>
      <w:bookmarkEnd w:id="11"/>
      <w:r w:rsidRPr="003E7DFE">
        <w:rPr>
          <w:rFonts w:ascii="Arial" w:hAnsi="Arial" w:cs="Arial"/>
          <w:color w:val="auto"/>
        </w:rPr>
        <w:lastRenderedPageBreak/>
        <w:t>Objectives of the interview</w:t>
      </w:r>
    </w:p>
    <w:p w14:paraId="055D2322"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Before starting an interview, the objectives of the interview should be explained to the interviewee, and they should be provided with an outline or route map of it.</w:t>
      </w:r>
    </w:p>
    <w:p w14:paraId="61197CC2" w14:textId="77777777" w:rsidR="003E7DFE" w:rsidRPr="003E7DFE" w:rsidRDefault="003E7DFE" w:rsidP="003E7DFE">
      <w:pPr>
        <w:pStyle w:val="NormalWeb"/>
        <w:spacing w:before="0" w:beforeAutospacing="0" w:after="150" w:afterAutospacing="0" w:line="360" w:lineRule="auto"/>
        <w:rPr>
          <w:rFonts w:ascii="Arial" w:hAnsi="Arial" w:cs="Arial"/>
        </w:rPr>
      </w:pPr>
      <w:r w:rsidRPr="003E7DFE">
        <w:rPr>
          <w:rFonts w:ascii="Arial" w:hAnsi="Arial" w:cs="Arial"/>
        </w:rPr>
        <w:t>For example, interviewers may say:</w:t>
      </w:r>
    </w:p>
    <w:p w14:paraId="29D3FB2A" w14:textId="77777777" w:rsidR="003E7DFE" w:rsidRPr="003E7DFE" w:rsidRDefault="003E7DFE" w:rsidP="003E7DFE">
      <w:pPr>
        <w:numPr>
          <w:ilvl w:val="0"/>
          <w:numId w:val="19"/>
        </w:numPr>
        <w:spacing w:before="100" w:beforeAutospacing="1" w:after="100" w:afterAutospacing="1" w:line="360" w:lineRule="auto"/>
      </w:pPr>
      <w:r w:rsidRPr="003E7DFE">
        <w:t>‘During this interview I will talk to you about (list objectives).’</w:t>
      </w:r>
    </w:p>
    <w:p w14:paraId="4457482F" w14:textId="77777777" w:rsidR="003E7DFE" w:rsidRPr="00696EBE" w:rsidRDefault="003E7DFE" w:rsidP="00696EBE">
      <w:pPr>
        <w:pStyle w:val="NormalWeb"/>
        <w:spacing w:before="0" w:beforeAutospacing="0" w:after="150" w:afterAutospacing="0" w:line="360" w:lineRule="auto"/>
        <w:rPr>
          <w:rFonts w:ascii="Arial" w:hAnsi="Arial" w:cs="Arial"/>
        </w:rPr>
      </w:pPr>
      <w:r w:rsidRPr="00696EBE">
        <w:rPr>
          <w:rFonts w:ascii="Arial" w:hAnsi="Arial" w:cs="Arial"/>
        </w:rPr>
        <w:t>Then go on to explain:</w:t>
      </w:r>
    </w:p>
    <w:p w14:paraId="63790951" w14:textId="77777777" w:rsidR="003E7DFE" w:rsidRPr="00696EBE" w:rsidRDefault="003E7DFE" w:rsidP="00696EBE">
      <w:pPr>
        <w:numPr>
          <w:ilvl w:val="0"/>
          <w:numId w:val="20"/>
        </w:numPr>
        <w:spacing w:before="100" w:beforeAutospacing="1" w:after="100" w:afterAutospacing="1" w:line="360" w:lineRule="auto"/>
      </w:pPr>
      <w:r w:rsidRPr="00696EBE">
        <w:t xml:space="preserve">‘I will also ask you about anything else which may become relevant during the interview </w:t>
      </w:r>
      <w:proofErr w:type="gramStart"/>
      <w:r w:rsidRPr="00696EBE">
        <w:t>in order to</w:t>
      </w:r>
      <w:proofErr w:type="gramEnd"/>
      <w:r w:rsidRPr="00696EBE">
        <w:t xml:space="preserve"> properly establish the facts and issues.’</w:t>
      </w:r>
    </w:p>
    <w:p w14:paraId="356744E3" w14:textId="77777777" w:rsidR="003E7DFE" w:rsidRPr="00696EBE" w:rsidRDefault="003E7DFE" w:rsidP="00696EBE">
      <w:pPr>
        <w:pStyle w:val="Heading5"/>
        <w:spacing w:before="150" w:after="150" w:line="360" w:lineRule="auto"/>
        <w:rPr>
          <w:rFonts w:ascii="Arial" w:hAnsi="Arial" w:cs="Arial"/>
          <w:color w:val="auto"/>
        </w:rPr>
      </w:pPr>
      <w:bookmarkStart w:id="12" w:name="routines-and-expectations"/>
      <w:bookmarkEnd w:id="12"/>
      <w:r w:rsidRPr="00696EBE">
        <w:rPr>
          <w:rFonts w:ascii="Arial" w:hAnsi="Arial" w:cs="Arial"/>
          <w:color w:val="auto"/>
        </w:rPr>
        <w:t>Routines and expectations</w:t>
      </w:r>
    </w:p>
    <w:p w14:paraId="55CA97D9" w14:textId="77777777" w:rsidR="003E7DFE" w:rsidRPr="00696EBE" w:rsidRDefault="003E7DFE" w:rsidP="00696EBE">
      <w:pPr>
        <w:pStyle w:val="NormalWeb"/>
        <w:spacing w:before="0" w:beforeAutospacing="0" w:after="150" w:afterAutospacing="0" w:line="360" w:lineRule="auto"/>
        <w:rPr>
          <w:rFonts w:ascii="Arial" w:hAnsi="Arial" w:cs="Arial"/>
        </w:rPr>
      </w:pPr>
      <w:r w:rsidRPr="00696EBE">
        <w:rPr>
          <w:rFonts w:ascii="Arial" w:hAnsi="Arial" w:cs="Arial"/>
        </w:rPr>
        <w:t>It is good practice to explain to the interviewee that if they nod or shake their head the interviewer will state that they have done so. It should also be explained that notes will be taken during the interview.</w:t>
      </w:r>
    </w:p>
    <w:p w14:paraId="58304270" w14:textId="77777777" w:rsidR="003E7DFE" w:rsidRPr="00696EBE" w:rsidRDefault="003E7DFE" w:rsidP="00696EBE">
      <w:pPr>
        <w:pStyle w:val="NormalWeb"/>
        <w:spacing w:before="0" w:beforeAutospacing="0" w:after="150" w:afterAutospacing="0" w:line="360" w:lineRule="auto"/>
        <w:rPr>
          <w:rFonts w:ascii="Arial" w:hAnsi="Arial" w:cs="Arial"/>
        </w:rPr>
      </w:pPr>
      <w:r w:rsidRPr="00696EBE">
        <w:rPr>
          <w:rFonts w:ascii="Arial" w:hAnsi="Arial" w:cs="Arial"/>
        </w:rPr>
        <w:t>It may be useful to inform the interviewee that although the police wish to establish certain facts and issues, it is the interviewee’s opportunity to explain their involvement or non-involvement in the incident under investigation.</w:t>
      </w:r>
    </w:p>
    <w:p w14:paraId="4E719E06" w14:textId="77777777" w:rsidR="003E7DFE" w:rsidRPr="00696EBE" w:rsidRDefault="003E7DFE" w:rsidP="00696EBE">
      <w:pPr>
        <w:pStyle w:val="NormalWeb"/>
        <w:spacing w:before="0" w:beforeAutospacing="0" w:after="150" w:afterAutospacing="0" w:line="360" w:lineRule="auto"/>
        <w:rPr>
          <w:rFonts w:ascii="Arial" w:hAnsi="Arial" w:cs="Arial"/>
        </w:rPr>
      </w:pPr>
      <w:r w:rsidRPr="00696EBE">
        <w:rPr>
          <w:rFonts w:ascii="Arial" w:hAnsi="Arial" w:cs="Arial"/>
        </w:rPr>
        <w:t>Investigators should encourage the interviewee to voice anything which they feel is relevant, explaining that there is no time limit for the interview and that as much detail as possible is required, encouraging the interviewee to voice anything which they feel is relevant.</w:t>
      </w:r>
    </w:p>
    <w:p w14:paraId="77C83620" w14:textId="77777777" w:rsidR="003E7DFE" w:rsidRPr="00696EBE" w:rsidRDefault="003E7DFE" w:rsidP="00696EBE">
      <w:pPr>
        <w:pStyle w:val="NormalWeb"/>
        <w:spacing w:before="0" w:beforeAutospacing="0" w:after="150" w:afterAutospacing="0" w:line="360" w:lineRule="auto"/>
        <w:rPr>
          <w:rFonts w:ascii="Arial" w:hAnsi="Arial" w:cs="Arial"/>
        </w:rPr>
      </w:pPr>
      <w:r w:rsidRPr="00696EBE">
        <w:rPr>
          <w:rFonts w:ascii="Arial" w:hAnsi="Arial" w:cs="Arial"/>
        </w:rPr>
        <w:t>The interviewee should be reassured that they will not be interrupted. It may be appropriate to ask the interviewee to consider fully any question they are being asked before they answer.</w:t>
      </w:r>
    </w:p>
    <w:p w14:paraId="56D163AF" w14:textId="77777777" w:rsidR="003E7DFE" w:rsidRPr="00696EBE" w:rsidRDefault="003E7DFE" w:rsidP="00696EBE">
      <w:pPr>
        <w:pStyle w:val="Heading4"/>
        <w:spacing w:before="300" w:beforeAutospacing="0" w:after="150" w:afterAutospacing="0" w:line="360" w:lineRule="auto"/>
        <w:rPr>
          <w:rFonts w:ascii="Arial" w:hAnsi="Arial" w:cs="Arial"/>
        </w:rPr>
      </w:pPr>
      <w:bookmarkStart w:id="13" w:name="account-clarification-challenge"/>
      <w:bookmarkEnd w:id="13"/>
      <w:r w:rsidRPr="00696EBE">
        <w:rPr>
          <w:rFonts w:ascii="Arial" w:hAnsi="Arial" w:cs="Arial"/>
        </w:rPr>
        <w:t>Account, clarification, challenge</w:t>
      </w:r>
    </w:p>
    <w:p w14:paraId="39EA065E" w14:textId="77777777" w:rsidR="003E7DFE" w:rsidRPr="00696EBE" w:rsidRDefault="003E7DFE" w:rsidP="00696EBE">
      <w:pPr>
        <w:pStyle w:val="NormalWeb"/>
        <w:spacing w:before="0" w:beforeAutospacing="0" w:after="150" w:afterAutospacing="0" w:line="360" w:lineRule="auto"/>
        <w:rPr>
          <w:rFonts w:ascii="Arial" w:hAnsi="Arial" w:cs="Arial"/>
        </w:rPr>
      </w:pPr>
      <w:r w:rsidRPr="00696EBE">
        <w:rPr>
          <w:rFonts w:ascii="Arial" w:hAnsi="Arial" w:cs="Arial"/>
        </w:rPr>
        <w:t>Obtaining an account consists of both initiating and supporting. In volume and priority crime investigations the most common way of initiating an account is simply to use an open-ended prompt, such as, ‘tell me what happened’.</w:t>
      </w:r>
    </w:p>
    <w:p w14:paraId="7FA985E0" w14:textId="292384B1" w:rsidR="003E7DFE" w:rsidRPr="00696EBE" w:rsidRDefault="00696EBE" w:rsidP="00696EBE">
      <w:pPr>
        <w:pStyle w:val="NormalWeb"/>
        <w:spacing w:before="0" w:beforeAutospacing="0" w:after="150" w:afterAutospacing="0" w:line="360" w:lineRule="auto"/>
        <w:rPr>
          <w:rStyle w:val="Strong"/>
          <w:rFonts w:ascii="Arial" w:hAnsi="Arial" w:cs="Arial"/>
        </w:rPr>
      </w:pPr>
      <w:r w:rsidRPr="00696EBE">
        <w:rPr>
          <w:rStyle w:val="Strong"/>
          <w:rFonts w:ascii="Arial" w:hAnsi="Arial" w:cs="Arial"/>
        </w:rPr>
        <w:t>Support an account with active listening</w:t>
      </w:r>
    </w:p>
    <w:p w14:paraId="6FD84230"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lastRenderedPageBreak/>
        <w:t>This includes:</w:t>
      </w:r>
    </w:p>
    <w:p w14:paraId="567024E5" w14:textId="77777777" w:rsidR="00696EBE" w:rsidRPr="00696EBE" w:rsidRDefault="00696EBE" w:rsidP="00696EBE">
      <w:pPr>
        <w:numPr>
          <w:ilvl w:val="0"/>
          <w:numId w:val="21"/>
        </w:numPr>
        <w:spacing w:before="100" w:beforeAutospacing="1" w:after="100" w:afterAutospacing="1" w:line="360" w:lineRule="auto"/>
      </w:pPr>
      <w:r w:rsidRPr="00696EBE">
        <w:t>non-verbal behaviour such as adopting an appropriate posture and orientation towards</w:t>
      </w:r>
      <w:r w:rsidRPr="00696EBE">
        <w:br/>
        <w:t>the interviewee</w:t>
      </w:r>
    </w:p>
    <w:p w14:paraId="27444FF7" w14:textId="77777777" w:rsidR="00696EBE" w:rsidRPr="00696EBE" w:rsidRDefault="00696EBE" w:rsidP="00696EBE">
      <w:pPr>
        <w:numPr>
          <w:ilvl w:val="0"/>
          <w:numId w:val="21"/>
        </w:numPr>
        <w:spacing w:before="100" w:beforeAutospacing="1" w:after="100" w:afterAutospacing="1" w:line="360" w:lineRule="auto"/>
      </w:pPr>
      <w:r w:rsidRPr="00696EBE">
        <w:t>allowing the interviewee to pause so that they can search their memory, without interrupting</w:t>
      </w:r>
    </w:p>
    <w:p w14:paraId="02BC8A5B" w14:textId="77777777" w:rsidR="00696EBE" w:rsidRPr="00696EBE" w:rsidRDefault="00696EBE" w:rsidP="00696EBE">
      <w:pPr>
        <w:numPr>
          <w:ilvl w:val="0"/>
          <w:numId w:val="21"/>
        </w:numPr>
        <w:spacing w:before="100" w:beforeAutospacing="1" w:after="100" w:afterAutospacing="1" w:line="360" w:lineRule="auto"/>
      </w:pPr>
      <w:r w:rsidRPr="00696EBE">
        <w:t xml:space="preserve">encouraging the interviewee to continue reporting their account until it is complete by using simple utterances such as ‘mm </w:t>
      </w:r>
      <w:proofErr w:type="spellStart"/>
      <w:r w:rsidRPr="00696EBE">
        <w:t>mm</w:t>
      </w:r>
      <w:proofErr w:type="spellEnd"/>
      <w:r w:rsidRPr="00696EBE">
        <w:t xml:space="preserve">’ and prompts, </w:t>
      </w:r>
      <w:proofErr w:type="spellStart"/>
      <w:r w:rsidRPr="00696EBE">
        <w:t>eg</w:t>
      </w:r>
      <w:proofErr w:type="spellEnd"/>
      <w:r w:rsidRPr="00696EBE">
        <w:t>, ‘What happened next?’ or questions that reflect what the interviewee has said, such as, ‘He hit you?’.</w:t>
      </w:r>
    </w:p>
    <w:p w14:paraId="16146D73" w14:textId="77777777" w:rsidR="00696EBE" w:rsidRPr="00696EBE" w:rsidRDefault="00696EBE" w:rsidP="00696EBE">
      <w:pPr>
        <w:pStyle w:val="NormalWeb"/>
        <w:spacing w:before="0" w:beforeAutospacing="0" w:after="150" w:afterAutospacing="0" w:line="360" w:lineRule="auto"/>
        <w:rPr>
          <w:rFonts w:ascii="Arial" w:hAnsi="Arial" w:cs="Arial"/>
        </w:rPr>
      </w:pPr>
      <w:r w:rsidRPr="00424AB2">
        <w:rPr>
          <w:rFonts w:ascii="Arial" w:hAnsi="Arial" w:cs="Arial"/>
          <w:b/>
          <w:bCs/>
        </w:rPr>
        <w:t>Clarify and expand the interviewee’s account by</w:t>
      </w:r>
      <w:r w:rsidRPr="00696EBE">
        <w:rPr>
          <w:rFonts w:ascii="Arial" w:hAnsi="Arial" w:cs="Arial"/>
        </w:rPr>
        <w:t>:</w:t>
      </w:r>
    </w:p>
    <w:p w14:paraId="28B78496" w14:textId="77777777" w:rsidR="00696EBE" w:rsidRPr="00696EBE" w:rsidRDefault="00696EBE" w:rsidP="00696EBE">
      <w:pPr>
        <w:numPr>
          <w:ilvl w:val="0"/>
          <w:numId w:val="22"/>
        </w:numPr>
        <w:spacing w:before="100" w:beforeAutospacing="1" w:after="100" w:afterAutospacing="1" w:line="360" w:lineRule="auto"/>
      </w:pPr>
      <w:r w:rsidRPr="00696EBE">
        <w:t>breaking the account down into manageable topics</w:t>
      </w:r>
    </w:p>
    <w:p w14:paraId="236634A1" w14:textId="77777777" w:rsidR="00696EBE" w:rsidRPr="00696EBE" w:rsidRDefault="00696EBE" w:rsidP="00696EBE">
      <w:pPr>
        <w:numPr>
          <w:ilvl w:val="0"/>
          <w:numId w:val="22"/>
        </w:numPr>
        <w:spacing w:before="100" w:beforeAutospacing="1" w:after="100" w:afterAutospacing="1" w:line="360" w:lineRule="auto"/>
      </w:pPr>
      <w:r w:rsidRPr="00696EBE">
        <w:t>systematically probing those topics by means of open-ended and specific-closed questions until as full a picture as possible of the interviewee’s account has been obtained</w:t>
      </w:r>
    </w:p>
    <w:p w14:paraId="22FDB891" w14:textId="77777777" w:rsidR="00696EBE" w:rsidRPr="00696EBE" w:rsidRDefault="00696EBE" w:rsidP="00696EBE">
      <w:pPr>
        <w:numPr>
          <w:ilvl w:val="0"/>
          <w:numId w:val="22"/>
        </w:numPr>
        <w:spacing w:before="100" w:beforeAutospacing="1" w:after="100" w:afterAutospacing="1" w:line="360" w:lineRule="auto"/>
      </w:pPr>
      <w:r w:rsidRPr="00696EBE">
        <w:t>examining any information, identified during the planning phase, that has not already been covered.</w:t>
      </w:r>
    </w:p>
    <w:p w14:paraId="7A9E4F5D" w14:textId="77777777" w:rsidR="00696EBE" w:rsidRPr="00424AB2" w:rsidRDefault="00696EBE" w:rsidP="00696EBE">
      <w:pPr>
        <w:pStyle w:val="Heading5"/>
        <w:spacing w:before="150" w:after="150" w:line="360" w:lineRule="auto"/>
        <w:rPr>
          <w:rFonts w:ascii="Arial" w:hAnsi="Arial" w:cs="Arial"/>
          <w:b/>
          <w:bCs/>
          <w:color w:val="auto"/>
        </w:rPr>
      </w:pPr>
      <w:bookmarkStart w:id="14" w:name="questions"/>
      <w:bookmarkEnd w:id="14"/>
      <w:r w:rsidRPr="00424AB2">
        <w:rPr>
          <w:rFonts w:ascii="Arial" w:hAnsi="Arial" w:cs="Arial"/>
          <w:b/>
          <w:bCs/>
          <w:color w:val="auto"/>
        </w:rPr>
        <w:t>Questions</w:t>
      </w:r>
    </w:p>
    <w:p w14:paraId="2657A7EF"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These should be as short and simple as possible. They should not contain jargon or other language which the interviewee may not understand.</w:t>
      </w:r>
    </w:p>
    <w:p w14:paraId="0BD24D20"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 xml:space="preserve">Some types of questions are useful, helping the interviewer to extract information from the interviewee, </w:t>
      </w:r>
      <w:proofErr w:type="spellStart"/>
      <w:r w:rsidRPr="00696EBE">
        <w:rPr>
          <w:rFonts w:ascii="Arial" w:hAnsi="Arial" w:cs="Arial"/>
        </w:rPr>
        <w:t>eg</w:t>
      </w:r>
      <w:proofErr w:type="spellEnd"/>
      <w:r w:rsidRPr="00696EBE">
        <w:rPr>
          <w:rFonts w:ascii="Arial" w:hAnsi="Arial" w:cs="Arial"/>
        </w:rPr>
        <w:t xml:space="preserve">, open-ended. Others are not and may </w:t>
      </w:r>
      <w:proofErr w:type="gramStart"/>
      <w:r w:rsidRPr="00696EBE">
        <w:rPr>
          <w:rFonts w:ascii="Arial" w:hAnsi="Arial" w:cs="Arial"/>
        </w:rPr>
        <w:t>actually confuse</w:t>
      </w:r>
      <w:proofErr w:type="gramEnd"/>
      <w:r w:rsidRPr="00696EBE">
        <w:rPr>
          <w:rFonts w:ascii="Arial" w:hAnsi="Arial" w:cs="Arial"/>
        </w:rPr>
        <w:t xml:space="preserve"> the interviewee or prevent them from giving a full and accurate account, </w:t>
      </w:r>
      <w:proofErr w:type="spellStart"/>
      <w:r w:rsidRPr="00696EBE">
        <w:rPr>
          <w:rFonts w:ascii="Arial" w:hAnsi="Arial" w:cs="Arial"/>
        </w:rPr>
        <w:t>eg</w:t>
      </w:r>
      <w:proofErr w:type="spellEnd"/>
      <w:r w:rsidRPr="00696EBE">
        <w:rPr>
          <w:rFonts w:ascii="Arial" w:hAnsi="Arial" w:cs="Arial"/>
        </w:rPr>
        <w:t>, multiple questions.</w:t>
      </w:r>
    </w:p>
    <w:p w14:paraId="1DE57B2D"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Five key question types</w:t>
      </w:r>
    </w:p>
    <w:p w14:paraId="07B329D2" w14:textId="77777777" w:rsidR="00696EBE" w:rsidRPr="00696EBE" w:rsidRDefault="00696EBE" w:rsidP="00696EBE">
      <w:pPr>
        <w:numPr>
          <w:ilvl w:val="0"/>
          <w:numId w:val="23"/>
        </w:numPr>
        <w:spacing w:before="100" w:beforeAutospacing="1" w:after="100" w:afterAutospacing="1" w:line="360" w:lineRule="auto"/>
      </w:pPr>
      <w:r w:rsidRPr="00696EBE">
        <w:t>open-ended</w:t>
      </w:r>
    </w:p>
    <w:p w14:paraId="7F5800CD" w14:textId="77777777" w:rsidR="00696EBE" w:rsidRPr="00696EBE" w:rsidRDefault="00696EBE" w:rsidP="00696EBE">
      <w:pPr>
        <w:numPr>
          <w:ilvl w:val="0"/>
          <w:numId w:val="23"/>
        </w:numPr>
        <w:spacing w:before="100" w:beforeAutospacing="1" w:after="100" w:afterAutospacing="1" w:line="360" w:lineRule="auto"/>
      </w:pPr>
      <w:r w:rsidRPr="00696EBE">
        <w:t>specific-closed</w:t>
      </w:r>
    </w:p>
    <w:p w14:paraId="6E23BC6B" w14:textId="77777777" w:rsidR="00696EBE" w:rsidRPr="00696EBE" w:rsidRDefault="00696EBE" w:rsidP="00696EBE">
      <w:pPr>
        <w:numPr>
          <w:ilvl w:val="0"/>
          <w:numId w:val="23"/>
        </w:numPr>
        <w:spacing w:before="100" w:beforeAutospacing="1" w:after="100" w:afterAutospacing="1" w:line="360" w:lineRule="auto"/>
      </w:pPr>
      <w:proofErr w:type="gramStart"/>
      <w:r w:rsidRPr="00696EBE">
        <w:t>forced-choice</w:t>
      </w:r>
      <w:proofErr w:type="gramEnd"/>
    </w:p>
    <w:p w14:paraId="6C005020" w14:textId="77777777" w:rsidR="00696EBE" w:rsidRPr="00696EBE" w:rsidRDefault="00696EBE" w:rsidP="00696EBE">
      <w:pPr>
        <w:numPr>
          <w:ilvl w:val="0"/>
          <w:numId w:val="23"/>
        </w:numPr>
        <w:spacing w:before="100" w:beforeAutospacing="1" w:after="100" w:afterAutospacing="1" w:line="360" w:lineRule="auto"/>
      </w:pPr>
      <w:r w:rsidRPr="00696EBE">
        <w:t>multiple</w:t>
      </w:r>
    </w:p>
    <w:p w14:paraId="630ED42F" w14:textId="77777777" w:rsidR="00696EBE" w:rsidRPr="00696EBE" w:rsidRDefault="00696EBE" w:rsidP="00696EBE">
      <w:pPr>
        <w:numPr>
          <w:ilvl w:val="0"/>
          <w:numId w:val="23"/>
        </w:numPr>
        <w:spacing w:before="100" w:beforeAutospacing="1" w:after="100" w:afterAutospacing="1" w:line="360" w:lineRule="auto"/>
      </w:pPr>
      <w:r w:rsidRPr="00696EBE">
        <w:lastRenderedPageBreak/>
        <w:t>leading.</w:t>
      </w:r>
    </w:p>
    <w:p w14:paraId="4AEEF2F4" w14:textId="77777777" w:rsidR="00696EBE" w:rsidRPr="00696EBE" w:rsidRDefault="00696EBE" w:rsidP="00696EBE">
      <w:pPr>
        <w:pStyle w:val="Heading5"/>
        <w:spacing w:before="150" w:after="150" w:line="360" w:lineRule="auto"/>
        <w:rPr>
          <w:rFonts w:ascii="Arial" w:hAnsi="Arial" w:cs="Arial"/>
          <w:color w:val="auto"/>
        </w:rPr>
      </w:pPr>
      <w:bookmarkStart w:id="15" w:name="open-ended"/>
      <w:bookmarkEnd w:id="15"/>
      <w:r w:rsidRPr="00696EBE">
        <w:rPr>
          <w:rFonts w:ascii="Arial" w:hAnsi="Arial" w:cs="Arial"/>
          <w:color w:val="auto"/>
        </w:rPr>
        <w:t>Open-ended</w:t>
      </w:r>
    </w:p>
    <w:p w14:paraId="4BEB5959"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For example, ‘Tell me’, ‘Describe’, ‘Explain’.</w:t>
      </w:r>
    </w:p>
    <w:p w14:paraId="1ECF9BF4" w14:textId="77777777" w:rsidR="00696EBE" w:rsidRPr="00696EBE" w:rsidRDefault="00696EBE" w:rsidP="00696EBE">
      <w:pPr>
        <w:numPr>
          <w:ilvl w:val="0"/>
          <w:numId w:val="24"/>
        </w:numPr>
        <w:spacing w:before="100" w:beforeAutospacing="1" w:after="100" w:afterAutospacing="1" w:line="360" w:lineRule="auto"/>
      </w:pPr>
      <w:r w:rsidRPr="00696EBE">
        <w:t>are useful at the beginning of an interview as they allow for a full, unrestricted account</w:t>
      </w:r>
    </w:p>
    <w:p w14:paraId="1D9E9358" w14:textId="77777777" w:rsidR="00696EBE" w:rsidRPr="00696EBE" w:rsidRDefault="00696EBE" w:rsidP="00696EBE">
      <w:pPr>
        <w:numPr>
          <w:ilvl w:val="0"/>
          <w:numId w:val="24"/>
        </w:numPr>
        <w:spacing w:before="100" w:beforeAutospacing="1" w:after="100" w:afterAutospacing="1" w:line="360" w:lineRule="auto"/>
      </w:pPr>
      <w:r w:rsidRPr="00696EBE">
        <w:t>produce answers which are less likely to have been influenced by the interviewer.</w:t>
      </w:r>
    </w:p>
    <w:p w14:paraId="6787572E"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The interviewer should avoid interrupting the interviewee when asking open questions.</w:t>
      </w:r>
    </w:p>
    <w:p w14:paraId="4E28731A" w14:textId="77777777" w:rsidR="00696EBE" w:rsidRPr="00424AB2" w:rsidRDefault="00696EBE" w:rsidP="00696EBE">
      <w:pPr>
        <w:pStyle w:val="Heading5"/>
        <w:spacing w:before="150" w:after="150" w:line="360" w:lineRule="auto"/>
        <w:rPr>
          <w:rFonts w:ascii="Arial" w:hAnsi="Arial" w:cs="Arial"/>
          <w:b/>
          <w:bCs/>
          <w:color w:val="auto"/>
        </w:rPr>
      </w:pPr>
      <w:bookmarkStart w:id="16" w:name="specific-closed"/>
      <w:bookmarkEnd w:id="16"/>
      <w:r w:rsidRPr="00424AB2">
        <w:rPr>
          <w:rFonts w:ascii="Arial" w:hAnsi="Arial" w:cs="Arial"/>
          <w:b/>
          <w:bCs/>
          <w:color w:val="auto"/>
        </w:rPr>
        <w:t>Specific-closed</w:t>
      </w:r>
    </w:p>
    <w:p w14:paraId="00D47BCC"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For example, ‘Who did that?’ ‘What did he say?’ ‘Where does he live?’ ’When did this happen?’ This type of question:</w:t>
      </w:r>
    </w:p>
    <w:p w14:paraId="729E024B" w14:textId="77777777" w:rsidR="00696EBE" w:rsidRPr="00696EBE" w:rsidRDefault="00696EBE" w:rsidP="00696EBE">
      <w:pPr>
        <w:numPr>
          <w:ilvl w:val="0"/>
          <w:numId w:val="25"/>
        </w:numPr>
        <w:spacing w:before="100" w:beforeAutospacing="1" w:after="100" w:afterAutospacing="1" w:line="360" w:lineRule="auto"/>
      </w:pPr>
      <w:r w:rsidRPr="00696EBE">
        <w:t>gives the interviewer with more control</w:t>
      </w:r>
    </w:p>
    <w:p w14:paraId="32CAF880" w14:textId="77777777" w:rsidR="00696EBE" w:rsidRPr="00696EBE" w:rsidRDefault="00696EBE" w:rsidP="00696EBE">
      <w:pPr>
        <w:numPr>
          <w:ilvl w:val="0"/>
          <w:numId w:val="25"/>
        </w:numPr>
        <w:spacing w:before="100" w:beforeAutospacing="1" w:after="100" w:afterAutospacing="1" w:line="360" w:lineRule="auto"/>
      </w:pPr>
      <w:r w:rsidRPr="00696EBE">
        <w:t>can be used to elicit information that an interviewee has not yet provided in response to open-ended questions</w:t>
      </w:r>
    </w:p>
    <w:p w14:paraId="2FAC1241" w14:textId="77777777" w:rsidR="00696EBE" w:rsidRPr="00696EBE" w:rsidRDefault="00696EBE" w:rsidP="00696EBE">
      <w:pPr>
        <w:numPr>
          <w:ilvl w:val="0"/>
          <w:numId w:val="25"/>
        </w:numPr>
        <w:spacing w:before="100" w:beforeAutospacing="1" w:after="100" w:afterAutospacing="1" w:line="360" w:lineRule="auto"/>
      </w:pPr>
      <w:r w:rsidRPr="00696EBE">
        <w:t>may be used to clarify and extend an account that has been elicited through open-ended questions, cover information important to the investigation that an interviewee has not already been mentioned, or to challenge</w:t>
      </w:r>
    </w:p>
    <w:p w14:paraId="77451396" w14:textId="77777777" w:rsidR="00696EBE" w:rsidRPr="00696EBE" w:rsidRDefault="00696EBE" w:rsidP="00696EBE">
      <w:pPr>
        <w:numPr>
          <w:ilvl w:val="0"/>
          <w:numId w:val="25"/>
        </w:numPr>
        <w:spacing w:before="100" w:beforeAutospacing="1" w:after="100" w:afterAutospacing="1" w:line="360" w:lineRule="auto"/>
      </w:pPr>
      <w:r w:rsidRPr="00696EBE">
        <w:t>may have the potential disadvantage of restricting an interviewee’s account.</w:t>
      </w:r>
    </w:p>
    <w:p w14:paraId="300D68BD" w14:textId="77777777" w:rsidR="00696EBE" w:rsidRPr="00424AB2" w:rsidRDefault="00696EBE" w:rsidP="00696EBE">
      <w:pPr>
        <w:pStyle w:val="Heading5"/>
        <w:spacing w:before="150" w:after="150" w:line="360" w:lineRule="auto"/>
        <w:rPr>
          <w:rFonts w:ascii="Arial" w:hAnsi="Arial" w:cs="Arial"/>
          <w:b/>
          <w:bCs/>
          <w:color w:val="auto"/>
        </w:rPr>
      </w:pPr>
      <w:bookmarkStart w:id="17" w:name="forced-choice"/>
      <w:bookmarkEnd w:id="17"/>
      <w:proofErr w:type="gramStart"/>
      <w:r w:rsidRPr="00424AB2">
        <w:rPr>
          <w:rFonts w:ascii="Arial" w:hAnsi="Arial" w:cs="Arial"/>
          <w:b/>
          <w:bCs/>
          <w:color w:val="auto"/>
        </w:rPr>
        <w:t>Forced-choice</w:t>
      </w:r>
      <w:proofErr w:type="gramEnd"/>
    </w:p>
    <w:p w14:paraId="0D77EF42"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For example, ‘Was the car an estate or a saloon?’ In this situation:</w:t>
      </w:r>
    </w:p>
    <w:p w14:paraId="4D226D39" w14:textId="77777777" w:rsidR="00696EBE" w:rsidRPr="00696EBE" w:rsidRDefault="00696EBE" w:rsidP="00696EBE">
      <w:pPr>
        <w:numPr>
          <w:ilvl w:val="0"/>
          <w:numId w:val="26"/>
        </w:numPr>
        <w:spacing w:before="100" w:beforeAutospacing="1" w:after="100" w:afterAutospacing="1" w:line="360" w:lineRule="auto"/>
      </w:pPr>
      <w:r w:rsidRPr="00696EBE">
        <w:t>interviewees might guess the answer by selecting one of the options given</w:t>
      </w:r>
    </w:p>
    <w:p w14:paraId="3CC51107" w14:textId="77777777" w:rsidR="00696EBE" w:rsidRPr="00696EBE" w:rsidRDefault="00696EBE" w:rsidP="00696EBE">
      <w:pPr>
        <w:numPr>
          <w:ilvl w:val="0"/>
          <w:numId w:val="26"/>
        </w:numPr>
        <w:spacing w:before="100" w:beforeAutospacing="1" w:after="100" w:afterAutospacing="1" w:line="360" w:lineRule="auto"/>
      </w:pPr>
      <w:r w:rsidRPr="00696EBE">
        <w:t>interviewees might simply say ‘yes’ in response to the question, leaving the interviewer to guess which part of the question the response applies to, or needing to ask a follow-up question to clarify it</w:t>
      </w:r>
    </w:p>
    <w:p w14:paraId="6F2B13E7" w14:textId="77777777" w:rsidR="00696EBE" w:rsidRPr="00696EBE" w:rsidRDefault="00696EBE" w:rsidP="00696EBE">
      <w:pPr>
        <w:numPr>
          <w:ilvl w:val="0"/>
          <w:numId w:val="26"/>
        </w:numPr>
        <w:spacing w:before="100" w:beforeAutospacing="1" w:after="100" w:afterAutospacing="1" w:line="360" w:lineRule="auto"/>
      </w:pPr>
      <w:r w:rsidRPr="00696EBE">
        <w:t xml:space="preserve">the choice of answer given to the interviewee might not contain the correct information, </w:t>
      </w:r>
      <w:proofErr w:type="spellStart"/>
      <w:r w:rsidRPr="00696EBE">
        <w:t>eg</w:t>
      </w:r>
      <w:proofErr w:type="spellEnd"/>
      <w:r w:rsidRPr="00696EBE">
        <w:t>, ‘was it dark blue or light blue’, when it could have been medium blue.</w:t>
      </w:r>
    </w:p>
    <w:p w14:paraId="62A7875E" w14:textId="77777777" w:rsidR="00696EBE" w:rsidRPr="00424AB2" w:rsidRDefault="00696EBE" w:rsidP="00696EBE">
      <w:pPr>
        <w:pStyle w:val="Heading5"/>
        <w:spacing w:before="150" w:after="150" w:line="360" w:lineRule="auto"/>
        <w:rPr>
          <w:rFonts w:ascii="Arial" w:hAnsi="Arial" w:cs="Arial"/>
          <w:b/>
          <w:bCs/>
          <w:color w:val="auto"/>
        </w:rPr>
      </w:pPr>
      <w:bookmarkStart w:id="18" w:name="multiple"/>
      <w:bookmarkEnd w:id="18"/>
      <w:r w:rsidRPr="00424AB2">
        <w:rPr>
          <w:rFonts w:ascii="Arial" w:hAnsi="Arial" w:cs="Arial"/>
          <w:b/>
          <w:bCs/>
          <w:color w:val="auto"/>
        </w:rPr>
        <w:lastRenderedPageBreak/>
        <w:t>Multiple</w:t>
      </w:r>
    </w:p>
    <w:p w14:paraId="50010421"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 xml:space="preserve">For example, ‘Where did he come from, what did he look like and where did he go to?’ These questions may also refer to multiple concepts, </w:t>
      </w:r>
      <w:proofErr w:type="spellStart"/>
      <w:r w:rsidRPr="00696EBE">
        <w:rPr>
          <w:rFonts w:ascii="Arial" w:hAnsi="Arial" w:cs="Arial"/>
        </w:rPr>
        <w:t>eg</w:t>
      </w:r>
      <w:proofErr w:type="spellEnd"/>
      <w:r w:rsidRPr="00696EBE">
        <w:rPr>
          <w:rFonts w:ascii="Arial" w:hAnsi="Arial" w:cs="Arial"/>
        </w:rPr>
        <w:t xml:space="preserve">,’What did they look like’ and confusion might arise </w:t>
      </w:r>
      <w:proofErr w:type="gramStart"/>
      <w:r w:rsidRPr="00696EBE">
        <w:rPr>
          <w:rFonts w:ascii="Arial" w:hAnsi="Arial" w:cs="Arial"/>
        </w:rPr>
        <w:t>as a result of</w:t>
      </w:r>
      <w:proofErr w:type="gramEnd"/>
      <w:r w:rsidRPr="00696EBE">
        <w:rPr>
          <w:rFonts w:ascii="Arial" w:hAnsi="Arial" w:cs="Arial"/>
        </w:rPr>
        <w:t xml:space="preserve"> the:</w:t>
      </w:r>
    </w:p>
    <w:p w14:paraId="52083DCE" w14:textId="77777777" w:rsidR="00696EBE" w:rsidRPr="00696EBE" w:rsidRDefault="00696EBE" w:rsidP="00696EBE">
      <w:pPr>
        <w:numPr>
          <w:ilvl w:val="0"/>
          <w:numId w:val="27"/>
        </w:numPr>
        <w:spacing w:before="100" w:beforeAutospacing="1" w:after="100" w:afterAutospacing="1" w:line="360" w:lineRule="auto"/>
      </w:pPr>
      <w:r w:rsidRPr="00696EBE">
        <w:t>interviewee not knowing which part of the question to answer</w:t>
      </w:r>
    </w:p>
    <w:p w14:paraId="2137DD2E" w14:textId="77777777" w:rsidR="00696EBE" w:rsidRPr="00696EBE" w:rsidRDefault="00696EBE" w:rsidP="00696EBE">
      <w:pPr>
        <w:numPr>
          <w:ilvl w:val="0"/>
          <w:numId w:val="27"/>
        </w:numPr>
        <w:spacing w:before="100" w:beforeAutospacing="1" w:after="100" w:afterAutospacing="1" w:line="360" w:lineRule="auto"/>
      </w:pPr>
      <w:r w:rsidRPr="00696EBE">
        <w:t>the interviewer not knowing which part of the question the answer refers to.</w:t>
      </w:r>
    </w:p>
    <w:p w14:paraId="772D0347" w14:textId="77777777" w:rsidR="00696EBE" w:rsidRPr="00424AB2" w:rsidRDefault="00696EBE" w:rsidP="00696EBE">
      <w:pPr>
        <w:pStyle w:val="Heading5"/>
        <w:spacing w:before="150" w:after="150" w:line="360" w:lineRule="auto"/>
        <w:rPr>
          <w:rFonts w:ascii="Arial" w:hAnsi="Arial" w:cs="Arial"/>
          <w:b/>
          <w:bCs/>
          <w:color w:val="auto"/>
        </w:rPr>
      </w:pPr>
      <w:bookmarkStart w:id="19" w:name="leading"/>
      <w:bookmarkEnd w:id="19"/>
      <w:r w:rsidRPr="00424AB2">
        <w:rPr>
          <w:rFonts w:ascii="Arial" w:hAnsi="Arial" w:cs="Arial"/>
          <w:b/>
          <w:bCs/>
          <w:color w:val="auto"/>
        </w:rPr>
        <w:t>Leading</w:t>
      </w:r>
    </w:p>
    <w:p w14:paraId="14E3A545"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For example, ‘You saw the gun, didn’t you?’ implies the answer or assumes facts that are likely to be disputed. They can also:</w:t>
      </w:r>
    </w:p>
    <w:p w14:paraId="7C47FFE2" w14:textId="77777777" w:rsidR="00696EBE" w:rsidRPr="00696EBE" w:rsidRDefault="00696EBE" w:rsidP="00696EBE">
      <w:pPr>
        <w:numPr>
          <w:ilvl w:val="0"/>
          <w:numId w:val="28"/>
        </w:numPr>
        <w:spacing w:before="100" w:beforeAutospacing="1" w:after="100" w:afterAutospacing="1" w:line="360" w:lineRule="auto"/>
      </w:pPr>
      <w:r w:rsidRPr="00696EBE">
        <w:t xml:space="preserve">be used to introduce information not already mentioned, </w:t>
      </w:r>
      <w:proofErr w:type="spellStart"/>
      <w:r w:rsidRPr="00696EBE">
        <w:t>eg</w:t>
      </w:r>
      <w:proofErr w:type="spellEnd"/>
      <w:r w:rsidRPr="00696EBE">
        <w:t>, ‘What did </w:t>
      </w:r>
      <w:r w:rsidRPr="00696EBE">
        <w:rPr>
          <w:rStyle w:val="Strong"/>
        </w:rPr>
        <w:t>he</w:t>
      </w:r>
      <w:r w:rsidRPr="00696EBE">
        <w:t> look like?’</w:t>
      </w:r>
    </w:p>
    <w:p w14:paraId="71308DAA" w14:textId="77777777" w:rsidR="00696EBE" w:rsidRPr="00696EBE" w:rsidRDefault="00696EBE" w:rsidP="00696EBE">
      <w:pPr>
        <w:numPr>
          <w:ilvl w:val="0"/>
          <w:numId w:val="28"/>
        </w:numPr>
        <w:spacing w:before="100" w:beforeAutospacing="1" w:after="100" w:afterAutospacing="1" w:line="360" w:lineRule="auto"/>
      </w:pPr>
      <w:r w:rsidRPr="00696EBE">
        <w:t>have an adverse influence on interviewee’s response</w:t>
      </w:r>
    </w:p>
    <w:p w14:paraId="6EB7A9AB" w14:textId="77777777" w:rsidR="00696EBE" w:rsidRPr="00696EBE" w:rsidRDefault="00696EBE" w:rsidP="00696EBE">
      <w:pPr>
        <w:numPr>
          <w:ilvl w:val="0"/>
          <w:numId w:val="28"/>
        </w:numPr>
        <w:spacing w:before="100" w:beforeAutospacing="1" w:after="100" w:afterAutospacing="1" w:line="360" w:lineRule="auto"/>
      </w:pPr>
      <w:r w:rsidRPr="00696EBE">
        <w:t>distort the interviewee’s memory</w:t>
      </w:r>
    </w:p>
    <w:p w14:paraId="16F4E927"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 xml:space="preserve">The information obtained </w:t>
      </w:r>
      <w:proofErr w:type="gramStart"/>
      <w:r w:rsidRPr="00696EBE">
        <w:rPr>
          <w:rFonts w:ascii="Arial" w:hAnsi="Arial" w:cs="Arial"/>
        </w:rPr>
        <w:t>as a result of</w:t>
      </w:r>
      <w:proofErr w:type="gramEnd"/>
      <w:r w:rsidRPr="00696EBE">
        <w:rPr>
          <w:rFonts w:ascii="Arial" w:hAnsi="Arial" w:cs="Arial"/>
        </w:rPr>
        <w:t xml:space="preserve"> leading questions may be less credible and in extreme cases could be ruled inadmissible. They should, therefore, be used only as a last resort.</w:t>
      </w:r>
    </w:p>
    <w:p w14:paraId="4CA14386" w14:textId="77777777" w:rsidR="00696EBE" w:rsidRPr="00696EBE" w:rsidRDefault="00696EBE" w:rsidP="00696EBE">
      <w:pPr>
        <w:pStyle w:val="Heading4"/>
        <w:spacing w:before="300" w:beforeAutospacing="0" w:after="150" w:afterAutospacing="0" w:line="360" w:lineRule="auto"/>
        <w:rPr>
          <w:rFonts w:ascii="Arial" w:hAnsi="Arial" w:cs="Arial"/>
        </w:rPr>
      </w:pPr>
      <w:bookmarkStart w:id="20" w:name="closure"/>
      <w:bookmarkEnd w:id="20"/>
      <w:r w:rsidRPr="00696EBE">
        <w:rPr>
          <w:rFonts w:ascii="Arial" w:hAnsi="Arial" w:cs="Arial"/>
        </w:rPr>
        <w:t>Closure</w:t>
      </w:r>
    </w:p>
    <w:p w14:paraId="61A85B05"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This should be planned and structured so that the interview does not end abruptly.</w:t>
      </w:r>
    </w:p>
    <w:p w14:paraId="12B8CBE0"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Where there are two interviewers, the lead interviewer should check that the second interviewer has no further questions before closing the interview.</w:t>
      </w:r>
    </w:p>
    <w:p w14:paraId="567209EB"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The interviewer should accurately summarise what the interviewee has said, taking account of any clarification that the interviewee wishes to make.</w:t>
      </w:r>
    </w:p>
    <w:p w14:paraId="6FF36964"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Any questions the interviewee asks should be dealt with.</w:t>
      </w:r>
    </w:p>
    <w:p w14:paraId="681F062E"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The interviewer should then bring the interview to a conclusion by preparing a witness statement if appropriate or, where the interviewee is a suspect, by announcing the date and time before turning the recording equipment off.</w:t>
      </w:r>
    </w:p>
    <w:p w14:paraId="093CFF70"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They should then explain to the interviewee what will happen next.</w:t>
      </w:r>
    </w:p>
    <w:p w14:paraId="04200E4F" w14:textId="77777777" w:rsidR="00696EBE" w:rsidRPr="00696EBE" w:rsidRDefault="00696EBE" w:rsidP="00696EBE">
      <w:pPr>
        <w:pStyle w:val="Heading4"/>
        <w:spacing w:before="300" w:beforeAutospacing="0" w:after="150" w:afterAutospacing="0" w:line="360" w:lineRule="auto"/>
        <w:rPr>
          <w:rFonts w:ascii="Arial" w:hAnsi="Arial" w:cs="Arial"/>
        </w:rPr>
      </w:pPr>
      <w:bookmarkStart w:id="21" w:name="evaluation"/>
      <w:bookmarkEnd w:id="21"/>
      <w:r w:rsidRPr="00696EBE">
        <w:rPr>
          <w:rFonts w:ascii="Arial" w:hAnsi="Arial" w:cs="Arial"/>
        </w:rPr>
        <w:lastRenderedPageBreak/>
        <w:t>Evaluation</w:t>
      </w:r>
    </w:p>
    <w:p w14:paraId="5CD19D07" w14:textId="77777777" w:rsidR="00696EBE" w:rsidRPr="00696EBE" w:rsidRDefault="00696EBE" w:rsidP="00696EBE">
      <w:pPr>
        <w:pStyle w:val="NormalWeb"/>
        <w:spacing w:before="0" w:beforeAutospacing="0" w:after="150" w:afterAutospacing="0" w:line="360" w:lineRule="auto"/>
        <w:rPr>
          <w:rFonts w:ascii="Arial" w:hAnsi="Arial" w:cs="Arial"/>
        </w:rPr>
      </w:pPr>
      <w:r w:rsidRPr="00696EBE">
        <w:rPr>
          <w:rFonts w:ascii="Arial" w:hAnsi="Arial" w:cs="Arial"/>
        </w:rPr>
        <w:t>Following an interview, the interviewer needs to evaluate what has been said with a view to:</w:t>
      </w:r>
    </w:p>
    <w:p w14:paraId="7081F573" w14:textId="77777777" w:rsidR="00696EBE" w:rsidRPr="00696EBE" w:rsidRDefault="00696EBE" w:rsidP="00696EBE">
      <w:pPr>
        <w:numPr>
          <w:ilvl w:val="0"/>
          <w:numId w:val="29"/>
        </w:numPr>
        <w:spacing w:before="100" w:beforeAutospacing="1" w:after="100" w:afterAutospacing="1" w:line="360" w:lineRule="auto"/>
      </w:pPr>
      <w:r w:rsidRPr="00696EBE">
        <w:t>determining whether any further action is necessary</w:t>
      </w:r>
    </w:p>
    <w:p w14:paraId="44B229CC" w14:textId="77777777" w:rsidR="00696EBE" w:rsidRPr="00696EBE" w:rsidRDefault="00696EBE" w:rsidP="00696EBE">
      <w:pPr>
        <w:numPr>
          <w:ilvl w:val="0"/>
          <w:numId w:val="29"/>
        </w:numPr>
        <w:spacing w:before="100" w:beforeAutospacing="1" w:after="100" w:afterAutospacing="1" w:line="360" w:lineRule="auto"/>
      </w:pPr>
      <w:r w:rsidRPr="00696EBE">
        <w:t>determining how the interviewee’s account fits in with the rest of the investigation</w:t>
      </w:r>
    </w:p>
    <w:p w14:paraId="01FA5C0B" w14:textId="77777777" w:rsidR="00696EBE" w:rsidRPr="00696EBE" w:rsidRDefault="00696EBE" w:rsidP="00696EBE">
      <w:pPr>
        <w:numPr>
          <w:ilvl w:val="0"/>
          <w:numId w:val="29"/>
        </w:numPr>
        <w:spacing w:before="100" w:beforeAutospacing="1" w:after="100" w:afterAutospacing="1" w:line="360" w:lineRule="auto"/>
      </w:pPr>
      <w:r w:rsidRPr="00696EBE">
        <w:t>reflecting on the interviewer’s performance.</w:t>
      </w:r>
    </w:p>
    <w:p w14:paraId="52A6563D" w14:textId="77777777" w:rsidR="00696EBE" w:rsidRPr="003E7DFE" w:rsidRDefault="00696EBE" w:rsidP="003E7DFE">
      <w:pPr>
        <w:pStyle w:val="NormalWeb"/>
        <w:spacing w:before="0" w:beforeAutospacing="0" w:after="150" w:afterAutospacing="0" w:line="330" w:lineRule="atLeast"/>
        <w:rPr>
          <w:rFonts w:ascii="Arial" w:hAnsi="Arial" w:cs="Arial"/>
        </w:rPr>
      </w:pPr>
    </w:p>
    <w:p w14:paraId="773E1BF4" w14:textId="2581D88A" w:rsidR="003E7DFE" w:rsidRPr="003E7DFE" w:rsidRDefault="003E7DFE" w:rsidP="003E7DFE">
      <w:pPr>
        <w:spacing w:after="0" w:line="480" w:lineRule="auto"/>
        <w:ind w:right="1089"/>
        <w:jc w:val="both"/>
        <w:rPr>
          <w:b/>
          <w:bCs/>
        </w:rPr>
      </w:pPr>
    </w:p>
    <w:p w14:paraId="2E06BC26" w14:textId="4F46D807" w:rsidR="003E7DFE" w:rsidRPr="003E7DFE" w:rsidRDefault="003E7DFE" w:rsidP="003E7DFE">
      <w:pPr>
        <w:spacing w:after="150" w:line="360" w:lineRule="auto"/>
        <w:rPr>
          <w:rFonts w:eastAsia="Times New Roman"/>
          <w:lang w:eastAsia="en-GB"/>
        </w:rPr>
      </w:pPr>
    </w:p>
    <w:p w14:paraId="24870E71" w14:textId="44E323DF" w:rsidR="00DE07E6" w:rsidRPr="00DE07E6" w:rsidRDefault="00DE07E6" w:rsidP="00DE07E6">
      <w:pPr>
        <w:spacing w:after="150" w:line="360" w:lineRule="auto"/>
        <w:rPr>
          <w:rFonts w:eastAsia="Times New Roman"/>
          <w:lang w:eastAsia="en-GB"/>
        </w:rPr>
      </w:pPr>
    </w:p>
    <w:p w14:paraId="3FAA7DBF" w14:textId="77777777" w:rsidR="00DE07E6" w:rsidRPr="00DE07E6" w:rsidRDefault="00DE07E6" w:rsidP="00DE07E6"/>
    <w:p w14:paraId="3D323854" w14:textId="77777777" w:rsidR="00DE07E6" w:rsidRPr="00DE07E6" w:rsidRDefault="00DE07E6" w:rsidP="00DE07E6">
      <w:pPr>
        <w:pStyle w:val="Heading4"/>
        <w:spacing w:before="300" w:beforeAutospacing="0" w:after="150" w:afterAutospacing="0"/>
        <w:rPr>
          <w:rFonts w:ascii="Arial" w:hAnsi="Arial" w:cs="Arial"/>
          <w:color w:val="333333"/>
        </w:rPr>
      </w:pPr>
    </w:p>
    <w:p w14:paraId="4F6BB5A4" w14:textId="77777777" w:rsidR="00DE07E6" w:rsidRPr="00DE07E6" w:rsidRDefault="00DE07E6" w:rsidP="00DE07E6">
      <w:pPr>
        <w:pStyle w:val="NormalWeb"/>
        <w:spacing w:before="0" w:beforeAutospacing="0" w:after="150" w:afterAutospacing="0" w:line="360" w:lineRule="auto"/>
        <w:rPr>
          <w:rFonts w:ascii="Arial" w:hAnsi="Arial" w:cs="Arial"/>
        </w:rPr>
      </w:pPr>
    </w:p>
    <w:p w14:paraId="21D6E11E" w14:textId="77777777" w:rsidR="00DE07E6" w:rsidRPr="00DE07E6" w:rsidRDefault="00DE07E6" w:rsidP="00DE07E6">
      <w:pPr>
        <w:spacing w:before="100" w:beforeAutospacing="1" w:after="100" w:afterAutospacing="1" w:line="360" w:lineRule="auto"/>
      </w:pPr>
    </w:p>
    <w:p w14:paraId="1B84944C" w14:textId="77777777" w:rsidR="00DE07E6" w:rsidRPr="00DE07E6" w:rsidRDefault="00DE07E6" w:rsidP="00DE07E6">
      <w:pPr>
        <w:pStyle w:val="Heading4"/>
        <w:spacing w:before="300" w:beforeAutospacing="0" w:after="150" w:afterAutospacing="0"/>
        <w:rPr>
          <w:rFonts w:ascii="Arial" w:hAnsi="Arial" w:cs="Arial"/>
          <w:color w:val="333333"/>
        </w:rPr>
      </w:pPr>
    </w:p>
    <w:p w14:paraId="4754DEBF" w14:textId="77777777" w:rsidR="00DE07E6" w:rsidRPr="00DE07E6" w:rsidRDefault="00DE07E6" w:rsidP="00DE07E6">
      <w:pPr>
        <w:spacing w:after="150" w:line="360" w:lineRule="auto"/>
        <w:rPr>
          <w:rFonts w:eastAsia="Times New Roman"/>
          <w:lang w:eastAsia="en-GB"/>
        </w:rPr>
      </w:pPr>
    </w:p>
    <w:p w14:paraId="7DDD33B1" w14:textId="77777777" w:rsidR="00DE07E6" w:rsidRPr="00DE07E6" w:rsidRDefault="00DE07E6" w:rsidP="00DE07E6">
      <w:pPr>
        <w:spacing w:after="150" w:line="360" w:lineRule="auto"/>
        <w:rPr>
          <w:rFonts w:eastAsia="Times New Roman"/>
          <w:lang w:eastAsia="en-GB"/>
        </w:rPr>
      </w:pPr>
    </w:p>
    <w:p w14:paraId="301411ED" w14:textId="77777777" w:rsidR="00DE07E6" w:rsidRPr="00DE07E6" w:rsidRDefault="00DE07E6" w:rsidP="00DE07E6">
      <w:pPr>
        <w:spacing w:after="150" w:line="360" w:lineRule="auto"/>
        <w:rPr>
          <w:rFonts w:eastAsia="Times New Roman"/>
          <w:lang w:eastAsia="en-GB"/>
        </w:rPr>
      </w:pPr>
    </w:p>
    <w:p w14:paraId="6DC34468" w14:textId="5362A160" w:rsidR="00DE07E6" w:rsidRPr="00DE07E6" w:rsidRDefault="00DE07E6" w:rsidP="00DE07E6">
      <w:pPr>
        <w:spacing w:before="100" w:beforeAutospacing="1" w:after="100" w:afterAutospacing="1" w:line="360" w:lineRule="auto"/>
        <w:ind w:left="720"/>
        <w:rPr>
          <w:rFonts w:eastAsia="Times New Roman"/>
          <w:lang w:eastAsia="en-GB"/>
        </w:rPr>
      </w:pPr>
    </w:p>
    <w:p w14:paraId="7B419237" w14:textId="77777777" w:rsidR="00DE07E6" w:rsidRPr="000B6764" w:rsidRDefault="00DE07E6" w:rsidP="00DE07E6">
      <w:pPr>
        <w:pStyle w:val="NormalWeb"/>
        <w:spacing w:before="0" w:beforeAutospacing="0" w:after="150" w:afterAutospacing="0" w:line="360" w:lineRule="auto"/>
        <w:rPr>
          <w:rFonts w:ascii="Arial" w:hAnsi="Arial" w:cs="Arial"/>
        </w:rPr>
      </w:pPr>
    </w:p>
    <w:p w14:paraId="6C7C4875" w14:textId="47829E3F" w:rsidR="000B6764" w:rsidRPr="000B6764" w:rsidRDefault="000B6764" w:rsidP="000B6764">
      <w:pPr>
        <w:spacing w:after="0" w:line="480" w:lineRule="auto"/>
        <w:ind w:right="1089"/>
        <w:jc w:val="both"/>
      </w:pPr>
    </w:p>
    <w:p w14:paraId="367CC8B2" w14:textId="272F1777" w:rsidR="000B6764" w:rsidRDefault="000B6764" w:rsidP="009E2ADD">
      <w:pPr>
        <w:spacing w:line="360" w:lineRule="auto"/>
      </w:pPr>
    </w:p>
    <w:p w14:paraId="2C359557" w14:textId="1EAEF3D0" w:rsidR="00BA1209" w:rsidRDefault="00BA1209" w:rsidP="009E2ADD">
      <w:pPr>
        <w:spacing w:line="360" w:lineRule="auto"/>
      </w:pPr>
    </w:p>
    <w:p w14:paraId="38CC37CC" w14:textId="77777777" w:rsidR="00BA1209" w:rsidRDefault="00BA1209" w:rsidP="009E2ADD">
      <w:pPr>
        <w:spacing w:line="360" w:lineRule="auto"/>
      </w:pPr>
    </w:p>
    <w:p w14:paraId="656E0B5C" w14:textId="77777777" w:rsidR="005C4729" w:rsidRDefault="005C4729" w:rsidP="009E2ADD">
      <w:pPr>
        <w:spacing w:line="360" w:lineRule="auto"/>
      </w:pPr>
    </w:p>
    <w:sectPr w:rsidR="005C4729">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B9C429" w14:textId="77777777" w:rsidR="003E7DFE" w:rsidRDefault="003E7DFE" w:rsidP="00840D7B">
      <w:pPr>
        <w:spacing w:after="0" w:line="240" w:lineRule="auto"/>
      </w:pPr>
      <w:r>
        <w:separator/>
      </w:r>
    </w:p>
  </w:endnote>
  <w:endnote w:type="continuationSeparator" w:id="0">
    <w:p w14:paraId="5FA2FFF4" w14:textId="77777777" w:rsidR="003E7DFE" w:rsidRDefault="003E7DFE" w:rsidP="00840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682FD9" w14:textId="77777777" w:rsidR="003E7DFE" w:rsidRDefault="003E7DFE" w:rsidP="00840D7B">
      <w:pPr>
        <w:spacing w:after="0" w:line="240" w:lineRule="auto"/>
      </w:pPr>
      <w:r>
        <w:separator/>
      </w:r>
    </w:p>
  </w:footnote>
  <w:footnote w:type="continuationSeparator" w:id="0">
    <w:p w14:paraId="0A1D6FF2" w14:textId="77777777" w:rsidR="003E7DFE" w:rsidRDefault="003E7DFE" w:rsidP="00840D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160611" w14:textId="470CECD5" w:rsidR="003E7DFE" w:rsidRDefault="003E7DFE">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30651"/>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76D4C"/>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63E3C"/>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1F63F1"/>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E45C89"/>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6741F6"/>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912359"/>
    <w:multiLevelType w:val="hybridMultilevel"/>
    <w:tmpl w:val="4CD28ECC"/>
    <w:lvl w:ilvl="0" w:tplc="0809000F">
      <w:start w:val="1"/>
      <w:numFmt w:val="decimal"/>
      <w:lvlText w:val="%1."/>
      <w:lvlJc w:val="left"/>
      <w:pPr>
        <w:ind w:left="720" w:hanging="360"/>
      </w:pPr>
      <w:rPr>
        <w:rFonts w:hint="default"/>
      </w:rPr>
    </w:lvl>
    <w:lvl w:ilvl="1" w:tplc="B89EF61C">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894207"/>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B02902"/>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33673B"/>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5B5ABB"/>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3235D3"/>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377D92"/>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1B6292"/>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C93F67"/>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2D3610"/>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535522"/>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CE3D76"/>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EC5C57"/>
    <w:multiLevelType w:val="hybridMultilevel"/>
    <w:tmpl w:val="6C3E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3410D9"/>
    <w:multiLevelType w:val="hybridMultilevel"/>
    <w:tmpl w:val="4274B9FE"/>
    <w:lvl w:ilvl="0" w:tplc="BD3E95A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23141E"/>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AD3A07"/>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7371E6"/>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7D758F"/>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3F62BF"/>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9745B8"/>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4B2D35"/>
    <w:multiLevelType w:val="hybridMultilevel"/>
    <w:tmpl w:val="1EB2E7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E01FB7"/>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B60618"/>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C91A6A"/>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43223F"/>
    <w:multiLevelType w:val="multilevel"/>
    <w:tmpl w:val="37BA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6"/>
  </w:num>
  <w:num w:numId="3">
    <w:abstractNumId w:val="19"/>
  </w:num>
  <w:num w:numId="4">
    <w:abstractNumId w:val="18"/>
  </w:num>
  <w:num w:numId="5">
    <w:abstractNumId w:val="11"/>
  </w:num>
  <w:num w:numId="6">
    <w:abstractNumId w:val="1"/>
  </w:num>
  <w:num w:numId="7">
    <w:abstractNumId w:val="7"/>
  </w:num>
  <w:num w:numId="8">
    <w:abstractNumId w:val="8"/>
  </w:num>
  <w:num w:numId="9">
    <w:abstractNumId w:val="30"/>
  </w:num>
  <w:num w:numId="10">
    <w:abstractNumId w:val="17"/>
  </w:num>
  <w:num w:numId="11">
    <w:abstractNumId w:val="25"/>
  </w:num>
  <w:num w:numId="12">
    <w:abstractNumId w:val="24"/>
  </w:num>
  <w:num w:numId="13">
    <w:abstractNumId w:val="29"/>
  </w:num>
  <w:num w:numId="14">
    <w:abstractNumId w:val="3"/>
  </w:num>
  <w:num w:numId="15">
    <w:abstractNumId w:val="16"/>
  </w:num>
  <w:num w:numId="16">
    <w:abstractNumId w:val="10"/>
  </w:num>
  <w:num w:numId="17">
    <w:abstractNumId w:val="28"/>
  </w:num>
  <w:num w:numId="18">
    <w:abstractNumId w:val="22"/>
  </w:num>
  <w:num w:numId="19">
    <w:abstractNumId w:val="21"/>
  </w:num>
  <w:num w:numId="20">
    <w:abstractNumId w:val="20"/>
  </w:num>
  <w:num w:numId="21">
    <w:abstractNumId w:val="15"/>
  </w:num>
  <w:num w:numId="22">
    <w:abstractNumId w:val="14"/>
  </w:num>
  <w:num w:numId="23">
    <w:abstractNumId w:val="0"/>
  </w:num>
  <w:num w:numId="24">
    <w:abstractNumId w:val="27"/>
  </w:num>
  <w:num w:numId="25">
    <w:abstractNumId w:val="23"/>
  </w:num>
  <w:num w:numId="26">
    <w:abstractNumId w:val="12"/>
  </w:num>
  <w:num w:numId="27">
    <w:abstractNumId w:val="5"/>
  </w:num>
  <w:num w:numId="28">
    <w:abstractNumId w:val="9"/>
  </w:num>
  <w:num w:numId="29">
    <w:abstractNumId w:val="13"/>
  </w:num>
  <w:num w:numId="30">
    <w:abstractNumId w:val="2"/>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D7B"/>
    <w:rsid w:val="000325A7"/>
    <w:rsid w:val="000B6764"/>
    <w:rsid w:val="00135DFB"/>
    <w:rsid w:val="00147F74"/>
    <w:rsid w:val="00186410"/>
    <w:rsid w:val="002476CD"/>
    <w:rsid w:val="003E7DFE"/>
    <w:rsid w:val="00424AB2"/>
    <w:rsid w:val="005C4729"/>
    <w:rsid w:val="00696EBE"/>
    <w:rsid w:val="00840D7B"/>
    <w:rsid w:val="00925508"/>
    <w:rsid w:val="009E2ADD"/>
    <w:rsid w:val="00BA1209"/>
    <w:rsid w:val="00C03DBC"/>
    <w:rsid w:val="00DE0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4C3DF"/>
  <w15:chartTrackingRefBased/>
  <w15:docId w15:val="{4E2414AE-096B-4A67-A663-76AD66E3F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10"/>
    <w:pPr>
      <w:spacing w:line="256" w:lineRule="auto"/>
    </w:pPr>
    <w:rPr>
      <w:rFonts w:ascii="Arial" w:hAnsi="Arial" w:cs="Arial"/>
      <w:sz w:val="24"/>
      <w:szCs w:val="24"/>
    </w:rPr>
  </w:style>
  <w:style w:type="paragraph" w:styleId="Heading3">
    <w:name w:val="heading 3"/>
    <w:basedOn w:val="Normal"/>
    <w:next w:val="Normal"/>
    <w:link w:val="Heading3Char"/>
    <w:uiPriority w:val="9"/>
    <w:semiHidden/>
    <w:unhideWhenUsed/>
    <w:qFormat/>
    <w:rsid w:val="00DE07E6"/>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DE07E6"/>
    <w:pPr>
      <w:spacing w:before="100" w:beforeAutospacing="1" w:after="100" w:afterAutospacing="1" w:line="240" w:lineRule="auto"/>
      <w:outlineLvl w:val="3"/>
    </w:pPr>
    <w:rPr>
      <w:rFonts w:ascii="Times New Roman" w:eastAsia="Times New Roman" w:hAnsi="Times New Roman" w:cs="Times New Roman"/>
      <w:b/>
      <w:bCs/>
      <w:lang w:eastAsia="en-GB"/>
    </w:rPr>
  </w:style>
  <w:style w:type="paragraph" w:styleId="Heading5">
    <w:name w:val="heading 5"/>
    <w:basedOn w:val="Normal"/>
    <w:next w:val="Normal"/>
    <w:link w:val="Heading5Char"/>
    <w:uiPriority w:val="9"/>
    <w:semiHidden/>
    <w:unhideWhenUsed/>
    <w:qFormat/>
    <w:rsid w:val="00DE07E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0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D7B"/>
  </w:style>
  <w:style w:type="paragraph" w:styleId="Footer">
    <w:name w:val="footer"/>
    <w:basedOn w:val="Normal"/>
    <w:link w:val="FooterChar"/>
    <w:uiPriority w:val="99"/>
    <w:unhideWhenUsed/>
    <w:rsid w:val="00840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D7B"/>
  </w:style>
  <w:style w:type="paragraph" w:styleId="ListParagraph">
    <w:name w:val="List Paragraph"/>
    <w:basedOn w:val="Normal"/>
    <w:uiPriority w:val="34"/>
    <w:qFormat/>
    <w:rsid w:val="00186410"/>
    <w:pPr>
      <w:ind w:left="720"/>
      <w:contextualSpacing/>
    </w:pPr>
  </w:style>
  <w:style w:type="paragraph" w:styleId="NormalWeb">
    <w:name w:val="Normal (Web)"/>
    <w:basedOn w:val="Normal"/>
    <w:uiPriority w:val="99"/>
    <w:unhideWhenUsed/>
    <w:rsid w:val="000B6764"/>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0B6764"/>
    <w:rPr>
      <w:b/>
      <w:bCs/>
    </w:rPr>
  </w:style>
  <w:style w:type="character" w:styleId="Hyperlink">
    <w:name w:val="Hyperlink"/>
    <w:basedOn w:val="DefaultParagraphFont"/>
    <w:uiPriority w:val="99"/>
    <w:semiHidden/>
    <w:unhideWhenUsed/>
    <w:rsid w:val="000B6764"/>
    <w:rPr>
      <w:color w:val="0000FF"/>
      <w:u w:val="single"/>
    </w:rPr>
  </w:style>
  <w:style w:type="character" w:customStyle="1" w:styleId="Heading4Char">
    <w:name w:val="Heading 4 Char"/>
    <w:basedOn w:val="DefaultParagraphFont"/>
    <w:link w:val="Heading4"/>
    <w:uiPriority w:val="9"/>
    <w:rsid w:val="00DE07E6"/>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DE07E6"/>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DE07E6"/>
    <w:rPr>
      <w:rFonts w:asciiTheme="majorHAnsi" w:eastAsiaTheme="majorEastAsia" w:hAnsiTheme="majorHAnsi" w:cstheme="majorBidi"/>
      <w:color w:val="2F5496"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397429">
      <w:bodyDiv w:val="1"/>
      <w:marLeft w:val="0"/>
      <w:marRight w:val="0"/>
      <w:marTop w:val="0"/>
      <w:marBottom w:val="0"/>
      <w:divBdr>
        <w:top w:val="none" w:sz="0" w:space="0" w:color="auto"/>
        <w:left w:val="none" w:sz="0" w:space="0" w:color="auto"/>
        <w:bottom w:val="none" w:sz="0" w:space="0" w:color="auto"/>
        <w:right w:val="none" w:sz="0" w:space="0" w:color="auto"/>
      </w:divBdr>
    </w:div>
    <w:div w:id="119153499">
      <w:bodyDiv w:val="1"/>
      <w:marLeft w:val="0"/>
      <w:marRight w:val="0"/>
      <w:marTop w:val="0"/>
      <w:marBottom w:val="0"/>
      <w:divBdr>
        <w:top w:val="none" w:sz="0" w:space="0" w:color="auto"/>
        <w:left w:val="none" w:sz="0" w:space="0" w:color="auto"/>
        <w:bottom w:val="none" w:sz="0" w:space="0" w:color="auto"/>
        <w:right w:val="none" w:sz="0" w:space="0" w:color="auto"/>
      </w:divBdr>
    </w:div>
    <w:div w:id="245581474">
      <w:bodyDiv w:val="1"/>
      <w:marLeft w:val="0"/>
      <w:marRight w:val="0"/>
      <w:marTop w:val="0"/>
      <w:marBottom w:val="0"/>
      <w:divBdr>
        <w:top w:val="none" w:sz="0" w:space="0" w:color="auto"/>
        <w:left w:val="none" w:sz="0" w:space="0" w:color="auto"/>
        <w:bottom w:val="none" w:sz="0" w:space="0" w:color="auto"/>
        <w:right w:val="none" w:sz="0" w:space="0" w:color="auto"/>
      </w:divBdr>
    </w:div>
    <w:div w:id="373235166">
      <w:bodyDiv w:val="1"/>
      <w:marLeft w:val="0"/>
      <w:marRight w:val="0"/>
      <w:marTop w:val="0"/>
      <w:marBottom w:val="0"/>
      <w:divBdr>
        <w:top w:val="none" w:sz="0" w:space="0" w:color="auto"/>
        <w:left w:val="none" w:sz="0" w:space="0" w:color="auto"/>
        <w:bottom w:val="none" w:sz="0" w:space="0" w:color="auto"/>
        <w:right w:val="none" w:sz="0" w:space="0" w:color="auto"/>
      </w:divBdr>
    </w:div>
    <w:div w:id="392312303">
      <w:bodyDiv w:val="1"/>
      <w:marLeft w:val="0"/>
      <w:marRight w:val="0"/>
      <w:marTop w:val="0"/>
      <w:marBottom w:val="0"/>
      <w:divBdr>
        <w:top w:val="none" w:sz="0" w:space="0" w:color="auto"/>
        <w:left w:val="none" w:sz="0" w:space="0" w:color="auto"/>
        <w:bottom w:val="none" w:sz="0" w:space="0" w:color="auto"/>
        <w:right w:val="none" w:sz="0" w:space="0" w:color="auto"/>
      </w:divBdr>
    </w:div>
    <w:div w:id="404961209">
      <w:bodyDiv w:val="1"/>
      <w:marLeft w:val="0"/>
      <w:marRight w:val="0"/>
      <w:marTop w:val="0"/>
      <w:marBottom w:val="0"/>
      <w:divBdr>
        <w:top w:val="none" w:sz="0" w:space="0" w:color="auto"/>
        <w:left w:val="none" w:sz="0" w:space="0" w:color="auto"/>
        <w:bottom w:val="none" w:sz="0" w:space="0" w:color="auto"/>
        <w:right w:val="none" w:sz="0" w:space="0" w:color="auto"/>
      </w:divBdr>
    </w:div>
    <w:div w:id="476996992">
      <w:bodyDiv w:val="1"/>
      <w:marLeft w:val="0"/>
      <w:marRight w:val="0"/>
      <w:marTop w:val="0"/>
      <w:marBottom w:val="0"/>
      <w:divBdr>
        <w:top w:val="none" w:sz="0" w:space="0" w:color="auto"/>
        <w:left w:val="none" w:sz="0" w:space="0" w:color="auto"/>
        <w:bottom w:val="none" w:sz="0" w:space="0" w:color="auto"/>
        <w:right w:val="none" w:sz="0" w:space="0" w:color="auto"/>
      </w:divBdr>
    </w:div>
    <w:div w:id="523328308">
      <w:bodyDiv w:val="1"/>
      <w:marLeft w:val="0"/>
      <w:marRight w:val="0"/>
      <w:marTop w:val="0"/>
      <w:marBottom w:val="0"/>
      <w:divBdr>
        <w:top w:val="none" w:sz="0" w:space="0" w:color="auto"/>
        <w:left w:val="none" w:sz="0" w:space="0" w:color="auto"/>
        <w:bottom w:val="none" w:sz="0" w:space="0" w:color="auto"/>
        <w:right w:val="none" w:sz="0" w:space="0" w:color="auto"/>
      </w:divBdr>
    </w:div>
    <w:div w:id="575287907">
      <w:bodyDiv w:val="1"/>
      <w:marLeft w:val="0"/>
      <w:marRight w:val="0"/>
      <w:marTop w:val="0"/>
      <w:marBottom w:val="0"/>
      <w:divBdr>
        <w:top w:val="none" w:sz="0" w:space="0" w:color="auto"/>
        <w:left w:val="none" w:sz="0" w:space="0" w:color="auto"/>
        <w:bottom w:val="none" w:sz="0" w:space="0" w:color="auto"/>
        <w:right w:val="none" w:sz="0" w:space="0" w:color="auto"/>
      </w:divBdr>
    </w:div>
    <w:div w:id="740056797">
      <w:bodyDiv w:val="1"/>
      <w:marLeft w:val="0"/>
      <w:marRight w:val="0"/>
      <w:marTop w:val="0"/>
      <w:marBottom w:val="0"/>
      <w:divBdr>
        <w:top w:val="none" w:sz="0" w:space="0" w:color="auto"/>
        <w:left w:val="none" w:sz="0" w:space="0" w:color="auto"/>
        <w:bottom w:val="none" w:sz="0" w:space="0" w:color="auto"/>
        <w:right w:val="none" w:sz="0" w:space="0" w:color="auto"/>
      </w:divBdr>
    </w:div>
    <w:div w:id="987392515">
      <w:bodyDiv w:val="1"/>
      <w:marLeft w:val="0"/>
      <w:marRight w:val="0"/>
      <w:marTop w:val="0"/>
      <w:marBottom w:val="0"/>
      <w:divBdr>
        <w:top w:val="none" w:sz="0" w:space="0" w:color="auto"/>
        <w:left w:val="none" w:sz="0" w:space="0" w:color="auto"/>
        <w:bottom w:val="none" w:sz="0" w:space="0" w:color="auto"/>
        <w:right w:val="none" w:sz="0" w:space="0" w:color="auto"/>
      </w:divBdr>
    </w:div>
    <w:div w:id="995455213">
      <w:bodyDiv w:val="1"/>
      <w:marLeft w:val="0"/>
      <w:marRight w:val="0"/>
      <w:marTop w:val="0"/>
      <w:marBottom w:val="0"/>
      <w:divBdr>
        <w:top w:val="none" w:sz="0" w:space="0" w:color="auto"/>
        <w:left w:val="none" w:sz="0" w:space="0" w:color="auto"/>
        <w:bottom w:val="none" w:sz="0" w:space="0" w:color="auto"/>
        <w:right w:val="none" w:sz="0" w:space="0" w:color="auto"/>
      </w:divBdr>
    </w:div>
    <w:div w:id="1034768968">
      <w:bodyDiv w:val="1"/>
      <w:marLeft w:val="0"/>
      <w:marRight w:val="0"/>
      <w:marTop w:val="0"/>
      <w:marBottom w:val="0"/>
      <w:divBdr>
        <w:top w:val="none" w:sz="0" w:space="0" w:color="auto"/>
        <w:left w:val="none" w:sz="0" w:space="0" w:color="auto"/>
        <w:bottom w:val="none" w:sz="0" w:space="0" w:color="auto"/>
        <w:right w:val="none" w:sz="0" w:space="0" w:color="auto"/>
      </w:divBdr>
    </w:div>
    <w:div w:id="1037196204">
      <w:bodyDiv w:val="1"/>
      <w:marLeft w:val="0"/>
      <w:marRight w:val="0"/>
      <w:marTop w:val="0"/>
      <w:marBottom w:val="0"/>
      <w:divBdr>
        <w:top w:val="none" w:sz="0" w:space="0" w:color="auto"/>
        <w:left w:val="none" w:sz="0" w:space="0" w:color="auto"/>
        <w:bottom w:val="none" w:sz="0" w:space="0" w:color="auto"/>
        <w:right w:val="none" w:sz="0" w:space="0" w:color="auto"/>
      </w:divBdr>
    </w:div>
    <w:div w:id="1144732488">
      <w:bodyDiv w:val="1"/>
      <w:marLeft w:val="0"/>
      <w:marRight w:val="0"/>
      <w:marTop w:val="0"/>
      <w:marBottom w:val="0"/>
      <w:divBdr>
        <w:top w:val="none" w:sz="0" w:space="0" w:color="auto"/>
        <w:left w:val="none" w:sz="0" w:space="0" w:color="auto"/>
        <w:bottom w:val="none" w:sz="0" w:space="0" w:color="auto"/>
        <w:right w:val="none" w:sz="0" w:space="0" w:color="auto"/>
      </w:divBdr>
    </w:div>
    <w:div w:id="1240486055">
      <w:bodyDiv w:val="1"/>
      <w:marLeft w:val="0"/>
      <w:marRight w:val="0"/>
      <w:marTop w:val="0"/>
      <w:marBottom w:val="0"/>
      <w:divBdr>
        <w:top w:val="none" w:sz="0" w:space="0" w:color="auto"/>
        <w:left w:val="none" w:sz="0" w:space="0" w:color="auto"/>
        <w:bottom w:val="none" w:sz="0" w:space="0" w:color="auto"/>
        <w:right w:val="none" w:sz="0" w:space="0" w:color="auto"/>
      </w:divBdr>
    </w:div>
    <w:div w:id="1259948334">
      <w:bodyDiv w:val="1"/>
      <w:marLeft w:val="0"/>
      <w:marRight w:val="0"/>
      <w:marTop w:val="0"/>
      <w:marBottom w:val="0"/>
      <w:divBdr>
        <w:top w:val="none" w:sz="0" w:space="0" w:color="auto"/>
        <w:left w:val="none" w:sz="0" w:space="0" w:color="auto"/>
        <w:bottom w:val="none" w:sz="0" w:space="0" w:color="auto"/>
        <w:right w:val="none" w:sz="0" w:space="0" w:color="auto"/>
      </w:divBdr>
    </w:div>
    <w:div w:id="1350371315">
      <w:bodyDiv w:val="1"/>
      <w:marLeft w:val="0"/>
      <w:marRight w:val="0"/>
      <w:marTop w:val="0"/>
      <w:marBottom w:val="0"/>
      <w:divBdr>
        <w:top w:val="none" w:sz="0" w:space="0" w:color="auto"/>
        <w:left w:val="none" w:sz="0" w:space="0" w:color="auto"/>
        <w:bottom w:val="none" w:sz="0" w:space="0" w:color="auto"/>
        <w:right w:val="none" w:sz="0" w:space="0" w:color="auto"/>
      </w:divBdr>
    </w:div>
    <w:div w:id="1380738668">
      <w:bodyDiv w:val="1"/>
      <w:marLeft w:val="0"/>
      <w:marRight w:val="0"/>
      <w:marTop w:val="0"/>
      <w:marBottom w:val="0"/>
      <w:divBdr>
        <w:top w:val="none" w:sz="0" w:space="0" w:color="auto"/>
        <w:left w:val="none" w:sz="0" w:space="0" w:color="auto"/>
        <w:bottom w:val="none" w:sz="0" w:space="0" w:color="auto"/>
        <w:right w:val="none" w:sz="0" w:space="0" w:color="auto"/>
      </w:divBdr>
    </w:div>
    <w:div w:id="1401558785">
      <w:bodyDiv w:val="1"/>
      <w:marLeft w:val="0"/>
      <w:marRight w:val="0"/>
      <w:marTop w:val="0"/>
      <w:marBottom w:val="0"/>
      <w:divBdr>
        <w:top w:val="none" w:sz="0" w:space="0" w:color="auto"/>
        <w:left w:val="none" w:sz="0" w:space="0" w:color="auto"/>
        <w:bottom w:val="none" w:sz="0" w:space="0" w:color="auto"/>
        <w:right w:val="none" w:sz="0" w:space="0" w:color="auto"/>
      </w:divBdr>
    </w:div>
    <w:div w:id="1734155651">
      <w:bodyDiv w:val="1"/>
      <w:marLeft w:val="0"/>
      <w:marRight w:val="0"/>
      <w:marTop w:val="0"/>
      <w:marBottom w:val="0"/>
      <w:divBdr>
        <w:top w:val="none" w:sz="0" w:space="0" w:color="auto"/>
        <w:left w:val="none" w:sz="0" w:space="0" w:color="auto"/>
        <w:bottom w:val="none" w:sz="0" w:space="0" w:color="auto"/>
        <w:right w:val="none" w:sz="0" w:space="0" w:color="auto"/>
      </w:divBdr>
    </w:div>
    <w:div w:id="1790662668">
      <w:bodyDiv w:val="1"/>
      <w:marLeft w:val="0"/>
      <w:marRight w:val="0"/>
      <w:marTop w:val="0"/>
      <w:marBottom w:val="0"/>
      <w:divBdr>
        <w:top w:val="none" w:sz="0" w:space="0" w:color="auto"/>
        <w:left w:val="none" w:sz="0" w:space="0" w:color="auto"/>
        <w:bottom w:val="none" w:sz="0" w:space="0" w:color="auto"/>
        <w:right w:val="none" w:sz="0" w:space="0" w:color="auto"/>
      </w:divBdr>
    </w:div>
    <w:div w:id="1818761053">
      <w:bodyDiv w:val="1"/>
      <w:marLeft w:val="0"/>
      <w:marRight w:val="0"/>
      <w:marTop w:val="0"/>
      <w:marBottom w:val="0"/>
      <w:divBdr>
        <w:top w:val="none" w:sz="0" w:space="0" w:color="auto"/>
        <w:left w:val="none" w:sz="0" w:space="0" w:color="auto"/>
        <w:bottom w:val="none" w:sz="0" w:space="0" w:color="auto"/>
        <w:right w:val="none" w:sz="0" w:space="0" w:color="auto"/>
      </w:divBdr>
    </w:div>
    <w:div w:id="1869950720">
      <w:bodyDiv w:val="1"/>
      <w:marLeft w:val="0"/>
      <w:marRight w:val="0"/>
      <w:marTop w:val="0"/>
      <w:marBottom w:val="0"/>
      <w:divBdr>
        <w:top w:val="none" w:sz="0" w:space="0" w:color="auto"/>
        <w:left w:val="none" w:sz="0" w:space="0" w:color="auto"/>
        <w:bottom w:val="none" w:sz="0" w:space="0" w:color="auto"/>
        <w:right w:val="none" w:sz="0" w:space="0" w:color="auto"/>
      </w:divBdr>
    </w:div>
    <w:div w:id="2023125428">
      <w:bodyDiv w:val="1"/>
      <w:marLeft w:val="0"/>
      <w:marRight w:val="0"/>
      <w:marTop w:val="0"/>
      <w:marBottom w:val="0"/>
      <w:divBdr>
        <w:top w:val="none" w:sz="0" w:space="0" w:color="auto"/>
        <w:left w:val="none" w:sz="0" w:space="0" w:color="auto"/>
        <w:bottom w:val="none" w:sz="0" w:space="0" w:color="auto"/>
        <w:right w:val="none" w:sz="0" w:space="0" w:color="auto"/>
      </w:divBdr>
      <w:divsChild>
        <w:div w:id="252208404">
          <w:marLeft w:val="0"/>
          <w:marRight w:val="0"/>
          <w:marTop w:val="0"/>
          <w:marBottom w:val="0"/>
          <w:divBdr>
            <w:top w:val="none" w:sz="0" w:space="0" w:color="auto"/>
            <w:left w:val="none" w:sz="0" w:space="0" w:color="auto"/>
            <w:bottom w:val="none" w:sz="0" w:space="0" w:color="auto"/>
            <w:right w:val="none" w:sz="0" w:space="0" w:color="auto"/>
          </w:divBdr>
        </w:div>
        <w:div w:id="1109855676">
          <w:marLeft w:val="0"/>
          <w:marRight w:val="0"/>
          <w:marTop w:val="0"/>
          <w:marBottom w:val="0"/>
          <w:divBdr>
            <w:top w:val="none" w:sz="0" w:space="0" w:color="auto"/>
            <w:left w:val="none" w:sz="0" w:space="0" w:color="auto"/>
            <w:bottom w:val="none" w:sz="0" w:space="0" w:color="auto"/>
            <w:right w:val="none" w:sz="0" w:space="0" w:color="auto"/>
          </w:divBdr>
        </w:div>
      </w:divsChild>
    </w:div>
    <w:div w:id="2096706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ctimsupport.org.uk/" TargetMode="External"/><Relationship Id="rId13" Type="http://schemas.openxmlformats.org/officeDocument/2006/relationships/hyperlink" Target="http://www.victimsupport.org/" TargetMode="External"/><Relationship Id="rId18" Type="http://schemas.openxmlformats.org/officeDocument/2006/relationships/hyperlink" Target="https://www.judiciary.gov.uk/publications/judicial-protocol-expedition-of-cases-involving-witnesses-under-10-years/" TargetMode="External"/><Relationship Id="rId26" Type="http://schemas.openxmlformats.org/officeDocument/2006/relationships/hyperlink" Target="https://assets.publishing.service.gov.uk/government/uploads/system/uploads/attachment_data/file/808343/criminal-injuries-compensation-scheme-2012.pdf" TargetMode="External"/><Relationship Id="rId3" Type="http://schemas.openxmlformats.org/officeDocument/2006/relationships/settings" Target="settings.xml"/><Relationship Id="rId21" Type="http://schemas.openxmlformats.org/officeDocument/2006/relationships/hyperlink" Target="http://www.legislation.gov.uk/ukpga/1980/43/section/97" TargetMode="External"/><Relationship Id="rId34" Type="http://schemas.openxmlformats.org/officeDocument/2006/relationships/fontTable" Target="fontTable.xml"/><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gov.uk/government/publications/victim-personal-statement" TargetMode="External"/><Relationship Id="rId17" Type="http://schemas.openxmlformats.org/officeDocument/2006/relationships/hyperlink" Target="http://www.cps.gov.uk/legal/s_to_u/special_measures/" TargetMode="External"/><Relationship Id="rId25" Type="http://schemas.openxmlformats.org/officeDocument/2006/relationships/hyperlink" Target="http://library.college.police.uk/docs/appref/MoG-final-2011-july.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legislation.gov.uk/ukpga/1999/23/section/16" TargetMode="External"/><Relationship Id="rId20" Type="http://schemas.openxmlformats.org/officeDocument/2006/relationships/hyperlink" Target="http://www.cps.gov.uk/legal/s_to_u/special_measures/" TargetMode="External"/><Relationship Id="rId29" Type="http://schemas.openxmlformats.org/officeDocument/2006/relationships/hyperlink" Target="http://library.college.police.uk/docs/college-of-policing/Working-with-an-interpreter-v1.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uploads/system/uploads/attachment_data/file/470212/code-of-practice-for-victims-of-crime.PDF" TargetMode="External"/><Relationship Id="rId24" Type="http://schemas.openxmlformats.org/officeDocument/2006/relationships/hyperlink" Target="http://library.college.police.uk/docs/appref/MoG-final-2011-july.pdf" TargetMode="External"/><Relationship Id="rId32" Type="http://schemas.openxmlformats.org/officeDocument/2006/relationships/hyperlink" Target="https://www.app.college.police.uk/app-content/investigations/investigative-interviewing/" TargetMode="External"/><Relationship Id="rId5" Type="http://schemas.openxmlformats.org/officeDocument/2006/relationships/footnotes" Target="footnotes.xml"/><Relationship Id="rId15" Type="http://schemas.openxmlformats.org/officeDocument/2006/relationships/hyperlink" Target="https://www.victimsupport.org.uk/help-witnesses" TargetMode="External"/><Relationship Id="rId23" Type="http://schemas.openxmlformats.org/officeDocument/2006/relationships/hyperlink" Target="http://library.college.police.uk/docs/appref/MoG-final-2011-july.pdf" TargetMode="External"/><Relationship Id="rId28" Type="http://schemas.openxmlformats.org/officeDocument/2006/relationships/hyperlink" Target="http://library.college.police.uk/docs/college-of-policing/Language-Services-v1.0.pdf" TargetMode="External"/><Relationship Id="rId10" Type="http://schemas.openxmlformats.org/officeDocument/2006/relationships/hyperlink" Target="http://library.college.police.uk/docs/appref/Reading-Victim-Personal-Statements-in-Court-Protocol_July-14.pdf" TargetMode="External"/><Relationship Id="rId19" Type="http://schemas.openxmlformats.org/officeDocument/2006/relationships/hyperlink" Target="https://www.app.college.police.uk/app-content/prosecution-and-case-management/victim-and-witness-care/" TargetMode="External"/><Relationship Id="rId31" Type="http://schemas.openxmlformats.org/officeDocument/2006/relationships/hyperlink" Target="http://www.legislation.gov.uk/ukpga/2011/9/notes/division/4/1?view=plain" TargetMode="External"/><Relationship Id="rId4" Type="http://schemas.openxmlformats.org/officeDocument/2006/relationships/webSettings" Target="webSettings.xml"/><Relationship Id="rId9" Type="http://schemas.openxmlformats.org/officeDocument/2006/relationships/hyperlink" Target="https://www.gov.uk/government/uploads/system/uploads/attachment_data/file/470212/code-of-practice-for-victims-of-crime.PDF" TargetMode="External"/><Relationship Id="rId14" Type="http://schemas.openxmlformats.org/officeDocument/2006/relationships/hyperlink" Target="http://www.cps.gov.uk/publications/docs/best_evidence_in_criminal_proceedings.pdf" TargetMode="External"/><Relationship Id="rId22" Type="http://schemas.openxmlformats.org/officeDocument/2006/relationships/hyperlink" Target="http://www.legislation.gov.uk/uksi/2011/1709/contents/made" TargetMode="External"/><Relationship Id="rId27" Type="http://schemas.openxmlformats.org/officeDocument/2006/relationships/hyperlink" Target="http://www.victimsupport.org.uk/" TargetMode="External"/><Relationship Id="rId30" Type="http://schemas.openxmlformats.org/officeDocument/2006/relationships/hyperlink" Target="http://library.college.police.uk/docs/college-of-policing/Briefing_the_interviewee_aide_memoire_v1.0.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29</Pages>
  <Words>8145</Words>
  <Characters>46431</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 fewings</dc:creator>
  <cp:keywords/>
  <dc:description/>
  <cp:lastModifiedBy>daniella fewings</cp:lastModifiedBy>
  <cp:revision>1</cp:revision>
  <dcterms:created xsi:type="dcterms:W3CDTF">2021-03-09T08:27:00Z</dcterms:created>
  <dcterms:modified xsi:type="dcterms:W3CDTF">2021-03-09T10:59:00Z</dcterms:modified>
</cp:coreProperties>
</file>