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FA811" w14:textId="388322C2" w:rsidR="00E0377B" w:rsidRDefault="00DD0DB3">
      <w:pPr>
        <w:jc w:val="center"/>
        <w:rPr>
          <w:rFonts w:ascii="Arial" w:eastAsia="Arial" w:hAnsi="Arial" w:cs="Arial"/>
          <w:b/>
          <w:bCs/>
          <w:sz w:val="32"/>
          <w:szCs w:val="32"/>
        </w:rPr>
      </w:pPr>
      <w:r>
        <w:rPr>
          <w:noProof/>
        </w:rPr>
        <w:drawing>
          <wp:inline distT="0" distB="0" distL="0" distR="0" wp14:anchorId="19D950A9" wp14:editId="40F81140">
            <wp:extent cx="3381375" cy="1352550"/>
            <wp:effectExtent l="0" t="0" r="9525" b="0"/>
            <wp:docPr id="858866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66872" name="Picture 2"/>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a:ln>
                      <a:noFill/>
                    </a:ln>
                  </pic:spPr>
                </pic:pic>
              </a:graphicData>
            </a:graphic>
          </wp:inline>
        </w:drawing>
      </w:r>
    </w:p>
    <w:p w14:paraId="461F403C" w14:textId="77777777" w:rsidR="00E0377B" w:rsidRDefault="00E0377B">
      <w:pPr>
        <w:jc w:val="center"/>
        <w:rPr>
          <w:rFonts w:ascii="Arial" w:eastAsia="Arial" w:hAnsi="Arial" w:cs="Arial"/>
          <w:b/>
          <w:bCs/>
          <w:sz w:val="32"/>
          <w:szCs w:val="32"/>
        </w:rPr>
      </w:pPr>
    </w:p>
    <w:p w14:paraId="37F01025" w14:textId="6757A2F2" w:rsidR="00E0377B" w:rsidRPr="001236EE" w:rsidRDefault="007123CE">
      <w:pPr>
        <w:jc w:val="center"/>
        <w:rPr>
          <w:rFonts w:ascii="Arial" w:eastAsia="Arial" w:hAnsi="Arial" w:cs="Arial"/>
          <w:b/>
          <w:bCs/>
          <w:sz w:val="32"/>
          <w:szCs w:val="32"/>
          <w:lang w:val="en-IN"/>
        </w:rPr>
      </w:pPr>
      <w:r w:rsidRPr="001236EE">
        <w:rPr>
          <w:rFonts w:ascii="Arial" w:eastAsia="Arial" w:hAnsi="Arial" w:cs="Arial"/>
          <w:b/>
          <w:bCs/>
          <w:sz w:val="32"/>
          <w:szCs w:val="32"/>
          <w:lang w:val="en-IN"/>
        </w:rPr>
        <w:t xml:space="preserve">Student </w:t>
      </w:r>
      <w:proofErr w:type="gramStart"/>
      <w:r w:rsidRPr="001236EE">
        <w:rPr>
          <w:rFonts w:ascii="Arial" w:eastAsia="Arial" w:hAnsi="Arial" w:cs="Arial"/>
          <w:b/>
          <w:bCs/>
          <w:sz w:val="32"/>
          <w:szCs w:val="32"/>
          <w:lang w:val="en-IN"/>
        </w:rPr>
        <w:t>Name :</w:t>
      </w:r>
      <w:proofErr w:type="gramEnd"/>
      <w:r w:rsidR="001236EE" w:rsidRPr="001236EE">
        <w:rPr>
          <w:rFonts w:ascii="Arial" w:eastAsia="Arial" w:hAnsi="Arial" w:cs="Arial"/>
          <w:b/>
          <w:bCs/>
          <w:sz w:val="32"/>
          <w:szCs w:val="32"/>
          <w:lang w:val="en-IN"/>
        </w:rPr>
        <w:t xml:space="preserve"> RAJESH LILABHAI A</w:t>
      </w:r>
      <w:r w:rsidR="001236EE">
        <w:rPr>
          <w:rFonts w:ascii="Arial" w:eastAsia="Arial" w:hAnsi="Arial" w:cs="Arial"/>
          <w:b/>
          <w:bCs/>
          <w:sz w:val="32"/>
          <w:szCs w:val="32"/>
          <w:lang w:val="en-IN"/>
        </w:rPr>
        <w:t>GATH</w:t>
      </w:r>
    </w:p>
    <w:p w14:paraId="6EADA8DC" w14:textId="39194167" w:rsidR="007123CE" w:rsidRPr="001236EE" w:rsidRDefault="007123CE">
      <w:pPr>
        <w:jc w:val="center"/>
        <w:rPr>
          <w:rFonts w:ascii="Arial" w:eastAsia="Arial" w:hAnsi="Arial" w:cs="Arial"/>
          <w:b/>
          <w:bCs/>
          <w:sz w:val="32"/>
          <w:szCs w:val="32"/>
          <w:lang w:val="en-IN"/>
        </w:rPr>
      </w:pPr>
      <w:r w:rsidRPr="001236EE">
        <w:rPr>
          <w:rFonts w:ascii="Arial" w:eastAsia="Arial" w:hAnsi="Arial" w:cs="Arial"/>
          <w:b/>
          <w:bCs/>
          <w:sz w:val="32"/>
          <w:szCs w:val="32"/>
          <w:lang w:val="en-IN"/>
        </w:rPr>
        <w:t>Student ID :</w:t>
      </w:r>
      <w:r w:rsidR="001236EE">
        <w:rPr>
          <w:rFonts w:ascii="Arial" w:eastAsia="Arial" w:hAnsi="Arial" w:cs="Arial"/>
          <w:b/>
          <w:bCs/>
          <w:sz w:val="32"/>
          <w:szCs w:val="32"/>
          <w:lang w:val="en-IN"/>
        </w:rPr>
        <w:t>2531869</w:t>
      </w:r>
    </w:p>
    <w:p w14:paraId="0FA826D3"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University Name: University of Wales Trinity Saint David</w:t>
      </w:r>
    </w:p>
    <w:p w14:paraId="40E615CA"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Programme: Master of Business Administration (MBA)</w:t>
      </w:r>
    </w:p>
    <w:p w14:paraId="55DEB582" w14:textId="18EEE630" w:rsidR="00E0377B" w:rsidRDefault="00977F3B">
      <w:pPr>
        <w:jc w:val="center"/>
        <w:rPr>
          <w:rFonts w:ascii="Arial" w:eastAsia="Arial" w:hAnsi="Arial" w:cs="Arial"/>
          <w:b/>
          <w:bCs/>
          <w:sz w:val="32"/>
          <w:szCs w:val="32"/>
        </w:rPr>
      </w:pPr>
      <w:r>
        <w:rPr>
          <w:rFonts w:ascii="Arial" w:eastAsia="Arial" w:hAnsi="Arial" w:cs="Arial"/>
          <w:b/>
          <w:bCs/>
          <w:sz w:val="32"/>
          <w:szCs w:val="32"/>
        </w:rPr>
        <w:t>Module Name: Financial Management</w:t>
      </w:r>
      <w:r w:rsidR="001236EE">
        <w:rPr>
          <w:rFonts w:ascii="Arial" w:eastAsia="Arial" w:hAnsi="Arial" w:cs="Arial"/>
          <w:b/>
          <w:bCs/>
          <w:sz w:val="32"/>
          <w:szCs w:val="32"/>
        </w:rPr>
        <w:t xml:space="preserve"> </w:t>
      </w:r>
    </w:p>
    <w:p w14:paraId="73D01F19" w14:textId="14D084B7" w:rsidR="001236EE" w:rsidRDefault="001236EE">
      <w:pPr>
        <w:jc w:val="center"/>
        <w:rPr>
          <w:rFonts w:ascii="Arial" w:eastAsia="Arial" w:hAnsi="Arial" w:cs="Arial"/>
          <w:b/>
          <w:bCs/>
          <w:sz w:val="32"/>
          <w:szCs w:val="32"/>
        </w:rPr>
      </w:pPr>
      <w:proofErr w:type="spellStart"/>
      <w:proofErr w:type="gramStart"/>
      <w:r>
        <w:rPr>
          <w:rFonts w:ascii="Arial" w:eastAsia="Arial" w:hAnsi="Arial" w:cs="Arial"/>
          <w:b/>
          <w:bCs/>
          <w:sz w:val="32"/>
          <w:szCs w:val="32"/>
        </w:rPr>
        <w:t>Lecturer:Dr</w:t>
      </w:r>
      <w:proofErr w:type="gramEnd"/>
      <w:r>
        <w:rPr>
          <w:rFonts w:ascii="Arial" w:eastAsia="Arial" w:hAnsi="Arial" w:cs="Arial"/>
          <w:b/>
          <w:bCs/>
          <w:sz w:val="32"/>
          <w:szCs w:val="32"/>
        </w:rPr>
        <w:t>.Isaiah</w:t>
      </w:r>
      <w:proofErr w:type="spellEnd"/>
      <w:r>
        <w:rPr>
          <w:rFonts w:ascii="Arial" w:eastAsia="Arial" w:hAnsi="Arial" w:cs="Arial"/>
          <w:b/>
          <w:bCs/>
          <w:sz w:val="32"/>
          <w:szCs w:val="32"/>
        </w:rPr>
        <w:t xml:space="preserve"> Oino</w:t>
      </w:r>
    </w:p>
    <w:p w14:paraId="5BE60EDF"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Module Code: LCMB7002</w:t>
      </w:r>
    </w:p>
    <w:p w14:paraId="23D56844"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Assessment Title: Financial Performance and Management</w:t>
      </w:r>
    </w:p>
    <w:p w14:paraId="4D0DB7B8"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Assessment Type: Individual Report – Strategic CFO Challenge</w:t>
      </w:r>
    </w:p>
    <w:p w14:paraId="224DDE78" w14:textId="77777777" w:rsidR="00E0377B" w:rsidRDefault="00977F3B">
      <w:pPr>
        <w:jc w:val="center"/>
        <w:rPr>
          <w:rFonts w:ascii="Arial" w:eastAsia="Arial" w:hAnsi="Arial" w:cs="Arial"/>
          <w:b/>
          <w:bCs/>
          <w:sz w:val="32"/>
          <w:szCs w:val="32"/>
        </w:rPr>
      </w:pPr>
      <w:r>
        <w:rPr>
          <w:rFonts w:ascii="Arial" w:eastAsia="Arial" w:hAnsi="Arial" w:cs="Arial"/>
          <w:b/>
          <w:bCs/>
          <w:sz w:val="32"/>
          <w:szCs w:val="32"/>
        </w:rPr>
        <w:t>Selected Company: Toyota</w:t>
      </w:r>
    </w:p>
    <w:p w14:paraId="205C6628" w14:textId="77777777" w:rsidR="00E0377B" w:rsidRDefault="00977F3B">
      <w:pPr>
        <w:rPr>
          <w:rFonts w:ascii="Arial" w:eastAsia="Arial" w:hAnsi="Arial" w:cs="Arial"/>
        </w:rPr>
      </w:pPr>
      <w:r>
        <w:br w:type="page"/>
      </w:r>
    </w:p>
    <w:p w14:paraId="13C7C7BA" w14:textId="77777777" w:rsidR="00E0377B" w:rsidRDefault="00977F3B">
      <w:pPr>
        <w:jc w:val="center"/>
        <w:rPr>
          <w:rFonts w:ascii="Arial" w:eastAsia="Arial" w:hAnsi="Arial" w:cs="Arial"/>
          <w:b/>
          <w:bCs/>
          <w:sz w:val="28"/>
          <w:szCs w:val="28"/>
        </w:rPr>
      </w:pPr>
      <w:r>
        <w:rPr>
          <w:rFonts w:ascii="Arial" w:eastAsia="Arial" w:hAnsi="Arial" w:cs="Arial"/>
          <w:b/>
          <w:bCs/>
          <w:sz w:val="28"/>
          <w:szCs w:val="28"/>
        </w:rPr>
        <w:lastRenderedPageBreak/>
        <w:t>Table of Contents</w:t>
      </w:r>
    </w:p>
    <w:sdt>
      <w:sdtPr>
        <w:id w:val="1467725087"/>
        <w:docPartObj>
          <w:docPartGallery w:val="Table of Contents"/>
          <w:docPartUnique/>
        </w:docPartObj>
      </w:sdtPr>
      <w:sdtEndPr/>
      <w:sdtContent>
        <w:p w14:paraId="1D819F71" w14:textId="017745EB" w:rsidR="00467225" w:rsidRPr="00467225" w:rsidRDefault="00977F3B">
          <w:pPr>
            <w:pStyle w:val="TOC1"/>
            <w:tabs>
              <w:tab w:val="right" w:leader="dot" w:pos="9019"/>
            </w:tabs>
            <w:rPr>
              <w:rFonts w:ascii="Arial" w:hAnsi="Arial" w:cs="Arial"/>
              <w:noProof/>
            </w:rPr>
          </w:pPr>
          <w:r w:rsidRPr="00467225">
            <w:rPr>
              <w:rFonts w:ascii="Arial" w:hAnsi="Arial" w:cs="Arial"/>
            </w:rPr>
            <w:fldChar w:fldCharType="begin"/>
          </w:r>
          <w:r w:rsidRPr="00467225">
            <w:rPr>
              <w:rFonts w:ascii="Arial" w:hAnsi="Arial" w:cs="Arial"/>
            </w:rPr>
            <w:instrText xml:space="preserve"> TOC \h \u \z \t "Heading 1,1,Heading 2,2,Heading 3,3,Heading 4,4,Heading 5,5,Heading 6,6,"</w:instrText>
          </w:r>
          <w:r w:rsidRPr="00467225">
            <w:rPr>
              <w:rFonts w:ascii="Arial" w:hAnsi="Arial" w:cs="Arial"/>
            </w:rPr>
            <w:fldChar w:fldCharType="separate"/>
          </w:r>
          <w:hyperlink w:anchor="_Toc227855482" w:history="1">
            <w:r w:rsidR="00467225" w:rsidRPr="00467225">
              <w:rPr>
                <w:rStyle w:val="Hyperlink"/>
                <w:rFonts w:ascii="Arial" w:hAnsi="Arial" w:cs="Arial"/>
                <w:noProof/>
              </w:rPr>
              <w:t>1. Introduction</w:t>
            </w:r>
            <w:r w:rsidR="00467225" w:rsidRPr="00467225">
              <w:rPr>
                <w:rFonts w:ascii="Arial" w:hAnsi="Arial" w:cs="Arial"/>
                <w:noProof/>
                <w:webHidden/>
              </w:rPr>
              <w:tab/>
            </w:r>
            <w:r w:rsidR="00467225" w:rsidRPr="00467225">
              <w:rPr>
                <w:rFonts w:ascii="Arial" w:hAnsi="Arial" w:cs="Arial"/>
                <w:noProof/>
                <w:webHidden/>
              </w:rPr>
              <w:fldChar w:fldCharType="begin"/>
            </w:r>
            <w:r w:rsidR="00467225" w:rsidRPr="00467225">
              <w:rPr>
                <w:rFonts w:ascii="Arial" w:hAnsi="Arial" w:cs="Arial"/>
                <w:noProof/>
                <w:webHidden/>
              </w:rPr>
              <w:instrText xml:space="preserve"> PAGEREF _Toc227855482 \h </w:instrText>
            </w:r>
            <w:r w:rsidR="00467225" w:rsidRPr="00467225">
              <w:rPr>
                <w:rFonts w:ascii="Arial" w:hAnsi="Arial" w:cs="Arial"/>
                <w:noProof/>
                <w:webHidden/>
              </w:rPr>
            </w:r>
            <w:r w:rsidR="00467225" w:rsidRPr="00467225">
              <w:rPr>
                <w:rFonts w:ascii="Arial" w:hAnsi="Arial" w:cs="Arial"/>
                <w:noProof/>
                <w:webHidden/>
              </w:rPr>
              <w:fldChar w:fldCharType="separate"/>
            </w:r>
            <w:r w:rsidR="00DD0DB3">
              <w:rPr>
                <w:rFonts w:ascii="Arial" w:hAnsi="Arial" w:cs="Arial"/>
                <w:noProof/>
                <w:webHidden/>
              </w:rPr>
              <w:t>3</w:t>
            </w:r>
            <w:r w:rsidR="00467225" w:rsidRPr="00467225">
              <w:rPr>
                <w:rFonts w:ascii="Arial" w:hAnsi="Arial" w:cs="Arial"/>
                <w:noProof/>
                <w:webHidden/>
              </w:rPr>
              <w:fldChar w:fldCharType="end"/>
            </w:r>
          </w:hyperlink>
        </w:p>
        <w:p w14:paraId="10CE732B" w14:textId="167DE60A" w:rsidR="00467225" w:rsidRPr="00467225" w:rsidRDefault="00467225">
          <w:pPr>
            <w:pStyle w:val="TOC1"/>
            <w:tabs>
              <w:tab w:val="right" w:leader="dot" w:pos="9019"/>
            </w:tabs>
            <w:rPr>
              <w:rFonts w:ascii="Arial" w:hAnsi="Arial" w:cs="Arial"/>
              <w:noProof/>
            </w:rPr>
          </w:pPr>
          <w:hyperlink w:anchor="_Toc227855483" w:history="1">
            <w:r w:rsidRPr="00467225">
              <w:rPr>
                <w:rStyle w:val="Hyperlink"/>
                <w:rFonts w:ascii="Arial" w:hAnsi="Arial" w:cs="Arial"/>
                <w:noProof/>
              </w:rPr>
              <w:t>2. “Financial Health Check” of Toyota</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_Toc227855483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3</w:t>
            </w:r>
            <w:r w:rsidRPr="00467225">
              <w:rPr>
                <w:rFonts w:ascii="Arial" w:hAnsi="Arial" w:cs="Arial"/>
                <w:noProof/>
                <w:webHidden/>
              </w:rPr>
              <w:fldChar w:fldCharType="end"/>
            </w:r>
          </w:hyperlink>
        </w:p>
        <w:p w14:paraId="5B24E62D" w14:textId="052DDD77" w:rsidR="00467225" w:rsidRPr="00467225" w:rsidRDefault="00467225">
          <w:pPr>
            <w:pStyle w:val="TOC2"/>
            <w:tabs>
              <w:tab w:val="right" w:leader="dot" w:pos="9019"/>
            </w:tabs>
            <w:rPr>
              <w:rFonts w:ascii="Arial" w:hAnsi="Arial" w:cs="Arial"/>
              <w:noProof/>
            </w:rPr>
          </w:pPr>
          <w:hyperlink w:anchor="_Toc227855484" w:history="1">
            <w:r w:rsidRPr="00467225">
              <w:rPr>
                <w:rStyle w:val="Hyperlink"/>
                <w:rFonts w:ascii="Arial" w:hAnsi="Arial" w:cs="Arial"/>
                <w:noProof/>
              </w:rPr>
              <w:t>2.1 “Statement of Financial Position” of Toyota from 2020 to 2024</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_Toc227855484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3</w:t>
            </w:r>
            <w:r w:rsidRPr="00467225">
              <w:rPr>
                <w:rFonts w:ascii="Arial" w:hAnsi="Arial" w:cs="Arial"/>
                <w:noProof/>
                <w:webHidden/>
              </w:rPr>
              <w:fldChar w:fldCharType="end"/>
            </w:r>
          </w:hyperlink>
        </w:p>
        <w:p w14:paraId="319F36F9" w14:textId="3DEE912E" w:rsidR="00467225" w:rsidRPr="00467225" w:rsidRDefault="00467225">
          <w:pPr>
            <w:pStyle w:val="TOC2"/>
            <w:tabs>
              <w:tab w:val="right" w:leader="dot" w:pos="9019"/>
            </w:tabs>
            <w:rPr>
              <w:rFonts w:ascii="Arial" w:hAnsi="Arial" w:cs="Arial"/>
              <w:noProof/>
            </w:rPr>
          </w:pPr>
          <w:hyperlink w:anchor="_Toc227855485" w:history="1">
            <w:r w:rsidRPr="00467225">
              <w:rPr>
                <w:rStyle w:val="Hyperlink"/>
                <w:rFonts w:ascii="Arial" w:hAnsi="Arial" w:cs="Arial"/>
                <w:noProof/>
              </w:rPr>
              <w:t>2.2 “Statement of Income of Toyota” from 2020 to 2024</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_Toc227855485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6</w:t>
            </w:r>
            <w:r w:rsidRPr="00467225">
              <w:rPr>
                <w:rFonts w:ascii="Arial" w:hAnsi="Arial" w:cs="Arial"/>
                <w:noProof/>
                <w:webHidden/>
              </w:rPr>
              <w:fldChar w:fldCharType="end"/>
            </w:r>
          </w:hyperlink>
        </w:p>
        <w:p w14:paraId="440CB424" w14:textId="1BBEBE18" w:rsidR="00467225" w:rsidRPr="00467225" w:rsidRDefault="00467225">
          <w:pPr>
            <w:pStyle w:val="TOC2"/>
            <w:tabs>
              <w:tab w:val="right" w:leader="dot" w:pos="9019"/>
            </w:tabs>
            <w:rPr>
              <w:rFonts w:ascii="Arial" w:hAnsi="Arial" w:cs="Arial"/>
              <w:noProof/>
            </w:rPr>
          </w:pPr>
          <w:hyperlink w:anchor="_Toc227855486" w:history="1">
            <w:r w:rsidRPr="00467225">
              <w:rPr>
                <w:rStyle w:val="Hyperlink"/>
                <w:rFonts w:ascii="Arial" w:hAnsi="Arial" w:cs="Arial"/>
                <w:noProof/>
              </w:rPr>
              <w:t>2.3 “Statement of Cash Flow” of Toyota from 2020 to 2024</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_Toc227855486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8</w:t>
            </w:r>
            <w:r w:rsidRPr="00467225">
              <w:rPr>
                <w:rFonts w:ascii="Arial" w:hAnsi="Arial" w:cs="Arial"/>
                <w:noProof/>
                <w:webHidden/>
              </w:rPr>
              <w:fldChar w:fldCharType="end"/>
            </w:r>
          </w:hyperlink>
        </w:p>
        <w:p w14:paraId="3667A012" w14:textId="312882B5" w:rsidR="00467225" w:rsidRPr="00467225" w:rsidRDefault="00467225">
          <w:pPr>
            <w:pStyle w:val="TOC2"/>
            <w:tabs>
              <w:tab w:val="right" w:leader="dot" w:pos="9019"/>
            </w:tabs>
            <w:rPr>
              <w:rFonts w:ascii="Arial" w:hAnsi="Arial" w:cs="Arial"/>
              <w:noProof/>
            </w:rPr>
          </w:pPr>
          <w:hyperlink w:anchor="_Toc227855487" w:history="1">
            <w:r w:rsidRPr="00467225">
              <w:rPr>
                <w:rStyle w:val="Hyperlink"/>
                <w:rFonts w:ascii="Arial" w:hAnsi="Arial" w:cs="Arial"/>
                <w:noProof/>
              </w:rPr>
              <w:t>2.4 Ratios Analysis of Toyota</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_Toc227855487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10</w:t>
            </w:r>
            <w:r w:rsidRPr="00467225">
              <w:rPr>
                <w:rFonts w:ascii="Arial" w:hAnsi="Arial" w:cs="Arial"/>
                <w:noProof/>
                <w:webHidden/>
              </w:rPr>
              <w:fldChar w:fldCharType="end"/>
            </w:r>
          </w:hyperlink>
        </w:p>
        <w:p w14:paraId="4074A7F5" w14:textId="436E708E" w:rsidR="00467225" w:rsidRPr="00467225" w:rsidRDefault="00467225">
          <w:pPr>
            <w:pStyle w:val="TOC2"/>
            <w:tabs>
              <w:tab w:val="right" w:leader="dot" w:pos="9019"/>
            </w:tabs>
            <w:rPr>
              <w:rFonts w:ascii="Arial" w:hAnsi="Arial" w:cs="Arial"/>
              <w:noProof/>
            </w:rPr>
          </w:pPr>
          <w:hyperlink w:anchor="_Toc227855488" w:history="1">
            <w:r w:rsidRPr="00467225">
              <w:rPr>
                <w:rStyle w:val="Hyperlink"/>
                <w:rFonts w:ascii="Arial" w:hAnsi="Arial" w:cs="Arial"/>
                <w:noProof/>
              </w:rPr>
              <w:t>2.3 Trends, Strengths and Threats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_Toc227855488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13</w:t>
            </w:r>
            <w:r w:rsidRPr="00467225">
              <w:rPr>
                <w:rFonts w:ascii="Arial" w:hAnsi="Arial" w:cs="Arial"/>
                <w:noProof/>
                <w:webHidden/>
              </w:rPr>
              <w:fldChar w:fldCharType="end"/>
            </w:r>
          </w:hyperlink>
        </w:p>
        <w:p w14:paraId="565C3E8A" w14:textId="476DBC18" w:rsidR="00467225" w:rsidRPr="00467225" w:rsidRDefault="00467225">
          <w:pPr>
            <w:pStyle w:val="TOC1"/>
            <w:tabs>
              <w:tab w:val="right" w:leader="dot" w:pos="9019"/>
            </w:tabs>
            <w:rPr>
              <w:rFonts w:ascii="Arial" w:hAnsi="Arial" w:cs="Arial"/>
              <w:noProof/>
            </w:rPr>
          </w:pPr>
          <w:hyperlink w:anchor="_Toc227855489" w:history="1">
            <w:r w:rsidRPr="00467225">
              <w:rPr>
                <w:rStyle w:val="Hyperlink"/>
                <w:rFonts w:ascii="Arial" w:hAnsi="Arial" w:cs="Arial"/>
                <w:noProof/>
              </w:rPr>
              <w:t>3. “Working Capital Management Analysis”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_Toc227855489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15</w:t>
            </w:r>
            <w:r w:rsidRPr="00467225">
              <w:rPr>
                <w:rFonts w:ascii="Arial" w:hAnsi="Arial" w:cs="Arial"/>
                <w:noProof/>
                <w:webHidden/>
              </w:rPr>
              <w:fldChar w:fldCharType="end"/>
            </w:r>
          </w:hyperlink>
        </w:p>
        <w:p w14:paraId="2BD81A7D" w14:textId="37CBEB8C" w:rsidR="00467225" w:rsidRPr="00467225" w:rsidRDefault="00467225">
          <w:pPr>
            <w:pStyle w:val="TOC2"/>
            <w:tabs>
              <w:tab w:val="right" w:leader="dot" w:pos="9019"/>
            </w:tabs>
            <w:rPr>
              <w:rFonts w:ascii="Arial" w:hAnsi="Arial" w:cs="Arial"/>
              <w:noProof/>
            </w:rPr>
          </w:pPr>
          <w:hyperlink w:anchor="_Toc227855490" w:history="1">
            <w:r w:rsidRPr="00467225">
              <w:rPr>
                <w:rStyle w:val="Hyperlink"/>
                <w:rFonts w:ascii="Arial" w:hAnsi="Arial" w:cs="Arial"/>
                <w:noProof/>
              </w:rPr>
              <w:t>3.1 Cash Operating Cycle (CCC) Analysis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_Toc227855490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15</w:t>
            </w:r>
            <w:r w:rsidRPr="00467225">
              <w:rPr>
                <w:rFonts w:ascii="Arial" w:hAnsi="Arial" w:cs="Arial"/>
                <w:noProof/>
                <w:webHidden/>
              </w:rPr>
              <w:fldChar w:fldCharType="end"/>
            </w:r>
          </w:hyperlink>
        </w:p>
        <w:p w14:paraId="1C7CE589" w14:textId="32DB8298" w:rsidR="00467225" w:rsidRPr="00467225" w:rsidRDefault="00467225">
          <w:pPr>
            <w:pStyle w:val="TOC2"/>
            <w:tabs>
              <w:tab w:val="right" w:leader="dot" w:pos="9019"/>
            </w:tabs>
            <w:rPr>
              <w:rFonts w:ascii="Arial" w:hAnsi="Arial" w:cs="Arial"/>
              <w:noProof/>
            </w:rPr>
          </w:pPr>
          <w:hyperlink w:anchor="_Toc227855491" w:history="1">
            <w:r w:rsidRPr="00467225">
              <w:rPr>
                <w:rStyle w:val="Hyperlink"/>
                <w:rFonts w:ascii="Arial" w:hAnsi="Arial" w:cs="Arial"/>
                <w:noProof/>
              </w:rPr>
              <w:t>3.2 Strategies to Improve Liquidity through Working Capital Reforms for Toyota</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_Toc227855491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15</w:t>
            </w:r>
            <w:r w:rsidRPr="00467225">
              <w:rPr>
                <w:rFonts w:ascii="Arial" w:hAnsi="Arial" w:cs="Arial"/>
                <w:noProof/>
                <w:webHidden/>
              </w:rPr>
              <w:fldChar w:fldCharType="end"/>
            </w:r>
          </w:hyperlink>
        </w:p>
        <w:p w14:paraId="7E7E6E1D" w14:textId="6E6BB606" w:rsidR="00467225" w:rsidRPr="00467225" w:rsidRDefault="00467225">
          <w:pPr>
            <w:pStyle w:val="TOC2"/>
            <w:tabs>
              <w:tab w:val="right" w:leader="dot" w:pos="9019"/>
            </w:tabs>
            <w:rPr>
              <w:rFonts w:ascii="Arial" w:hAnsi="Arial" w:cs="Arial"/>
              <w:noProof/>
            </w:rPr>
          </w:pPr>
          <w:hyperlink w:anchor="_Toc227855492" w:history="1">
            <w:r w:rsidRPr="00467225">
              <w:rPr>
                <w:rStyle w:val="Hyperlink"/>
                <w:rFonts w:ascii="Arial" w:hAnsi="Arial" w:cs="Arial"/>
                <w:noProof/>
              </w:rPr>
              <w:t>3.3 Comparison of “Short-Term and Long-Term Financing Options”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_Toc227855492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16</w:t>
            </w:r>
            <w:r w:rsidRPr="00467225">
              <w:rPr>
                <w:rFonts w:ascii="Arial" w:hAnsi="Arial" w:cs="Arial"/>
                <w:noProof/>
                <w:webHidden/>
              </w:rPr>
              <w:fldChar w:fldCharType="end"/>
            </w:r>
          </w:hyperlink>
        </w:p>
        <w:p w14:paraId="53535B53" w14:textId="499AFA60" w:rsidR="00467225" w:rsidRPr="00467225" w:rsidRDefault="00467225">
          <w:pPr>
            <w:pStyle w:val="TOC1"/>
            <w:tabs>
              <w:tab w:val="right" w:leader="dot" w:pos="9019"/>
            </w:tabs>
            <w:rPr>
              <w:rFonts w:ascii="Arial" w:hAnsi="Arial" w:cs="Arial"/>
              <w:noProof/>
            </w:rPr>
          </w:pPr>
          <w:hyperlink w:anchor="_Toc227855493" w:history="1">
            <w:r w:rsidRPr="00467225">
              <w:rPr>
                <w:rStyle w:val="Hyperlink"/>
                <w:rFonts w:ascii="Arial" w:hAnsi="Arial" w:cs="Arial"/>
                <w:noProof/>
              </w:rPr>
              <w:t>4. “Strategic Financial Restructuring Plan”</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_Toc227855493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18</w:t>
            </w:r>
            <w:r w:rsidRPr="00467225">
              <w:rPr>
                <w:rFonts w:ascii="Arial" w:hAnsi="Arial" w:cs="Arial"/>
                <w:noProof/>
                <w:webHidden/>
              </w:rPr>
              <w:fldChar w:fldCharType="end"/>
            </w:r>
          </w:hyperlink>
        </w:p>
        <w:p w14:paraId="3FE364AE" w14:textId="2BA5F0FE" w:rsidR="00467225" w:rsidRPr="00467225" w:rsidRDefault="00467225">
          <w:pPr>
            <w:pStyle w:val="TOC2"/>
            <w:tabs>
              <w:tab w:val="right" w:leader="dot" w:pos="9019"/>
            </w:tabs>
            <w:rPr>
              <w:rFonts w:ascii="Arial" w:hAnsi="Arial" w:cs="Arial"/>
              <w:noProof/>
            </w:rPr>
          </w:pPr>
          <w:hyperlink w:anchor="_Toc227855494" w:history="1">
            <w:r w:rsidRPr="00467225">
              <w:rPr>
                <w:rStyle w:val="Hyperlink"/>
                <w:rFonts w:ascii="Arial" w:hAnsi="Arial" w:cs="Arial"/>
                <w:noProof/>
              </w:rPr>
              <w:t>4.1 Financial Restructuring Options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_Toc227855494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18</w:t>
            </w:r>
            <w:r w:rsidRPr="00467225">
              <w:rPr>
                <w:rFonts w:ascii="Arial" w:hAnsi="Arial" w:cs="Arial"/>
                <w:noProof/>
                <w:webHidden/>
              </w:rPr>
              <w:fldChar w:fldCharType="end"/>
            </w:r>
          </w:hyperlink>
        </w:p>
        <w:p w14:paraId="119A45C6" w14:textId="5B4CF71B" w:rsidR="00467225" w:rsidRPr="00467225" w:rsidRDefault="00467225">
          <w:pPr>
            <w:pStyle w:val="TOC2"/>
            <w:tabs>
              <w:tab w:val="right" w:leader="dot" w:pos="9019"/>
            </w:tabs>
            <w:rPr>
              <w:rFonts w:ascii="Arial" w:hAnsi="Arial" w:cs="Arial"/>
              <w:noProof/>
            </w:rPr>
          </w:pPr>
          <w:hyperlink w:anchor="_Toc227855495" w:history="1">
            <w:r w:rsidRPr="00467225">
              <w:rPr>
                <w:rStyle w:val="Hyperlink"/>
                <w:rFonts w:ascii="Arial" w:hAnsi="Arial" w:cs="Arial"/>
                <w:noProof/>
              </w:rPr>
              <w:t>4.2 Impact on Shareholder Value, Debt Structure, and Operational Flexibility</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_Toc227855495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19</w:t>
            </w:r>
            <w:r w:rsidRPr="00467225">
              <w:rPr>
                <w:rFonts w:ascii="Arial" w:hAnsi="Arial" w:cs="Arial"/>
                <w:noProof/>
                <w:webHidden/>
              </w:rPr>
              <w:fldChar w:fldCharType="end"/>
            </w:r>
          </w:hyperlink>
        </w:p>
        <w:p w14:paraId="6673793F" w14:textId="34AD31B3" w:rsidR="00467225" w:rsidRPr="00467225" w:rsidRDefault="00467225">
          <w:pPr>
            <w:pStyle w:val="TOC2"/>
            <w:tabs>
              <w:tab w:val="right" w:leader="dot" w:pos="9019"/>
            </w:tabs>
            <w:rPr>
              <w:rFonts w:ascii="Arial" w:hAnsi="Arial" w:cs="Arial"/>
              <w:noProof/>
            </w:rPr>
          </w:pPr>
          <w:hyperlink w:anchor="_Toc227855496" w:history="1">
            <w:r w:rsidRPr="00467225">
              <w:rPr>
                <w:rStyle w:val="Hyperlink"/>
                <w:rFonts w:ascii="Arial" w:hAnsi="Arial" w:cs="Arial"/>
                <w:noProof/>
              </w:rPr>
              <w:t>4.3 International and Ethical Considerations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_Toc227855496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20</w:t>
            </w:r>
            <w:r w:rsidRPr="00467225">
              <w:rPr>
                <w:rFonts w:ascii="Arial" w:hAnsi="Arial" w:cs="Arial"/>
                <w:noProof/>
                <w:webHidden/>
              </w:rPr>
              <w:fldChar w:fldCharType="end"/>
            </w:r>
          </w:hyperlink>
        </w:p>
        <w:p w14:paraId="76FF4831" w14:textId="31B546BE" w:rsidR="00467225" w:rsidRPr="00467225" w:rsidRDefault="00467225">
          <w:pPr>
            <w:pStyle w:val="TOC1"/>
            <w:tabs>
              <w:tab w:val="right" w:leader="dot" w:pos="9019"/>
            </w:tabs>
            <w:rPr>
              <w:rFonts w:ascii="Arial" w:hAnsi="Arial" w:cs="Arial"/>
              <w:noProof/>
            </w:rPr>
          </w:pPr>
          <w:hyperlink w:anchor="_Toc227855497" w:history="1">
            <w:r w:rsidRPr="00467225">
              <w:rPr>
                <w:rStyle w:val="Hyperlink"/>
                <w:rFonts w:ascii="Arial" w:hAnsi="Arial" w:cs="Arial"/>
                <w:noProof/>
              </w:rPr>
              <w:t>5. “Investment Appraisal and Capital Budgeting”</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_Toc227855497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21</w:t>
            </w:r>
            <w:r w:rsidRPr="00467225">
              <w:rPr>
                <w:rFonts w:ascii="Arial" w:hAnsi="Arial" w:cs="Arial"/>
                <w:noProof/>
                <w:webHidden/>
              </w:rPr>
              <w:fldChar w:fldCharType="end"/>
            </w:r>
          </w:hyperlink>
        </w:p>
        <w:p w14:paraId="3A8165A1" w14:textId="41340AC1" w:rsidR="00467225" w:rsidRPr="00467225" w:rsidRDefault="00467225">
          <w:pPr>
            <w:pStyle w:val="TOC2"/>
            <w:tabs>
              <w:tab w:val="right" w:leader="dot" w:pos="9019"/>
            </w:tabs>
            <w:rPr>
              <w:rFonts w:ascii="Arial" w:hAnsi="Arial" w:cs="Arial"/>
              <w:noProof/>
            </w:rPr>
          </w:pPr>
          <w:hyperlink w:anchor="_Toc227855498" w:history="1">
            <w:r w:rsidRPr="00467225">
              <w:rPr>
                <w:rStyle w:val="Hyperlink"/>
                <w:rFonts w:ascii="Arial" w:hAnsi="Arial" w:cs="Arial"/>
                <w:noProof/>
              </w:rPr>
              <w:t>5.1 Overview of “PBP, ARR, NPV, PI, and IRR”</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_Toc227855498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21</w:t>
            </w:r>
            <w:r w:rsidRPr="00467225">
              <w:rPr>
                <w:rFonts w:ascii="Arial" w:hAnsi="Arial" w:cs="Arial"/>
                <w:noProof/>
                <w:webHidden/>
              </w:rPr>
              <w:fldChar w:fldCharType="end"/>
            </w:r>
          </w:hyperlink>
        </w:p>
        <w:p w14:paraId="1124A5A3" w14:textId="4F52A775" w:rsidR="00467225" w:rsidRPr="00467225" w:rsidRDefault="00467225">
          <w:pPr>
            <w:pStyle w:val="TOC2"/>
            <w:tabs>
              <w:tab w:val="right" w:leader="dot" w:pos="9019"/>
            </w:tabs>
            <w:rPr>
              <w:rFonts w:ascii="Arial" w:hAnsi="Arial" w:cs="Arial"/>
              <w:noProof/>
            </w:rPr>
          </w:pPr>
          <w:hyperlink w:anchor="_Toc227855499" w:history="1">
            <w:r w:rsidRPr="00467225">
              <w:rPr>
                <w:rStyle w:val="Hyperlink"/>
                <w:rFonts w:ascii="Arial" w:hAnsi="Arial" w:cs="Arial"/>
                <w:noProof/>
              </w:rPr>
              <w:t>5.2 Investment Projects Overview</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_Toc227855499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22</w:t>
            </w:r>
            <w:r w:rsidRPr="00467225">
              <w:rPr>
                <w:rFonts w:ascii="Arial" w:hAnsi="Arial" w:cs="Arial"/>
                <w:noProof/>
                <w:webHidden/>
              </w:rPr>
              <w:fldChar w:fldCharType="end"/>
            </w:r>
          </w:hyperlink>
        </w:p>
        <w:p w14:paraId="45F31104" w14:textId="1B843CBD" w:rsidR="00467225" w:rsidRPr="00467225" w:rsidRDefault="00467225">
          <w:pPr>
            <w:pStyle w:val="TOC2"/>
            <w:tabs>
              <w:tab w:val="right" w:leader="dot" w:pos="9019"/>
            </w:tabs>
            <w:rPr>
              <w:rFonts w:ascii="Arial" w:hAnsi="Arial" w:cs="Arial"/>
              <w:noProof/>
            </w:rPr>
          </w:pPr>
          <w:hyperlink w:anchor="_Toc227855500" w:history="1">
            <w:r w:rsidRPr="00467225">
              <w:rPr>
                <w:rStyle w:val="Hyperlink"/>
                <w:rFonts w:ascii="Arial" w:hAnsi="Arial" w:cs="Arial"/>
                <w:noProof/>
              </w:rPr>
              <w:t>5.3 Project A, B and C Evaluation</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_Toc227855500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22</w:t>
            </w:r>
            <w:r w:rsidRPr="00467225">
              <w:rPr>
                <w:rFonts w:ascii="Arial" w:hAnsi="Arial" w:cs="Arial"/>
                <w:noProof/>
                <w:webHidden/>
              </w:rPr>
              <w:fldChar w:fldCharType="end"/>
            </w:r>
          </w:hyperlink>
        </w:p>
        <w:p w14:paraId="18E0A624" w14:textId="61D9C017" w:rsidR="00467225" w:rsidRPr="00467225" w:rsidRDefault="00467225">
          <w:pPr>
            <w:pStyle w:val="TOC2"/>
            <w:tabs>
              <w:tab w:val="right" w:leader="dot" w:pos="9019"/>
            </w:tabs>
            <w:rPr>
              <w:rFonts w:ascii="Arial" w:hAnsi="Arial" w:cs="Arial"/>
              <w:noProof/>
            </w:rPr>
          </w:pPr>
          <w:hyperlink w:anchor="_Toc227855501" w:history="1">
            <w:r w:rsidRPr="00467225">
              <w:rPr>
                <w:rStyle w:val="Hyperlink"/>
                <w:rFonts w:ascii="Arial" w:hAnsi="Arial" w:cs="Arial"/>
                <w:noProof/>
              </w:rPr>
              <w:t>5.6 Project Recommendation</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_Toc227855501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23</w:t>
            </w:r>
            <w:r w:rsidRPr="00467225">
              <w:rPr>
                <w:rFonts w:ascii="Arial" w:hAnsi="Arial" w:cs="Arial"/>
                <w:noProof/>
                <w:webHidden/>
              </w:rPr>
              <w:fldChar w:fldCharType="end"/>
            </w:r>
          </w:hyperlink>
        </w:p>
        <w:p w14:paraId="7D5264D4" w14:textId="2032EEA9" w:rsidR="00467225" w:rsidRPr="00467225" w:rsidRDefault="00467225">
          <w:pPr>
            <w:pStyle w:val="TOC2"/>
            <w:tabs>
              <w:tab w:val="right" w:leader="dot" w:pos="9019"/>
            </w:tabs>
            <w:rPr>
              <w:rFonts w:ascii="Arial" w:hAnsi="Arial" w:cs="Arial"/>
              <w:noProof/>
            </w:rPr>
          </w:pPr>
          <w:hyperlink w:anchor="_Toc227855502" w:history="1">
            <w:r w:rsidRPr="00467225">
              <w:rPr>
                <w:rStyle w:val="Hyperlink"/>
                <w:rFonts w:ascii="Arial" w:hAnsi="Arial" w:cs="Arial"/>
                <w:noProof/>
              </w:rPr>
              <w:t>5.7 Capital Rationing Decision</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_Toc227855502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24</w:t>
            </w:r>
            <w:r w:rsidRPr="00467225">
              <w:rPr>
                <w:rFonts w:ascii="Arial" w:hAnsi="Arial" w:cs="Arial"/>
                <w:noProof/>
                <w:webHidden/>
              </w:rPr>
              <w:fldChar w:fldCharType="end"/>
            </w:r>
          </w:hyperlink>
        </w:p>
        <w:p w14:paraId="5CF30A3B" w14:textId="0491DF34" w:rsidR="00467225" w:rsidRPr="00467225" w:rsidRDefault="00467225">
          <w:pPr>
            <w:pStyle w:val="TOC1"/>
            <w:tabs>
              <w:tab w:val="right" w:leader="dot" w:pos="9019"/>
            </w:tabs>
            <w:rPr>
              <w:rFonts w:ascii="Arial" w:hAnsi="Arial" w:cs="Arial"/>
              <w:noProof/>
            </w:rPr>
          </w:pPr>
          <w:hyperlink w:anchor="_Toc227855503" w:history="1">
            <w:r w:rsidRPr="00467225">
              <w:rPr>
                <w:rStyle w:val="Hyperlink"/>
                <w:rFonts w:ascii="Arial" w:hAnsi="Arial" w:cs="Arial"/>
                <w:noProof/>
              </w:rPr>
              <w:t>6. Conclusion</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_Toc227855503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25</w:t>
            </w:r>
            <w:r w:rsidRPr="00467225">
              <w:rPr>
                <w:rFonts w:ascii="Arial" w:hAnsi="Arial" w:cs="Arial"/>
                <w:noProof/>
                <w:webHidden/>
              </w:rPr>
              <w:fldChar w:fldCharType="end"/>
            </w:r>
          </w:hyperlink>
        </w:p>
        <w:p w14:paraId="72DC64F4" w14:textId="5F133418" w:rsidR="00467225" w:rsidRPr="00467225" w:rsidRDefault="00467225">
          <w:pPr>
            <w:pStyle w:val="TOC1"/>
            <w:tabs>
              <w:tab w:val="right" w:leader="dot" w:pos="9019"/>
            </w:tabs>
            <w:rPr>
              <w:rFonts w:ascii="Arial" w:hAnsi="Arial" w:cs="Arial"/>
              <w:noProof/>
            </w:rPr>
          </w:pPr>
          <w:hyperlink w:anchor="_Toc227855504" w:history="1">
            <w:r w:rsidRPr="00467225">
              <w:rPr>
                <w:rStyle w:val="Hyperlink"/>
                <w:rFonts w:ascii="Arial" w:hAnsi="Arial" w:cs="Arial"/>
                <w:noProof/>
              </w:rPr>
              <w:t>7. References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_Toc227855504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27</w:t>
            </w:r>
            <w:r w:rsidRPr="00467225">
              <w:rPr>
                <w:rFonts w:ascii="Arial" w:hAnsi="Arial" w:cs="Arial"/>
                <w:noProof/>
                <w:webHidden/>
              </w:rPr>
              <w:fldChar w:fldCharType="end"/>
            </w:r>
          </w:hyperlink>
        </w:p>
        <w:p w14:paraId="0C19D796" w14:textId="49ACED5B" w:rsidR="00467225" w:rsidRPr="00467225" w:rsidRDefault="00467225">
          <w:pPr>
            <w:pStyle w:val="TOC1"/>
            <w:tabs>
              <w:tab w:val="right" w:leader="dot" w:pos="9019"/>
            </w:tabs>
            <w:rPr>
              <w:rFonts w:ascii="Arial" w:hAnsi="Arial" w:cs="Arial"/>
              <w:noProof/>
            </w:rPr>
          </w:pPr>
          <w:hyperlink w:anchor="_Toc227855505" w:history="1">
            <w:r w:rsidRPr="00467225">
              <w:rPr>
                <w:rStyle w:val="Hyperlink"/>
                <w:rFonts w:ascii="Arial" w:hAnsi="Arial" w:cs="Arial"/>
                <w:noProof/>
              </w:rPr>
              <w:t>8. Appendices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_Toc227855505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32</w:t>
            </w:r>
            <w:r w:rsidRPr="00467225">
              <w:rPr>
                <w:rFonts w:ascii="Arial" w:hAnsi="Arial" w:cs="Arial"/>
                <w:noProof/>
                <w:webHidden/>
              </w:rPr>
              <w:fldChar w:fldCharType="end"/>
            </w:r>
          </w:hyperlink>
        </w:p>
        <w:p w14:paraId="56703B2E" w14:textId="15FA08DB" w:rsidR="00467225" w:rsidRPr="00467225" w:rsidRDefault="00467225">
          <w:pPr>
            <w:pStyle w:val="TOC2"/>
            <w:tabs>
              <w:tab w:val="right" w:leader="dot" w:pos="9019"/>
            </w:tabs>
            <w:rPr>
              <w:rFonts w:ascii="Arial" w:hAnsi="Arial" w:cs="Arial"/>
              <w:noProof/>
            </w:rPr>
          </w:pPr>
          <w:hyperlink w:anchor="_Toc227855506" w:history="1">
            <w:r w:rsidRPr="00467225">
              <w:rPr>
                <w:rStyle w:val="Hyperlink"/>
                <w:rFonts w:ascii="Arial" w:hAnsi="Arial" w:cs="Arial"/>
                <w:noProof/>
              </w:rPr>
              <w:t>Appendix 1: Ratio Tables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_Toc227855506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32</w:t>
            </w:r>
            <w:r w:rsidRPr="00467225">
              <w:rPr>
                <w:rFonts w:ascii="Arial" w:hAnsi="Arial" w:cs="Arial"/>
                <w:noProof/>
                <w:webHidden/>
              </w:rPr>
              <w:fldChar w:fldCharType="end"/>
            </w:r>
          </w:hyperlink>
        </w:p>
        <w:p w14:paraId="2A9B3B90" w14:textId="0CA40C81" w:rsidR="00467225" w:rsidRPr="00467225" w:rsidRDefault="00467225">
          <w:pPr>
            <w:pStyle w:val="TOC2"/>
            <w:tabs>
              <w:tab w:val="right" w:leader="dot" w:pos="9019"/>
            </w:tabs>
            <w:rPr>
              <w:rFonts w:ascii="Arial" w:hAnsi="Arial" w:cs="Arial"/>
              <w:noProof/>
            </w:rPr>
          </w:pPr>
          <w:hyperlink w:anchor="_Toc227855507" w:history="1">
            <w:r w:rsidRPr="00467225">
              <w:rPr>
                <w:rStyle w:val="Hyperlink"/>
                <w:rFonts w:ascii="Arial" w:hAnsi="Arial" w:cs="Arial"/>
                <w:noProof/>
              </w:rPr>
              <w:t>Appendix 2: Ratio Graphs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_Toc227855507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38</w:t>
            </w:r>
            <w:r w:rsidRPr="00467225">
              <w:rPr>
                <w:rFonts w:ascii="Arial" w:hAnsi="Arial" w:cs="Arial"/>
                <w:noProof/>
                <w:webHidden/>
              </w:rPr>
              <w:fldChar w:fldCharType="end"/>
            </w:r>
          </w:hyperlink>
        </w:p>
        <w:p w14:paraId="2048D3B6" w14:textId="78AF3E59" w:rsidR="00467225" w:rsidRPr="00467225" w:rsidRDefault="00467225">
          <w:pPr>
            <w:pStyle w:val="TOC2"/>
            <w:tabs>
              <w:tab w:val="right" w:leader="dot" w:pos="9019"/>
            </w:tabs>
            <w:rPr>
              <w:rFonts w:ascii="Arial" w:hAnsi="Arial" w:cs="Arial"/>
              <w:noProof/>
            </w:rPr>
          </w:pPr>
          <w:hyperlink w:anchor="_Toc227855508" w:history="1">
            <w:r w:rsidRPr="00467225">
              <w:rPr>
                <w:rStyle w:val="Hyperlink"/>
                <w:rFonts w:ascii="Arial" w:hAnsi="Arial" w:cs="Arial"/>
                <w:noProof/>
              </w:rPr>
              <w:t>Appendix 3: CCC Table</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_Toc227855508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41</w:t>
            </w:r>
            <w:r w:rsidRPr="00467225">
              <w:rPr>
                <w:rFonts w:ascii="Arial" w:hAnsi="Arial" w:cs="Arial"/>
                <w:noProof/>
                <w:webHidden/>
              </w:rPr>
              <w:fldChar w:fldCharType="end"/>
            </w:r>
          </w:hyperlink>
        </w:p>
        <w:p w14:paraId="24EEC323" w14:textId="32EA1175" w:rsidR="00467225" w:rsidRPr="00467225" w:rsidRDefault="00467225">
          <w:pPr>
            <w:pStyle w:val="TOC2"/>
            <w:tabs>
              <w:tab w:val="right" w:leader="dot" w:pos="9019"/>
            </w:tabs>
            <w:rPr>
              <w:rFonts w:ascii="Arial" w:hAnsi="Arial" w:cs="Arial"/>
              <w:noProof/>
            </w:rPr>
          </w:pPr>
          <w:hyperlink w:anchor="_Toc227855509" w:history="1">
            <w:r w:rsidRPr="00467225">
              <w:rPr>
                <w:rStyle w:val="Hyperlink"/>
                <w:rFonts w:ascii="Arial" w:hAnsi="Arial" w:cs="Arial"/>
                <w:noProof/>
              </w:rPr>
              <w:t>Appendix 4: CCC Graph</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_Toc227855509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42</w:t>
            </w:r>
            <w:r w:rsidRPr="00467225">
              <w:rPr>
                <w:rFonts w:ascii="Arial" w:hAnsi="Arial" w:cs="Arial"/>
                <w:noProof/>
                <w:webHidden/>
              </w:rPr>
              <w:fldChar w:fldCharType="end"/>
            </w:r>
          </w:hyperlink>
        </w:p>
        <w:p w14:paraId="76C0DD45" w14:textId="6A72B4ED" w:rsidR="00467225" w:rsidRPr="00467225" w:rsidRDefault="00467225">
          <w:pPr>
            <w:pStyle w:val="TOC2"/>
            <w:tabs>
              <w:tab w:val="right" w:leader="dot" w:pos="9019"/>
            </w:tabs>
            <w:rPr>
              <w:rFonts w:ascii="Arial" w:hAnsi="Arial" w:cs="Arial"/>
              <w:noProof/>
            </w:rPr>
          </w:pPr>
          <w:hyperlink w:anchor="_Toc227855510" w:history="1">
            <w:r w:rsidRPr="00467225">
              <w:rPr>
                <w:rStyle w:val="Hyperlink"/>
                <w:rFonts w:ascii="Arial" w:hAnsi="Arial" w:cs="Arial"/>
                <w:noProof/>
              </w:rPr>
              <w:t>Appendix 5: Projects Table</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_Toc227855510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42</w:t>
            </w:r>
            <w:r w:rsidRPr="00467225">
              <w:rPr>
                <w:rFonts w:ascii="Arial" w:hAnsi="Arial" w:cs="Arial"/>
                <w:noProof/>
                <w:webHidden/>
              </w:rPr>
              <w:fldChar w:fldCharType="end"/>
            </w:r>
          </w:hyperlink>
        </w:p>
        <w:p w14:paraId="5FF58BD0" w14:textId="05141661" w:rsidR="00467225" w:rsidRPr="00467225" w:rsidRDefault="00467225">
          <w:pPr>
            <w:pStyle w:val="TOC2"/>
            <w:tabs>
              <w:tab w:val="right" w:leader="dot" w:pos="9019"/>
            </w:tabs>
            <w:rPr>
              <w:rFonts w:ascii="Arial" w:hAnsi="Arial" w:cs="Arial"/>
              <w:noProof/>
            </w:rPr>
          </w:pPr>
          <w:hyperlink w:anchor="_Toc227855511" w:history="1">
            <w:r w:rsidRPr="00467225">
              <w:rPr>
                <w:rStyle w:val="Hyperlink"/>
                <w:rFonts w:ascii="Arial" w:hAnsi="Arial" w:cs="Arial"/>
                <w:noProof/>
              </w:rPr>
              <w:t>Appendix 6: Projects Graphs</w:t>
            </w:r>
            <w:r w:rsidRPr="00467225">
              <w:rPr>
                <w:rFonts w:ascii="Arial" w:hAnsi="Arial" w:cs="Arial"/>
                <w:noProof/>
                <w:webHidden/>
              </w:rPr>
              <w:tab/>
            </w:r>
            <w:r w:rsidRPr="00467225">
              <w:rPr>
                <w:rFonts w:ascii="Arial" w:hAnsi="Arial" w:cs="Arial"/>
                <w:noProof/>
                <w:webHidden/>
              </w:rPr>
              <w:fldChar w:fldCharType="begin"/>
            </w:r>
            <w:r w:rsidRPr="00467225">
              <w:rPr>
                <w:rFonts w:ascii="Arial" w:hAnsi="Arial" w:cs="Arial"/>
                <w:noProof/>
                <w:webHidden/>
              </w:rPr>
              <w:instrText xml:space="preserve"> PAGEREF _Toc227855511 \h </w:instrText>
            </w:r>
            <w:r w:rsidRPr="00467225">
              <w:rPr>
                <w:rFonts w:ascii="Arial" w:hAnsi="Arial" w:cs="Arial"/>
                <w:noProof/>
                <w:webHidden/>
              </w:rPr>
            </w:r>
            <w:r w:rsidRPr="00467225">
              <w:rPr>
                <w:rFonts w:ascii="Arial" w:hAnsi="Arial" w:cs="Arial"/>
                <w:noProof/>
                <w:webHidden/>
              </w:rPr>
              <w:fldChar w:fldCharType="separate"/>
            </w:r>
            <w:r w:rsidR="00DD0DB3">
              <w:rPr>
                <w:rFonts w:ascii="Arial" w:hAnsi="Arial" w:cs="Arial"/>
                <w:noProof/>
                <w:webHidden/>
              </w:rPr>
              <w:t>44</w:t>
            </w:r>
            <w:r w:rsidRPr="00467225">
              <w:rPr>
                <w:rFonts w:ascii="Arial" w:hAnsi="Arial" w:cs="Arial"/>
                <w:noProof/>
                <w:webHidden/>
              </w:rPr>
              <w:fldChar w:fldCharType="end"/>
            </w:r>
          </w:hyperlink>
        </w:p>
        <w:p w14:paraId="6D5B929A" w14:textId="6A018C31" w:rsidR="00E0377B" w:rsidRDefault="00977F3B">
          <w:pPr>
            <w:widowControl w:val="0"/>
            <w:tabs>
              <w:tab w:val="right" w:leader="dot" w:pos="12000"/>
            </w:tabs>
            <w:spacing w:before="60" w:after="0" w:line="240" w:lineRule="auto"/>
            <w:ind w:left="360"/>
            <w:jc w:val="left"/>
            <w:rPr>
              <w:rFonts w:ascii="Arial" w:eastAsia="Arial" w:hAnsi="Arial" w:cs="Arial"/>
              <w:color w:val="000000"/>
              <w:sz w:val="22"/>
              <w:szCs w:val="22"/>
            </w:rPr>
          </w:pPr>
          <w:r w:rsidRPr="00467225">
            <w:rPr>
              <w:rFonts w:ascii="Arial" w:hAnsi="Arial" w:cs="Arial"/>
            </w:rPr>
            <w:fldChar w:fldCharType="end"/>
          </w:r>
        </w:p>
      </w:sdtContent>
    </w:sdt>
    <w:p w14:paraId="6D14214B" w14:textId="77777777" w:rsidR="00E0377B" w:rsidRDefault="00977F3B">
      <w:pPr>
        <w:rPr>
          <w:rFonts w:ascii="Arial" w:eastAsia="Arial" w:hAnsi="Arial" w:cs="Arial"/>
        </w:rPr>
      </w:pPr>
      <w:r>
        <w:br w:type="page"/>
      </w:r>
    </w:p>
    <w:p w14:paraId="384E241F" w14:textId="77777777" w:rsidR="00E0377B" w:rsidRDefault="00977F3B">
      <w:pPr>
        <w:pStyle w:val="Heading1"/>
      </w:pPr>
      <w:bookmarkStart w:id="0" w:name="_Toc227855482"/>
      <w:r>
        <w:lastRenderedPageBreak/>
        <w:t>1. Introduction</w:t>
      </w:r>
      <w:bookmarkEnd w:id="0"/>
      <w:r>
        <w:t xml:space="preserve"> </w:t>
      </w:r>
    </w:p>
    <w:p w14:paraId="28CC8611" w14:textId="77777777" w:rsidR="00E0377B" w:rsidRDefault="00977F3B">
      <w:pPr>
        <w:rPr>
          <w:rFonts w:ascii="Arial" w:eastAsia="Arial" w:hAnsi="Arial" w:cs="Arial"/>
        </w:rPr>
      </w:pPr>
      <w:r>
        <w:rPr>
          <w:rFonts w:ascii="Arial" w:eastAsia="Arial" w:hAnsi="Arial" w:cs="Arial"/>
        </w:rPr>
        <w:t xml:space="preserve">Strategic financial management and financial performance are important to remain competitive in the fast-moving electric vehicle (EV) sector. With world automotive companies moving towards electrification, efficient financial decision-making is necessary to make them profitable, liquid and grow in the long-term. This report is a critical assessment of Toyota financial performance based on the last five years and the strengths, weaknesses, and new risks that are emerging. It also evaluates the efficiency of </w:t>
      </w:r>
      <w:r>
        <w:rPr>
          <w:rFonts w:ascii="Arial" w:eastAsia="Arial" w:hAnsi="Arial" w:cs="Arial"/>
        </w:rPr>
        <w:t xml:space="preserve">working capital, suggests a strategic financial restructuring plan, and </w:t>
      </w:r>
      <w:proofErr w:type="spellStart"/>
      <w:r>
        <w:rPr>
          <w:rFonts w:ascii="Arial" w:eastAsia="Arial" w:hAnsi="Arial" w:cs="Arial"/>
        </w:rPr>
        <w:t>analyzes</w:t>
      </w:r>
      <w:proofErr w:type="spellEnd"/>
      <w:r>
        <w:rPr>
          <w:rFonts w:ascii="Arial" w:eastAsia="Arial" w:hAnsi="Arial" w:cs="Arial"/>
        </w:rPr>
        <w:t xml:space="preserve"> the investment opportunities based on capital budgeting techniques. It contains four key sections in the report, recommendations and a conclusion that will assist in making informed financial decisions.</w:t>
      </w:r>
    </w:p>
    <w:p w14:paraId="493FF49F" w14:textId="77777777" w:rsidR="00E0377B" w:rsidRDefault="00977F3B">
      <w:pPr>
        <w:pStyle w:val="Heading1"/>
      </w:pPr>
      <w:bookmarkStart w:id="1" w:name="_Toc227855483"/>
      <w:r>
        <w:t>2. “Financial Health Check” of Toyota</w:t>
      </w:r>
      <w:bookmarkEnd w:id="1"/>
    </w:p>
    <w:p w14:paraId="35984550" w14:textId="77777777" w:rsidR="00E0377B" w:rsidRDefault="00977F3B">
      <w:pPr>
        <w:pStyle w:val="Heading2"/>
      </w:pPr>
      <w:bookmarkStart w:id="2" w:name="_Toc227855484"/>
      <w:r>
        <w:t>2.1 “Statement of Financial Position” of Toyota from 2020 to 2024</w:t>
      </w:r>
      <w:bookmarkEnd w:id="2"/>
    </w:p>
    <w:p w14:paraId="1D692871" w14:textId="77777777" w:rsidR="00DD0DB3" w:rsidRPr="00DD0DB3" w:rsidRDefault="00DD0DB3" w:rsidP="00DD0DB3"/>
    <w:p w14:paraId="2DA7E7D4" w14:textId="77777777" w:rsidR="00E0377B" w:rsidRDefault="00977F3B">
      <w:pPr>
        <w:jc w:val="center"/>
        <w:rPr>
          <w:rFonts w:ascii="Arial" w:eastAsia="Arial" w:hAnsi="Arial" w:cs="Arial"/>
        </w:rPr>
      </w:pPr>
      <w:r>
        <w:rPr>
          <w:rFonts w:ascii="Arial" w:eastAsia="Arial" w:hAnsi="Arial" w:cs="Arial"/>
          <w:noProof/>
        </w:rPr>
        <w:lastRenderedPageBreak/>
        <w:drawing>
          <wp:inline distT="114300" distB="114300" distL="114300" distR="114300" wp14:anchorId="15A4D62C" wp14:editId="6FB91D3D">
            <wp:extent cx="2547938" cy="2867025"/>
            <wp:effectExtent l="0" t="0" r="0" b="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2547938" cy="2867025"/>
                    </a:xfrm>
                    <a:prstGeom prst="rect">
                      <a:avLst/>
                    </a:prstGeom>
                    <a:ln/>
                  </pic:spPr>
                </pic:pic>
              </a:graphicData>
            </a:graphic>
          </wp:inline>
        </w:drawing>
      </w:r>
      <w:r>
        <w:rPr>
          <w:rFonts w:ascii="Arial" w:eastAsia="Arial" w:hAnsi="Arial" w:cs="Arial"/>
          <w:noProof/>
        </w:rPr>
        <w:drawing>
          <wp:inline distT="114300" distB="114300" distL="114300" distR="114300" wp14:anchorId="2BA3A366" wp14:editId="3FC04BCF">
            <wp:extent cx="2586038" cy="2914650"/>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9"/>
                    <a:srcRect/>
                    <a:stretch>
                      <a:fillRect/>
                    </a:stretch>
                  </pic:blipFill>
                  <pic:spPr>
                    <a:xfrm>
                      <a:off x="0" y="0"/>
                      <a:ext cx="2586038" cy="2914650"/>
                    </a:xfrm>
                    <a:prstGeom prst="rect">
                      <a:avLst/>
                    </a:prstGeom>
                    <a:ln/>
                  </pic:spPr>
                </pic:pic>
              </a:graphicData>
            </a:graphic>
          </wp:inline>
        </w:drawing>
      </w:r>
      <w:r>
        <w:rPr>
          <w:rFonts w:ascii="Arial" w:eastAsia="Arial" w:hAnsi="Arial" w:cs="Arial"/>
          <w:noProof/>
        </w:rPr>
        <w:drawing>
          <wp:inline distT="114300" distB="114300" distL="114300" distR="114300" wp14:anchorId="4F29102D" wp14:editId="755E6F3A">
            <wp:extent cx="2570325" cy="2933700"/>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2570325" cy="2933700"/>
                    </a:xfrm>
                    <a:prstGeom prst="rect">
                      <a:avLst/>
                    </a:prstGeom>
                    <a:ln/>
                  </pic:spPr>
                </pic:pic>
              </a:graphicData>
            </a:graphic>
          </wp:inline>
        </w:drawing>
      </w:r>
      <w:r>
        <w:rPr>
          <w:rFonts w:ascii="Arial" w:eastAsia="Arial" w:hAnsi="Arial" w:cs="Arial"/>
          <w:noProof/>
        </w:rPr>
        <w:drawing>
          <wp:inline distT="114300" distB="114300" distL="114300" distR="114300" wp14:anchorId="42DDFEF4" wp14:editId="598AAC48">
            <wp:extent cx="2582700" cy="29051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582700" cy="2905125"/>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38003799" wp14:editId="7B61C291">
            <wp:extent cx="2657475" cy="3443288"/>
            <wp:effectExtent l="0" t="0" r="0" b="0"/>
            <wp:docPr id="1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2657475" cy="3443288"/>
                    </a:xfrm>
                    <a:prstGeom prst="rect">
                      <a:avLst/>
                    </a:prstGeom>
                    <a:ln/>
                  </pic:spPr>
                </pic:pic>
              </a:graphicData>
            </a:graphic>
          </wp:inline>
        </w:drawing>
      </w:r>
      <w:r>
        <w:rPr>
          <w:rFonts w:ascii="Arial" w:eastAsia="Arial" w:hAnsi="Arial" w:cs="Arial"/>
          <w:noProof/>
        </w:rPr>
        <w:drawing>
          <wp:inline distT="114300" distB="114300" distL="114300" distR="114300" wp14:anchorId="70723AA5" wp14:editId="6940C373">
            <wp:extent cx="2617950" cy="3457575"/>
            <wp:effectExtent l="0" t="0" r="0" b="0"/>
            <wp:docPr id="2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2617950" cy="3457575"/>
                    </a:xfrm>
                    <a:prstGeom prst="rect">
                      <a:avLst/>
                    </a:prstGeom>
                    <a:ln/>
                  </pic:spPr>
                </pic:pic>
              </a:graphicData>
            </a:graphic>
          </wp:inline>
        </w:drawing>
      </w:r>
    </w:p>
    <w:p w14:paraId="1D757AB9" w14:textId="77777777" w:rsidR="00E0377B" w:rsidRDefault="00977F3B">
      <w:pPr>
        <w:jc w:val="center"/>
        <w:rPr>
          <w:rFonts w:ascii="Arial" w:eastAsia="Arial" w:hAnsi="Arial" w:cs="Arial"/>
          <w:b/>
          <w:bCs/>
        </w:rPr>
      </w:pPr>
      <w:r>
        <w:rPr>
          <w:rFonts w:ascii="Arial" w:eastAsia="Arial" w:hAnsi="Arial" w:cs="Arial"/>
          <w:b/>
          <w:bCs/>
        </w:rPr>
        <w:t>Figure 2.1: Consolidated “Balance Sheets” for 5 years</w:t>
      </w:r>
    </w:p>
    <w:p w14:paraId="3EF1C25B" w14:textId="77777777" w:rsidR="00E0377B" w:rsidRDefault="00977F3B">
      <w:pPr>
        <w:jc w:val="center"/>
        <w:rPr>
          <w:rFonts w:ascii="Arial" w:eastAsia="Arial" w:hAnsi="Arial" w:cs="Arial"/>
        </w:rPr>
      </w:pPr>
      <w:r>
        <w:rPr>
          <w:rFonts w:ascii="Arial" w:eastAsia="Arial" w:hAnsi="Arial" w:cs="Arial"/>
        </w:rPr>
        <w:t>(Source: Toyota, 2020; Toyota, 2022; Toyota, 2024)</w:t>
      </w:r>
    </w:p>
    <w:p w14:paraId="5BB9EAE8" w14:textId="77777777" w:rsidR="00E0377B" w:rsidRDefault="00977F3B">
      <w:pPr>
        <w:rPr>
          <w:rFonts w:ascii="Arial" w:eastAsia="Arial" w:hAnsi="Arial" w:cs="Arial"/>
        </w:rPr>
      </w:pPr>
      <w:r>
        <w:rPr>
          <w:rFonts w:ascii="Arial" w:eastAsia="Arial" w:hAnsi="Arial" w:cs="Arial"/>
        </w:rPr>
        <w:t>The financial position of Toyota depicts a good growth in 2021-24. Total assets increased significantly from ¥62,267,140 million in 2021 to ¥90,114,296 million in 2024, driven by rising cash reserves (¥5,100,857m to ¥9,412,060m) and financial services receivables (¥6,756,189m to ¥11,057,269m). Current assets improved to ¥34,714,279m, indicating enhanced liquidity. However, total liabilities also rose from ¥37,978,811m to ¥54,874,958m, largely due to higher debt levels, with long-term debt reaching ¥21,155,4</w:t>
      </w:r>
      <w:r>
        <w:rPr>
          <w:rFonts w:ascii="Arial" w:eastAsia="Arial" w:hAnsi="Arial" w:cs="Arial"/>
        </w:rPr>
        <w:t>96m. Shareholders’ equity strengthened from ¥24,288,329m to ¥35,239,338m, reflecting improved retained earnings (Toyota, 2024). The growth is an expansion and financing by both internal profits and external borrowing.</w:t>
      </w:r>
    </w:p>
    <w:p w14:paraId="0675BBEC" w14:textId="77777777" w:rsidR="00E0377B" w:rsidRDefault="00977F3B">
      <w:pPr>
        <w:pStyle w:val="Heading2"/>
      </w:pPr>
      <w:bookmarkStart w:id="3" w:name="_Toc227855485"/>
      <w:r>
        <w:lastRenderedPageBreak/>
        <w:t>2.2 “Statement of Income of Toyota” from 2020 to 2024</w:t>
      </w:r>
      <w:bookmarkEnd w:id="3"/>
    </w:p>
    <w:p w14:paraId="6DB706F4" w14:textId="77777777" w:rsidR="00E0377B" w:rsidRDefault="00977F3B">
      <w:pPr>
        <w:jc w:val="center"/>
        <w:rPr>
          <w:rFonts w:ascii="Arial" w:eastAsia="Arial" w:hAnsi="Arial" w:cs="Arial"/>
          <w:b/>
          <w:bCs/>
        </w:rPr>
      </w:pPr>
      <w:r>
        <w:rPr>
          <w:rFonts w:ascii="Arial" w:eastAsia="Arial" w:hAnsi="Arial" w:cs="Arial"/>
          <w:b/>
          <w:bCs/>
          <w:noProof/>
        </w:rPr>
        <w:drawing>
          <wp:inline distT="114300" distB="114300" distL="114300" distR="114300" wp14:anchorId="74970830" wp14:editId="61220B7A">
            <wp:extent cx="2695575" cy="3242286"/>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695575" cy="3242286"/>
                    </a:xfrm>
                    <a:prstGeom prst="rect">
                      <a:avLst/>
                    </a:prstGeom>
                    <a:ln/>
                  </pic:spPr>
                </pic:pic>
              </a:graphicData>
            </a:graphic>
          </wp:inline>
        </w:drawing>
      </w:r>
      <w:r>
        <w:rPr>
          <w:rFonts w:ascii="Arial" w:eastAsia="Arial" w:hAnsi="Arial" w:cs="Arial"/>
          <w:b/>
          <w:bCs/>
          <w:noProof/>
        </w:rPr>
        <w:drawing>
          <wp:inline distT="114300" distB="114300" distL="114300" distR="114300" wp14:anchorId="721F32D7" wp14:editId="31EE550C">
            <wp:extent cx="2832263" cy="3381375"/>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2832263" cy="3381375"/>
                    </a:xfrm>
                    <a:prstGeom prst="rect">
                      <a:avLst/>
                    </a:prstGeom>
                    <a:ln/>
                  </pic:spPr>
                </pic:pic>
              </a:graphicData>
            </a:graphic>
          </wp:inline>
        </w:drawing>
      </w:r>
      <w:r>
        <w:rPr>
          <w:rFonts w:ascii="Arial" w:eastAsia="Arial" w:hAnsi="Arial" w:cs="Arial"/>
          <w:b/>
          <w:bCs/>
          <w:noProof/>
        </w:rPr>
        <w:drawing>
          <wp:inline distT="114300" distB="114300" distL="114300" distR="114300" wp14:anchorId="1F41796A" wp14:editId="2DDB98FF">
            <wp:extent cx="5332575" cy="3609975"/>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332575" cy="3609975"/>
                    </a:xfrm>
                    <a:prstGeom prst="rect">
                      <a:avLst/>
                    </a:prstGeom>
                    <a:ln/>
                  </pic:spPr>
                </pic:pic>
              </a:graphicData>
            </a:graphic>
          </wp:inline>
        </w:drawing>
      </w:r>
    </w:p>
    <w:p w14:paraId="21929DA7" w14:textId="77777777" w:rsidR="00E0377B" w:rsidRDefault="00977F3B">
      <w:pPr>
        <w:jc w:val="center"/>
        <w:rPr>
          <w:rFonts w:ascii="Arial" w:eastAsia="Arial" w:hAnsi="Arial" w:cs="Arial"/>
          <w:b/>
          <w:bCs/>
        </w:rPr>
      </w:pPr>
      <w:r>
        <w:rPr>
          <w:rFonts w:ascii="Arial" w:eastAsia="Arial" w:hAnsi="Arial" w:cs="Arial"/>
          <w:b/>
          <w:bCs/>
        </w:rPr>
        <w:t>Figure 2.2: Consolidated “Income Statement” for 5 years</w:t>
      </w:r>
    </w:p>
    <w:p w14:paraId="10B6CF6F" w14:textId="77777777" w:rsidR="00E0377B" w:rsidRDefault="00977F3B">
      <w:pPr>
        <w:jc w:val="center"/>
        <w:rPr>
          <w:rFonts w:ascii="Arial" w:eastAsia="Arial" w:hAnsi="Arial" w:cs="Arial"/>
        </w:rPr>
      </w:pPr>
      <w:r>
        <w:rPr>
          <w:rFonts w:ascii="Arial" w:eastAsia="Arial" w:hAnsi="Arial" w:cs="Arial"/>
        </w:rPr>
        <w:t>(Source: Toyota, 2020; Toyota, 2022; Toyota, 2024)</w:t>
      </w:r>
    </w:p>
    <w:p w14:paraId="50409EE7" w14:textId="77777777" w:rsidR="00E0377B" w:rsidRDefault="00977F3B">
      <w:pPr>
        <w:rPr>
          <w:rFonts w:ascii="Arial" w:eastAsia="Arial" w:hAnsi="Arial" w:cs="Arial"/>
        </w:rPr>
      </w:pPr>
      <w:r>
        <w:rPr>
          <w:rFonts w:ascii="Arial" w:eastAsia="Arial" w:hAnsi="Arial" w:cs="Arial"/>
        </w:rPr>
        <w:lastRenderedPageBreak/>
        <w:t>Toyota is financially performing well as there is growth in 2020-2024. Total revenue increased from ¥29,929,992 million in 2020 to ¥45,095,325 million in 2024, driven by higher vehicle sales and expansion in financial services. Operating income rose significantly from ¥2,442,869m to ¥5,352,934m, reflecting improved cost efficiency and pricing strategies. Net income more than doubled from ¥2,142,329m in 2020 to ¥5,071,421m in 2024, supported by higher margins and foreign exchange gains. Earnings per share al</w:t>
      </w:r>
      <w:r>
        <w:rPr>
          <w:rFonts w:ascii="Arial" w:eastAsia="Arial" w:hAnsi="Arial" w:cs="Arial"/>
        </w:rPr>
        <w:t>so increased from ¥206.18 to ¥365.94 (Toyota, 2024). On the whole, the increase indicates a high level of profitability, efficiency of operations, and post-disruption recovery following the pandemic.</w:t>
      </w:r>
    </w:p>
    <w:p w14:paraId="5A1CEBFE" w14:textId="77777777" w:rsidR="00E0377B" w:rsidRDefault="00977F3B">
      <w:pPr>
        <w:pStyle w:val="Heading2"/>
      </w:pPr>
      <w:bookmarkStart w:id="4" w:name="_Toc227855486"/>
      <w:r>
        <w:lastRenderedPageBreak/>
        <w:t>2.3 “Statement of Cash Flow” of Toyota from 2020 to 2024</w:t>
      </w:r>
      <w:bookmarkEnd w:id="4"/>
    </w:p>
    <w:p w14:paraId="22965494" w14:textId="77777777" w:rsidR="00E0377B" w:rsidRDefault="00977F3B">
      <w:pPr>
        <w:jc w:val="center"/>
        <w:rPr>
          <w:rFonts w:ascii="Arial" w:eastAsia="Arial" w:hAnsi="Arial" w:cs="Arial"/>
          <w:b/>
          <w:bCs/>
        </w:rPr>
      </w:pPr>
      <w:r>
        <w:rPr>
          <w:rFonts w:ascii="Arial" w:eastAsia="Arial" w:hAnsi="Arial" w:cs="Arial"/>
          <w:b/>
          <w:bCs/>
          <w:noProof/>
        </w:rPr>
        <w:lastRenderedPageBreak/>
        <w:drawing>
          <wp:inline distT="114300" distB="114300" distL="114300" distR="114300" wp14:anchorId="5C893F09" wp14:editId="1844124A">
            <wp:extent cx="4316250" cy="3762375"/>
            <wp:effectExtent l="0" t="0" r="0" b="0"/>
            <wp:docPr id="2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7"/>
                    <a:srcRect/>
                    <a:stretch>
                      <a:fillRect/>
                    </a:stretch>
                  </pic:blipFill>
                  <pic:spPr>
                    <a:xfrm>
                      <a:off x="0" y="0"/>
                      <a:ext cx="4316250" cy="3762375"/>
                    </a:xfrm>
                    <a:prstGeom prst="rect">
                      <a:avLst/>
                    </a:prstGeom>
                    <a:ln/>
                  </pic:spPr>
                </pic:pic>
              </a:graphicData>
            </a:graphic>
          </wp:inline>
        </w:drawing>
      </w:r>
      <w:r>
        <w:rPr>
          <w:rFonts w:ascii="Arial" w:eastAsia="Arial" w:hAnsi="Arial" w:cs="Arial"/>
          <w:b/>
          <w:bCs/>
          <w:noProof/>
        </w:rPr>
        <w:drawing>
          <wp:inline distT="114300" distB="114300" distL="114300" distR="114300" wp14:anchorId="067E6871" wp14:editId="3A797C6F">
            <wp:extent cx="4292438" cy="3790950"/>
            <wp:effectExtent l="0" t="0" r="0" b="0"/>
            <wp:docPr id="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4292438" cy="3790950"/>
                    </a:xfrm>
                    <a:prstGeom prst="rect">
                      <a:avLst/>
                    </a:prstGeom>
                    <a:ln/>
                  </pic:spPr>
                </pic:pic>
              </a:graphicData>
            </a:graphic>
          </wp:inline>
        </w:drawing>
      </w:r>
      <w:r>
        <w:rPr>
          <w:rFonts w:ascii="Arial" w:eastAsia="Arial" w:hAnsi="Arial" w:cs="Arial"/>
          <w:b/>
          <w:bCs/>
          <w:noProof/>
        </w:rPr>
        <w:lastRenderedPageBreak/>
        <w:drawing>
          <wp:inline distT="114300" distB="114300" distL="114300" distR="114300" wp14:anchorId="61A78FCE" wp14:editId="7444B7BC">
            <wp:extent cx="4573425" cy="3400425"/>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573425" cy="3400425"/>
                    </a:xfrm>
                    <a:prstGeom prst="rect">
                      <a:avLst/>
                    </a:prstGeom>
                    <a:ln/>
                  </pic:spPr>
                </pic:pic>
              </a:graphicData>
            </a:graphic>
          </wp:inline>
        </w:drawing>
      </w:r>
    </w:p>
    <w:p w14:paraId="7C377B6B" w14:textId="77777777" w:rsidR="00E0377B" w:rsidRDefault="00977F3B">
      <w:pPr>
        <w:jc w:val="center"/>
        <w:rPr>
          <w:rFonts w:ascii="Arial" w:eastAsia="Arial" w:hAnsi="Arial" w:cs="Arial"/>
          <w:b/>
          <w:bCs/>
        </w:rPr>
      </w:pPr>
      <w:r>
        <w:rPr>
          <w:rFonts w:ascii="Arial" w:eastAsia="Arial" w:hAnsi="Arial" w:cs="Arial"/>
          <w:b/>
          <w:bCs/>
        </w:rPr>
        <w:t>Figure 2.3: Consolidated “Cash Flow Statement” for 5 years</w:t>
      </w:r>
    </w:p>
    <w:p w14:paraId="7786A6E9" w14:textId="77777777" w:rsidR="00E0377B" w:rsidRDefault="00977F3B">
      <w:pPr>
        <w:jc w:val="center"/>
        <w:rPr>
          <w:rFonts w:ascii="Arial" w:eastAsia="Arial" w:hAnsi="Arial" w:cs="Arial"/>
        </w:rPr>
      </w:pPr>
      <w:r>
        <w:rPr>
          <w:rFonts w:ascii="Arial" w:eastAsia="Arial" w:hAnsi="Arial" w:cs="Arial"/>
        </w:rPr>
        <w:t>(Source: Toyota, 2020; Toyota, 2022; Toyota, 2024)</w:t>
      </w:r>
    </w:p>
    <w:p w14:paraId="03BE4058" w14:textId="77777777" w:rsidR="00E0377B" w:rsidRDefault="00977F3B">
      <w:pPr>
        <w:rPr>
          <w:rFonts w:ascii="Arial" w:eastAsia="Arial" w:hAnsi="Arial" w:cs="Arial"/>
        </w:rPr>
      </w:pPr>
      <w:r>
        <w:rPr>
          <w:rFonts w:ascii="Arial" w:eastAsia="Arial" w:hAnsi="Arial" w:cs="Arial"/>
        </w:rPr>
        <w:t xml:space="preserve">The 2020-2024 cash flow performance of Toyota was much better than that of 2020, which shows greater financial stability. Net cash from operating activities increased from ¥3,590,643 million in 2020 to ¥4,206,373 million in 2024, driven by higher net income (¥2,142,329m to ¥5,071,421m). However, investing activities showed consistent outflows, worsening from </w:t>
      </w:r>
      <w:proofErr w:type="gramStart"/>
      <w:r>
        <w:rPr>
          <w:rFonts w:ascii="Arial" w:eastAsia="Arial" w:hAnsi="Arial" w:cs="Arial"/>
        </w:rPr>
        <w:t>¥(1,589,890)m</w:t>
      </w:r>
      <w:proofErr w:type="gramEnd"/>
      <w:r>
        <w:rPr>
          <w:rFonts w:ascii="Arial" w:eastAsia="Arial" w:hAnsi="Arial" w:cs="Arial"/>
        </w:rPr>
        <w:t xml:space="preserve"> in 2023 to </w:t>
      </w:r>
      <w:proofErr w:type="gramStart"/>
      <w:r>
        <w:rPr>
          <w:rFonts w:ascii="Arial" w:eastAsia="Arial" w:hAnsi="Arial" w:cs="Arial"/>
        </w:rPr>
        <w:t>¥(4,998,751)m</w:t>
      </w:r>
      <w:proofErr w:type="gramEnd"/>
      <w:r>
        <w:rPr>
          <w:rFonts w:ascii="Arial" w:eastAsia="Arial" w:hAnsi="Arial" w:cs="Arial"/>
        </w:rPr>
        <w:t xml:space="preserve"> in 2024 due to heavy investments in equipment and financial assets. Financing cash flow turned positive to ¥2,497,558m in 2024, reflecting increased borrowing (Toyota, 2024). Cash and cash equivalents rose from ¥4,412,190m in 2020 to ¥9,412,060m in 2024, demonstrating strong liquidity growth supported by operations and financing.</w:t>
      </w:r>
    </w:p>
    <w:p w14:paraId="34B721A6" w14:textId="77777777" w:rsidR="00E0377B" w:rsidRDefault="00977F3B">
      <w:pPr>
        <w:pStyle w:val="Heading2"/>
      </w:pPr>
      <w:bookmarkStart w:id="5" w:name="_Toc227855487"/>
      <w:r>
        <w:t>2.4 Ratios Analysis of Toyota</w:t>
      </w:r>
      <w:bookmarkEnd w:id="5"/>
    </w:p>
    <w:p w14:paraId="7092A130" w14:textId="77777777" w:rsidR="00E0377B" w:rsidRDefault="00977F3B">
      <w:pPr>
        <w:rPr>
          <w:rFonts w:ascii="Arial" w:eastAsia="Arial" w:hAnsi="Arial" w:cs="Arial"/>
          <w:b/>
          <w:bCs/>
          <w:i/>
          <w:iCs/>
        </w:rPr>
      </w:pPr>
      <w:r>
        <w:rPr>
          <w:rFonts w:ascii="Arial" w:eastAsia="Arial" w:hAnsi="Arial" w:cs="Arial"/>
          <w:b/>
          <w:bCs/>
          <w:i/>
          <w:iCs/>
        </w:rPr>
        <w:t>“Profitability”:</w:t>
      </w:r>
    </w:p>
    <w:p w14:paraId="443E9E01" w14:textId="77777777" w:rsidR="00E0377B" w:rsidRDefault="00977F3B">
      <w:pPr>
        <w:rPr>
          <w:rFonts w:ascii="Arial" w:eastAsia="Arial" w:hAnsi="Arial" w:cs="Arial"/>
          <w:b/>
          <w:bCs/>
          <w:i/>
          <w:iCs/>
        </w:rPr>
      </w:pPr>
      <w:r>
        <w:rPr>
          <w:rFonts w:ascii="Arial" w:eastAsia="Arial" w:hAnsi="Arial" w:cs="Arial"/>
        </w:rPr>
        <w:t xml:space="preserve">“Profitability </w:t>
      </w:r>
      <w:proofErr w:type="spellStart"/>
      <w:proofErr w:type="gramStart"/>
      <w:r>
        <w:rPr>
          <w:rFonts w:ascii="Arial" w:eastAsia="Arial" w:hAnsi="Arial" w:cs="Arial"/>
        </w:rPr>
        <w:t>ratio”s</w:t>
      </w:r>
      <w:proofErr w:type="spellEnd"/>
      <w:proofErr w:type="gramEnd"/>
      <w:r>
        <w:rPr>
          <w:rFonts w:ascii="Arial" w:eastAsia="Arial" w:hAnsi="Arial" w:cs="Arial"/>
        </w:rPr>
        <w:t xml:space="preserve"> </w:t>
      </w:r>
      <w:proofErr w:type="gramStart"/>
      <w:r>
        <w:rPr>
          <w:rFonts w:ascii="Arial" w:eastAsia="Arial" w:hAnsi="Arial" w:cs="Arial"/>
        </w:rPr>
        <w:t>indicate</w:t>
      </w:r>
      <w:proofErr w:type="gramEnd"/>
      <w:r>
        <w:rPr>
          <w:rFonts w:ascii="Arial" w:eastAsia="Arial" w:hAnsi="Arial" w:cs="Arial"/>
        </w:rPr>
        <w:t xml:space="preserve"> the capacity of a firm to produce earnings with regard to sales, assets, or capital utilised. They show operational efficiency, pricing power and cost control. The high profitability is a measure of good financial performance and </w:t>
      </w:r>
      <w:r>
        <w:rPr>
          <w:rFonts w:ascii="Arial" w:eastAsia="Arial" w:hAnsi="Arial" w:cs="Arial"/>
        </w:rPr>
        <w:lastRenderedPageBreak/>
        <w:t>sustainability, and it assists the investors in evaluating the value creation and the effectiveness of the management (</w:t>
      </w:r>
      <w:proofErr w:type="spellStart"/>
      <w:r>
        <w:rPr>
          <w:rFonts w:ascii="Arial" w:eastAsia="Arial" w:hAnsi="Arial" w:cs="Arial"/>
        </w:rPr>
        <w:t>Arkaan</w:t>
      </w:r>
      <w:proofErr w:type="spellEnd"/>
      <w:r>
        <w:rPr>
          <w:rFonts w:ascii="Arial" w:eastAsia="Arial" w:hAnsi="Arial" w:cs="Arial"/>
        </w:rPr>
        <w:t xml:space="preserve"> and </w:t>
      </w:r>
      <w:proofErr w:type="spellStart"/>
      <w:r>
        <w:rPr>
          <w:rFonts w:ascii="Arial" w:eastAsia="Arial" w:hAnsi="Arial" w:cs="Arial"/>
        </w:rPr>
        <w:t>Budianto</w:t>
      </w:r>
      <w:proofErr w:type="spellEnd"/>
      <w:r>
        <w:rPr>
          <w:rFonts w:ascii="Arial" w:eastAsia="Arial" w:hAnsi="Arial" w:cs="Arial"/>
        </w:rPr>
        <w:t>, 2024). The profitability of Toyota increased significantly as ROCE grew to 11.43% (2024) and then 7.29% (2023), and the opera</w:t>
      </w:r>
      <w:r>
        <w:rPr>
          <w:rFonts w:ascii="Arial" w:eastAsia="Arial" w:hAnsi="Arial" w:cs="Arial"/>
        </w:rPr>
        <w:t xml:space="preserve">ting margin rose to 11.87%. Net profit margin was 25.49%, indicating good control of costs and increased revenues. The post-pandemic recovery and favourable pricing strategies will drive improvement because of higher sales and operational efficiency. </w:t>
      </w:r>
    </w:p>
    <w:p w14:paraId="31407809" w14:textId="77777777" w:rsidR="00E0377B" w:rsidRDefault="00977F3B">
      <w:pPr>
        <w:rPr>
          <w:rFonts w:ascii="Arial" w:eastAsia="Arial" w:hAnsi="Arial" w:cs="Arial"/>
          <w:b/>
          <w:bCs/>
          <w:i/>
          <w:iCs/>
        </w:rPr>
      </w:pPr>
      <w:r>
        <w:rPr>
          <w:rFonts w:ascii="Arial" w:eastAsia="Arial" w:hAnsi="Arial" w:cs="Arial"/>
          <w:b/>
          <w:bCs/>
          <w:i/>
          <w:iCs/>
        </w:rPr>
        <w:t>“Liquidity”:</w:t>
      </w:r>
    </w:p>
    <w:p w14:paraId="1149CBC9" w14:textId="77777777" w:rsidR="00E0377B" w:rsidRDefault="00977F3B">
      <w:pPr>
        <w:rPr>
          <w:rFonts w:ascii="Arial" w:eastAsia="Arial" w:hAnsi="Arial" w:cs="Arial"/>
        </w:rPr>
      </w:pPr>
      <w:r>
        <w:rPr>
          <w:rFonts w:ascii="Arial" w:eastAsia="Arial" w:hAnsi="Arial" w:cs="Arial"/>
        </w:rPr>
        <w:t>“Liquidity ratios” determine the capacity of a company to meet short-term liabilities with its current assets. They capture the exposure to risks and financial stability. High liquidity leads to the efficient running of operations and a low risk of insolvency, so these ratios are important to creditors and investors assessing short-term financial performance (Dönmez and Özkan, 2022). The liquidity of Toyota was also gradually improving, and the current ratio has grown to 1.04 (2020) to 1.19 (2024). The curr</w:t>
      </w:r>
      <w:r>
        <w:rPr>
          <w:rFonts w:ascii="Arial" w:eastAsia="Arial" w:hAnsi="Arial" w:cs="Arial"/>
        </w:rPr>
        <w:t>ent ratio was 1.03, which showed sufficient liquid assets. Cash ratio increased to 0.32, indicating increased cash reserves. Increased cash balances and improved working capital management are favourable to growth.</w:t>
      </w:r>
    </w:p>
    <w:p w14:paraId="571BA1AE" w14:textId="77777777" w:rsidR="00E0377B" w:rsidRDefault="00977F3B">
      <w:pPr>
        <w:rPr>
          <w:rFonts w:ascii="Arial" w:eastAsia="Arial" w:hAnsi="Arial" w:cs="Arial"/>
          <w:b/>
          <w:bCs/>
          <w:i/>
          <w:iCs/>
        </w:rPr>
      </w:pPr>
      <w:r>
        <w:rPr>
          <w:rFonts w:ascii="Arial" w:eastAsia="Arial" w:hAnsi="Arial" w:cs="Arial"/>
          <w:b/>
          <w:bCs/>
          <w:i/>
          <w:iCs/>
        </w:rPr>
        <w:t>“Efficiency”:</w:t>
      </w:r>
    </w:p>
    <w:p w14:paraId="5A166ADF" w14:textId="77777777" w:rsidR="00E0377B" w:rsidRDefault="00977F3B">
      <w:pPr>
        <w:rPr>
          <w:rFonts w:ascii="Arial" w:eastAsia="Arial" w:hAnsi="Arial" w:cs="Arial"/>
        </w:rPr>
      </w:pPr>
      <w:r>
        <w:rPr>
          <w:rFonts w:ascii="Arial" w:eastAsia="Arial" w:hAnsi="Arial" w:cs="Arial"/>
        </w:rPr>
        <w:t>“Efficiency ratios” determine the efficiency with which a company utilizes the assets to earn revenue. They quantify performance in operations, such as inventory management, collection of receivables and the utilisation of assets. Increased efficiency is a sign of greater resource control and increased potential profitability (Rahman and Acharya, 2022). The efficiency of Toyota is not that good. There was an increase in asset utilisation, with asset turnover increasing to 0.55 (2024) compared to 0.47 (2021)</w:t>
      </w:r>
      <w:r>
        <w:rPr>
          <w:rFonts w:ascii="Arial" w:eastAsia="Arial" w:hAnsi="Arial" w:cs="Arial"/>
        </w:rPr>
        <w:t>. Nonetheless, the inventory turnover improved as 19.01 (2020) decreased to 7.58 (2024), indicating a slower movement of inventory. The turnover of receivables was steady, indicating good credit management practices.</w:t>
      </w:r>
    </w:p>
    <w:p w14:paraId="290EE4F9" w14:textId="77777777" w:rsidR="00E0377B" w:rsidRDefault="00977F3B">
      <w:pPr>
        <w:jc w:val="center"/>
        <w:rPr>
          <w:rFonts w:ascii="Arial" w:eastAsia="Arial" w:hAnsi="Arial" w:cs="Arial"/>
        </w:rPr>
      </w:pPr>
      <w:r>
        <w:rPr>
          <w:rFonts w:ascii="Arial" w:eastAsia="Arial" w:hAnsi="Arial" w:cs="Arial"/>
          <w:noProof/>
        </w:rPr>
        <w:lastRenderedPageBreak/>
        <w:drawing>
          <wp:inline distT="114300" distB="114300" distL="114300" distR="114300" wp14:anchorId="0B49A8B4" wp14:editId="23D9A92E">
            <wp:extent cx="5731200" cy="5613400"/>
            <wp:effectExtent l="0" t="0" r="0" b="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0"/>
                    <a:srcRect/>
                    <a:stretch>
                      <a:fillRect/>
                    </a:stretch>
                  </pic:blipFill>
                  <pic:spPr>
                    <a:xfrm>
                      <a:off x="0" y="0"/>
                      <a:ext cx="5731200" cy="5613400"/>
                    </a:xfrm>
                    <a:prstGeom prst="rect">
                      <a:avLst/>
                    </a:prstGeom>
                    <a:ln/>
                  </pic:spPr>
                </pic:pic>
              </a:graphicData>
            </a:graphic>
          </wp:inline>
        </w:drawing>
      </w:r>
    </w:p>
    <w:p w14:paraId="3B72F6E1" w14:textId="77777777" w:rsidR="00E0377B" w:rsidRDefault="00977F3B">
      <w:pPr>
        <w:jc w:val="center"/>
        <w:rPr>
          <w:rFonts w:ascii="Arial" w:eastAsia="Arial" w:hAnsi="Arial" w:cs="Arial"/>
          <w:b/>
          <w:bCs/>
        </w:rPr>
      </w:pPr>
      <w:r>
        <w:rPr>
          <w:rFonts w:ascii="Arial" w:eastAsia="Arial" w:hAnsi="Arial" w:cs="Arial"/>
          <w:b/>
          <w:bCs/>
        </w:rPr>
        <w:t>Figure 2.4: Ratios Calculated for 5 Years</w:t>
      </w:r>
    </w:p>
    <w:p w14:paraId="4475E816" w14:textId="77777777" w:rsidR="00E0377B" w:rsidRDefault="00977F3B">
      <w:pPr>
        <w:jc w:val="center"/>
        <w:rPr>
          <w:rFonts w:ascii="Arial" w:eastAsia="Arial" w:hAnsi="Arial" w:cs="Arial"/>
        </w:rPr>
      </w:pPr>
      <w:r>
        <w:rPr>
          <w:rFonts w:ascii="Arial" w:eastAsia="Arial" w:hAnsi="Arial" w:cs="Arial"/>
        </w:rPr>
        <w:t>(Source: Excel)</w:t>
      </w:r>
    </w:p>
    <w:p w14:paraId="7A555F5E" w14:textId="77777777" w:rsidR="00E0377B" w:rsidRDefault="00977F3B">
      <w:pPr>
        <w:rPr>
          <w:rFonts w:ascii="Arial" w:eastAsia="Arial" w:hAnsi="Arial" w:cs="Arial"/>
        </w:rPr>
      </w:pPr>
      <w:r>
        <w:rPr>
          <w:rFonts w:ascii="Arial" w:eastAsia="Arial" w:hAnsi="Arial" w:cs="Arial"/>
          <w:b/>
          <w:bCs/>
          <w:i/>
          <w:iCs/>
        </w:rPr>
        <w:t>“Gearing (Leverage)”:</w:t>
      </w:r>
    </w:p>
    <w:p w14:paraId="38388F03" w14:textId="77777777" w:rsidR="00E0377B" w:rsidRDefault="00977F3B">
      <w:pPr>
        <w:rPr>
          <w:rFonts w:ascii="Arial" w:eastAsia="Arial" w:hAnsi="Arial" w:cs="Arial"/>
        </w:rPr>
      </w:pPr>
      <w:r>
        <w:rPr>
          <w:rFonts w:ascii="Arial" w:eastAsia="Arial" w:hAnsi="Arial" w:cs="Arial"/>
        </w:rPr>
        <w:t xml:space="preserve">“Gearing ratios” are used to determine how a business is funded between debt and equity. They measure financial risk and solvency over the long term. High leverage is more likely to increase financial risk, but may also increase returns, whereas low leverage reflects conservative financing (Olayinka, 2022). The gearing of Toyota is stable, and the debt-to-equity ratio is 1.56 (2024), which is slightly greater than 1.49 (2022). The interest coverage was at 67.16, which indicates that it is very capable of </w:t>
      </w:r>
      <w:r>
        <w:rPr>
          <w:rFonts w:ascii="Arial" w:eastAsia="Arial" w:hAnsi="Arial" w:cs="Arial"/>
        </w:rPr>
        <w:lastRenderedPageBreak/>
        <w:t>paying off debt. A balanced financing is indicated by the stable debt-to-capital ratio (0.61), but more borrowing is used to facilitate the expansion and investment.</w:t>
      </w:r>
    </w:p>
    <w:p w14:paraId="6CD33549" w14:textId="77777777" w:rsidR="00E0377B" w:rsidRDefault="00977F3B">
      <w:pPr>
        <w:rPr>
          <w:rFonts w:ascii="Arial" w:eastAsia="Arial" w:hAnsi="Arial" w:cs="Arial"/>
          <w:b/>
          <w:bCs/>
          <w:i/>
          <w:iCs/>
        </w:rPr>
      </w:pPr>
      <w:r>
        <w:rPr>
          <w:rFonts w:ascii="Arial" w:eastAsia="Arial" w:hAnsi="Arial" w:cs="Arial"/>
          <w:b/>
          <w:bCs/>
          <w:i/>
          <w:iCs/>
        </w:rPr>
        <w:t>“Investment”:</w:t>
      </w:r>
    </w:p>
    <w:p w14:paraId="7DB0317E" w14:textId="77777777" w:rsidR="00E0377B" w:rsidRDefault="00977F3B">
      <w:pPr>
        <w:rPr>
          <w:rFonts w:ascii="Arial" w:eastAsia="Arial" w:hAnsi="Arial" w:cs="Arial"/>
        </w:rPr>
      </w:pPr>
      <w:r>
        <w:rPr>
          <w:rFonts w:ascii="Arial" w:eastAsia="Arial" w:hAnsi="Arial" w:cs="Arial"/>
        </w:rPr>
        <w:t>“Investment ratios” measure returns which are earned by shareholders and the efficiency of using the capital. They assist investors in determining profitability, dividend policy, and value creation in general. Good investment ratios show that it is managed well and it has good returns (</w:t>
      </w:r>
      <w:proofErr w:type="spellStart"/>
      <w:r>
        <w:rPr>
          <w:rFonts w:ascii="Arial" w:eastAsia="Arial" w:hAnsi="Arial" w:cs="Arial"/>
        </w:rPr>
        <w:t>Arkaan</w:t>
      </w:r>
      <w:proofErr w:type="spellEnd"/>
      <w:r>
        <w:rPr>
          <w:rFonts w:ascii="Arial" w:eastAsia="Arial" w:hAnsi="Arial" w:cs="Arial"/>
        </w:rPr>
        <w:t xml:space="preserve"> and </w:t>
      </w:r>
      <w:proofErr w:type="spellStart"/>
      <w:r>
        <w:rPr>
          <w:rFonts w:ascii="Arial" w:eastAsia="Arial" w:hAnsi="Arial" w:cs="Arial"/>
        </w:rPr>
        <w:t>Budianto</w:t>
      </w:r>
      <w:proofErr w:type="spellEnd"/>
      <w:r>
        <w:rPr>
          <w:rFonts w:ascii="Arial" w:eastAsia="Arial" w:hAnsi="Arial" w:cs="Arial"/>
        </w:rPr>
        <w:t>, 2024). The investment performance of Toyota has improved with ROE increasing to 0.14 (2024) as compared to 0.09 (2023), and ROA increasing to 0.06. ROIC also increased to 0.06. But dividend payout decreased to 0.20, implying that retained earnings are being used in growth and expansion.</w:t>
      </w:r>
    </w:p>
    <w:p w14:paraId="6B67B844" w14:textId="77777777" w:rsidR="00E0377B" w:rsidRDefault="00977F3B">
      <w:pPr>
        <w:rPr>
          <w:rFonts w:ascii="Arial" w:eastAsia="Arial" w:hAnsi="Arial" w:cs="Arial"/>
          <w:b/>
          <w:bCs/>
          <w:i/>
          <w:iCs/>
        </w:rPr>
      </w:pPr>
      <w:r>
        <w:rPr>
          <w:rFonts w:ascii="Arial" w:eastAsia="Arial" w:hAnsi="Arial" w:cs="Arial"/>
          <w:b/>
          <w:bCs/>
          <w:i/>
          <w:iCs/>
        </w:rPr>
        <w:t>“Cash Flow”:</w:t>
      </w:r>
    </w:p>
    <w:p w14:paraId="0514EE89" w14:textId="77777777" w:rsidR="00E0377B" w:rsidRDefault="00977F3B">
      <w:pPr>
        <w:rPr>
          <w:rFonts w:ascii="Arial" w:eastAsia="Arial" w:hAnsi="Arial" w:cs="Arial"/>
        </w:rPr>
      </w:pPr>
      <w:r>
        <w:rPr>
          <w:rFonts w:ascii="Arial" w:eastAsia="Arial" w:hAnsi="Arial" w:cs="Arial"/>
        </w:rPr>
        <w:t>“Cash flow ratios” evaluate the capacity of an organisation to produce cash through its operations to settle debts and invest in the organisation. They give information on the quality of liquidity and monetary flexibility beyond accounting profits (Dönmez and Özkan, 2022). Toyota has a moderate cash flow performance. The operating cash flow ratio has risen to 0.14 (2024), although it is less than that of 2020 (0.20). The cash flow to debt ratio is steady at 0.08, which means easy debt servicing. High capita</w:t>
      </w:r>
      <w:r>
        <w:rPr>
          <w:rFonts w:ascii="Arial" w:eastAsia="Arial" w:hAnsi="Arial" w:cs="Arial"/>
        </w:rPr>
        <w:t>l expenditure and investment activities are reflected by a negative free cash flow margin (-0.01).</w:t>
      </w:r>
    </w:p>
    <w:p w14:paraId="0F0FAB8E" w14:textId="77777777" w:rsidR="00E0377B" w:rsidRDefault="00977F3B">
      <w:pPr>
        <w:pStyle w:val="Heading2"/>
      </w:pPr>
      <w:bookmarkStart w:id="6" w:name="_Toc227855488"/>
      <w:r>
        <w:t>2.3 Trends, Strengths and Threats</w:t>
      </w:r>
      <w:bookmarkEnd w:id="6"/>
    </w:p>
    <w:p w14:paraId="67351963" w14:textId="77777777" w:rsidR="00E0377B" w:rsidRDefault="00977F3B">
      <w:pPr>
        <w:rPr>
          <w:rFonts w:ascii="Arial" w:eastAsia="Arial" w:hAnsi="Arial" w:cs="Arial"/>
          <w:b/>
          <w:bCs/>
          <w:i/>
          <w:iCs/>
        </w:rPr>
      </w:pPr>
      <w:proofErr w:type="gramStart"/>
      <w:r>
        <w:rPr>
          <w:rFonts w:ascii="Arial" w:eastAsia="Arial" w:hAnsi="Arial" w:cs="Arial"/>
          <w:b/>
          <w:bCs/>
          <w:i/>
          <w:iCs/>
        </w:rPr>
        <w:t>Trends  for</w:t>
      </w:r>
      <w:proofErr w:type="gramEnd"/>
      <w:r>
        <w:rPr>
          <w:rFonts w:ascii="Arial" w:eastAsia="Arial" w:hAnsi="Arial" w:cs="Arial"/>
          <w:b/>
          <w:bCs/>
          <w:i/>
          <w:iCs/>
        </w:rPr>
        <w:t xml:space="preserve"> Toyota:</w:t>
      </w:r>
    </w:p>
    <w:p w14:paraId="7B1BCAA5" w14:textId="77777777" w:rsidR="00E0377B" w:rsidRDefault="00977F3B">
      <w:pPr>
        <w:rPr>
          <w:rFonts w:ascii="Arial" w:eastAsia="Arial" w:hAnsi="Arial" w:cs="Arial"/>
        </w:rPr>
      </w:pPr>
      <w:r>
        <w:rPr>
          <w:rFonts w:ascii="Arial" w:eastAsia="Arial" w:hAnsi="Arial" w:cs="Arial"/>
        </w:rPr>
        <w:t>Over the past five years, Toyota has shown a good upward trend in its financial performance. There is growth in revenue, which is backed by growth in sales volumes and the expansion of financial services. The company has been making great progress in profitability, and the operating margin has increased to 11.87% and ROCE to 11.43% in 2024, which means that the company is more efficient in its operation. Gradual improvement can also be observed in the liquidity ratios, as the current ratio improved over the</w:t>
      </w:r>
      <w:r>
        <w:rPr>
          <w:rFonts w:ascii="Arial" w:eastAsia="Arial" w:hAnsi="Arial" w:cs="Arial"/>
        </w:rPr>
        <w:t xml:space="preserve"> past years, and its value rose to 1.19 (2024), which is an indicator </w:t>
      </w:r>
      <w:r>
        <w:rPr>
          <w:rFonts w:ascii="Arial" w:eastAsia="Arial" w:hAnsi="Arial" w:cs="Arial"/>
        </w:rPr>
        <w:lastRenderedPageBreak/>
        <w:t xml:space="preserve">of greater financial strength in the short-term. </w:t>
      </w:r>
      <w:proofErr w:type="gramStart"/>
      <w:r>
        <w:rPr>
          <w:rFonts w:ascii="Arial" w:eastAsia="Arial" w:hAnsi="Arial" w:cs="Arial"/>
        </w:rPr>
        <w:t>But,</w:t>
      </w:r>
      <w:proofErr w:type="gramEnd"/>
      <w:r>
        <w:rPr>
          <w:rFonts w:ascii="Arial" w:eastAsia="Arial" w:hAnsi="Arial" w:cs="Arial"/>
        </w:rPr>
        <w:t xml:space="preserve"> the efficiency trend is mixed with the inventory turnover decreasing between 19.01 and 7.58, indicating slow stock movement. The trends in cash flows show that there are rising operating cash flows and negative free cash flows that are being incurred as a result of high capital investment. In general, Toyota is moving towards expansionary financial performance (Olayinka, 2022).</w:t>
      </w:r>
    </w:p>
    <w:p w14:paraId="743A1A6B" w14:textId="77777777" w:rsidR="00E0377B" w:rsidRDefault="00977F3B">
      <w:pPr>
        <w:rPr>
          <w:rFonts w:ascii="Arial" w:eastAsia="Arial" w:hAnsi="Arial" w:cs="Arial"/>
          <w:b/>
          <w:bCs/>
          <w:i/>
          <w:iCs/>
        </w:rPr>
      </w:pPr>
      <w:proofErr w:type="gramStart"/>
      <w:r>
        <w:rPr>
          <w:rFonts w:ascii="Arial" w:eastAsia="Arial" w:hAnsi="Arial" w:cs="Arial"/>
          <w:b/>
          <w:bCs/>
          <w:i/>
          <w:iCs/>
        </w:rPr>
        <w:t>Strengths  for</w:t>
      </w:r>
      <w:proofErr w:type="gramEnd"/>
      <w:r>
        <w:rPr>
          <w:rFonts w:ascii="Arial" w:eastAsia="Arial" w:hAnsi="Arial" w:cs="Arial"/>
          <w:b/>
          <w:bCs/>
          <w:i/>
          <w:iCs/>
        </w:rPr>
        <w:t xml:space="preserve"> Toyota:</w:t>
      </w:r>
    </w:p>
    <w:p w14:paraId="74146C16" w14:textId="77777777" w:rsidR="00E0377B" w:rsidRDefault="00977F3B">
      <w:pPr>
        <w:rPr>
          <w:rFonts w:ascii="Arial" w:eastAsia="Arial" w:hAnsi="Arial" w:cs="Arial"/>
        </w:rPr>
      </w:pPr>
      <w:r>
        <w:rPr>
          <w:rFonts w:ascii="Arial" w:eastAsia="Arial" w:hAnsi="Arial" w:cs="Arial"/>
        </w:rPr>
        <w:t>The main strength of Toyota is that its profitability and growth of earnings are on the rise. In 2024, the net profit margin rose to 25.49 per cent, which indicates good cost control and pricing policies. It also has high liquidity with a quick ratio of over 1.0, meaning that it can cover its short-term liabilities. Further, Toyota has a high interest coverage ratio (67.16), indicating a high ability to pay debts, minimising the financial risk. Another strength is the performance of the investment, where th</w:t>
      </w:r>
      <w:r>
        <w:rPr>
          <w:rFonts w:ascii="Arial" w:eastAsia="Arial" w:hAnsi="Arial" w:cs="Arial"/>
        </w:rPr>
        <w:t>e ROE has increased to 14, which means that the shareholders' money is well utilised. Moreover, growing cash reserves (¥9.4 trillion in 2024) allow it to be financially flexible in its expansion and innovation. These advantages underscore the resilience and competitiveness of Toyota in the automotive world (Xinyao et al., 2023).</w:t>
      </w:r>
    </w:p>
    <w:p w14:paraId="4E837384" w14:textId="77777777" w:rsidR="00E0377B" w:rsidRDefault="00977F3B">
      <w:pPr>
        <w:rPr>
          <w:rFonts w:ascii="Arial" w:eastAsia="Arial" w:hAnsi="Arial" w:cs="Arial"/>
          <w:b/>
          <w:bCs/>
          <w:i/>
          <w:iCs/>
        </w:rPr>
      </w:pPr>
      <w:r>
        <w:rPr>
          <w:rFonts w:ascii="Arial" w:eastAsia="Arial" w:hAnsi="Arial" w:cs="Arial"/>
          <w:b/>
          <w:bCs/>
          <w:i/>
          <w:iCs/>
        </w:rPr>
        <w:t>Threats to Toyota:</w:t>
      </w:r>
    </w:p>
    <w:p w14:paraId="23F35B9B" w14:textId="77777777" w:rsidR="00E0377B" w:rsidRDefault="00977F3B">
      <w:pPr>
        <w:rPr>
          <w:rFonts w:ascii="Arial" w:eastAsia="Arial" w:hAnsi="Arial" w:cs="Arial"/>
        </w:rPr>
      </w:pPr>
      <w:r>
        <w:rPr>
          <w:rFonts w:ascii="Arial" w:eastAsia="Arial" w:hAnsi="Arial" w:cs="Arial"/>
        </w:rPr>
        <w:t>Although the performance is high, there are a number of financial risks. An increase in the level of debt, with a debt-to-equity ratio of 1.56, suggests that it depends more on external financing and therefore financial risk increases in cases of economic slowdown. A decreasing inventory turnover is an indication of inefficiencies in inventory management, and this may result in increased holding costs. Moreover, negative free cash flow margins indicate high capital expenditure that can pose a challenge to l</w:t>
      </w:r>
      <w:r>
        <w:rPr>
          <w:rFonts w:ascii="Arial" w:eastAsia="Arial" w:hAnsi="Arial" w:cs="Arial"/>
        </w:rPr>
        <w:t>iquidity if not properly managed. The profitability is also likely to be affected by external threats such as the fluctuating exchange rate and the growing competition in the EV market (</w:t>
      </w:r>
      <w:proofErr w:type="spellStart"/>
      <w:r>
        <w:rPr>
          <w:rFonts w:ascii="Arial" w:eastAsia="Arial" w:hAnsi="Arial" w:cs="Arial"/>
        </w:rPr>
        <w:t>Bhattacheryay</w:t>
      </w:r>
      <w:proofErr w:type="spellEnd"/>
      <w:r>
        <w:rPr>
          <w:rFonts w:ascii="Arial" w:eastAsia="Arial" w:hAnsi="Arial" w:cs="Arial"/>
        </w:rPr>
        <w:t>, 2023). Moreover, the reliance on technological change with large-scale investments generates more financial risks. These aspects underscore the importance of financial management and planning.</w:t>
      </w:r>
    </w:p>
    <w:p w14:paraId="4A0E1C2E" w14:textId="77777777" w:rsidR="00E0377B" w:rsidRDefault="00977F3B">
      <w:pPr>
        <w:pStyle w:val="Heading1"/>
      </w:pPr>
      <w:bookmarkStart w:id="7" w:name="_Toc227855489"/>
      <w:r>
        <w:lastRenderedPageBreak/>
        <w:t>3. “Working Capital Management Analysis”</w:t>
      </w:r>
      <w:bookmarkEnd w:id="7"/>
    </w:p>
    <w:p w14:paraId="1A5BE682" w14:textId="77777777" w:rsidR="00E0377B" w:rsidRDefault="00977F3B">
      <w:pPr>
        <w:pStyle w:val="Heading2"/>
      </w:pPr>
      <w:bookmarkStart w:id="8" w:name="_Toc227855490"/>
      <w:r>
        <w:t>3.1 Cash Operating Cycle (CCC) Analysis</w:t>
      </w:r>
      <w:bookmarkEnd w:id="8"/>
    </w:p>
    <w:p w14:paraId="52A6BBE1" w14:textId="77777777" w:rsidR="00E0377B" w:rsidRDefault="00977F3B">
      <w:pPr>
        <w:jc w:val="center"/>
        <w:rPr>
          <w:rFonts w:ascii="Arial" w:eastAsia="Arial" w:hAnsi="Arial" w:cs="Arial"/>
        </w:rPr>
      </w:pPr>
      <w:r>
        <w:rPr>
          <w:rFonts w:ascii="Arial" w:eastAsia="Arial" w:hAnsi="Arial" w:cs="Arial"/>
          <w:noProof/>
        </w:rPr>
        <w:drawing>
          <wp:inline distT="114300" distB="114300" distL="114300" distR="114300" wp14:anchorId="703C0E7E" wp14:editId="4B04EE3C">
            <wp:extent cx="5731200" cy="1460500"/>
            <wp:effectExtent l="0" t="0" r="0" b="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5731200" cy="1460500"/>
                    </a:xfrm>
                    <a:prstGeom prst="rect">
                      <a:avLst/>
                    </a:prstGeom>
                    <a:ln/>
                  </pic:spPr>
                </pic:pic>
              </a:graphicData>
            </a:graphic>
          </wp:inline>
        </w:drawing>
      </w:r>
    </w:p>
    <w:p w14:paraId="6182787C" w14:textId="77777777" w:rsidR="00E0377B" w:rsidRDefault="00977F3B">
      <w:pPr>
        <w:jc w:val="center"/>
        <w:rPr>
          <w:rFonts w:ascii="Arial" w:eastAsia="Arial" w:hAnsi="Arial" w:cs="Arial"/>
          <w:b/>
          <w:bCs/>
        </w:rPr>
      </w:pPr>
      <w:r>
        <w:rPr>
          <w:rFonts w:ascii="Arial" w:eastAsia="Arial" w:hAnsi="Arial" w:cs="Arial"/>
          <w:b/>
          <w:bCs/>
        </w:rPr>
        <w:t>Figure 3.1: Toyota’s “Cash Operating Cycle”</w:t>
      </w:r>
    </w:p>
    <w:p w14:paraId="65550D67" w14:textId="77777777" w:rsidR="00E0377B" w:rsidRDefault="00977F3B">
      <w:pPr>
        <w:jc w:val="center"/>
        <w:rPr>
          <w:rFonts w:ascii="Arial" w:eastAsia="Arial" w:hAnsi="Arial" w:cs="Arial"/>
        </w:rPr>
      </w:pPr>
      <w:r>
        <w:rPr>
          <w:rFonts w:ascii="Arial" w:eastAsia="Arial" w:hAnsi="Arial" w:cs="Arial"/>
        </w:rPr>
        <w:t>(Source: Excel)</w:t>
      </w:r>
    </w:p>
    <w:p w14:paraId="0AF018E4" w14:textId="77777777" w:rsidR="00E0377B" w:rsidRDefault="00977F3B">
      <w:pPr>
        <w:rPr>
          <w:rFonts w:ascii="Arial" w:eastAsia="Arial" w:hAnsi="Arial" w:cs="Arial"/>
        </w:rPr>
      </w:pPr>
      <w:r>
        <w:rPr>
          <w:rFonts w:ascii="Arial" w:eastAsia="Arial" w:hAnsi="Arial" w:cs="Arial"/>
        </w:rPr>
        <w:t>The “cash operating cycle (CCC)” is used to measure the period a company has to turn its investments in stocks and accounts receivable into sales cash flows. It indicates liquidity management and efficiency of working capital. The lower the CCC, the more efficient operations and cash flow control (</w:t>
      </w:r>
      <w:proofErr w:type="spellStart"/>
      <w:r>
        <w:rPr>
          <w:rFonts w:ascii="Arial" w:eastAsia="Arial" w:hAnsi="Arial" w:cs="Arial"/>
        </w:rPr>
        <w:t>Bhattacheryay</w:t>
      </w:r>
      <w:proofErr w:type="spellEnd"/>
      <w:r>
        <w:rPr>
          <w:rFonts w:ascii="Arial" w:eastAsia="Arial" w:hAnsi="Arial" w:cs="Arial"/>
        </w:rPr>
        <w:t>, 2023). The CCC of Toyota is also extremely high, rising from 7 days in 2020 to 267 days in 2024, which means that they convert cash more slowly. The major reason is the sudden increase in the receivable days from 6.89 to 271.96, which shows the long credit terms, particularly in financial services. The number of inventory days was raised slightly to 37.28, with the stock being handled in a controlled manner as opposed to 44.45 in 2022. The payable days decreased to 42.50 (2024) compared to 54</w:t>
      </w:r>
      <w:r>
        <w:rPr>
          <w:rFonts w:ascii="Arial" w:eastAsia="Arial" w:hAnsi="Arial" w:cs="Arial"/>
        </w:rPr>
        <w:t>.26 (2021), minimising supplier financing benefits. In general, the long-run CCC indicates that although Toyota has consistent inventory management, its dependence on receivables considerably delays cash flows, affecting the working capital efficiency and liquidity management despite high sales growth.</w:t>
      </w:r>
    </w:p>
    <w:p w14:paraId="37F78898" w14:textId="77777777" w:rsidR="00E0377B" w:rsidRDefault="00977F3B">
      <w:pPr>
        <w:pStyle w:val="Heading2"/>
      </w:pPr>
      <w:bookmarkStart w:id="9" w:name="_Toc227855491"/>
      <w:r>
        <w:t>3.2 Strategies to Improve Liquidity through Working Capital Reforms for Toyota</w:t>
      </w:r>
      <w:bookmarkEnd w:id="9"/>
    </w:p>
    <w:p w14:paraId="2E3FF7AD" w14:textId="77777777" w:rsidR="00E0377B" w:rsidRDefault="00977F3B">
      <w:pPr>
        <w:rPr>
          <w:rFonts w:ascii="Arial" w:eastAsia="Arial" w:hAnsi="Arial" w:cs="Arial"/>
          <w:b/>
          <w:bCs/>
          <w:i/>
          <w:iCs/>
        </w:rPr>
      </w:pPr>
      <w:r>
        <w:rPr>
          <w:rFonts w:ascii="Arial" w:eastAsia="Arial" w:hAnsi="Arial" w:cs="Arial"/>
          <w:b/>
          <w:bCs/>
          <w:i/>
          <w:iCs/>
        </w:rPr>
        <w:t>Optimisation of Receivables Management:</w:t>
      </w:r>
    </w:p>
    <w:p w14:paraId="670D741F" w14:textId="77777777" w:rsidR="00E0377B" w:rsidRDefault="00977F3B">
      <w:pPr>
        <w:rPr>
          <w:rFonts w:ascii="Arial" w:eastAsia="Arial" w:hAnsi="Arial" w:cs="Arial"/>
        </w:rPr>
      </w:pPr>
      <w:r>
        <w:rPr>
          <w:rFonts w:ascii="Arial" w:eastAsia="Arial" w:hAnsi="Arial" w:cs="Arial"/>
        </w:rPr>
        <w:lastRenderedPageBreak/>
        <w:t>The reduction of exceptionally high receivable days should be prioritised by Toyota as it has reached 271.96 days in 2024. These can be done by restricting credit policies, imposing stronger credit evaluations and promoting the collection of payments by cash discounts. Moreover, collections can be sped up by the use of digital payment systems and automation (Shilpi, 2025). Receivables securitisation or factoring is also likely to enhance immediate liquidity. Toyota is highly exposed to financial services re</w:t>
      </w:r>
      <w:r>
        <w:rPr>
          <w:rFonts w:ascii="Arial" w:eastAsia="Arial" w:hAnsi="Arial" w:cs="Arial"/>
        </w:rPr>
        <w:t>ceivables; there is a need to manage and segment customers better. Good receivables management will reduce the cash conversion cycle and improve liquidity.</w:t>
      </w:r>
    </w:p>
    <w:p w14:paraId="0A2CC605" w14:textId="77777777" w:rsidR="00E0377B" w:rsidRDefault="00977F3B">
      <w:pPr>
        <w:rPr>
          <w:rFonts w:ascii="Arial" w:eastAsia="Arial" w:hAnsi="Arial" w:cs="Arial"/>
          <w:b/>
          <w:bCs/>
          <w:i/>
          <w:iCs/>
        </w:rPr>
      </w:pPr>
      <w:r>
        <w:rPr>
          <w:rFonts w:ascii="Arial" w:eastAsia="Arial" w:hAnsi="Arial" w:cs="Arial"/>
          <w:b/>
          <w:bCs/>
          <w:i/>
          <w:iCs/>
        </w:rPr>
        <w:t>Efficient Inventory Management:</w:t>
      </w:r>
    </w:p>
    <w:p w14:paraId="72B571D9" w14:textId="77777777" w:rsidR="00E0377B" w:rsidRDefault="00977F3B">
      <w:pPr>
        <w:rPr>
          <w:rFonts w:ascii="Arial" w:eastAsia="Arial" w:hAnsi="Arial" w:cs="Arial"/>
        </w:rPr>
      </w:pPr>
      <w:r>
        <w:rPr>
          <w:rFonts w:ascii="Arial" w:eastAsia="Arial" w:hAnsi="Arial" w:cs="Arial"/>
        </w:rPr>
        <w:t>Toyota has quite consistent inventory days (37.28 in 2024), but they can be improved further to achieve a better liquidity level. The company may implement high-tech demand prediction methods, just-in-time (JIT) systems, and real-time monitoring of inventory to lower the quantity of unused stocks. Supply chain technologies, including AI and data analytics, can be integrated to enhance inventory turnover and minimise holding costs. Inventory optimisation helps in ensuring that capital does not go to waste du</w:t>
      </w:r>
      <w:r>
        <w:rPr>
          <w:rFonts w:ascii="Arial" w:eastAsia="Arial" w:hAnsi="Arial" w:cs="Arial"/>
        </w:rPr>
        <w:t>e to capital being tied up in stock, thus enhancing cash flow and operational efficiency (Khalil et al., 2025). Constant performance monitoring of inventory is essential in order to have the best balance of supply and demand.</w:t>
      </w:r>
    </w:p>
    <w:p w14:paraId="35DD8F56" w14:textId="77777777" w:rsidR="00E0377B" w:rsidRDefault="00977F3B">
      <w:pPr>
        <w:rPr>
          <w:rFonts w:ascii="Arial" w:eastAsia="Arial" w:hAnsi="Arial" w:cs="Arial"/>
          <w:b/>
          <w:bCs/>
          <w:i/>
          <w:iCs/>
        </w:rPr>
      </w:pPr>
      <w:r>
        <w:rPr>
          <w:rFonts w:ascii="Arial" w:eastAsia="Arial" w:hAnsi="Arial" w:cs="Arial"/>
          <w:b/>
          <w:bCs/>
          <w:i/>
          <w:iCs/>
        </w:rPr>
        <w:t>Strategic Payables Management:</w:t>
      </w:r>
    </w:p>
    <w:p w14:paraId="0FD0B9AD" w14:textId="77777777" w:rsidR="00E0377B" w:rsidRDefault="00977F3B">
      <w:pPr>
        <w:rPr>
          <w:rFonts w:ascii="Arial" w:eastAsia="Arial" w:hAnsi="Arial" w:cs="Arial"/>
        </w:rPr>
      </w:pPr>
      <w:r>
        <w:rPr>
          <w:rFonts w:ascii="Arial" w:eastAsia="Arial" w:hAnsi="Arial" w:cs="Arial"/>
        </w:rPr>
        <w:t>Toyota needs to plan its payable days strategically because it reduced to 42.50 in 2024 compared to 54.26 in 2021. To increase short-term liquidity, paying suppliers later without ruining the relationship can be a good idea. Negotiating good terms of credit and taking advantage of supplier financing plans can give extra room (</w:t>
      </w:r>
      <w:proofErr w:type="spellStart"/>
      <w:r>
        <w:rPr>
          <w:rFonts w:ascii="Arial" w:eastAsia="Arial" w:hAnsi="Arial" w:cs="Arial"/>
        </w:rPr>
        <w:t>Glavee</w:t>
      </w:r>
      <w:proofErr w:type="spellEnd"/>
      <w:r>
        <w:rPr>
          <w:rFonts w:ascii="Arial" w:eastAsia="Arial" w:hAnsi="Arial" w:cs="Arial"/>
        </w:rPr>
        <w:t xml:space="preserve"> and Yang, 2025). The company should create a balance such that reputational risks or supply disruption are not experienced. Payables management maximises the efficiency of working capital because cash flows are matched with cash inflows, and this leads to better liquidity and stability of the financial position.</w:t>
      </w:r>
    </w:p>
    <w:p w14:paraId="556FD6BF" w14:textId="77777777" w:rsidR="00E0377B" w:rsidRDefault="00977F3B">
      <w:pPr>
        <w:pStyle w:val="Heading2"/>
      </w:pPr>
      <w:bookmarkStart w:id="10" w:name="_Toc227855492"/>
      <w:r>
        <w:t>3.3 Comparison of “Short-Term and Long-Term Financing Options”</w:t>
      </w:r>
      <w:bookmarkEnd w:id="10"/>
    </w:p>
    <w:p w14:paraId="3E8E405E" w14:textId="77777777" w:rsidR="00E0377B" w:rsidRDefault="00977F3B">
      <w:pPr>
        <w:rPr>
          <w:rFonts w:ascii="Arial" w:eastAsia="Arial" w:hAnsi="Arial" w:cs="Arial"/>
          <w:b/>
          <w:bCs/>
          <w:i/>
          <w:iCs/>
        </w:rPr>
      </w:pPr>
      <w:r>
        <w:rPr>
          <w:rFonts w:ascii="Arial" w:eastAsia="Arial" w:hAnsi="Arial" w:cs="Arial"/>
          <w:b/>
          <w:bCs/>
          <w:i/>
          <w:iCs/>
        </w:rPr>
        <w:t>“Short-Term Financing”: Flexibility and Cost Efficiency:</w:t>
      </w:r>
    </w:p>
    <w:p w14:paraId="72482DF6" w14:textId="77777777" w:rsidR="00E0377B" w:rsidRDefault="00977F3B">
      <w:pPr>
        <w:rPr>
          <w:rFonts w:ascii="Arial" w:eastAsia="Arial" w:hAnsi="Arial" w:cs="Arial"/>
        </w:rPr>
      </w:pPr>
      <w:r>
        <w:rPr>
          <w:rFonts w:ascii="Arial" w:eastAsia="Arial" w:hAnsi="Arial" w:cs="Arial"/>
        </w:rPr>
        <w:lastRenderedPageBreak/>
        <w:t>Bank overdrafts, trade credit, commercial paper, and short-term loans are examples of sources of short-term financing. These alternatives are normally applied in order to handle working capital requirements, seasonal variations (Gandhi and Nasit, 2022). They tend to be cheaper since interest rates are lower and they have shorter maturities. In the case of a company such as Toyota, short-term financing can be used to facilitate its day-to-day operations and to cover any short-term liquidity crunch created by</w:t>
      </w:r>
      <w:r>
        <w:rPr>
          <w:rFonts w:ascii="Arial" w:eastAsia="Arial" w:hAnsi="Arial" w:cs="Arial"/>
        </w:rPr>
        <w:t xml:space="preserve"> its high receivable days. Nonetheless, too much short-term debt will lead to an increase in refinancing risk and exposure to interest rates. Irrespective of these risks, short-term financing offers flexibility in operation and easy access to funds, which is appropriate in dealing with liquidity effectively.</w:t>
      </w:r>
    </w:p>
    <w:p w14:paraId="56183213" w14:textId="77777777" w:rsidR="00E0377B" w:rsidRDefault="00977F3B">
      <w:pPr>
        <w:rPr>
          <w:rFonts w:ascii="Arial" w:eastAsia="Arial" w:hAnsi="Arial" w:cs="Arial"/>
          <w:b/>
          <w:bCs/>
          <w:i/>
          <w:iCs/>
        </w:rPr>
      </w:pPr>
      <w:r>
        <w:rPr>
          <w:rFonts w:ascii="Arial" w:eastAsia="Arial" w:hAnsi="Arial" w:cs="Arial"/>
          <w:b/>
          <w:bCs/>
          <w:i/>
          <w:iCs/>
        </w:rPr>
        <w:t>“Long-Term Financing”-Stability and Strategic Growth:</w:t>
      </w:r>
    </w:p>
    <w:p w14:paraId="7945D88B" w14:textId="77777777" w:rsidR="00E0377B" w:rsidRDefault="00977F3B">
      <w:pPr>
        <w:rPr>
          <w:rFonts w:ascii="Arial" w:eastAsia="Arial" w:hAnsi="Arial" w:cs="Arial"/>
        </w:rPr>
      </w:pPr>
      <w:r>
        <w:rPr>
          <w:rFonts w:ascii="Arial" w:eastAsia="Arial" w:hAnsi="Arial" w:cs="Arial"/>
        </w:rPr>
        <w:t>Equity capital, bonds, and long-term loans are long-term financing that is normally applied in capital investments and expansion projects. These sources are financially secure, with the ability to repay through the spread of repayment. The growing long-term debt at Toyota is an indicator that the company invests in infrastructure, technology, and the development of electric vehicles. Long-term financing lessens the pressure on liquidity and facilitates massive strategic endeavours (Kostyna, 2025). Nonethele</w:t>
      </w:r>
      <w:r>
        <w:rPr>
          <w:rFonts w:ascii="Arial" w:eastAsia="Arial" w:hAnsi="Arial" w:cs="Arial"/>
        </w:rPr>
        <w:t>ss, it is usually associated with increased interest payments and a long-term financial obligation. Equity financing can also further dilute ownership. Negative as they may be, long-term financing is obligatory to sustainable growth and to be able to sustain the competitive advantage in capital-intensive sectors.</w:t>
      </w:r>
    </w:p>
    <w:p w14:paraId="07913DF1" w14:textId="77777777" w:rsidR="00E0377B" w:rsidRDefault="00977F3B">
      <w:pPr>
        <w:rPr>
          <w:rFonts w:ascii="Arial" w:eastAsia="Arial" w:hAnsi="Arial" w:cs="Arial"/>
          <w:b/>
          <w:bCs/>
          <w:i/>
          <w:iCs/>
        </w:rPr>
      </w:pPr>
      <w:r>
        <w:rPr>
          <w:rFonts w:ascii="Arial" w:eastAsia="Arial" w:hAnsi="Arial" w:cs="Arial"/>
          <w:b/>
          <w:bCs/>
          <w:i/>
          <w:iCs/>
        </w:rPr>
        <w:t>Comparative Evaluation and Strategic Balance:</w:t>
      </w:r>
    </w:p>
    <w:p w14:paraId="6A01FA53" w14:textId="77777777" w:rsidR="00E0377B" w:rsidRDefault="00977F3B">
      <w:pPr>
        <w:rPr>
          <w:rFonts w:ascii="Arial" w:eastAsia="Arial" w:hAnsi="Arial" w:cs="Arial"/>
        </w:rPr>
      </w:pPr>
      <w:r>
        <w:rPr>
          <w:rFonts w:ascii="Arial" w:eastAsia="Arial" w:hAnsi="Arial" w:cs="Arial"/>
        </w:rPr>
        <w:t>The ratio between the short and long-term financing is critical in terms of effective financial management. Short-term financing will provide more liquidity and operational flexibility, and long-term financing will be more stable and allow strategic investments (Gandhi and Nasit, 2022). Toyota ought to match its funding framework with its cash flow patterns, with the short-term funds used in working capital and long-term funds used in capital expenditure. As it has a high interest coverage and stable gearin</w:t>
      </w:r>
      <w:r>
        <w:rPr>
          <w:rFonts w:ascii="Arial" w:eastAsia="Arial" w:hAnsi="Arial" w:cs="Arial"/>
        </w:rPr>
        <w:t>g ratios, Toyota can take advantage of both types of financing. A good financial strategy involves the minimisation of the cost of capital, liquidity and minimisation of financial risk.</w:t>
      </w:r>
    </w:p>
    <w:p w14:paraId="68ED2FB2" w14:textId="77777777" w:rsidR="00E0377B" w:rsidRDefault="00977F3B">
      <w:pPr>
        <w:pStyle w:val="Heading1"/>
      </w:pPr>
      <w:bookmarkStart w:id="11" w:name="_Toc227855493"/>
      <w:r>
        <w:lastRenderedPageBreak/>
        <w:t>4. “Strategic Financial Restructuring Plan”</w:t>
      </w:r>
      <w:bookmarkEnd w:id="11"/>
    </w:p>
    <w:p w14:paraId="6E4BAEEE" w14:textId="77777777" w:rsidR="00E0377B" w:rsidRDefault="00977F3B">
      <w:pPr>
        <w:pStyle w:val="Heading2"/>
      </w:pPr>
      <w:bookmarkStart w:id="12" w:name="_Toc227855494"/>
      <w:r>
        <w:t>4.1 Financial Restructuring Options</w:t>
      </w:r>
      <w:bookmarkEnd w:id="12"/>
    </w:p>
    <w:p w14:paraId="6882D68C" w14:textId="77777777" w:rsidR="00E0377B" w:rsidRDefault="00977F3B">
      <w:pPr>
        <w:rPr>
          <w:rFonts w:ascii="Arial" w:eastAsia="Arial" w:hAnsi="Arial" w:cs="Arial"/>
          <w:b/>
          <w:bCs/>
          <w:i/>
          <w:iCs/>
        </w:rPr>
      </w:pPr>
      <w:r>
        <w:rPr>
          <w:rFonts w:ascii="Arial" w:eastAsia="Arial" w:hAnsi="Arial" w:cs="Arial"/>
          <w:b/>
          <w:bCs/>
          <w:i/>
          <w:iCs/>
        </w:rPr>
        <w:t>Divestiture of Non-Core and Underperforming Assets:</w:t>
      </w:r>
    </w:p>
    <w:p w14:paraId="7E6D9CE3" w14:textId="77777777" w:rsidR="00E0377B" w:rsidRDefault="00977F3B">
      <w:pPr>
        <w:rPr>
          <w:rFonts w:ascii="Arial" w:eastAsia="Arial" w:hAnsi="Arial" w:cs="Arial"/>
        </w:rPr>
      </w:pPr>
      <w:r>
        <w:rPr>
          <w:rFonts w:ascii="Arial" w:eastAsia="Arial" w:hAnsi="Arial" w:cs="Arial"/>
        </w:rPr>
        <w:t>Toyota can ponder disposing of non-core or low-performing business segments to enhance financial efficiency and free up tied-up capital. Since the company has invested heavily in financial services receivables and capital-intensive assets, selective divestment has the potential to simplify operations and increase liquidity. The sale of low-return assets or subsidiaries would enable Toyota to focus its resources on high-growth segments like electric vehicles (EVs) and digital mobility. Divestiture further en</w:t>
      </w:r>
      <w:r>
        <w:rPr>
          <w:rFonts w:ascii="Arial" w:eastAsia="Arial" w:hAnsi="Arial" w:cs="Arial"/>
        </w:rPr>
        <w:t>hances the ratio of returns like ROCE and ROA, as it concentrates on core competencies (</w:t>
      </w:r>
      <w:proofErr w:type="spellStart"/>
      <w:r>
        <w:rPr>
          <w:rFonts w:ascii="Arial" w:eastAsia="Arial" w:hAnsi="Arial" w:cs="Arial"/>
        </w:rPr>
        <w:t>Zaramella</w:t>
      </w:r>
      <w:proofErr w:type="spellEnd"/>
      <w:r>
        <w:rPr>
          <w:rFonts w:ascii="Arial" w:eastAsia="Arial" w:hAnsi="Arial" w:cs="Arial"/>
        </w:rPr>
        <w:t>, 2023). The approach boosts financial flexibility and improves the balance sheet.</w:t>
      </w:r>
    </w:p>
    <w:p w14:paraId="4E289D1C" w14:textId="77777777" w:rsidR="00E0377B" w:rsidRDefault="00977F3B">
      <w:pPr>
        <w:rPr>
          <w:rFonts w:ascii="Arial" w:eastAsia="Arial" w:hAnsi="Arial" w:cs="Arial"/>
          <w:b/>
          <w:bCs/>
          <w:i/>
          <w:iCs/>
        </w:rPr>
      </w:pPr>
      <w:r>
        <w:rPr>
          <w:rFonts w:ascii="Arial" w:eastAsia="Arial" w:hAnsi="Arial" w:cs="Arial"/>
          <w:b/>
          <w:bCs/>
          <w:i/>
          <w:iCs/>
        </w:rPr>
        <w:t>Strategic Mergers and Partnerships:</w:t>
      </w:r>
    </w:p>
    <w:p w14:paraId="072023B3" w14:textId="77777777" w:rsidR="00E0377B" w:rsidRDefault="00977F3B">
      <w:pPr>
        <w:rPr>
          <w:rFonts w:ascii="Arial" w:eastAsia="Arial" w:hAnsi="Arial" w:cs="Arial"/>
        </w:rPr>
      </w:pPr>
      <w:r>
        <w:rPr>
          <w:rFonts w:ascii="Arial" w:eastAsia="Arial" w:hAnsi="Arial" w:cs="Arial"/>
        </w:rPr>
        <w:t>Long-term competitiveness of Toyota can be facilitated by strategic mergers, acquisitions or joint ventures, especially in the EV and autonomous driving industries. Partnerships with technology companies or battery companies can minimise the cost of research and development, as well as speed up the innovation (Chen, 2022). This will enable Toyota to reduce financial risk and enter new markets effectively. Considering the growing capital needs of the EV market, alliances can offer economies of scale and enha</w:t>
      </w:r>
      <w:r>
        <w:rPr>
          <w:rFonts w:ascii="Arial" w:eastAsia="Arial" w:hAnsi="Arial" w:cs="Arial"/>
        </w:rPr>
        <w:t>nce efficiency. Nonetheless, one must take time to prevent integration issues and cultural misfit. The strategic alliances would be able to increase the growth without being financially unstable.</w:t>
      </w:r>
    </w:p>
    <w:p w14:paraId="77064C69" w14:textId="77777777" w:rsidR="00E0377B" w:rsidRDefault="00977F3B">
      <w:pPr>
        <w:rPr>
          <w:rFonts w:ascii="Arial" w:eastAsia="Arial" w:hAnsi="Arial" w:cs="Arial"/>
          <w:b/>
          <w:bCs/>
          <w:i/>
          <w:iCs/>
        </w:rPr>
      </w:pPr>
      <w:r>
        <w:rPr>
          <w:rFonts w:ascii="Arial" w:eastAsia="Arial" w:hAnsi="Arial" w:cs="Arial"/>
          <w:b/>
          <w:bCs/>
          <w:i/>
          <w:iCs/>
        </w:rPr>
        <w:t>Equity Injection and Capital Structure Optimisation:</w:t>
      </w:r>
    </w:p>
    <w:p w14:paraId="47AE55CD" w14:textId="77777777" w:rsidR="00E0377B" w:rsidRDefault="00977F3B">
      <w:pPr>
        <w:rPr>
          <w:rFonts w:ascii="Arial" w:eastAsia="Arial" w:hAnsi="Arial" w:cs="Arial"/>
        </w:rPr>
      </w:pPr>
      <w:r>
        <w:rPr>
          <w:rFonts w:ascii="Arial" w:eastAsia="Arial" w:hAnsi="Arial" w:cs="Arial"/>
        </w:rPr>
        <w:t xml:space="preserve">Toyota can reinforce its capital structure by injecting capital in the form of equity by issuing new shares or by retaining earnings. Even though the company has already shown a good retained earnings growth, further equity financing will help minimise the use of debt, especially since the debt-to-equity ratio has remained relatively high at 1.56. Minimisation of financial risk and long-term solvency are achieved by lower leverage. In addition, growth and innovation can be promoted through reinvesting </w:t>
      </w:r>
      <w:r>
        <w:rPr>
          <w:rFonts w:ascii="Arial" w:eastAsia="Arial" w:hAnsi="Arial" w:cs="Arial"/>
        </w:rPr>
        <w:lastRenderedPageBreak/>
        <w:t>profits as an alternative to paying high dividends (Zaramella, 2023). A balanced capital structure boosts investor confidence and sustainability in terms of growth in a highly competitive industry.</w:t>
      </w:r>
    </w:p>
    <w:p w14:paraId="061E647B" w14:textId="77777777" w:rsidR="00E0377B" w:rsidRDefault="00977F3B">
      <w:pPr>
        <w:pStyle w:val="Heading2"/>
      </w:pPr>
      <w:bookmarkStart w:id="13" w:name="_Toc227855495"/>
      <w:r>
        <w:t>4.2 Impact on Shareholder Value, Debt Structure, and Operational Flexibility</w:t>
      </w:r>
      <w:bookmarkEnd w:id="13"/>
    </w:p>
    <w:p w14:paraId="57016F57" w14:textId="77777777" w:rsidR="00E0377B" w:rsidRDefault="00977F3B">
      <w:pPr>
        <w:rPr>
          <w:rFonts w:ascii="Arial" w:eastAsia="Arial" w:hAnsi="Arial" w:cs="Arial"/>
          <w:b/>
          <w:bCs/>
          <w:i/>
          <w:iCs/>
        </w:rPr>
      </w:pPr>
      <w:r>
        <w:rPr>
          <w:rFonts w:ascii="Arial" w:eastAsia="Arial" w:hAnsi="Arial" w:cs="Arial"/>
          <w:b/>
          <w:bCs/>
          <w:i/>
          <w:iCs/>
        </w:rPr>
        <w:t>Impact on “Shareholder Value”:</w:t>
      </w:r>
    </w:p>
    <w:p w14:paraId="6D194055" w14:textId="77777777" w:rsidR="00E0377B" w:rsidRDefault="00977F3B">
      <w:pPr>
        <w:rPr>
          <w:rFonts w:ascii="Arial" w:eastAsia="Arial" w:hAnsi="Arial" w:cs="Arial"/>
        </w:rPr>
      </w:pPr>
      <w:r>
        <w:rPr>
          <w:rFonts w:ascii="Arial" w:eastAsia="Arial" w:hAnsi="Arial" w:cs="Arial"/>
        </w:rPr>
        <w:t xml:space="preserve">The suggested restructuring measures should help in increasing the shareholder value through better profitability and capital efficiency. Disposing of less successful assets enhances returns by concentrating on high-margin businesses like electric cars, which enhances ROE and ROIC. Strategic partnership lowers the cost of capital and allows the creation of innovation, and there is long-term value creation. Also, the financial stability is enhanced by the equity injection, which can have a beneficial impact </w:t>
      </w:r>
      <w:r>
        <w:rPr>
          <w:rFonts w:ascii="Arial" w:eastAsia="Arial" w:hAnsi="Arial" w:cs="Arial"/>
        </w:rPr>
        <w:t>on the investor confidence and market valuation (Wang, 2024). Nonetheless, high equity issuance could dilute the ownership and earnings per share. In general, a restructuring strategy is consistent with the goals of value maximisation as it enhances financial performance and growth opportunities.</w:t>
      </w:r>
    </w:p>
    <w:p w14:paraId="7CC5F403" w14:textId="77777777" w:rsidR="00E0377B" w:rsidRDefault="00977F3B">
      <w:pPr>
        <w:rPr>
          <w:rFonts w:ascii="Arial" w:eastAsia="Arial" w:hAnsi="Arial" w:cs="Arial"/>
          <w:b/>
          <w:bCs/>
          <w:i/>
          <w:iCs/>
        </w:rPr>
      </w:pPr>
      <w:r>
        <w:rPr>
          <w:rFonts w:ascii="Arial" w:eastAsia="Arial" w:hAnsi="Arial" w:cs="Arial"/>
          <w:b/>
          <w:bCs/>
          <w:i/>
          <w:iCs/>
        </w:rPr>
        <w:t>Impact on “Debt Structure”:</w:t>
      </w:r>
    </w:p>
    <w:p w14:paraId="512F1019" w14:textId="77777777" w:rsidR="00E0377B" w:rsidRDefault="00977F3B">
      <w:pPr>
        <w:rPr>
          <w:rFonts w:ascii="Arial" w:eastAsia="Arial" w:hAnsi="Arial" w:cs="Arial"/>
        </w:rPr>
      </w:pPr>
      <w:r>
        <w:rPr>
          <w:rFonts w:ascii="Arial" w:eastAsia="Arial" w:hAnsi="Arial" w:cs="Arial"/>
        </w:rPr>
        <w:t>The reorganisation strategy has a major effect on the debt structure of Toyota since it encourages a more balanced capital structure. Equity injection decreases the debt-to-equity ratio and reduces financial risk, and enhances solvency because of the reduced dependence on debt. The divestiture will raise internal funds, which can be applied to paying the current debt, which will in turn reinforce the balance sheet. The strategic alliances also lessen the necessity to take external borrowing (Wang, 2024). Th</w:t>
      </w:r>
      <w:r>
        <w:rPr>
          <w:rFonts w:ascii="Arial" w:eastAsia="Arial" w:hAnsi="Arial" w:cs="Arial"/>
        </w:rPr>
        <w:t>e changes increase the interest coverage and minimise the exposure to interest rate changes. A more balanced debt model enhances creditworthiness and financial sustainability in the long-term.</w:t>
      </w:r>
    </w:p>
    <w:p w14:paraId="15897669" w14:textId="77777777" w:rsidR="00E0377B" w:rsidRDefault="00977F3B">
      <w:pPr>
        <w:rPr>
          <w:rFonts w:ascii="Arial" w:eastAsia="Arial" w:hAnsi="Arial" w:cs="Arial"/>
          <w:b/>
          <w:bCs/>
          <w:i/>
          <w:iCs/>
        </w:rPr>
      </w:pPr>
      <w:r>
        <w:rPr>
          <w:rFonts w:ascii="Arial" w:eastAsia="Arial" w:hAnsi="Arial" w:cs="Arial"/>
          <w:b/>
          <w:bCs/>
          <w:i/>
          <w:iCs/>
        </w:rPr>
        <w:t>Impact on “Operational Flexibility”:</w:t>
      </w:r>
    </w:p>
    <w:p w14:paraId="55906020" w14:textId="77777777" w:rsidR="00E0377B" w:rsidRDefault="00977F3B">
      <w:pPr>
        <w:rPr>
          <w:rFonts w:ascii="Arial" w:eastAsia="Arial" w:hAnsi="Arial" w:cs="Arial"/>
        </w:rPr>
      </w:pPr>
      <w:r>
        <w:rPr>
          <w:rFonts w:ascii="Arial" w:eastAsia="Arial" w:hAnsi="Arial" w:cs="Arial"/>
        </w:rPr>
        <w:t xml:space="preserve">Financial restructuring will result in operational flexibility. Divestiture eases the organisational hierarchy, enabling the management to concentrate on the main </w:t>
      </w:r>
      <w:r>
        <w:rPr>
          <w:rFonts w:ascii="Arial" w:eastAsia="Arial" w:hAnsi="Arial" w:cs="Arial"/>
        </w:rPr>
        <w:lastRenderedPageBreak/>
        <w:t>operations and strategic priorities. Strategic alliances help to access new technologies and markets without big capital ties, and it improves flexibility in an industry that is rapidly changing (</w:t>
      </w:r>
      <w:proofErr w:type="spellStart"/>
      <w:r>
        <w:rPr>
          <w:rFonts w:ascii="Arial" w:eastAsia="Arial" w:hAnsi="Arial" w:cs="Arial"/>
        </w:rPr>
        <w:t>Charupat</w:t>
      </w:r>
      <w:proofErr w:type="spellEnd"/>
      <w:r>
        <w:rPr>
          <w:rFonts w:ascii="Arial" w:eastAsia="Arial" w:hAnsi="Arial" w:cs="Arial"/>
        </w:rPr>
        <w:t xml:space="preserve"> and Sarkar, 2025). Moreover, limited debt levels enhance financial flexibility through decreased fixed financial obligations, permitting Toyota to react to market uncertainties at a higher level. Enhanced cash flow and better liquidity management also help in making investment decisions promptly. On the wh</w:t>
      </w:r>
      <w:r>
        <w:rPr>
          <w:rFonts w:ascii="Arial" w:eastAsia="Arial" w:hAnsi="Arial" w:cs="Arial"/>
        </w:rPr>
        <w:t>ole, the reorganisation will improve the adaptability, innovativeness, and competitive position of Toyota.</w:t>
      </w:r>
    </w:p>
    <w:p w14:paraId="1EC49E7E" w14:textId="77777777" w:rsidR="00E0377B" w:rsidRDefault="00977F3B">
      <w:pPr>
        <w:pStyle w:val="Heading2"/>
      </w:pPr>
      <w:bookmarkStart w:id="14" w:name="_Toc227855496"/>
      <w:r>
        <w:t>4.3 International and Ethical Considerations</w:t>
      </w:r>
      <w:bookmarkEnd w:id="14"/>
    </w:p>
    <w:p w14:paraId="78010CB4" w14:textId="77777777" w:rsidR="00E0377B" w:rsidRDefault="00977F3B">
      <w:pPr>
        <w:rPr>
          <w:rFonts w:ascii="Arial" w:eastAsia="Arial" w:hAnsi="Arial" w:cs="Arial"/>
          <w:b/>
          <w:bCs/>
          <w:i/>
          <w:iCs/>
        </w:rPr>
      </w:pPr>
      <w:r>
        <w:rPr>
          <w:rFonts w:ascii="Arial" w:eastAsia="Arial" w:hAnsi="Arial" w:cs="Arial"/>
          <w:b/>
          <w:bCs/>
          <w:i/>
          <w:iCs/>
        </w:rPr>
        <w:t>Taxation and Regulatory Environment:</w:t>
      </w:r>
    </w:p>
    <w:p w14:paraId="5B5159CA" w14:textId="77777777" w:rsidR="00E0377B" w:rsidRDefault="00977F3B">
      <w:pPr>
        <w:rPr>
          <w:rFonts w:ascii="Arial" w:eastAsia="Arial" w:hAnsi="Arial" w:cs="Arial"/>
        </w:rPr>
      </w:pPr>
      <w:r>
        <w:rPr>
          <w:rFonts w:ascii="Arial" w:eastAsia="Arial" w:hAnsi="Arial" w:cs="Arial"/>
        </w:rPr>
        <w:t>Toyota is a multijurisdictional company with exposure to various tax systems and regulations. The proper planning of taxes is necessary to maximise international profits without breaching the international tax regulations. To prevent fines and reputational losses, the company should control transfer pricing policies and follow the regulations, such as OECD guidelines. The importance of ethical tax practices is growing, with the most dubious tax avoidance tactics undermining corporate image and relationships</w:t>
      </w:r>
      <w:r>
        <w:rPr>
          <w:rFonts w:ascii="Arial" w:eastAsia="Arial" w:hAnsi="Arial" w:cs="Arial"/>
        </w:rPr>
        <w:t xml:space="preserve"> (Bashir et al., 2022). Good visibility and adherence to standards will promote credibility and sustainability in the long run.</w:t>
      </w:r>
    </w:p>
    <w:p w14:paraId="5AEE72B9" w14:textId="77777777" w:rsidR="00E0377B" w:rsidRDefault="00977F3B">
      <w:pPr>
        <w:rPr>
          <w:rFonts w:ascii="Arial" w:eastAsia="Arial" w:hAnsi="Arial" w:cs="Arial"/>
          <w:b/>
          <w:bCs/>
          <w:i/>
          <w:iCs/>
        </w:rPr>
      </w:pPr>
      <w:r>
        <w:rPr>
          <w:rFonts w:ascii="Arial" w:eastAsia="Arial" w:hAnsi="Arial" w:cs="Arial"/>
          <w:b/>
          <w:bCs/>
          <w:i/>
          <w:iCs/>
        </w:rPr>
        <w:t>Currency Risk and Exchange Rate Exposure:</w:t>
      </w:r>
    </w:p>
    <w:p w14:paraId="08B402F8" w14:textId="77777777" w:rsidR="00E0377B" w:rsidRDefault="00977F3B">
      <w:pPr>
        <w:rPr>
          <w:rFonts w:ascii="Arial" w:eastAsia="Arial" w:hAnsi="Arial" w:cs="Arial"/>
        </w:rPr>
      </w:pPr>
      <w:r>
        <w:rPr>
          <w:rFonts w:ascii="Arial" w:eastAsia="Arial" w:hAnsi="Arial" w:cs="Arial"/>
        </w:rPr>
        <w:t>Being a multinational automotive company, Toyota is greatly exposed to currency risks because of the changes in the exchange rates. Revenues are earned in various currencies, and costs can be concentrated in certain locations, resulting in transaction and translation risks (</w:t>
      </w:r>
      <w:proofErr w:type="spellStart"/>
      <w:r>
        <w:rPr>
          <w:rFonts w:ascii="Arial" w:eastAsia="Arial" w:hAnsi="Arial" w:cs="Arial"/>
        </w:rPr>
        <w:t>Eyinade</w:t>
      </w:r>
      <w:proofErr w:type="spellEnd"/>
      <w:r>
        <w:rPr>
          <w:rFonts w:ascii="Arial" w:eastAsia="Arial" w:hAnsi="Arial" w:cs="Arial"/>
        </w:rPr>
        <w:t xml:space="preserve"> et al., 2022). As an illustration, an appreciating Japanese yen can decrease export competitiveness and decrease the reported earnings. In order to overcome these risks, Toyota can employ hedging tools, which include forward contracts and currency swaps. Proper currency risk management stabilises cash flows and cushions profitability in the unstable global markets.</w:t>
      </w:r>
    </w:p>
    <w:p w14:paraId="7CE29CD0" w14:textId="77777777" w:rsidR="00E0377B" w:rsidRDefault="00977F3B">
      <w:pPr>
        <w:rPr>
          <w:rFonts w:ascii="Arial" w:eastAsia="Arial" w:hAnsi="Arial" w:cs="Arial"/>
          <w:b/>
          <w:bCs/>
          <w:i/>
          <w:iCs/>
        </w:rPr>
      </w:pPr>
      <w:r>
        <w:rPr>
          <w:rFonts w:ascii="Arial" w:eastAsia="Arial" w:hAnsi="Arial" w:cs="Arial"/>
          <w:b/>
          <w:bCs/>
          <w:i/>
          <w:iCs/>
        </w:rPr>
        <w:t>Inflation and Cost Pressures:</w:t>
      </w:r>
    </w:p>
    <w:p w14:paraId="1CA6C4A9" w14:textId="77777777" w:rsidR="00E0377B" w:rsidRDefault="00977F3B">
      <w:pPr>
        <w:rPr>
          <w:rFonts w:ascii="Arial" w:eastAsia="Arial" w:hAnsi="Arial" w:cs="Arial"/>
        </w:rPr>
      </w:pPr>
      <w:r>
        <w:rPr>
          <w:rFonts w:ascii="Arial" w:eastAsia="Arial" w:hAnsi="Arial" w:cs="Arial"/>
        </w:rPr>
        <w:lastRenderedPageBreak/>
        <w:t>The increasing inflation rates across the globe pose an urgent threat to Toyota, especially in regard to the prices of raw materials, labour and disruptions in the supply chain. Inflation may weaken profit margins when the higher costs are not fully compensated through higher customer prices. The firm will have to implement dynamic pricing and cost control measures to keep the firm profitable. Moreover, inflationary pressures can be alleviated with the assistance of effective supply chain management and lon</w:t>
      </w:r>
      <w:r>
        <w:rPr>
          <w:rFonts w:ascii="Arial" w:eastAsia="Arial" w:hAnsi="Arial" w:cs="Arial"/>
        </w:rPr>
        <w:t>g-term supplier contracts (Bukhari and Zafar, 2025). There should be strategic financial planning to be resilient to macroeconomic fluctuations and have stable financial performance.</w:t>
      </w:r>
    </w:p>
    <w:p w14:paraId="44D34CDA" w14:textId="77777777" w:rsidR="00E0377B" w:rsidRDefault="00977F3B">
      <w:pPr>
        <w:rPr>
          <w:rFonts w:ascii="Arial" w:eastAsia="Arial" w:hAnsi="Arial" w:cs="Arial"/>
          <w:b/>
          <w:bCs/>
          <w:i/>
          <w:iCs/>
        </w:rPr>
      </w:pPr>
      <w:r>
        <w:rPr>
          <w:rFonts w:ascii="Arial" w:eastAsia="Arial" w:hAnsi="Arial" w:cs="Arial"/>
          <w:b/>
          <w:bCs/>
          <w:i/>
          <w:iCs/>
        </w:rPr>
        <w:t>“Corporate Social Responsibility (CSR)” and Ethical Sustainability:</w:t>
      </w:r>
    </w:p>
    <w:p w14:paraId="79382FA4" w14:textId="77777777" w:rsidR="00E0377B" w:rsidRDefault="00977F3B">
      <w:pPr>
        <w:rPr>
          <w:rFonts w:ascii="Arial" w:eastAsia="Arial" w:hAnsi="Arial" w:cs="Arial"/>
        </w:rPr>
      </w:pPr>
      <w:r>
        <w:rPr>
          <w:rFonts w:ascii="Arial" w:eastAsia="Arial" w:hAnsi="Arial" w:cs="Arial"/>
        </w:rPr>
        <w:t>Financial reorganisation should be in harmony with ethical considerations and corporate social responsibility (CSR) at Toyota. With the changing trend in the automotive sector towards sustainability, Toyota is likely to invest in environmentally friendly technology, including electric and hybrid vehicles. Fair labour practices, environmental conservation and community involvement are essential in the process of ensuring stakeholder trust (Dathe et al., 2022). CSR programs also increase brand recognition and</w:t>
      </w:r>
      <w:r>
        <w:rPr>
          <w:rFonts w:ascii="Arial" w:eastAsia="Arial" w:hAnsi="Arial" w:cs="Arial"/>
        </w:rPr>
        <w:t xml:space="preserve"> value-generation in the long run. Financial decision-making that incorporates sustainability makes growth responsible and consistent with the worldwide environmental principles.</w:t>
      </w:r>
    </w:p>
    <w:p w14:paraId="7B88AEB8" w14:textId="77777777" w:rsidR="00E0377B" w:rsidRDefault="00977F3B">
      <w:pPr>
        <w:pStyle w:val="Heading1"/>
      </w:pPr>
      <w:bookmarkStart w:id="15" w:name="_Toc227855497"/>
      <w:r>
        <w:t>5. “Investment Appraisal and Capital Budgeting”</w:t>
      </w:r>
      <w:bookmarkEnd w:id="15"/>
    </w:p>
    <w:p w14:paraId="45A3CAB2" w14:textId="77777777" w:rsidR="00E0377B" w:rsidRDefault="00977F3B">
      <w:pPr>
        <w:pStyle w:val="Heading2"/>
      </w:pPr>
      <w:bookmarkStart w:id="16" w:name="_Toc227855498"/>
      <w:r>
        <w:t>5.1 Overview of “PBP, ARR, NPV, PI, and IRR”</w:t>
      </w:r>
      <w:bookmarkEnd w:id="16"/>
      <w:r>
        <w:t xml:space="preserve"> </w:t>
      </w:r>
    </w:p>
    <w:p w14:paraId="37A3E043" w14:textId="77777777" w:rsidR="00E0377B" w:rsidRDefault="00977F3B">
      <w:pPr>
        <w:rPr>
          <w:rFonts w:ascii="Arial" w:eastAsia="Arial" w:hAnsi="Arial" w:cs="Arial"/>
        </w:rPr>
      </w:pPr>
      <w:r>
        <w:rPr>
          <w:rFonts w:ascii="Arial" w:eastAsia="Arial" w:hAnsi="Arial" w:cs="Arial"/>
        </w:rPr>
        <w:t>The investment appraisal methods are the key tools that are applied in the assessment of the financial feasibility of the projects and aid in making strategic decisions. “Payback Period (PBP)” is a measure of the time needed to break even the initial investment based on cash inflows (Arjunan, 2022). It is easy and applicable to risk measurement of liquidity but disregards the “time value of money” and cash flows outside the payback period. “Accounting rate of return (ARR)” is used to determine the average a</w:t>
      </w:r>
      <w:r>
        <w:rPr>
          <w:rFonts w:ascii="Arial" w:eastAsia="Arial" w:hAnsi="Arial" w:cs="Arial"/>
        </w:rPr>
        <w:t xml:space="preserve">ccounting profit percentage of the investment. It gives an understanding of profitability but is based on accounting data and not cash flows, and does not take into account the timing of returns. “Net Present Value (NPV)” is a technique used to assess </w:t>
      </w:r>
      <w:r>
        <w:rPr>
          <w:rFonts w:ascii="Arial" w:eastAsia="Arial" w:hAnsi="Arial" w:cs="Arial"/>
        </w:rPr>
        <w:lastRenderedPageBreak/>
        <w:t>the gap between the present value of cash inflows and outflows, discounted at a required rate of return (Shou, 2022). The positive NPV shows value creation and is generally considered the most dependable approach since it takes into account the cash flows as w</w:t>
      </w:r>
      <w:r>
        <w:rPr>
          <w:rFonts w:ascii="Arial" w:eastAsia="Arial" w:hAnsi="Arial" w:cs="Arial"/>
        </w:rPr>
        <w:t>ell as the time value of money. “Profitability Index (PI)” is used to assess the relationship between the present value of inflows to initial investment, and it can be used to rank projects when faced with capital constraints. Lastly, the “Internal Rate of Return (IRR)” is the discount rate at which NPV is zero, which is the expected return on a project. All the methods have distinct insights, and when combined, they can offer a comprehensive assessment model of investment decisions.</w:t>
      </w:r>
    </w:p>
    <w:p w14:paraId="24DF3CC3" w14:textId="77777777" w:rsidR="00E0377B" w:rsidRDefault="00977F3B">
      <w:pPr>
        <w:pStyle w:val="Heading2"/>
      </w:pPr>
      <w:bookmarkStart w:id="17" w:name="_Toc227855499"/>
      <w:r>
        <w:t>5.2 Investment Projects Overview</w:t>
      </w:r>
      <w:bookmarkEnd w:id="17"/>
      <w:r>
        <w:t xml:space="preserve"> </w:t>
      </w:r>
    </w:p>
    <w:p w14:paraId="232AD730" w14:textId="77777777" w:rsidR="00E0377B" w:rsidRDefault="00977F3B">
      <w:pPr>
        <w:rPr>
          <w:rFonts w:ascii="Arial" w:eastAsia="Arial" w:hAnsi="Arial" w:cs="Arial"/>
        </w:rPr>
      </w:pPr>
      <w:r>
        <w:rPr>
          <w:rFonts w:ascii="Arial" w:eastAsia="Arial" w:hAnsi="Arial" w:cs="Arial"/>
        </w:rPr>
        <w:t>The three proposed projects need a start-up amount of £50 million all each and yield different cash inflow patterns within a period of five years. Project A and B have relatively predictable returns, whereas Project C has variable but maximum inflows. Key investment appraisal techniques are used to evaluate all the projects at a discount rate of 10%.</w:t>
      </w:r>
    </w:p>
    <w:p w14:paraId="3D8E17D1" w14:textId="77777777" w:rsidR="00E0377B" w:rsidRDefault="00977F3B">
      <w:pPr>
        <w:pStyle w:val="Heading2"/>
      </w:pPr>
      <w:bookmarkStart w:id="18" w:name="_Toc227855500"/>
      <w:r>
        <w:t>5.3 Project A, B and C Evaluation</w:t>
      </w:r>
      <w:bookmarkEnd w:id="18"/>
      <w:r>
        <w:t xml:space="preserve"> </w:t>
      </w:r>
    </w:p>
    <w:p w14:paraId="0F347C6E" w14:textId="77777777" w:rsidR="00E0377B" w:rsidRDefault="00977F3B">
      <w:pPr>
        <w:jc w:val="center"/>
        <w:rPr>
          <w:rFonts w:ascii="Arial" w:eastAsia="Arial" w:hAnsi="Arial" w:cs="Arial"/>
        </w:rPr>
      </w:pPr>
      <w:r>
        <w:rPr>
          <w:rFonts w:ascii="Arial" w:eastAsia="Arial" w:hAnsi="Arial" w:cs="Arial"/>
          <w:noProof/>
        </w:rPr>
        <w:drawing>
          <wp:inline distT="114300" distB="114300" distL="114300" distR="114300" wp14:anchorId="17345462" wp14:editId="4D95EC3F">
            <wp:extent cx="4591050" cy="1000125"/>
            <wp:effectExtent l="0" t="0" r="0" b="0"/>
            <wp:docPr id="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2"/>
                    <a:srcRect/>
                    <a:stretch>
                      <a:fillRect/>
                    </a:stretch>
                  </pic:blipFill>
                  <pic:spPr>
                    <a:xfrm>
                      <a:off x="0" y="0"/>
                      <a:ext cx="4591050" cy="1000125"/>
                    </a:xfrm>
                    <a:prstGeom prst="rect">
                      <a:avLst/>
                    </a:prstGeom>
                    <a:ln/>
                  </pic:spPr>
                </pic:pic>
              </a:graphicData>
            </a:graphic>
          </wp:inline>
        </w:drawing>
      </w:r>
    </w:p>
    <w:p w14:paraId="6B9630B8" w14:textId="77777777" w:rsidR="00E0377B" w:rsidRDefault="00977F3B">
      <w:pPr>
        <w:jc w:val="center"/>
        <w:rPr>
          <w:rFonts w:ascii="Arial" w:eastAsia="Arial" w:hAnsi="Arial" w:cs="Arial"/>
          <w:b/>
          <w:bCs/>
        </w:rPr>
      </w:pPr>
      <w:r>
        <w:rPr>
          <w:rFonts w:ascii="Arial" w:eastAsia="Arial" w:hAnsi="Arial" w:cs="Arial"/>
          <w:b/>
          <w:bCs/>
        </w:rPr>
        <w:t>Figure 5.1: Investment Appraisal for Projects A, B and C</w:t>
      </w:r>
    </w:p>
    <w:p w14:paraId="7BD7FBDA" w14:textId="77777777" w:rsidR="00E0377B" w:rsidRDefault="00977F3B">
      <w:pPr>
        <w:jc w:val="center"/>
        <w:rPr>
          <w:rFonts w:ascii="Arial" w:eastAsia="Arial" w:hAnsi="Arial" w:cs="Arial"/>
        </w:rPr>
      </w:pPr>
      <w:r>
        <w:rPr>
          <w:rFonts w:ascii="Arial" w:eastAsia="Arial" w:hAnsi="Arial" w:cs="Arial"/>
        </w:rPr>
        <w:t>(Source: Excel)</w:t>
      </w:r>
    </w:p>
    <w:p w14:paraId="27E5C186" w14:textId="77777777" w:rsidR="00E0377B" w:rsidRDefault="00977F3B">
      <w:pPr>
        <w:rPr>
          <w:rFonts w:ascii="Arial" w:eastAsia="Arial" w:hAnsi="Arial" w:cs="Arial"/>
        </w:rPr>
      </w:pPr>
      <w:r>
        <w:rPr>
          <w:rFonts w:ascii="Arial" w:eastAsia="Arial" w:hAnsi="Arial" w:cs="Arial"/>
        </w:rPr>
        <w:t>Project A records a negative NPV of -£8.7m, which represents destruction of value. The project does not recover its initial investment in the period, even though PI is 1.2. The IRR of 2.7 is much less than the 10% discount rate, and the ARR is very low (1.6), which is not financially viable. Project B also yields a negative NPV of -£8.3m, indicating that it does not contribute to the shareholder value. The IRR of 3.3% is lower than the required return, even though there is a stable pattern of cash inflow an</w:t>
      </w:r>
      <w:r>
        <w:rPr>
          <w:rFonts w:ascii="Arial" w:eastAsia="Arial" w:hAnsi="Arial" w:cs="Arial"/>
        </w:rPr>
        <w:t xml:space="preserve">d PI of 1.2. ARR stands at 2.0, which is slightly greater, but not high enough to accept </w:t>
      </w:r>
      <w:r>
        <w:rPr>
          <w:rFonts w:ascii="Arial" w:eastAsia="Arial" w:hAnsi="Arial" w:cs="Arial"/>
        </w:rPr>
        <w:lastRenderedPageBreak/>
        <w:t>investment. Project C is relatively more successful and has the lowest negative NPV of -2.0m and PI of 1.0, which means that it is at the breakeven position. It is more profitable with an IRR of 8.6 percent and an ARR of 6.0 percent. Nonetheless, its acceptance is limited because the returns are less than the discount rate of 10 percent.</w:t>
      </w:r>
    </w:p>
    <w:p w14:paraId="343DF7BD" w14:textId="77777777" w:rsidR="00E0377B" w:rsidRDefault="00977F3B">
      <w:pPr>
        <w:pStyle w:val="Heading2"/>
      </w:pPr>
      <w:bookmarkStart w:id="19" w:name="_Toc227855501"/>
      <w:r>
        <w:t>5.6 Project Recommendation</w:t>
      </w:r>
      <w:bookmarkEnd w:id="19"/>
    </w:p>
    <w:p w14:paraId="4855E121" w14:textId="77777777" w:rsidR="00E0377B" w:rsidRDefault="00977F3B">
      <w:pPr>
        <w:rPr>
          <w:rFonts w:ascii="Arial" w:eastAsia="Arial" w:hAnsi="Arial" w:cs="Arial"/>
        </w:rPr>
      </w:pPr>
      <w:r>
        <w:rPr>
          <w:rFonts w:ascii="Arial" w:eastAsia="Arial" w:hAnsi="Arial" w:cs="Arial"/>
          <w:b/>
          <w:bCs/>
          <w:i/>
          <w:iCs/>
        </w:rPr>
        <w:t>Financial Performance Justification:</w:t>
      </w:r>
    </w:p>
    <w:p w14:paraId="21AA962B" w14:textId="77777777" w:rsidR="00E0377B" w:rsidRDefault="00977F3B">
      <w:pPr>
        <w:rPr>
          <w:rFonts w:ascii="Arial" w:eastAsia="Arial" w:hAnsi="Arial" w:cs="Arial"/>
        </w:rPr>
      </w:pPr>
      <w:r>
        <w:rPr>
          <w:rFonts w:ascii="Arial" w:eastAsia="Arial" w:hAnsi="Arial" w:cs="Arial"/>
        </w:rPr>
        <w:t>According to the findings of the investment appraisal, it can be suggested that Project C is the best alternative since all the projects have negative NPVs. Project C experiences the least negative NPV (-2.0m) relative to Project A (-8.7m) and Project B (-8.3m), which means that there is little destruction of value. It also has the highest IRR (8.6) and ARR (6.0), implying a relatively higher profitability. Toyota has a good financial standing, with the increase in profitability (ROCE 11.43) and liquidity (</w:t>
      </w:r>
      <w:r>
        <w:rPr>
          <w:rFonts w:ascii="Arial" w:eastAsia="Arial" w:hAnsi="Arial" w:cs="Arial"/>
        </w:rPr>
        <w:t>current ratio 1.19), so the company will be able to finance a somewhat underperforming project, provided that it is aligned with long-term strategic objectives. Project C has a comparatively better financial indicator, and thus it is the best option.</w:t>
      </w:r>
    </w:p>
    <w:p w14:paraId="284FA7AB" w14:textId="77777777" w:rsidR="00E0377B" w:rsidRDefault="00977F3B">
      <w:pPr>
        <w:rPr>
          <w:rFonts w:ascii="Arial" w:eastAsia="Arial" w:hAnsi="Arial" w:cs="Arial"/>
          <w:b/>
          <w:bCs/>
          <w:i/>
          <w:iCs/>
        </w:rPr>
      </w:pPr>
      <w:r>
        <w:rPr>
          <w:rFonts w:ascii="Arial" w:eastAsia="Arial" w:hAnsi="Arial" w:cs="Arial"/>
          <w:b/>
          <w:bCs/>
          <w:i/>
          <w:iCs/>
        </w:rPr>
        <w:t>Alignment with Liquidity and Risk Profile:</w:t>
      </w:r>
    </w:p>
    <w:p w14:paraId="12E01FDE" w14:textId="77777777" w:rsidR="00E0377B" w:rsidRDefault="00977F3B">
      <w:pPr>
        <w:rPr>
          <w:rFonts w:ascii="Arial" w:eastAsia="Arial" w:hAnsi="Arial" w:cs="Arial"/>
        </w:rPr>
      </w:pPr>
      <w:r>
        <w:rPr>
          <w:rFonts w:ascii="Arial" w:eastAsia="Arial" w:hAnsi="Arial" w:cs="Arial"/>
        </w:rPr>
        <w:t>The liquidity position of Toyota has been enhanced with time, as there is a growing cash reserve and constant cash flow generation. The company, however, also has a high cash operating cycle, which is a sign of slow cash inflows. In this regard, the increased potential of a higher return of Project C would counter the liquidity pressure from the lower returns of Projects A and B, which have the same risk of investment. Moreover, the interest coverage ratio of Toyota is high (67.16), which means that it will</w:t>
      </w:r>
      <w:r>
        <w:rPr>
          <w:rFonts w:ascii="Arial" w:eastAsia="Arial" w:hAnsi="Arial" w:cs="Arial"/>
        </w:rPr>
        <w:t xml:space="preserve"> be able to absorb the average financial risks. Hence, choosing the project that is least harmful in terms of financial impact will ensure the level of liquidity will not decrease significantly, and the working capital will not be overloaded (</w:t>
      </w:r>
      <w:proofErr w:type="spellStart"/>
      <w:r>
        <w:rPr>
          <w:rFonts w:ascii="Arial" w:eastAsia="Arial" w:hAnsi="Arial" w:cs="Arial"/>
        </w:rPr>
        <w:t>Awodire</w:t>
      </w:r>
      <w:proofErr w:type="spellEnd"/>
      <w:r>
        <w:rPr>
          <w:rFonts w:ascii="Arial" w:eastAsia="Arial" w:hAnsi="Arial" w:cs="Arial"/>
        </w:rPr>
        <w:t xml:space="preserve"> et al., 2023).</w:t>
      </w:r>
    </w:p>
    <w:p w14:paraId="3B334BD5" w14:textId="77777777" w:rsidR="00E0377B" w:rsidRDefault="00977F3B">
      <w:pPr>
        <w:rPr>
          <w:rFonts w:ascii="Arial" w:eastAsia="Arial" w:hAnsi="Arial" w:cs="Arial"/>
          <w:b/>
          <w:bCs/>
          <w:i/>
          <w:iCs/>
        </w:rPr>
      </w:pPr>
      <w:r>
        <w:rPr>
          <w:rFonts w:ascii="Arial" w:eastAsia="Arial" w:hAnsi="Arial" w:cs="Arial"/>
          <w:b/>
          <w:bCs/>
          <w:i/>
          <w:iCs/>
        </w:rPr>
        <w:t>Non-Financial Considerations and Strategic Fit:</w:t>
      </w:r>
    </w:p>
    <w:p w14:paraId="39F10F75" w14:textId="77777777" w:rsidR="00E0377B" w:rsidRDefault="00977F3B">
      <w:pPr>
        <w:rPr>
          <w:rFonts w:ascii="Arial" w:eastAsia="Arial" w:hAnsi="Arial" w:cs="Arial"/>
        </w:rPr>
      </w:pPr>
      <w:r>
        <w:rPr>
          <w:rFonts w:ascii="Arial" w:eastAsia="Arial" w:hAnsi="Arial" w:cs="Arial"/>
        </w:rPr>
        <w:t xml:space="preserve">Non-financially, Project C could prove to be more advantageous to Toyota in terms of strategic goals, especially innovation and long-term competitiveness. Technological development, including electric vehicles or digital transformation, is usually associated </w:t>
      </w:r>
      <w:r>
        <w:rPr>
          <w:rFonts w:ascii="Arial" w:eastAsia="Arial" w:hAnsi="Arial" w:cs="Arial"/>
        </w:rPr>
        <w:lastRenderedPageBreak/>
        <w:t>with projects that have a high potential for returns and are essential in the changing auto industry. In addition, loyalty and brand recognition of the customers require constant innovation and product enhancement. Sustainable technologies are also preferred by political risks such as regulatory changes and environmental policies, among others (</w:t>
      </w:r>
      <w:proofErr w:type="spellStart"/>
      <w:r>
        <w:rPr>
          <w:rFonts w:ascii="Arial" w:eastAsia="Arial" w:hAnsi="Arial" w:cs="Arial"/>
        </w:rPr>
        <w:t>Awodire</w:t>
      </w:r>
      <w:proofErr w:type="spellEnd"/>
      <w:r>
        <w:rPr>
          <w:rFonts w:ascii="Arial" w:eastAsia="Arial" w:hAnsi="Arial" w:cs="Arial"/>
        </w:rPr>
        <w:t xml:space="preserve"> et al., 2023). Despite the financial constraints in Project C, the suitability of the project in terms of future growth prospects and market demands is the b</w:t>
      </w:r>
      <w:r>
        <w:rPr>
          <w:rFonts w:ascii="Arial" w:eastAsia="Arial" w:hAnsi="Arial" w:cs="Arial"/>
        </w:rPr>
        <w:t>est strategic option.</w:t>
      </w:r>
    </w:p>
    <w:p w14:paraId="6FEAD69D" w14:textId="77777777" w:rsidR="00E0377B" w:rsidRDefault="00977F3B">
      <w:pPr>
        <w:pStyle w:val="Heading2"/>
      </w:pPr>
      <w:bookmarkStart w:id="20" w:name="_Toc227855502"/>
      <w:r>
        <w:t>5.7 Capital Rationing Decision</w:t>
      </w:r>
      <w:bookmarkEnd w:id="20"/>
    </w:p>
    <w:p w14:paraId="1F384072" w14:textId="77777777" w:rsidR="00E0377B" w:rsidRDefault="00977F3B">
      <w:pPr>
        <w:rPr>
          <w:rFonts w:ascii="Arial" w:eastAsia="Arial" w:hAnsi="Arial" w:cs="Arial"/>
        </w:rPr>
      </w:pPr>
      <w:r>
        <w:rPr>
          <w:rFonts w:ascii="Arial" w:eastAsia="Arial" w:hAnsi="Arial" w:cs="Arial"/>
          <w:b/>
          <w:bCs/>
          <w:i/>
          <w:iCs/>
        </w:rPr>
        <w:t>Evaluation under Capital Constraint:</w:t>
      </w:r>
    </w:p>
    <w:p w14:paraId="4C0D0F2F" w14:textId="77777777" w:rsidR="00E0377B" w:rsidRDefault="00977F3B">
      <w:pPr>
        <w:rPr>
          <w:rFonts w:ascii="Arial" w:eastAsia="Arial" w:hAnsi="Arial" w:cs="Arial"/>
        </w:rPr>
      </w:pPr>
      <w:r>
        <w:rPr>
          <w:rFonts w:ascii="Arial" w:eastAsia="Arial" w:hAnsi="Arial" w:cs="Arial"/>
        </w:rPr>
        <w:t>Toyota is limited to choosing two among the three projects because each project needs 50 million pounds, under a capital rationing limit of 100 million pounds. It is aimed at maximising total returns with minimum value destruction. According to the findings, Project C is lowest in negative NPV (-£2.0m), with Project B (-£8.3m) and Project A (-£8.7m). Thus, Project C, in combination with Project A or B, is better than choosing A and B. Projects B and C (-£10.3m) have a better NPV than Projects A and B (-£17.</w:t>
      </w:r>
      <w:r>
        <w:rPr>
          <w:rFonts w:ascii="Arial" w:eastAsia="Arial" w:hAnsi="Arial" w:cs="Arial"/>
        </w:rPr>
        <w:t>0m) and a little better than Projects A and C (-£10.7m). Therefore, the capital constraint gives the most unfavourable financial result to Projects B and C.</w:t>
      </w:r>
    </w:p>
    <w:p w14:paraId="2C0C59A3" w14:textId="77777777" w:rsidR="00E0377B" w:rsidRDefault="00977F3B">
      <w:pPr>
        <w:rPr>
          <w:rFonts w:ascii="Arial" w:eastAsia="Arial" w:hAnsi="Arial" w:cs="Arial"/>
        </w:rPr>
      </w:pPr>
      <w:r>
        <w:rPr>
          <w:rFonts w:ascii="Arial" w:eastAsia="Arial" w:hAnsi="Arial" w:cs="Arial"/>
          <w:b/>
          <w:bCs/>
          <w:i/>
          <w:iCs/>
        </w:rPr>
        <w:t>Profitability and Ranking Considerations:</w:t>
      </w:r>
    </w:p>
    <w:p w14:paraId="70D79AB4" w14:textId="77777777" w:rsidR="00E0377B" w:rsidRDefault="00977F3B">
      <w:pPr>
        <w:rPr>
          <w:rFonts w:ascii="Arial" w:eastAsia="Arial" w:hAnsi="Arial" w:cs="Arial"/>
        </w:rPr>
      </w:pPr>
      <w:r>
        <w:rPr>
          <w:rFonts w:ascii="Arial" w:eastAsia="Arial" w:hAnsi="Arial" w:cs="Arial"/>
        </w:rPr>
        <w:t xml:space="preserve">The decision is enhanced by using profitability indicators, including IRR and PI. Project C is the most appealing investment with the highest IRR (8.6) and the highest ARR (6.0). Project B has the next IRR of 3.3% and stable cash flows, whereas Project A has the weakest returns. Even though the PI (1.2) in both Projects A and B are alike, Project B is chosen because it has a little higher returns and consistency. Thus, the choice of Projects B and C guarantees a more appropriate trade-off between stability </w:t>
      </w:r>
      <w:r>
        <w:rPr>
          <w:rFonts w:ascii="Arial" w:eastAsia="Arial" w:hAnsi="Arial" w:cs="Arial"/>
        </w:rPr>
        <w:t>(Project B) and an increase in the potential of returns (Project C). This strategy is in line with the principles of capital rationing, where projects are prioritised according to their profitability and are chosen based on budget constraints.</w:t>
      </w:r>
    </w:p>
    <w:p w14:paraId="1A56D917" w14:textId="77777777" w:rsidR="00E0377B" w:rsidRDefault="00977F3B">
      <w:pPr>
        <w:rPr>
          <w:rFonts w:ascii="Arial" w:eastAsia="Arial" w:hAnsi="Arial" w:cs="Arial"/>
          <w:b/>
          <w:bCs/>
          <w:i/>
          <w:iCs/>
        </w:rPr>
      </w:pPr>
      <w:r>
        <w:rPr>
          <w:rFonts w:ascii="Arial" w:eastAsia="Arial" w:hAnsi="Arial" w:cs="Arial"/>
          <w:b/>
          <w:bCs/>
          <w:i/>
          <w:iCs/>
        </w:rPr>
        <w:t>Strategic and Risk Considerations:</w:t>
      </w:r>
    </w:p>
    <w:p w14:paraId="10D2F7D6" w14:textId="77777777" w:rsidR="00E0377B" w:rsidRDefault="00977F3B">
      <w:pPr>
        <w:rPr>
          <w:rFonts w:ascii="Arial" w:eastAsia="Arial" w:hAnsi="Arial" w:cs="Arial"/>
        </w:rPr>
      </w:pPr>
      <w:r>
        <w:rPr>
          <w:rFonts w:ascii="Arial" w:eastAsia="Arial" w:hAnsi="Arial" w:cs="Arial"/>
        </w:rPr>
        <w:lastRenderedPageBreak/>
        <w:t xml:space="preserve">Strategically, it is better to combine Projects B and C as it will provide diversification of cash flows and less overall risk exposure. Project B offers predictable and stable returns, which will help in sustaining liquidity, whereas Project C offers greater growth potential, which is in line with the innovation strategy of Toyota. This is also a combination that reduces financial risk as it does not </w:t>
      </w:r>
      <w:proofErr w:type="spellStart"/>
      <w:r>
        <w:rPr>
          <w:rFonts w:ascii="Arial" w:eastAsia="Arial" w:hAnsi="Arial" w:cs="Arial"/>
        </w:rPr>
        <w:t>overdepend</w:t>
      </w:r>
      <w:proofErr w:type="spellEnd"/>
      <w:r>
        <w:rPr>
          <w:rFonts w:ascii="Arial" w:eastAsia="Arial" w:hAnsi="Arial" w:cs="Arial"/>
        </w:rPr>
        <w:t xml:space="preserve"> on a given project. Also, since Toyota is financially sound and requires long-term competitiveness, resilience is improved by investing in a portfolio of stable and high-return projects. This balanced investment decision is further supported by non-financial considerations like market demand, technological advancement, and regulatory pressures (</w:t>
      </w:r>
      <w:proofErr w:type="spellStart"/>
      <w:r>
        <w:rPr>
          <w:rFonts w:ascii="Arial" w:eastAsia="Arial" w:hAnsi="Arial" w:cs="Arial"/>
        </w:rPr>
        <w:t>Purnamasari</w:t>
      </w:r>
      <w:proofErr w:type="spellEnd"/>
      <w:r>
        <w:rPr>
          <w:rFonts w:ascii="Arial" w:eastAsia="Arial" w:hAnsi="Arial" w:cs="Arial"/>
        </w:rPr>
        <w:t xml:space="preserve"> and </w:t>
      </w:r>
      <w:proofErr w:type="spellStart"/>
      <w:r>
        <w:rPr>
          <w:rFonts w:ascii="Arial" w:eastAsia="Arial" w:hAnsi="Arial" w:cs="Arial"/>
        </w:rPr>
        <w:t>Adriza</w:t>
      </w:r>
      <w:proofErr w:type="spellEnd"/>
      <w:r>
        <w:rPr>
          <w:rFonts w:ascii="Arial" w:eastAsia="Arial" w:hAnsi="Arial" w:cs="Arial"/>
        </w:rPr>
        <w:t>, 2024).</w:t>
      </w:r>
    </w:p>
    <w:p w14:paraId="087A943A" w14:textId="77777777" w:rsidR="00E0377B" w:rsidRDefault="00977F3B">
      <w:pPr>
        <w:pStyle w:val="Heading1"/>
      </w:pPr>
      <w:bookmarkStart w:id="21" w:name="_Toc227855503"/>
      <w:r>
        <w:t>6. Conclusion</w:t>
      </w:r>
      <w:bookmarkEnd w:id="21"/>
      <w:r>
        <w:t xml:space="preserve"> </w:t>
      </w:r>
    </w:p>
    <w:p w14:paraId="6195337C" w14:textId="77777777" w:rsidR="00E0377B" w:rsidRDefault="00977F3B">
      <w:pPr>
        <w:rPr>
          <w:rFonts w:ascii="Arial" w:eastAsia="Arial" w:hAnsi="Arial" w:cs="Arial"/>
        </w:rPr>
      </w:pPr>
      <w:r>
        <w:rPr>
          <w:rFonts w:ascii="Arial" w:eastAsia="Arial" w:hAnsi="Arial" w:cs="Arial"/>
        </w:rPr>
        <w:t>This report has critically assessed the financial performance, working capital management, restructuring strategies and investment decisions in the Toyota company in the background of the dynamic automotive industry. Financial analysis shows that Toyota has recorded a high increase in revenue, profitability, and the equity of shareholders within the five years, which has been enabled by the enhancement of the efficiency of its operations and internationalisation. Liquidity has improved to a moderate degree,</w:t>
      </w:r>
      <w:r>
        <w:rPr>
          <w:rFonts w:ascii="Arial" w:eastAsia="Arial" w:hAnsi="Arial" w:cs="Arial"/>
        </w:rPr>
        <w:t xml:space="preserve"> but the high cash operating cycle indicates the inefficiencies in its receivables management that need to be addressed strategically.</w:t>
      </w:r>
    </w:p>
    <w:p w14:paraId="33E501A7" w14:textId="77777777" w:rsidR="00E0377B" w:rsidRDefault="00977F3B">
      <w:pPr>
        <w:rPr>
          <w:rFonts w:ascii="Arial" w:eastAsia="Arial" w:hAnsi="Arial" w:cs="Arial"/>
        </w:rPr>
      </w:pPr>
      <w:r>
        <w:rPr>
          <w:rFonts w:ascii="Arial" w:eastAsia="Arial" w:hAnsi="Arial" w:cs="Arial"/>
        </w:rPr>
        <w:t>The working capital analysis highlighted the necessity to reform the management of receivables, inventory and payables to improve liquidity and cash flow delays. In addition, the financial restructuring plan suggested divestiture, strategic partnership and equity optimisation as some of the strategies to enhance financial flexibility and long-term sustainability. These strategies were assessed on the basis of how they have positively affected shareholder value, risk mitigation, operational flexibility, as w</w:t>
      </w:r>
      <w:r>
        <w:rPr>
          <w:rFonts w:ascii="Arial" w:eastAsia="Arial" w:hAnsi="Arial" w:cs="Arial"/>
        </w:rPr>
        <w:t xml:space="preserve">ell as international and ethical considerations, including taxation, currency risk, inflation and corporate social responsibility. Investment appraisal showed that all the projects yield negative NPVs but the most viable project was determined to be Project C because of the relatively higher returns and strategic fit. In the case of capital rationing, Projects B and C were suggested as a mix to maximise returns and reduce financial risk. In general, Toyota stands in a good position to achieve sustainable </w:t>
      </w:r>
      <w:r>
        <w:rPr>
          <w:rFonts w:ascii="Arial" w:eastAsia="Arial" w:hAnsi="Arial" w:cs="Arial"/>
        </w:rPr>
        <w:lastRenderedPageBreak/>
        <w:t>gr</w:t>
      </w:r>
      <w:r>
        <w:rPr>
          <w:rFonts w:ascii="Arial" w:eastAsia="Arial" w:hAnsi="Arial" w:cs="Arial"/>
        </w:rPr>
        <w:t>owth, given that it enhances liquidity management and aligns investments with its long-term strategic goals.</w:t>
      </w:r>
      <w:r>
        <w:br w:type="page"/>
      </w:r>
    </w:p>
    <w:p w14:paraId="737D22D4" w14:textId="77777777" w:rsidR="00E0377B" w:rsidRDefault="00977F3B">
      <w:pPr>
        <w:pStyle w:val="Heading1"/>
      </w:pPr>
      <w:bookmarkStart w:id="22" w:name="_Toc227855504"/>
      <w:r>
        <w:lastRenderedPageBreak/>
        <w:t>7. References</w:t>
      </w:r>
      <w:bookmarkEnd w:id="22"/>
    </w:p>
    <w:p w14:paraId="22AE23F1"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Purnamasari</w:t>
      </w:r>
      <w:proofErr w:type="spellEnd"/>
      <w:r w:rsidRPr="005A45AB">
        <w:rPr>
          <w:rFonts w:ascii="Arial" w:eastAsia="Arial" w:hAnsi="Arial" w:cs="Arial"/>
        </w:rPr>
        <w:t xml:space="preserve">, P. and </w:t>
      </w:r>
      <w:proofErr w:type="spellStart"/>
      <w:r w:rsidRPr="005A45AB">
        <w:rPr>
          <w:rFonts w:ascii="Arial" w:eastAsia="Arial" w:hAnsi="Arial" w:cs="Arial"/>
        </w:rPr>
        <w:t>Adriza</w:t>
      </w:r>
      <w:proofErr w:type="spellEnd"/>
      <w:r w:rsidRPr="005A45AB">
        <w:rPr>
          <w:rFonts w:ascii="Arial" w:eastAsia="Arial" w:hAnsi="Arial" w:cs="Arial"/>
        </w:rPr>
        <w:t xml:space="preserve">, 2024. Capital budgeting techniques and financial performance: a comparison between SMEs and large listed firms. </w:t>
      </w:r>
      <w:r w:rsidRPr="005A45AB">
        <w:rPr>
          <w:rFonts w:ascii="Arial" w:eastAsia="Arial" w:hAnsi="Arial" w:cs="Arial"/>
          <w:i/>
          <w:iCs/>
        </w:rPr>
        <w:t>Cogent Economics &amp; Finance</w:t>
      </w:r>
      <w:r w:rsidRPr="005A45AB">
        <w:rPr>
          <w:rFonts w:ascii="Arial" w:eastAsia="Arial" w:hAnsi="Arial" w:cs="Arial"/>
        </w:rPr>
        <w:t xml:space="preserve">, </w:t>
      </w:r>
      <w:r w:rsidRPr="005A45AB">
        <w:rPr>
          <w:rFonts w:ascii="Arial" w:eastAsia="Arial" w:hAnsi="Arial" w:cs="Arial"/>
          <w:i/>
          <w:iCs/>
        </w:rPr>
        <w:t>12</w:t>
      </w:r>
      <w:r w:rsidRPr="005A45AB">
        <w:rPr>
          <w:rFonts w:ascii="Arial" w:eastAsia="Arial" w:hAnsi="Arial" w:cs="Arial"/>
        </w:rPr>
        <w:t xml:space="preserve">(1), p.2404707. </w:t>
      </w:r>
      <w:hyperlink r:id="rId23">
        <w:r w:rsidR="00E0377B" w:rsidRPr="005A45AB">
          <w:rPr>
            <w:rFonts w:ascii="Arial" w:eastAsia="Arial" w:hAnsi="Arial" w:cs="Arial"/>
            <w:color w:val="1155CC"/>
            <w:u w:val="single"/>
          </w:rPr>
          <w:t>https://www.tandfonline.com/doi/pdf/10.1080/23322039.2024.2404707</w:t>
        </w:r>
      </w:hyperlink>
      <w:r w:rsidRPr="005A45AB">
        <w:rPr>
          <w:rFonts w:ascii="Arial" w:eastAsia="Arial" w:hAnsi="Arial" w:cs="Arial"/>
        </w:rPr>
        <w:t xml:space="preserve"> </w:t>
      </w:r>
    </w:p>
    <w:p w14:paraId="0DA59105"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Awodire</w:t>
      </w:r>
      <w:proofErr w:type="spellEnd"/>
      <w:r w:rsidRPr="005A45AB">
        <w:rPr>
          <w:rFonts w:ascii="Arial" w:eastAsia="Arial" w:hAnsi="Arial" w:cs="Arial"/>
        </w:rPr>
        <w:t xml:space="preserve">, M., Agboola, O., </w:t>
      </w:r>
      <w:proofErr w:type="spellStart"/>
      <w:r w:rsidRPr="005A45AB">
        <w:rPr>
          <w:rFonts w:ascii="Arial" w:eastAsia="Arial" w:hAnsi="Arial" w:cs="Arial"/>
        </w:rPr>
        <w:t>Ogundojutimi</w:t>
      </w:r>
      <w:proofErr w:type="spellEnd"/>
      <w:r w:rsidRPr="005A45AB">
        <w:rPr>
          <w:rFonts w:ascii="Arial" w:eastAsia="Arial" w:hAnsi="Arial" w:cs="Arial"/>
        </w:rPr>
        <w:t xml:space="preserve">, O. and </w:t>
      </w:r>
      <w:proofErr w:type="spellStart"/>
      <w:r w:rsidRPr="005A45AB">
        <w:rPr>
          <w:rFonts w:ascii="Arial" w:eastAsia="Arial" w:hAnsi="Arial" w:cs="Arial"/>
        </w:rPr>
        <w:t>Odumuwagun</w:t>
      </w:r>
      <w:proofErr w:type="spellEnd"/>
      <w:r w:rsidRPr="005A45AB">
        <w:rPr>
          <w:rFonts w:ascii="Arial" w:eastAsia="Arial" w:hAnsi="Arial" w:cs="Arial"/>
        </w:rPr>
        <w:t xml:space="preserve">, O., 2023. Capital budgeting and financial investment appraisal: A review of archival literature. </w:t>
      </w:r>
      <w:r w:rsidRPr="005A45AB">
        <w:rPr>
          <w:rFonts w:ascii="Arial" w:eastAsia="Arial" w:hAnsi="Arial" w:cs="Arial"/>
          <w:i/>
          <w:iCs/>
        </w:rPr>
        <w:t>American Journal of Multidisciplinary Research in Africa</w:t>
      </w:r>
      <w:r w:rsidRPr="005A45AB">
        <w:rPr>
          <w:rFonts w:ascii="Arial" w:eastAsia="Arial" w:hAnsi="Arial" w:cs="Arial"/>
        </w:rPr>
        <w:t xml:space="preserve">, </w:t>
      </w:r>
      <w:r w:rsidRPr="005A45AB">
        <w:rPr>
          <w:rFonts w:ascii="Arial" w:eastAsia="Arial" w:hAnsi="Arial" w:cs="Arial"/>
          <w:i/>
          <w:iCs/>
        </w:rPr>
        <w:t>3</w:t>
      </w:r>
      <w:r w:rsidRPr="005A45AB">
        <w:rPr>
          <w:rFonts w:ascii="Arial" w:eastAsia="Arial" w:hAnsi="Arial" w:cs="Arial"/>
        </w:rPr>
        <w:t xml:space="preserve">(10.58314). </w:t>
      </w:r>
      <w:hyperlink r:id="rId24">
        <w:r w:rsidR="00E0377B" w:rsidRPr="005A45AB">
          <w:rPr>
            <w:rFonts w:ascii="Arial" w:eastAsia="Arial" w:hAnsi="Arial" w:cs="Arial"/>
            <w:color w:val="1155CC"/>
            <w:u w:val="single"/>
          </w:rPr>
          <w:t>https://www.academia.edu/download/115377930/Capital_Budgeting_and_Financial_Investme.pdf</w:t>
        </w:r>
      </w:hyperlink>
      <w:r w:rsidRPr="005A45AB">
        <w:rPr>
          <w:rFonts w:ascii="Arial" w:eastAsia="Arial" w:hAnsi="Arial" w:cs="Arial"/>
        </w:rPr>
        <w:t xml:space="preserve"> </w:t>
      </w:r>
    </w:p>
    <w:p w14:paraId="23B936B3"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Shou, T., 2022, July. A literature review on the net present value (NPV) valuation method. In </w:t>
      </w:r>
      <w:r w:rsidRPr="005A45AB">
        <w:rPr>
          <w:rFonts w:ascii="Arial" w:eastAsia="Arial" w:hAnsi="Arial" w:cs="Arial"/>
          <w:i/>
          <w:iCs/>
        </w:rPr>
        <w:t>2022 2nd International Conference on Enterprise Management and Economic Development (ICEMED 2022)</w:t>
      </w:r>
      <w:r w:rsidRPr="005A45AB">
        <w:rPr>
          <w:rFonts w:ascii="Arial" w:eastAsia="Arial" w:hAnsi="Arial" w:cs="Arial"/>
        </w:rPr>
        <w:t xml:space="preserve"> (pp. 826-830). Atlantis Press. </w:t>
      </w:r>
      <w:hyperlink r:id="rId25">
        <w:r w:rsidR="00E0377B" w:rsidRPr="005A45AB">
          <w:rPr>
            <w:rFonts w:ascii="Arial" w:eastAsia="Arial" w:hAnsi="Arial" w:cs="Arial"/>
            <w:color w:val="1155CC"/>
            <w:u w:val="single"/>
          </w:rPr>
          <w:t>https://www.atlantis-press.com/article/125975449.pdf</w:t>
        </w:r>
      </w:hyperlink>
      <w:r w:rsidRPr="005A45AB">
        <w:rPr>
          <w:rFonts w:ascii="Arial" w:eastAsia="Arial" w:hAnsi="Arial" w:cs="Arial"/>
        </w:rPr>
        <w:t xml:space="preserve"> </w:t>
      </w:r>
    </w:p>
    <w:p w14:paraId="13742841"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Arjunan, K., 2022. A new method to estimate NPV and IRR from the capital amortization schedule and the advantages of the new method. </w:t>
      </w:r>
      <w:r w:rsidRPr="005A45AB">
        <w:rPr>
          <w:rFonts w:ascii="Arial" w:eastAsia="Arial" w:hAnsi="Arial" w:cs="Arial"/>
          <w:i/>
          <w:iCs/>
        </w:rPr>
        <w:t>Australasian Accounting, Business and Finance Journal</w:t>
      </w:r>
      <w:r w:rsidRPr="005A45AB">
        <w:rPr>
          <w:rFonts w:ascii="Arial" w:eastAsia="Arial" w:hAnsi="Arial" w:cs="Arial"/>
        </w:rPr>
        <w:t xml:space="preserve">, </w:t>
      </w:r>
      <w:r w:rsidRPr="005A45AB">
        <w:rPr>
          <w:rFonts w:ascii="Arial" w:eastAsia="Arial" w:hAnsi="Arial" w:cs="Arial"/>
          <w:i/>
          <w:iCs/>
        </w:rPr>
        <w:t>16</w:t>
      </w:r>
      <w:r w:rsidRPr="005A45AB">
        <w:rPr>
          <w:rFonts w:ascii="Arial" w:eastAsia="Arial" w:hAnsi="Arial" w:cs="Arial"/>
        </w:rPr>
        <w:t xml:space="preserve">(6). </w:t>
      </w:r>
      <w:hyperlink r:id="rId26">
        <w:r w:rsidR="00E0377B" w:rsidRPr="005A45AB">
          <w:rPr>
            <w:rFonts w:ascii="Arial" w:eastAsia="Arial" w:hAnsi="Arial" w:cs="Arial"/>
            <w:color w:val="1155CC"/>
            <w:u w:val="single"/>
          </w:rPr>
          <w:t>https://www.uowoajournals.org/aabfj/article/id/941/download/pdf/</w:t>
        </w:r>
      </w:hyperlink>
      <w:r w:rsidRPr="005A45AB">
        <w:rPr>
          <w:rFonts w:ascii="Arial" w:eastAsia="Arial" w:hAnsi="Arial" w:cs="Arial"/>
        </w:rPr>
        <w:t xml:space="preserve"> </w:t>
      </w:r>
    </w:p>
    <w:p w14:paraId="6A38F411"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Dathe, T., Dathe, R., Dathe, I. and Helmold, M., 2022. </w:t>
      </w:r>
      <w:r w:rsidRPr="005A45AB">
        <w:rPr>
          <w:rFonts w:ascii="Arial" w:eastAsia="Arial" w:hAnsi="Arial" w:cs="Arial"/>
          <w:i/>
          <w:iCs/>
        </w:rPr>
        <w:t>Corporate social responsibility (CSR), sustainability and environmental social governance (ESG): Approaches to ethical management</w:t>
      </w:r>
      <w:r w:rsidRPr="005A45AB">
        <w:rPr>
          <w:rFonts w:ascii="Arial" w:eastAsia="Arial" w:hAnsi="Arial" w:cs="Arial"/>
        </w:rPr>
        <w:t xml:space="preserve">. Berlin, Germany: Springer. </w:t>
      </w:r>
      <w:hyperlink r:id="rId27">
        <w:r w:rsidR="00E0377B" w:rsidRPr="005A45AB">
          <w:rPr>
            <w:rFonts w:ascii="Arial" w:eastAsia="Arial" w:hAnsi="Arial" w:cs="Arial"/>
            <w:color w:val="1155CC"/>
            <w:u w:val="single"/>
          </w:rPr>
          <w:t>https://link.springer.com/book/10.1007/978-3-030-92357-0?source=shoppingads&amp;locale=en-jp</w:t>
        </w:r>
      </w:hyperlink>
      <w:r w:rsidRPr="005A45AB">
        <w:rPr>
          <w:rFonts w:ascii="Arial" w:eastAsia="Arial" w:hAnsi="Arial" w:cs="Arial"/>
        </w:rPr>
        <w:t xml:space="preserve"> </w:t>
      </w:r>
    </w:p>
    <w:p w14:paraId="25F821B2"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Bukhari, S.D. and Zafar, I. eds., 2025. </w:t>
      </w:r>
      <w:r w:rsidRPr="005A45AB">
        <w:rPr>
          <w:rFonts w:ascii="Arial" w:eastAsia="Arial" w:hAnsi="Arial" w:cs="Arial"/>
          <w:i/>
          <w:iCs/>
        </w:rPr>
        <w:t>Supply Chain Disruptions and Impact on Global Inflation</w:t>
      </w:r>
      <w:r w:rsidRPr="005A45AB">
        <w:rPr>
          <w:rFonts w:ascii="Arial" w:eastAsia="Arial" w:hAnsi="Arial" w:cs="Arial"/>
        </w:rPr>
        <w:t xml:space="preserve">. IGI Global. </w:t>
      </w:r>
      <w:hyperlink r:id="rId28">
        <w:r w:rsidR="00E0377B" w:rsidRPr="005A45AB">
          <w:rPr>
            <w:rFonts w:ascii="Arial" w:eastAsia="Arial" w:hAnsi="Arial" w:cs="Arial"/>
            <w:color w:val="1155CC"/>
            <w:u w:val="single"/>
          </w:rPr>
          <w:t>https://books.google.com/books?hl=en&amp;lr=&amp;id=6pBkEQAAQBAJ&amp;oi=fnd&amp;pg=PP1&amp;dq=Inflation+and+Cost+Pressures:+Rising+global+inflation+presents+a+critical+challenge+for+Toyota,+particularly+in+terms+of+raw+material+costs,+labour+expenses,+and+supply+chain+disruptions&amp;ots=1rJOIy_GK7&amp;sig=7TkAztuPhcjcZcES0q8GDj81geA</w:t>
        </w:r>
      </w:hyperlink>
      <w:r w:rsidRPr="005A45AB">
        <w:rPr>
          <w:rFonts w:ascii="Arial" w:eastAsia="Arial" w:hAnsi="Arial" w:cs="Arial"/>
        </w:rPr>
        <w:t xml:space="preserve"> </w:t>
      </w:r>
    </w:p>
    <w:p w14:paraId="3B316442"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lastRenderedPageBreak/>
        <w:t>Eyinade</w:t>
      </w:r>
      <w:proofErr w:type="spellEnd"/>
      <w:r w:rsidRPr="005A45AB">
        <w:rPr>
          <w:rFonts w:ascii="Arial" w:eastAsia="Arial" w:hAnsi="Arial" w:cs="Arial"/>
        </w:rPr>
        <w:t xml:space="preserve">, W., </w:t>
      </w:r>
      <w:proofErr w:type="spellStart"/>
      <w:r w:rsidRPr="005A45AB">
        <w:rPr>
          <w:rFonts w:ascii="Arial" w:eastAsia="Arial" w:hAnsi="Arial" w:cs="Arial"/>
        </w:rPr>
        <w:t>Ezeilo</w:t>
      </w:r>
      <w:proofErr w:type="spellEnd"/>
      <w:r w:rsidRPr="005A45AB">
        <w:rPr>
          <w:rFonts w:ascii="Arial" w:eastAsia="Arial" w:hAnsi="Arial" w:cs="Arial"/>
        </w:rPr>
        <w:t xml:space="preserve">, O.J. and </w:t>
      </w:r>
      <w:proofErr w:type="spellStart"/>
      <w:r w:rsidRPr="005A45AB">
        <w:rPr>
          <w:rFonts w:ascii="Arial" w:eastAsia="Arial" w:hAnsi="Arial" w:cs="Arial"/>
        </w:rPr>
        <w:t>Ogundeji</w:t>
      </w:r>
      <w:proofErr w:type="spellEnd"/>
      <w:r w:rsidRPr="005A45AB">
        <w:rPr>
          <w:rFonts w:ascii="Arial" w:eastAsia="Arial" w:hAnsi="Arial" w:cs="Arial"/>
        </w:rPr>
        <w:t xml:space="preserve">, I.A., 2022. A framework for managing currency risk and exchange rate exposure in international energy investment portfolios. </w:t>
      </w:r>
      <w:r w:rsidRPr="005A45AB">
        <w:rPr>
          <w:rFonts w:ascii="Arial" w:eastAsia="Arial" w:hAnsi="Arial" w:cs="Arial"/>
          <w:i/>
          <w:iCs/>
        </w:rPr>
        <w:t>International Journal of Scientific Research in Civil Engineering</w:t>
      </w:r>
      <w:r w:rsidRPr="005A45AB">
        <w:rPr>
          <w:rFonts w:ascii="Arial" w:eastAsia="Arial" w:hAnsi="Arial" w:cs="Arial"/>
        </w:rPr>
        <w:t xml:space="preserve">, </w:t>
      </w:r>
      <w:r w:rsidRPr="005A45AB">
        <w:rPr>
          <w:rFonts w:ascii="Arial" w:eastAsia="Arial" w:hAnsi="Arial" w:cs="Arial"/>
          <w:i/>
          <w:iCs/>
        </w:rPr>
        <w:t>6</w:t>
      </w:r>
      <w:r w:rsidRPr="005A45AB">
        <w:rPr>
          <w:rFonts w:ascii="Arial" w:eastAsia="Arial" w:hAnsi="Arial" w:cs="Arial"/>
        </w:rPr>
        <w:t xml:space="preserve">(6), pp.218-230. </w:t>
      </w:r>
      <w:hyperlink r:id="rId29">
        <w:r w:rsidR="00E0377B" w:rsidRPr="005A45AB">
          <w:rPr>
            <w:rFonts w:ascii="Arial" w:eastAsia="Arial" w:hAnsi="Arial" w:cs="Arial"/>
            <w:color w:val="1155CC"/>
            <w:u w:val="single"/>
          </w:rPr>
          <w: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w:t>
        </w:r>
      </w:hyperlink>
      <w:r w:rsidRPr="005A45AB">
        <w:rPr>
          <w:rFonts w:ascii="Arial" w:eastAsia="Arial" w:hAnsi="Arial" w:cs="Arial"/>
        </w:rPr>
        <w:t xml:space="preserve"> </w:t>
      </w:r>
    </w:p>
    <w:p w14:paraId="70E01376"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Bashir, M.F., Ma, B., Bashir, M.A., Radulescu, M. and Shahzad, U., 2022. Investigating the role of environmental taxes and regulations for renewable energy consumption: evidence from developed economies. </w:t>
      </w:r>
      <w:r w:rsidRPr="005A45AB">
        <w:rPr>
          <w:rFonts w:ascii="Arial" w:eastAsia="Arial" w:hAnsi="Arial" w:cs="Arial"/>
          <w:i/>
          <w:iCs/>
        </w:rPr>
        <w:t>Economic Research-</w:t>
      </w:r>
      <w:proofErr w:type="spellStart"/>
      <w:r w:rsidRPr="005A45AB">
        <w:rPr>
          <w:rFonts w:ascii="Arial" w:eastAsia="Arial" w:hAnsi="Arial" w:cs="Arial"/>
          <w:i/>
          <w:iCs/>
        </w:rPr>
        <w:t>Ekonomska</w:t>
      </w:r>
      <w:proofErr w:type="spellEnd"/>
      <w:r w:rsidRPr="005A45AB">
        <w:rPr>
          <w:rFonts w:ascii="Arial" w:eastAsia="Arial" w:hAnsi="Arial" w:cs="Arial"/>
          <w:i/>
          <w:iCs/>
        </w:rPr>
        <w:t xml:space="preserve"> </w:t>
      </w:r>
      <w:proofErr w:type="spellStart"/>
      <w:r w:rsidRPr="005A45AB">
        <w:rPr>
          <w:rFonts w:ascii="Arial" w:eastAsia="Arial" w:hAnsi="Arial" w:cs="Arial"/>
          <w:i/>
          <w:iCs/>
        </w:rPr>
        <w:t>Istraživanja</w:t>
      </w:r>
      <w:proofErr w:type="spellEnd"/>
      <w:r w:rsidRPr="005A45AB">
        <w:rPr>
          <w:rFonts w:ascii="Arial" w:eastAsia="Arial" w:hAnsi="Arial" w:cs="Arial"/>
        </w:rPr>
        <w:t xml:space="preserve">, </w:t>
      </w:r>
      <w:r w:rsidRPr="005A45AB">
        <w:rPr>
          <w:rFonts w:ascii="Arial" w:eastAsia="Arial" w:hAnsi="Arial" w:cs="Arial"/>
          <w:i/>
          <w:iCs/>
        </w:rPr>
        <w:t>35</w:t>
      </w:r>
      <w:r w:rsidRPr="005A45AB">
        <w:rPr>
          <w:rFonts w:ascii="Arial" w:eastAsia="Arial" w:hAnsi="Arial" w:cs="Arial"/>
        </w:rPr>
        <w:t xml:space="preserve">(1), pp.1262-1284. </w:t>
      </w:r>
      <w:hyperlink r:id="rId30">
        <w:r w:rsidR="00E0377B" w:rsidRPr="005A45AB">
          <w:rPr>
            <w:rFonts w:ascii="Arial" w:eastAsia="Arial" w:hAnsi="Arial" w:cs="Arial"/>
            <w:color w:val="1155CC"/>
            <w:u w:val="single"/>
          </w:rPr>
          <w:t>https://hrcak.srce.hr/file/435668</w:t>
        </w:r>
      </w:hyperlink>
      <w:r w:rsidRPr="005A45AB">
        <w:rPr>
          <w:rFonts w:ascii="Arial" w:eastAsia="Arial" w:hAnsi="Arial" w:cs="Arial"/>
        </w:rPr>
        <w:t xml:space="preserve"> </w:t>
      </w:r>
    </w:p>
    <w:p w14:paraId="5F578DC0"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Wang, D., 2024. The role of fair value accounting in debt structure decisions: evidence from priority structure and financial flexibility. </w:t>
      </w:r>
      <w:r w:rsidRPr="005A45AB">
        <w:rPr>
          <w:rFonts w:ascii="Arial" w:eastAsia="Arial" w:hAnsi="Arial" w:cs="Arial"/>
          <w:i/>
          <w:iCs/>
        </w:rPr>
        <w:t>The International Journal of Accounting</w:t>
      </w:r>
      <w:r w:rsidRPr="005A45AB">
        <w:rPr>
          <w:rFonts w:ascii="Arial" w:eastAsia="Arial" w:hAnsi="Arial" w:cs="Arial"/>
        </w:rPr>
        <w:t xml:space="preserve">, </w:t>
      </w:r>
      <w:r w:rsidRPr="005A45AB">
        <w:rPr>
          <w:rFonts w:ascii="Arial" w:eastAsia="Arial" w:hAnsi="Arial" w:cs="Arial"/>
          <w:i/>
          <w:iCs/>
        </w:rPr>
        <w:t>59</w:t>
      </w:r>
      <w:r w:rsidRPr="005A45AB">
        <w:rPr>
          <w:rFonts w:ascii="Arial" w:eastAsia="Arial" w:hAnsi="Arial" w:cs="Arial"/>
        </w:rPr>
        <w:t xml:space="preserve">(03), p.2450017. </w:t>
      </w:r>
      <w:hyperlink r:id="rId31">
        <w:r w:rsidR="00E0377B" w:rsidRPr="005A45AB">
          <w:rPr>
            <w:rFonts w:ascii="Arial" w:eastAsia="Arial" w:hAnsi="Arial" w:cs="Arial"/>
            <w:color w:val="1155CC"/>
            <w:u w:val="single"/>
          </w:rPr>
          <w:t>https://www.worldscientific.com/doi/abs/10.1142/S1094406024500173</w:t>
        </w:r>
      </w:hyperlink>
      <w:r w:rsidRPr="005A45AB">
        <w:rPr>
          <w:rFonts w:ascii="Arial" w:eastAsia="Arial" w:hAnsi="Arial" w:cs="Arial"/>
        </w:rPr>
        <w:t xml:space="preserve"> </w:t>
      </w:r>
    </w:p>
    <w:p w14:paraId="3CE5F091"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Charupat</w:t>
      </w:r>
      <w:proofErr w:type="spellEnd"/>
      <w:r w:rsidRPr="005A45AB">
        <w:rPr>
          <w:rFonts w:ascii="Arial" w:eastAsia="Arial" w:hAnsi="Arial" w:cs="Arial"/>
        </w:rPr>
        <w:t xml:space="preserve">, N. and Sarkar, S., 2025. Operating flexibility and optimal capital structure. </w:t>
      </w:r>
      <w:r w:rsidRPr="005A45AB">
        <w:rPr>
          <w:rFonts w:ascii="Arial" w:eastAsia="Arial" w:hAnsi="Arial" w:cs="Arial"/>
          <w:i/>
          <w:iCs/>
        </w:rPr>
        <w:t>Accounting &amp; Finance</w:t>
      </w:r>
      <w:r w:rsidRPr="005A45AB">
        <w:rPr>
          <w:rFonts w:ascii="Arial" w:eastAsia="Arial" w:hAnsi="Arial" w:cs="Arial"/>
        </w:rPr>
        <w:t xml:space="preserve">, </w:t>
      </w:r>
      <w:r w:rsidRPr="005A45AB">
        <w:rPr>
          <w:rFonts w:ascii="Arial" w:eastAsia="Arial" w:hAnsi="Arial" w:cs="Arial"/>
          <w:i/>
          <w:iCs/>
        </w:rPr>
        <w:t>65</w:t>
      </w:r>
      <w:r w:rsidRPr="005A45AB">
        <w:rPr>
          <w:rFonts w:ascii="Arial" w:eastAsia="Arial" w:hAnsi="Arial" w:cs="Arial"/>
        </w:rPr>
        <w:t xml:space="preserve">(2), pp.1863-1887. </w:t>
      </w:r>
      <w:hyperlink r:id="rId32">
        <w:r w:rsidR="00E0377B" w:rsidRPr="005A45AB">
          <w:rPr>
            <w:rFonts w:ascii="Arial" w:eastAsia="Arial" w:hAnsi="Arial" w:cs="Arial"/>
            <w:color w:val="1155CC"/>
            <w:u w:val="single"/>
          </w:rPr>
          <w:t>https://onlinelibrary.wiley.com/doi/abs/10.1111/acfi.13391</w:t>
        </w:r>
      </w:hyperlink>
      <w:r w:rsidRPr="005A45AB">
        <w:rPr>
          <w:rFonts w:ascii="Arial" w:eastAsia="Arial" w:hAnsi="Arial" w:cs="Arial"/>
        </w:rPr>
        <w:t xml:space="preserve"> </w:t>
      </w:r>
    </w:p>
    <w:p w14:paraId="5C4AC124"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Chen, Y., 2022. Research on collaborative innovation of key common technologies in new energy vehicle industry based on digital twin technology. </w:t>
      </w:r>
      <w:r w:rsidRPr="005A45AB">
        <w:rPr>
          <w:rFonts w:ascii="Arial" w:eastAsia="Arial" w:hAnsi="Arial" w:cs="Arial"/>
          <w:i/>
          <w:iCs/>
        </w:rPr>
        <w:t>Energy Reports</w:t>
      </w:r>
      <w:r w:rsidRPr="005A45AB">
        <w:rPr>
          <w:rFonts w:ascii="Arial" w:eastAsia="Arial" w:hAnsi="Arial" w:cs="Arial"/>
        </w:rPr>
        <w:t xml:space="preserve">, </w:t>
      </w:r>
      <w:r w:rsidRPr="005A45AB">
        <w:rPr>
          <w:rFonts w:ascii="Arial" w:eastAsia="Arial" w:hAnsi="Arial" w:cs="Arial"/>
          <w:i/>
          <w:iCs/>
        </w:rPr>
        <w:t>8</w:t>
      </w:r>
      <w:r w:rsidRPr="005A45AB">
        <w:rPr>
          <w:rFonts w:ascii="Arial" w:eastAsia="Arial" w:hAnsi="Arial" w:cs="Arial"/>
        </w:rPr>
        <w:t xml:space="preserve">, pp.15399-15407. </w:t>
      </w:r>
      <w:hyperlink r:id="rId33">
        <w:r w:rsidR="00E0377B" w:rsidRPr="005A45AB">
          <w:rPr>
            <w:rFonts w:ascii="Arial" w:eastAsia="Arial" w:hAnsi="Arial" w:cs="Arial"/>
            <w:color w:val="1155CC"/>
            <w:u w:val="single"/>
          </w:rPr>
          <w:t>https://www.sciencedirect.com/science/article/pii/S2352484722025070</w:t>
        </w:r>
      </w:hyperlink>
      <w:r w:rsidRPr="005A45AB">
        <w:rPr>
          <w:rFonts w:ascii="Arial" w:eastAsia="Arial" w:hAnsi="Arial" w:cs="Arial"/>
        </w:rPr>
        <w:t xml:space="preserve"> </w:t>
      </w:r>
    </w:p>
    <w:p w14:paraId="3AE07372"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Zaramella</w:t>
      </w:r>
      <w:proofErr w:type="spellEnd"/>
      <w:r w:rsidRPr="005A45AB">
        <w:rPr>
          <w:rFonts w:ascii="Arial" w:eastAsia="Arial" w:hAnsi="Arial" w:cs="Arial"/>
        </w:rPr>
        <w:t xml:space="preserve">, G., 2023. Financial Restructuring: analysis and applications. </w:t>
      </w:r>
      <w:hyperlink r:id="rId34">
        <w:r w:rsidR="00E0377B" w:rsidRPr="005A45AB">
          <w:rPr>
            <w:rFonts w:ascii="Arial" w:eastAsia="Arial" w:hAnsi="Arial" w:cs="Arial"/>
            <w:color w:val="1155CC"/>
            <w:u w:val="single"/>
          </w:rPr>
          <w:t>https://unitesi.unive.it/bitstream/20.500.14247/4284/1/872666-1280209.pdf</w:t>
        </w:r>
      </w:hyperlink>
      <w:r w:rsidRPr="005A45AB">
        <w:rPr>
          <w:rFonts w:ascii="Arial" w:eastAsia="Arial" w:hAnsi="Arial" w:cs="Arial"/>
        </w:rPr>
        <w:t xml:space="preserve"> </w:t>
      </w:r>
    </w:p>
    <w:p w14:paraId="4FB9AF6F"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Kostyna, V., 2025. THE IMPACT OF INVESTMENT STRATEGIES ON LONG-TERM FINANCIAL STABILITY. </w:t>
      </w:r>
      <w:r w:rsidRPr="005A45AB">
        <w:rPr>
          <w:rFonts w:ascii="Arial" w:eastAsia="Arial" w:hAnsi="Arial" w:cs="Arial"/>
          <w:i/>
          <w:iCs/>
        </w:rPr>
        <w:t>Collection of scientific papers «SCIENTIA»</w:t>
      </w:r>
      <w:r w:rsidRPr="005A45AB">
        <w:rPr>
          <w:rFonts w:ascii="Arial" w:eastAsia="Arial" w:hAnsi="Arial" w:cs="Arial"/>
        </w:rPr>
        <w:t xml:space="preserve">, (October 3, 2025; Berlin, Germany), pp.35-42. </w:t>
      </w:r>
      <w:hyperlink r:id="rId35">
        <w:r w:rsidR="00E0377B" w:rsidRPr="005A45AB">
          <w:rPr>
            <w:rFonts w:ascii="Arial" w:eastAsia="Arial" w:hAnsi="Arial" w:cs="Arial"/>
            <w:color w:val="1155CC"/>
            <w:u w:val="single"/>
          </w:rPr>
          <w:t>https://previous.scientia.report/index.php/archive/article/view/3039/3071</w:t>
        </w:r>
      </w:hyperlink>
      <w:r w:rsidRPr="005A45AB">
        <w:rPr>
          <w:rFonts w:ascii="Arial" w:eastAsia="Arial" w:hAnsi="Arial" w:cs="Arial"/>
        </w:rPr>
        <w:t xml:space="preserve"> </w:t>
      </w:r>
    </w:p>
    <w:p w14:paraId="218C190E"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Gandhi, J. and Nasit, A., 2022. Comparison of short-term financing options; factoring as the best alternative. In </w:t>
      </w:r>
      <w:r w:rsidRPr="005A45AB">
        <w:rPr>
          <w:rFonts w:ascii="Arial" w:eastAsia="Arial" w:hAnsi="Arial" w:cs="Arial"/>
          <w:i/>
          <w:iCs/>
        </w:rPr>
        <w:t xml:space="preserve">International Research Conference on </w:t>
      </w:r>
      <w:r w:rsidRPr="005A45AB">
        <w:rPr>
          <w:rFonts w:ascii="Arial" w:eastAsia="Arial" w:hAnsi="Arial" w:cs="Arial"/>
          <w:i/>
          <w:iCs/>
        </w:rPr>
        <w:lastRenderedPageBreak/>
        <w:t>Innovations, Startup and Investments (ICOSTART-2022)</w:t>
      </w:r>
      <w:r w:rsidRPr="005A45AB">
        <w:rPr>
          <w:rFonts w:ascii="Arial" w:eastAsia="Arial" w:hAnsi="Arial" w:cs="Arial"/>
        </w:rPr>
        <w:t xml:space="preserve"> (pp. 127-141). </w:t>
      </w:r>
      <w:hyperlink r:id="rId36">
        <w:r w:rsidR="00E0377B" w:rsidRPr="005A45AB">
          <w:rPr>
            <w:rFonts w:ascii="Arial" w:eastAsia="Arial" w:hAnsi="Arial" w:cs="Arial"/>
            <w:color w:val="1155CC"/>
            <w:u w:val="single"/>
          </w:rPr>
          <w:t>https://rku.ac.in/icostart2022/books/14-management-jenil-gandhi-(127-141).pdf</w:t>
        </w:r>
      </w:hyperlink>
      <w:r w:rsidRPr="005A45AB">
        <w:rPr>
          <w:rFonts w:ascii="Arial" w:eastAsia="Arial" w:hAnsi="Arial" w:cs="Arial"/>
        </w:rPr>
        <w:t xml:space="preserve"> </w:t>
      </w:r>
    </w:p>
    <w:p w14:paraId="16A9FEDD"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Glavee</w:t>
      </w:r>
      <w:proofErr w:type="spellEnd"/>
      <w:r w:rsidRPr="005A45AB">
        <w:rPr>
          <w:rFonts w:ascii="Arial" w:eastAsia="Arial" w:hAnsi="Arial" w:cs="Arial"/>
        </w:rPr>
        <w:t xml:space="preserve">, P. and Yang, L., 2025. Trade credit dynamics in supply chain: The impact of supplier operational inflexibility. </w:t>
      </w:r>
      <w:r w:rsidRPr="005A45AB">
        <w:rPr>
          <w:rFonts w:ascii="Arial" w:eastAsia="Arial" w:hAnsi="Arial" w:cs="Arial"/>
          <w:i/>
          <w:iCs/>
        </w:rPr>
        <w:t>International Review of Financial Analysis</w:t>
      </w:r>
      <w:r w:rsidRPr="005A45AB">
        <w:rPr>
          <w:rFonts w:ascii="Arial" w:eastAsia="Arial" w:hAnsi="Arial" w:cs="Arial"/>
        </w:rPr>
        <w:t xml:space="preserve">, p.104769. </w:t>
      </w:r>
      <w:hyperlink r:id="rId37">
        <w:r w:rsidR="00E0377B" w:rsidRPr="005A45AB">
          <w:rPr>
            <w:rFonts w:ascii="Arial" w:eastAsia="Arial" w:hAnsi="Arial" w:cs="Arial"/>
            <w:color w:val="1155CC"/>
            <w:u w:val="single"/>
          </w:rPr>
          <w:t>https://www.sciencedirect.com/science/article/pii/S1057521925008567</w:t>
        </w:r>
      </w:hyperlink>
      <w:r w:rsidRPr="005A45AB">
        <w:rPr>
          <w:rFonts w:ascii="Arial" w:eastAsia="Arial" w:hAnsi="Arial" w:cs="Arial"/>
        </w:rPr>
        <w:t xml:space="preserve"> </w:t>
      </w:r>
    </w:p>
    <w:p w14:paraId="12A3106C"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Khalil, S., Zaman, K. and Iqbal, F., 2025. The Impact of Just-in-Time Inventory Systems on Supply Chain Efficiency. </w:t>
      </w:r>
      <w:r w:rsidRPr="005A45AB">
        <w:rPr>
          <w:rFonts w:ascii="Arial" w:eastAsia="Arial" w:hAnsi="Arial" w:cs="Arial"/>
          <w:i/>
          <w:iCs/>
        </w:rPr>
        <w:t>Economic Trends and Business Review</w:t>
      </w:r>
      <w:r w:rsidRPr="005A45AB">
        <w:rPr>
          <w:rFonts w:ascii="Arial" w:eastAsia="Arial" w:hAnsi="Arial" w:cs="Arial"/>
        </w:rPr>
        <w:t xml:space="preserve">, </w:t>
      </w:r>
      <w:r w:rsidRPr="005A45AB">
        <w:rPr>
          <w:rFonts w:ascii="Arial" w:eastAsia="Arial" w:hAnsi="Arial" w:cs="Arial"/>
          <w:i/>
          <w:iCs/>
        </w:rPr>
        <w:t>3</w:t>
      </w:r>
      <w:r w:rsidRPr="005A45AB">
        <w:rPr>
          <w:rFonts w:ascii="Arial" w:eastAsia="Arial" w:hAnsi="Arial" w:cs="Arial"/>
        </w:rPr>
        <w:t xml:space="preserve">(1), pp.1-16. </w:t>
      </w:r>
      <w:hyperlink r:id="rId38">
        <w:r w:rsidR="00E0377B" w:rsidRPr="005A45AB">
          <w:rPr>
            <w:rFonts w:ascii="Arial" w:eastAsia="Arial" w:hAnsi="Arial" w:cs="Arial"/>
            <w:color w:val="1155CC"/>
            <w:u w:val="single"/>
          </w:rPr>
          <w:t>https://etbrjournal.com/index.php/journal/article/download/46/46</w:t>
        </w:r>
      </w:hyperlink>
      <w:r w:rsidRPr="005A45AB">
        <w:rPr>
          <w:rFonts w:ascii="Arial" w:eastAsia="Arial" w:hAnsi="Arial" w:cs="Arial"/>
        </w:rPr>
        <w:t xml:space="preserve"> </w:t>
      </w:r>
    </w:p>
    <w:p w14:paraId="14B9B230"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Shilpi, S., 2025. Integrating Automated Clearing House Modernization, Batch Monitoring, and SWIFT Support: A Unified Framework for Resilient Payment Systems. </w:t>
      </w:r>
      <w:r w:rsidRPr="005A45AB">
        <w:rPr>
          <w:rFonts w:ascii="Arial" w:eastAsia="Arial" w:hAnsi="Arial" w:cs="Arial"/>
          <w:i/>
          <w:iCs/>
        </w:rPr>
        <w:t>Journal of Computer Science and Technology Studies</w:t>
      </w:r>
      <w:r w:rsidRPr="005A45AB">
        <w:rPr>
          <w:rFonts w:ascii="Arial" w:eastAsia="Arial" w:hAnsi="Arial" w:cs="Arial"/>
        </w:rPr>
        <w:t xml:space="preserve">, </w:t>
      </w:r>
      <w:r w:rsidRPr="005A45AB">
        <w:rPr>
          <w:rFonts w:ascii="Arial" w:eastAsia="Arial" w:hAnsi="Arial" w:cs="Arial"/>
          <w:i/>
          <w:iCs/>
        </w:rPr>
        <w:t>7</w:t>
      </w:r>
      <w:r w:rsidRPr="005A45AB">
        <w:rPr>
          <w:rFonts w:ascii="Arial" w:eastAsia="Arial" w:hAnsi="Arial" w:cs="Arial"/>
        </w:rPr>
        <w:t xml:space="preserve">(9), pp.97-103. </w:t>
      </w:r>
      <w:hyperlink r:id="rId39">
        <w:r w:rsidR="00E0377B" w:rsidRPr="005A45AB">
          <w:rPr>
            <w:rFonts w:ascii="Arial" w:eastAsia="Arial" w:hAnsi="Arial" w:cs="Arial"/>
            <w:color w:val="1155CC"/>
            <w:u w:val="single"/>
          </w:rPr>
          <w:t>https://al-kindipublishers.org/index.php/jcsts/article/download/10748/9502</w:t>
        </w:r>
      </w:hyperlink>
      <w:r w:rsidRPr="005A45AB">
        <w:rPr>
          <w:rFonts w:ascii="Arial" w:eastAsia="Arial" w:hAnsi="Arial" w:cs="Arial"/>
        </w:rPr>
        <w:t xml:space="preserve"> </w:t>
      </w:r>
    </w:p>
    <w:p w14:paraId="32F5A2B2"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Bhattacheryay</w:t>
      </w:r>
      <w:proofErr w:type="spellEnd"/>
      <w:r w:rsidRPr="005A45AB">
        <w:rPr>
          <w:rFonts w:ascii="Arial" w:eastAsia="Arial" w:hAnsi="Arial" w:cs="Arial"/>
        </w:rPr>
        <w:t xml:space="preserve">, S., 2023. Multinational working capital management a study on Toyota Motor Corporation. </w:t>
      </w:r>
      <w:r w:rsidRPr="005A45AB">
        <w:rPr>
          <w:rFonts w:ascii="Arial" w:eastAsia="Arial" w:hAnsi="Arial" w:cs="Arial"/>
          <w:i/>
          <w:iCs/>
        </w:rPr>
        <w:t>International Journal of Finance &amp; Economics</w:t>
      </w:r>
      <w:r w:rsidRPr="005A45AB">
        <w:rPr>
          <w:rFonts w:ascii="Arial" w:eastAsia="Arial" w:hAnsi="Arial" w:cs="Arial"/>
        </w:rPr>
        <w:t xml:space="preserve">, </w:t>
      </w:r>
      <w:r w:rsidRPr="005A45AB">
        <w:rPr>
          <w:rFonts w:ascii="Arial" w:eastAsia="Arial" w:hAnsi="Arial" w:cs="Arial"/>
          <w:i/>
          <w:iCs/>
        </w:rPr>
        <w:t>28</w:t>
      </w:r>
      <w:r w:rsidRPr="005A45AB">
        <w:rPr>
          <w:rFonts w:ascii="Arial" w:eastAsia="Arial" w:hAnsi="Arial" w:cs="Arial"/>
        </w:rPr>
        <w:t xml:space="preserve">(1), pp.236-256. </w:t>
      </w:r>
      <w:hyperlink r:id="rId40">
        <w:r w:rsidR="00E0377B" w:rsidRPr="005A45AB">
          <w:rPr>
            <w:rFonts w:ascii="Arial" w:eastAsia="Arial" w:hAnsi="Arial" w:cs="Arial"/>
            <w:color w:val="1155CC"/>
            <w:u w:val="single"/>
          </w:rPr>
          <w:t>https://www.researchgate.net/profile/Suranjan-Bhattacheryay-2/publication/348843827_Multinational_working_capital_management_a_study_on_Toyota_Motor_Corporation/links/604d719a458515e529a7a20a/Multinational-working-capital-management-a-study-on-Toyota-Motor-Corporation.pdf</w:t>
        </w:r>
      </w:hyperlink>
      <w:r w:rsidRPr="005A45AB">
        <w:rPr>
          <w:rFonts w:ascii="Arial" w:eastAsia="Arial" w:hAnsi="Arial" w:cs="Arial"/>
        </w:rPr>
        <w:t xml:space="preserve"> </w:t>
      </w:r>
    </w:p>
    <w:p w14:paraId="146F568A"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Xinyao, D., Wen, X., Jingjing, X., Xiaohui, W. and </w:t>
      </w:r>
      <w:proofErr w:type="spellStart"/>
      <w:r w:rsidRPr="005A45AB">
        <w:rPr>
          <w:rFonts w:ascii="Arial" w:eastAsia="Arial" w:hAnsi="Arial" w:cs="Arial"/>
        </w:rPr>
        <w:t>Loang</w:t>
      </w:r>
      <w:proofErr w:type="spellEnd"/>
      <w:r w:rsidRPr="005A45AB">
        <w:rPr>
          <w:rFonts w:ascii="Arial" w:eastAsia="Arial" w:hAnsi="Arial" w:cs="Arial"/>
        </w:rPr>
        <w:t xml:space="preserve">, O.K., 2023. Financial and Non-Financial Analysis of Toyota and Ford: A Comparative Study. </w:t>
      </w:r>
      <w:r w:rsidRPr="005A45AB">
        <w:rPr>
          <w:rFonts w:ascii="Arial" w:eastAsia="Arial" w:hAnsi="Arial" w:cs="Arial"/>
          <w:i/>
          <w:iCs/>
        </w:rPr>
        <w:t>Journal of Islamic, Social, Economics and Development</w:t>
      </w:r>
      <w:r w:rsidRPr="005A45AB">
        <w:rPr>
          <w:rFonts w:ascii="Arial" w:eastAsia="Arial" w:hAnsi="Arial" w:cs="Arial"/>
        </w:rPr>
        <w:t xml:space="preserve">, </w:t>
      </w:r>
      <w:r w:rsidRPr="005A45AB">
        <w:rPr>
          <w:rFonts w:ascii="Arial" w:eastAsia="Arial" w:hAnsi="Arial" w:cs="Arial"/>
          <w:i/>
          <w:iCs/>
        </w:rPr>
        <w:t>8</w:t>
      </w:r>
      <w:r w:rsidRPr="005A45AB">
        <w:rPr>
          <w:rFonts w:ascii="Arial" w:eastAsia="Arial" w:hAnsi="Arial" w:cs="Arial"/>
        </w:rPr>
        <w:t xml:space="preserve">(52), pp.203-214. </w:t>
      </w:r>
      <w:hyperlink r:id="rId41">
        <w:r w:rsidR="00E0377B" w:rsidRPr="005A45AB">
          <w:rPr>
            <w:rFonts w:ascii="Arial" w:eastAsia="Arial" w:hAnsi="Arial" w:cs="Arial"/>
            <w:color w:val="1155CC"/>
            <w:u w:val="single"/>
          </w:rPr>
          <w:t>https://www.researchgate.net/profile/Ooi-Kok-Loang/publication/370060687_FINANCIAL_AND_NON-FINANCIAL_ANALYSIS_OF_TOYOTA_AND_FORD_A_COMPARATIVE_STUDY/links/643d24d41b8d044c632d2f1d/FINANCIAL-AND-NON-FINANCIAL-ANALYSIS-OF-TOYOTA-AND-FORD-A-COMPARATIVE-STUDY.pdf</w:t>
        </w:r>
      </w:hyperlink>
      <w:r w:rsidRPr="005A45AB">
        <w:rPr>
          <w:rFonts w:ascii="Arial" w:eastAsia="Arial" w:hAnsi="Arial" w:cs="Arial"/>
        </w:rPr>
        <w:t xml:space="preserve"> </w:t>
      </w:r>
    </w:p>
    <w:p w14:paraId="0E57B7BD" w14:textId="77777777" w:rsidR="00E0377B" w:rsidRPr="005A45AB" w:rsidRDefault="00977F3B" w:rsidP="005A45AB">
      <w:pPr>
        <w:pStyle w:val="ListParagraph"/>
        <w:numPr>
          <w:ilvl w:val="0"/>
          <w:numId w:val="1"/>
        </w:numPr>
        <w:rPr>
          <w:rFonts w:ascii="Arial" w:eastAsia="Arial" w:hAnsi="Arial" w:cs="Arial"/>
        </w:rPr>
      </w:pPr>
      <w:proofErr w:type="spellStart"/>
      <w:r w:rsidRPr="005A45AB">
        <w:rPr>
          <w:rFonts w:ascii="Arial" w:eastAsia="Arial" w:hAnsi="Arial" w:cs="Arial"/>
        </w:rPr>
        <w:t>Arkaan</w:t>
      </w:r>
      <w:proofErr w:type="spellEnd"/>
      <w:r w:rsidRPr="005A45AB">
        <w:rPr>
          <w:rFonts w:ascii="Arial" w:eastAsia="Arial" w:hAnsi="Arial" w:cs="Arial"/>
        </w:rPr>
        <w:t xml:space="preserve">, D.U. and </w:t>
      </w:r>
      <w:proofErr w:type="spellStart"/>
      <w:r w:rsidRPr="005A45AB">
        <w:rPr>
          <w:rFonts w:ascii="Arial" w:eastAsia="Arial" w:hAnsi="Arial" w:cs="Arial"/>
        </w:rPr>
        <w:t>Budianto</w:t>
      </w:r>
      <w:proofErr w:type="spellEnd"/>
      <w:r w:rsidRPr="005A45AB">
        <w:rPr>
          <w:rFonts w:ascii="Arial" w:eastAsia="Arial" w:hAnsi="Arial" w:cs="Arial"/>
        </w:rPr>
        <w:t xml:space="preserve">, E.W.H., 2024. Does Financial Ratio Have an Impact on The Growth of Sharia Banking in The World. </w:t>
      </w:r>
      <w:proofErr w:type="spellStart"/>
      <w:r w:rsidRPr="005A45AB">
        <w:rPr>
          <w:rFonts w:ascii="Arial" w:eastAsia="Arial" w:hAnsi="Arial" w:cs="Arial"/>
          <w:i/>
          <w:iCs/>
        </w:rPr>
        <w:t>Jurnal</w:t>
      </w:r>
      <w:proofErr w:type="spellEnd"/>
      <w:r w:rsidRPr="005A45AB">
        <w:rPr>
          <w:rFonts w:ascii="Arial" w:eastAsia="Arial" w:hAnsi="Arial" w:cs="Arial"/>
          <w:i/>
          <w:iCs/>
        </w:rPr>
        <w:t xml:space="preserve"> </w:t>
      </w:r>
      <w:proofErr w:type="spellStart"/>
      <w:r w:rsidRPr="005A45AB">
        <w:rPr>
          <w:rFonts w:ascii="Arial" w:eastAsia="Arial" w:hAnsi="Arial" w:cs="Arial"/>
          <w:i/>
          <w:iCs/>
        </w:rPr>
        <w:t>Tabarru</w:t>
      </w:r>
      <w:proofErr w:type="spellEnd"/>
      <w:r w:rsidRPr="005A45AB">
        <w:rPr>
          <w:rFonts w:ascii="Arial" w:eastAsia="Arial" w:hAnsi="Arial" w:cs="Arial"/>
          <w:i/>
          <w:iCs/>
        </w:rPr>
        <w:t>': Islamic Banking and Finance</w:t>
      </w:r>
      <w:r w:rsidRPr="005A45AB">
        <w:rPr>
          <w:rFonts w:ascii="Arial" w:eastAsia="Arial" w:hAnsi="Arial" w:cs="Arial"/>
        </w:rPr>
        <w:t xml:space="preserve">, </w:t>
      </w:r>
      <w:r w:rsidRPr="005A45AB">
        <w:rPr>
          <w:rFonts w:ascii="Arial" w:eastAsia="Arial" w:hAnsi="Arial" w:cs="Arial"/>
          <w:i/>
          <w:iCs/>
        </w:rPr>
        <w:t>7</w:t>
      </w:r>
      <w:r w:rsidRPr="005A45AB">
        <w:rPr>
          <w:rFonts w:ascii="Arial" w:eastAsia="Arial" w:hAnsi="Arial" w:cs="Arial"/>
        </w:rPr>
        <w:t xml:space="preserve">(1), pp.299-309. </w:t>
      </w:r>
      <w:hyperlink r:id="rId42">
        <w:r w:rsidR="00E0377B" w:rsidRPr="005A45AB">
          <w:rPr>
            <w:rFonts w:ascii="Arial" w:eastAsia="Arial" w:hAnsi="Arial" w:cs="Arial"/>
            <w:color w:val="1155CC"/>
            <w:u w:val="single"/>
          </w:rPr>
          <w:t>http://repository.uin-malang.ac.id/19404/1/19404.pdf</w:t>
        </w:r>
      </w:hyperlink>
      <w:r w:rsidRPr="005A45AB">
        <w:rPr>
          <w:rFonts w:ascii="Arial" w:eastAsia="Arial" w:hAnsi="Arial" w:cs="Arial"/>
        </w:rPr>
        <w:t xml:space="preserve"> </w:t>
      </w:r>
    </w:p>
    <w:p w14:paraId="56308BB3"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lastRenderedPageBreak/>
        <w:t xml:space="preserve">Dönmez, N. and Özkan, T., 2022. Effects of changes in financial ratios of companies on the performance of stock prices in the exchange market: The automotive sector. </w:t>
      </w:r>
      <w:r w:rsidRPr="005A45AB">
        <w:rPr>
          <w:rFonts w:ascii="Arial" w:eastAsia="Arial" w:hAnsi="Arial" w:cs="Arial"/>
          <w:i/>
          <w:iCs/>
        </w:rPr>
        <w:t>EMAJ: Emerging Markets Journal</w:t>
      </w:r>
      <w:r w:rsidRPr="005A45AB">
        <w:rPr>
          <w:rFonts w:ascii="Arial" w:eastAsia="Arial" w:hAnsi="Arial" w:cs="Arial"/>
        </w:rPr>
        <w:t xml:space="preserve">, </w:t>
      </w:r>
      <w:r w:rsidRPr="005A45AB">
        <w:rPr>
          <w:rFonts w:ascii="Arial" w:eastAsia="Arial" w:hAnsi="Arial" w:cs="Arial"/>
          <w:i/>
          <w:iCs/>
        </w:rPr>
        <w:t>12</w:t>
      </w:r>
      <w:r w:rsidRPr="005A45AB">
        <w:rPr>
          <w:rFonts w:ascii="Arial" w:eastAsia="Arial" w:hAnsi="Arial" w:cs="Arial"/>
        </w:rPr>
        <w:t xml:space="preserve">(1), pp.1-12. </w:t>
      </w:r>
      <w:hyperlink r:id="rId43">
        <w:r w:rsidR="00E0377B" w:rsidRPr="005A45AB">
          <w:rPr>
            <w:rFonts w:ascii="Arial" w:eastAsia="Arial" w:hAnsi="Arial" w:cs="Arial"/>
            <w:color w:val="1155CC"/>
            <w:u w:val="single"/>
          </w:rPr>
          <w:t>http://178.128.120.64/index.php/asset/article/download/1030/593</w:t>
        </w:r>
      </w:hyperlink>
      <w:r w:rsidRPr="005A45AB">
        <w:rPr>
          <w:rFonts w:ascii="Arial" w:eastAsia="Arial" w:hAnsi="Arial" w:cs="Arial"/>
        </w:rPr>
        <w:t xml:space="preserve"> </w:t>
      </w:r>
    </w:p>
    <w:p w14:paraId="1F6C3B27"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Rahman, A. and Acharya, P., 2022. An examination of five financial ratios: The Altman Z Score is a technique used to assess the creditworthiness of selected passenger car companies. </w:t>
      </w:r>
      <w:r w:rsidRPr="005A45AB">
        <w:rPr>
          <w:rFonts w:ascii="Arial" w:eastAsia="Arial" w:hAnsi="Arial" w:cs="Arial"/>
          <w:i/>
          <w:iCs/>
        </w:rPr>
        <w:t>International Journal of Multidisciplinary Research and Explorer</w:t>
      </w:r>
      <w:r w:rsidRPr="005A45AB">
        <w:rPr>
          <w:rFonts w:ascii="Arial" w:eastAsia="Arial" w:hAnsi="Arial" w:cs="Arial"/>
        </w:rPr>
        <w:t xml:space="preserve">, </w:t>
      </w:r>
      <w:r w:rsidRPr="005A45AB">
        <w:rPr>
          <w:rFonts w:ascii="Arial" w:eastAsia="Arial" w:hAnsi="Arial" w:cs="Arial"/>
          <w:i/>
          <w:iCs/>
        </w:rPr>
        <w:t>2</w:t>
      </w:r>
      <w:r w:rsidRPr="005A45AB">
        <w:rPr>
          <w:rFonts w:ascii="Arial" w:eastAsia="Arial" w:hAnsi="Arial" w:cs="Arial"/>
        </w:rPr>
        <w:t xml:space="preserve">(1), pp.1-6. </w:t>
      </w:r>
      <w:hyperlink r:id="rId44">
        <w:r w:rsidR="00E0377B" w:rsidRPr="005A45AB">
          <w:rPr>
            <w:rFonts w:ascii="Arial" w:eastAsia="Arial" w:hAnsi="Arial" w:cs="Arial"/>
            <w:color w:val="1155CC"/>
            <w:u w:val="single"/>
          </w:rPr>
          <w:t>https://www.academia.edu/download/79702829/IJMRE_V2N1AI217_published_paper.pdf</w:t>
        </w:r>
      </w:hyperlink>
      <w:r w:rsidRPr="005A45AB">
        <w:rPr>
          <w:rFonts w:ascii="Arial" w:eastAsia="Arial" w:hAnsi="Arial" w:cs="Arial"/>
        </w:rPr>
        <w:t xml:space="preserve"> </w:t>
      </w:r>
    </w:p>
    <w:p w14:paraId="16261AF1"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Olayinka, A.A., 2022. Financial statement analysis as a tool for investment decisions and assessment of companies’ performance. </w:t>
      </w:r>
      <w:r w:rsidRPr="005A45AB">
        <w:rPr>
          <w:rFonts w:ascii="Arial" w:eastAsia="Arial" w:hAnsi="Arial" w:cs="Arial"/>
          <w:i/>
          <w:iCs/>
        </w:rPr>
        <w:t>International Journal of Financial, Accounting, and Management</w:t>
      </w:r>
      <w:r w:rsidRPr="005A45AB">
        <w:rPr>
          <w:rFonts w:ascii="Arial" w:eastAsia="Arial" w:hAnsi="Arial" w:cs="Arial"/>
        </w:rPr>
        <w:t xml:space="preserve">, </w:t>
      </w:r>
      <w:r w:rsidRPr="005A45AB">
        <w:rPr>
          <w:rFonts w:ascii="Arial" w:eastAsia="Arial" w:hAnsi="Arial" w:cs="Arial"/>
          <w:i/>
          <w:iCs/>
        </w:rPr>
        <w:t>4</w:t>
      </w:r>
      <w:r w:rsidRPr="005A45AB">
        <w:rPr>
          <w:rFonts w:ascii="Arial" w:eastAsia="Arial" w:hAnsi="Arial" w:cs="Arial"/>
        </w:rPr>
        <w:t xml:space="preserve">(1), pp.49-66. </w:t>
      </w:r>
      <w:hyperlink r:id="rId45">
        <w:r w:rsidR="00E0377B" w:rsidRPr="005A45AB">
          <w:rPr>
            <w:rFonts w:ascii="Arial" w:eastAsia="Arial" w:hAnsi="Arial" w:cs="Arial"/>
            <w:color w:val="1155CC"/>
            <w:u w:val="single"/>
          </w:rPr>
          <w: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w:t>
        </w:r>
      </w:hyperlink>
      <w:r w:rsidRPr="005A45AB">
        <w:rPr>
          <w:rFonts w:ascii="Arial" w:eastAsia="Arial" w:hAnsi="Arial" w:cs="Arial"/>
        </w:rPr>
        <w:t xml:space="preserve"> </w:t>
      </w:r>
    </w:p>
    <w:p w14:paraId="4EE445E0"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Toyota. 2024. </w:t>
      </w:r>
      <w:r w:rsidRPr="005A45AB">
        <w:rPr>
          <w:rFonts w:ascii="Arial" w:eastAsia="Arial" w:hAnsi="Arial" w:cs="Arial"/>
          <w:i/>
          <w:iCs/>
        </w:rPr>
        <w:t>FINANCIAL SUMMARY FY2024.</w:t>
      </w:r>
      <w:r w:rsidRPr="005A45AB">
        <w:rPr>
          <w:rFonts w:ascii="Arial" w:eastAsia="Arial" w:hAnsi="Arial" w:cs="Arial"/>
        </w:rPr>
        <w:t xml:space="preserve"> Available at: </w:t>
      </w:r>
      <w:hyperlink r:id="rId46">
        <w:r w:rsidR="00E0377B" w:rsidRPr="005A45AB">
          <w:rPr>
            <w:rFonts w:ascii="Arial" w:eastAsia="Arial" w:hAnsi="Arial" w:cs="Arial"/>
            <w:color w:val="1155CC"/>
            <w:u w:val="single"/>
          </w:rPr>
          <w:t>https://global.toyota/pages/global_toyota/ir/financial-results/2024_4q_summary_en.pdf</w:t>
        </w:r>
      </w:hyperlink>
      <w:r w:rsidRPr="005A45AB">
        <w:rPr>
          <w:rFonts w:ascii="Arial" w:eastAsia="Arial" w:hAnsi="Arial" w:cs="Arial"/>
        </w:rPr>
        <w:t xml:space="preserve"> [Accessed 22nd April 2026]</w:t>
      </w:r>
    </w:p>
    <w:p w14:paraId="2659704D"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Toyota. 2023. </w:t>
      </w:r>
      <w:r w:rsidRPr="005A45AB">
        <w:rPr>
          <w:rFonts w:ascii="Arial" w:eastAsia="Arial" w:hAnsi="Arial" w:cs="Arial"/>
          <w:i/>
          <w:iCs/>
        </w:rPr>
        <w:t>FINANCIAL SUMMARY FY2023.</w:t>
      </w:r>
      <w:r w:rsidRPr="005A45AB">
        <w:rPr>
          <w:rFonts w:ascii="Arial" w:eastAsia="Arial" w:hAnsi="Arial" w:cs="Arial"/>
        </w:rPr>
        <w:t xml:space="preserve"> Available at: </w:t>
      </w:r>
      <w:hyperlink r:id="rId47">
        <w:r w:rsidR="00E0377B" w:rsidRPr="005A45AB">
          <w:rPr>
            <w:rFonts w:ascii="Arial" w:eastAsia="Arial" w:hAnsi="Arial" w:cs="Arial"/>
            <w:color w:val="1155CC"/>
            <w:u w:val="single"/>
          </w:rPr>
          <w:t>https://global.toyota/pages/global_toyota/ir/financial-results/2023_4q_summary_en.pdf</w:t>
        </w:r>
      </w:hyperlink>
      <w:r w:rsidRPr="005A45AB">
        <w:rPr>
          <w:rFonts w:ascii="Arial" w:eastAsia="Arial" w:hAnsi="Arial" w:cs="Arial"/>
        </w:rPr>
        <w:t xml:space="preserve"> [Accessed 22nd April 2026]</w:t>
      </w:r>
    </w:p>
    <w:p w14:paraId="50361037"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Toyota. 2022. </w:t>
      </w:r>
      <w:r w:rsidRPr="005A45AB">
        <w:rPr>
          <w:rFonts w:ascii="Arial" w:eastAsia="Arial" w:hAnsi="Arial" w:cs="Arial"/>
          <w:i/>
          <w:iCs/>
        </w:rPr>
        <w:t>FINANCIAL SUMMARY FY2022.</w:t>
      </w:r>
      <w:r w:rsidRPr="005A45AB">
        <w:rPr>
          <w:rFonts w:ascii="Arial" w:eastAsia="Arial" w:hAnsi="Arial" w:cs="Arial"/>
        </w:rPr>
        <w:t xml:space="preserve"> Available at: </w:t>
      </w:r>
      <w:hyperlink r:id="rId48">
        <w:r w:rsidR="00E0377B" w:rsidRPr="005A45AB">
          <w:rPr>
            <w:rFonts w:ascii="Arial" w:eastAsia="Arial" w:hAnsi="Arial" w:cs="Arial"/>
            <w:color w:val="1155CC"/>
            <w:u w:val="single"/>
          </w:rPr>
          <w:t>https://global.toyota/pages/global_toyota/ir/financial-results/2022_4q_summary_en.pdf</w:t>
        </w:r>
      </w:hyperlink>
      <w:r w:rsidRPr="005A45AB">
        <w:rPr>
          <w:rFonts w:ascii="Arial" w:eastAsia="Arial" w:hAnsi="Arial" w:cs="Arial"/>
        </w:rPr>
        <w:t xml:space="preserve"> [Accessed 22nd April 2026]</w:t>
      </w:r>
    </w:p>
    <w:p w14:paraId="4518EA71" w14:textId="77777777" w:rsidR="00E0377B" w:rsidRPr="005A45AB" w:rsidRDefault="00977F3B" w:rsidP="005A45AB">
      <w:pPr>
        <w:pStyle w:val="ListParagraph"/>
        <w:numPr>
          <w:ilvl w:val="0"/>
          <w:numId w:val="1"/>
        </w:numPr>
        <w:rPr>
          <w:rFonts w:ascii="Arial" w:eastAsia="Arial" w:hAnsi="Arial" w:cs="Arial"/>
        </w:rPr>
      </w:pPr>
      <w:r w:rsidRPr="005A45AB">
        <w:rPr>
          <w:rFonts w:ascii="Arial" w:eastAsia="Arial" w:hAnsi="Arial" w:cs="Arial"/>
        </w:rPr>
        <w:t xml:space="preserve">Toyota. 2020. </w:t>
      </w:r>
      <w:r w:rsidRPr="005A45AB">
        <w:rPr>
          <w:rFonts w:ascii="Arial" w:eastAsia="Arial" w:hAnsi="Arial" w:cs="Arial"/>
          <w:i/>
          <w:iCs/>
        </w:rPr>
        <w:t>FINANCIAL SUMMARY FY2020.</w:t>
      </w:r>
      <w:r w:rsidRPr="005A45AB">
        <w:rPr>
          <w:rFonts w:ascii="Arial" w:eastAsia="Arial" w:hAnsi="Arial" w:cs="Arial"/>
        </w:rPr>
        <w:t xml:space="preserve"> Available at: </w:t>
      </w:r>
      <w:hyperlink r:id="rId49">
        <w:r w:rsidR="00E0377B" w:rsidRPr="005A45AB">
          <w:rPr>
            <w:rFonts w:ascii="Arial" w:eastAsia="Arial" w:hAnsi="Arial" w:cs="Arial"/>
            <w:color w:val="1155CC"/>
            <w:u w:val="single"/>
          </w:rPr>
          <w:t>https://global.toyota/pages/global_toyota/ir/financial-results/2020_4q_summary_en.pdf</w:t>
        </w:r>
      </w:hyperlink>
      <w:r w:rsidRPr="005A45AB">
        <w:rPr>
          <w:rFonts w:ascii="Arial" w:eastAsia="Arial" w:hAnsi="Arial" w:cs="Arial"/>
        </w:rPr>
        <w:t xml:space="preserve"> [Accessed 22nd April 2026]</w:t>
      </w:r>
    </w:p>
    <w:p w14:paraId="67E6D06F" w14:textId="77777777" w:rsidR="00E0377B" w:rsidRPr="005A45AB" w:rsidRDefault="00977F3B" w:rsidP="005A45AB">
      <w:pPr>
        <w:pStyle w:val="ListParagraph"/>
        <w:numPr>
          <w:ilvl w:val="0"/>
          <w:numId w:val="1"/>
        </w:numPr>
        <w:rPr>
          <w:rFonts w:ascii="Arial" w:eastAsia="Arial" w:hAnsi="Arial" w:cs="Arial"/>
          <w:b/>
          <w:bCs/>
        </w:rPr>
      </w:pPr>
      <w:r>
        <w:br w:type="page"/>
      </w:r>
    </w:p>
    <w:p w14:paraId="1CD714EF" w14:textId="77777777" w:rsidR="00E0377B" w:rsidRDefault="00977F3B">
      <w:pPr>
        <w:pStyle w:val="Heading1"/>
      </w:pPr>
      <w:bookmarkStart w:id="23" w:name="_Toc227855505"/>
      <w:r>
        <w:lastRenderedPageBreak/>
        <w:t>8. Appendices</w:t>
      </w:r>
      <w:bookmarkEnd w:id="23"/>
    </w:p>
    <w:p w14:paraId="024AC9CD" w14:textId="77777777" w:rsidR="00E0377B" w:rsidRDefault="00977F3B">
      <w:pPr>
        <w:pStyle w:val="Heading2"/>
      </w:pPr>
      <w:bookmarkStart w:id="24" w:name="_Toc227855506"/>
      <w:r>
        <w:t>Appendix 1: Ratio Tables</w:t>
      </w:r>
      <w:bookmarkEnd w:id="24"/>
      <w:r>
        <w:t xml:space="preserve"> </w:t>
      </w:r>
    </w:p>
    <w:tbl>
      <w:tblPr>
        <w:tblW w:w="5000" w:type="pct"/>
        <w:jc w:val="center"/>
        <w:tblLook w:val="04A0" w:firstRow="1" w:lastRow="0" w:firstColumn="1" w:lastColumn="0" w:noHBand="0" w:noVBand="1"/>
      </w:tblPr>
      <w:tblGrid>
        <w:gridCol w:w="2112"/>
        <w:gridCol w:w="1278"/>
        <w:gridCol w:w="1082"/>
        <w:gridCol w:w="1082"/>
        <w:gridCol w:w="1082"/>
        <w:gridCol w:w="1082"/>
        <w:gridCol w:w="1082"/>
        <w:gridCol w:w="219"/>
      </w:tblGrid>
      <w:tr w:rsidR="00467225" w:rsidRPr="00467225" w14:paraId="3E9FA8C2" w14:textId="77777777" w:rsidTr="00467225">
        <w:trPr>
          <w:gridAfter w:val="1"/>
          <w:wAfter w:w="50" w:type="pct"/>
          <w:trHeight w:val="894"/>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41C85CD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"Profitability Ratio"</w:t>
            </w:r>
          </w:p>
        </w:tc>
      </w:tr>
      <w:tr w:rsidR="00467225" w:rsidRPr="00467225" w14:paraId="68F229F5" w14:textId="77777777" w:rsidTr="00467225">
        <w:trPr>
          <w:trHeight w:val="288"/>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0E19FAD6"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15B8ADD9"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359D5CDB"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2D408AD3"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201A8CEE" w14:textId="77777777" w:rsidR="00467225" w:rsidRPr="00467225" w:rsidRDefault="00467225" w:rsidP="00467225">
            <w:pPr>
              <w:spacing w:before="0" w:after="0" w:line="240" w:lineRule="auto"/>
              <w:jc w:val="left"/>
              <w:rPr>
                <w:sz w:val="20"/>
                <w:szCs w:val="20"/>
                <w:lang w:val="en-IN"/>
              </w:rPr>
            </w:pPr>
          </w:p>
        </w:tc>
      </w:tr>
      <w:tr w:rsidR="00467225" w:rsidRPr="00467225" w14:paraId="393CDBDA"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00019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"ROCE"</w:t>
            </w:r>
          </w:p>
        </w:tc>
        <w:tc>
          <w:tcPr>
            <w:tcW w:w="50" w:type="pct"/>
            <w:vAlign w:val="center"/>
            <w:hideMark/>
          </w:tcPr>
          <w:p w14:paraId="2849FB5D" w14:textId="77777777" w:rsidR="00467225" w:rsidRPr="00467225" w:rsidRDefault="00467225" w:rsidP="00467225">
            <w:pPr>
              <w:spacing w:before="0" w:after="0" w:line="240" w:lineRule="auto"/>
              <w:jc w:val="left"/>
              <w:rPr>
                <w:sz w:val="20"/>
                <w:szCs w:val="20"/>
                <w:lang w:val="en-IN"/>
              </w:rPr>
            </w:pPr>
          </w:p>
        </w:tc>
      </w:tr>
      <w:tr w:rsidR="00467225" w:rsidRPr="00467225" w14:paraId="5209D3E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ECB157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00030C7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1002C8F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55E37B8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1305BCC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5E27BCD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3585485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55344A0E" w14:textId="77777777" w:rsidR="00467225" w:rsidRPr="00467225" w:rsidRDefault="00467225" w:rsidP="00467225">
            <w:pPr>
              <w:spacing w:before="0" w:after="0" w:line="240" w:lineRule="auto"/>
              <w:jc w:val="left"/>
              <w:rPr>
                <w:sz w:val="20"/>
                <w:szCs w:val="20"/>
                <w:lang w:val="en-IN"/>
              </w:rPr>
            </w:pPr>
          </w:p>
        </w:tc>
      </w:tr>
      <w:tr w:rsidR="00467225" w:rsidRPr="00467225" w14:paraId="3FED6601"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E121B9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"EBIT"</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77B8E97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"EBIT / (Total Assets − Current </w:t>
            </w:r>
            <w:proofErr w:type="gramStart"/>
            <w:r w:rsidRPr="00467225">
              <w:rPr>
                <w:rFonts w:ascii="Arial" w:hAnsi="Arial" w:cs="Arial"/>
                <w:b/>
                <w:bCs/>
                <w:color w:val="000000"/>
                <w:lang w:val="en-IN"/>
              </w:rPr>
              <w:t>Liabilities)*</w:t>
            </w:r>
            <w:proofErr w:type="gramEnd"/>
            <w:r w:rsidRPr="00467225">
              <w:rPr>
                <w:rFonts w:ascii="Arial" w:hAnsi="Arial" w:cs="Arial"/>
                <w:b/>
                <w:bCs/>
                <w:color w:val="000000"/>
                <w:lang w:val="en-IN"/>
              </w:rPr>
              <w:t>100"</w:t>
            </w:r>
          </w:p>
        </w:tc>
        <w:tc>
          <w:tcPr>
            <w:tcW w:w="509" w:type="pct"/>
            <w:tcBorders>
              <w:top w:val="nil"/>
              <w:left w:val="nil"/>
              <w:bottom w:val="single" w:sz="4" w:space="0" w:color="auto"/>
              <w:right w:val="single" w:sz="4" w:space="0" w:color="auto"/>
            </w:tcBorders>
            <w:shd w:val="clear" w:color="000000" w:fill="FFFFFF"/>
            <w:noWrap/>
            <w:vAlign w:val="bottom"/>
            <w:hideMark/>
          </w:tcPr>
          <w:p w14:paraId="0BE2296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69,65,085 </w:t>
            </w:r>
          </w:p>
        </w:tc>
        <w:tc>
          <w:tcPr>
            <w:tcW w:w="509" w:type="pct"/>
            <w:tcBorders>
              <w:top w:val="nil"/>
              <w:left w:val="nil"/>
              <w:bottom w:val="single" w:sz="4" w:space="0" w:color="auto"/>
              <w:right w:val="single" w:sz="4" w:space="0" w:color="auto"/>
            </w:tcBorders>
            <w:shd w:val="clear" w:color="000000" w:fill="FFFFFF"/>
            <w:noWrap/>
            <w:vAlign w:val="bottom"/>
            <w:hideMark/>
          </w:tcPr>
          <w:p w14:paraId="7E5AB82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36,68,733 </w:t>
            </w:r>
          </w:p>
        </w:tc>
        <w:tc>
          <w:tcPr>
            <w:tcW w:w="509" w:type="pct"/>
            <w:tcBorders>
              <w:top w:val="nil"/>
              <w:left w:val="nil"/>
              <w:bottom w:val="single" w:sz="4" w:space="0" w:color="auto"/>
              <w:right w:val="single" w:sz="4" w:space="0" w:color="auto"/>
            </w:tcBorders>
            <w:shd w:val="clear" w:color="000000" w:fill="FFFFFF"/>
            <w:noWrap/>
            <w:vAlign w:val="bottom"/>
            <w:hideMark/>
          </w:tcPr>
          <w:p w14:paraId="7958377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39,90,532 </w:t>
            </w:r>
          </w:p>
        </w:tc>
        <w:tc>
          <w:tcPr>
            <w:tcW w:w="509" w:type="pct"/>
            <w:tcBorders>
              <w:top w:val="nil"/>
              <w:left w:val="nil"/>
              <w:bottom w:val="single" w:sz="4" w:space="0" w:color="auto"/>
              <w:right w:val="single" w:sz="4" w:space="0" w:color="auto"/>
            </w:tcBorders>
            <w:shd w:val="clear" w:color="000000" w:fill="FFFFFF"/>
            <w:noWrap/>
            <w:vAlign w:val="bottom"/>
            <w:hideMark/>
          </w:tcPr>
          <w:p w14:paraId="4854B52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29,32,354 </w:t>
            </w:r>
          </w:p>
        </w:tc>
        <w:tc>
          <w:tcPr>
            <w:tcW w:w="509" w:type="pct"/>
            <w:tcBorders>
              <w:top w:val="nil"/>
              <w:left w:val="nil"/>
              <w:bottom w:val="single" w:sz="4" w:space="0" w:color="auto"/>
              <w:right w:val="single" w:sz="4" w:space="0" w:color="auto"/>
            </w:tcBorders>
            <w:shd w:val="clear" w:color="000000" w:fill="FFFFFF"/>
            <w:noWrap/>
            <w:vAlign w:val="bottom"/>
            <w:hideMark/>
          </w:tcPr>
          <w:p w14:paraId="74B6B32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25,54,607 </w:t>
            </w:r>
          </w:p>
        </w:tc>
        <w:tc>
          <w:tcPr>
            <w:tcW w:w="50" w:type="pct"/>
            <w:vAlign w:val="center"/>
            <w:hideMark/>
          </w:tcPr>
          <w:p w14:paraId="200376B3" w14:textId="77777777" w:rsidR="00467225" w:rsidRPr="00467225" w:rsidRDefault="00467225" w:rsidP="00467225">
            <w:pPr>
              <w:spacing w:before="0" w:after="0" w:line="240" w:lineRule="auto"/>
              <w:jc w:val="left"/>
              <w:rPr>
                <w:sz w:val="20"/>
                <w:szCs w:val="20"/>
                <w:lang w:val="en-IN"/>
              </w:rPr>
            </w:pPr>
          </w:p>
        </w:tc>
      </w:tr>
      <w:tr w:rsidR="00467225" w:rsidRPr="00467225" w14:paraId="112BF92D"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16EF7F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(/):"Total Assets"</w:t>
            </w:r>
          </w:p>
        </w:tc>
        <w:tc>
          <w:tcPr>
            <w:tcW w:w="1302" w:type="pct"/>
            <w:vMerge/>
            <w:tcBorders>
              <w:top w:val="nil"/>
              <w:left w:val="single" w:sz="4" w:space="0" w:color="auto"/>
              <w:bottom w:val="single" w:sz="4" w:space="0" w:color="auto"/>
              <w:right w:val="single" w:sz="4" w:space="0" w:color="auto"/>
            </w:tcBorders>
            <w:vAlign w:val="center"/>
            <w:hideMark/>
          </w:tcPr>
          <w:p w14:paraId="692AF8F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09E3E2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9,01,14,296 </w:t>
            </w:r>
          </w:p>
        </w:tc>
        <w:tc>
          <w:tcPr>
            <w:tcW w:w="509" w:type="pct"/>
            <w:tcBorders>
              <w:top w:val="nil"/>
              <w:left w:val="nil"/>
              <w:bottom w:val="single" w:sz="4" w:space="0" w:color="auto"/>
              <w:right w:val="single" w:sz="4" w:space="0" w:color="auto"/>
            </w:tcBorders>
            <w:shd w:val="clear" w:color="000000" w:fill="FFFFFF"/>
            <w:noWrap/>
            <w:vAlign w:val="bottom"/>
            <w:hideMark/>
          </w:tcPr>
          <w:p w14:paraId="41C4166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7,43,03,180 </w:t>
            </w:r>
          </w:p>
        </w:tc>
        <w:tc>
          <w:tcPr>
            <w:tcW w:w="509" w:type="pct"/>
            <w:tcBorders>
              <w:top w:val="nil"/>
              <w:left w:val="nil"/>
              <w:bottom w:val="single" w:sz="4" w:space="0" w:color="auto"/>
              <w:right w:val="single" w:sz="4" w:space="0" w:color="auto"/>
            </w:tcBorders>
            <w:shd w:val="clear" w:color="000000" w:fill="FFFFFF"/>
            <w:noWrap/>
            <w:vAlign w:val="bottom"/>
            <w:hideMark/>
          </w:tcPr>
          <w:p w14:paraId="1A9BF69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6,76,88,771 </w:t>
            </w:r>
          </w:p>
        </w:tc>
        <w:tc>
          <w:tcPr>
            <w:tcW w:w="509" w:type="pct"/>
            <w:tcBorders>
              <w:top w:val="nil"/>
              <w:left w:val="nil"/>
              <w:bottom w:val="single" w:sz="4" w:space="0" w:color="auto"/>
              <w:right w:val="single" w:sz="4" w:space="0" w:color="auto"/>
            </w:tcBorders>
            <w:shd w:val="clear" w:color="000000" w:fill="FFFFFF"/>
            <w:noWrap/>
            <w:vAlign w:val="bottom"/>
            <w:hideMark/>
          </w:tcPr>
          <w:p w14:paraId="6C4EABE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6,22,67,140 </w:t>
            </w:r>
          </w:p>
        </w:tc>
        <w:tc>
          <w:tcPr>
            <w:tcW w:w="509" w:type="pct"/>
            <w:tcBorders>
              <w:top w:val="nil"/>
              <w:left w:val="nil"/>
              <w:bottom w:val="single" w:sz="4" w:space="0" w:color="auto"/>
              <w:right w:val="single" w:sz="4" w:space="0" w:color="auto"/>
            </w:tcBorders>
            <w:shd w:val="clear" w:color="000000" w:fill="FFFFFF"/>
            <w:noWrap/>
            <w:vAlign w:val="bottom"/>
            <w:hideMark/>
          </w:tcPr>
          <w:p w14:paraId="2126BD7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5,26,80,436 </w:t>
            </w:r>
          </w:p>
        </w:tc>
        <w:tc>
          <w:tcPr>
            <w:tcW w:w="50" w:type="pct"/>
            <w:vAlign w:val="center"/>
            <w:hideMark/>
          </w:tcPr>
          <w:p w14:paraId="663EC582" w14:textId="77777777" w:rsidR="00467225" w:rsidRPr="00467225" w:rsidRDefault="00467225" w:rsidP="00467225">
            <w:pPr>
              <w:spacing w:before="0" w:after="0" w:line="240" w:lineRule="auto"/>
              <w:jc w:val="left"/>
              <w:rPr>
                <w:sz w:val="20"/>
                <w:szCs w:val="20"/>
                <w:lang w:val="en-IN"/>
              </w:rPr>
            </w:pPr>
          </w:p>
        </w:tc>
      </w:tr>
      <w:tr w:rsidR="00467225" w:rsidRPr="00467225" w14:paraId="11937036"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F02EAD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Current Liabilities"</w:t>
            </w:r>
          </w:p>
        </w:tc>
        <w:tc>
          <w:tcPr>
            <w:tcW w:w="1302" w:type="pct"/>
            <w:vMerge/>
            <w:tcBorders>
              <w:top w:val="nil"/>
              <w:left w:val="single" w:sz="4" w:space="0" w:color="auto"/>
              <w:bottom w:val="single" w:sz="4" w:space="0" w:color="auto"/>
              <w:right w:val="single" w:sz="4" w:space="0" w:color="auto"/>
            </w:tcBorders>
            <w:vAlign w:val="center"/>
            <w:hideMark/>
          </w:tcPr>
          <w:p w14:paraId="0DF9375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noWrap/>
            <w:vAlign w:val="bottom"/>
            <w:hideMark/>
          </w:tcPr>
          <w:p w14:paraId="2CCCE5A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2,91,77,909 </w:t>
            </w:r>
          </w:p>
        </w:tc>
        <w:tc>
          <w:tcPr>
            <w:tcW w:w="509" w:type="pct"/>
            <w:tcBorders>
              <w:top w:val="nil"/>
              <w:left w:val="nil"/>
              <w:bottom w:val="single" w:sz="4" w:space="0" w:color="auto"/>
              <w:right w:val="single" w:sz="4" w:space="0" w:color="auto"/>
            </w:tcBorders>
            <w:noWrap/>
            <w:vAlign w:val="bottom"/>
            <w:hideMark/>
          </w:tcPr>
          <w:p w14:paraId="4B9280A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2,39,59,715 </w:t>
            </w:r>
          </w:p>
        </w:tc>
        <w:tc>
          <w:tcPr>
            <w:tcW w:w="509" w:type="pct"/>
            <w:tcBorders>
              <w:top w:val="nil"/>
              <w:left w:val="nil"/>
              <w:bottom w:val="single" w:sz="4" w:space="0" w:color="auto"/>
              <w:right w:val="single" w:sz="4" w:space="0" w:color="auto"/>
            </w:tcBorders>
            <w:noWrap/>
            <w:vAlign w:val="bottom"/>
            <w:hideMark/>
          </w:tcPr>
          <w:p w14:paraId="4E5F13E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2,18,42,161 </w:t>
            </w:r>
          </w:p>
        </w:tc>
        <w:tc>
          <w:tcPr>
            <w:tcW w:w="509" w:type="pct"/>
            <w:tcBorders>
              <w:top w:val="nil"/>
              <w:left w:val="nil"/>
              <w:bottom w:val="single" w:sz="4" w:space="0" w:color="auto"/>
              <w:right w:val="single" w:sz="4" w:space="0" w:color="auto"/>
            </w:tcBorders>
            <w:noWrap/>
            <w:vAlign w:val="bottom"/>
            <w:hideMark/>
          </w:tcPr>
          <w:p w14:paraId="308AB74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2,14,60,466 </w:t>
            </w:r>
          </w:p>
        </w:tc>
        <w:tc>
          <w:tcPr>
            <w:tcW w:w="509" w:type="pct"/>
            <w:tcBorders>
              <w:top w:val="nil"/>
              <w:left w:val="nil"/>
              <w:bottom w:val="single" w:sz="4" w:space="0" w:color="auto"/>
              <w:right w:val="single" w:sz="4" w:space="0" w:color="auto"/>
            </w:tcBorders>
            <w:noWrap/>
            <w:vAlign w:val="bottom"/>
            <w:hideMark/>
          </w:tcPr>
          <w:p w14:paraId="54A68B3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1,79,02,377 </w:t>
            </w:r>
          </w:p>
        </w:tc>
        <w:tc>
          <w:tcPr>
            <w:tcW w:w="50" w:type="pct"/>
            <w:vAlign w:val="center"/>
            <w:hideMark/>
          </w:tcPr>
          <w:p w14:paraId="1436B391" w14:textId="77777777" w:rsidR="00467225" w:rsidRPr="00467225" w:rsidRDefault="00467225" w:rsidP="00467225">
            <w:pPr>
              <w:spacing w:before="0" w:after="0" w:line="240" w:lineRule="auto"/>
              <w:jc w:val="left"/>
              <w:rPr>
                <w:sz w:val="20"/>
                <w:szCs w:val="20"/>
                <w:lang w:val="en-IN"/>
              </w:rPr>
            </w:pPr>
          </w:p>
        </w:tc>
      </w:tr>
      <w:tr w:rsidR="00467225" w:rsidRPr="00467225" w14:paraId="30DD20E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0447360"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"ROCE"</w:t>
            </w:r>
          </w:p>
        </w:tc>
        <w:tc>
          <w:tcPr>
            <w:tcW w:w="1302" w:type="pct"/>
            <w:vMerge/>
            <w:tcBorders>
              <w:top w:val="nil"/>
              <w:left w:val="single" w:sz="4" w:space="0" w:color="auto"/>
              <w:bottom w:val="single" w:sz="4" w:space="0" w:color="auto"/>
              <w:right w:val="single" w:sz="4" w:space="0" w:color="auto"/>
            </w:tcBorders>
            <w:vAlign w:val="center"/>
            <w:hideMark/>
          </w:tcPr>
          <w:p w14:paraId="3D0B06B6"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B0D4FF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11.43%</w:t>
            </w:r>
          </w:p>
        </w:tc>
        <w:tc>
          <w:tcPr>
            <w:tcW w:w="509" w:type="pct"/>
            <w:tcBorders>
              <w:top w:val="nil"/>
              <w:left w:val="nil"/>
              <w:bottom w:val="single" w:sz="4" w:space="0" w:color="auto"/>
              <w:right w:val="single" w:sz="4" w:space="0" w:color="auto"/>
            </w:tcBorders>
            <w:shd w:val="clear" w:color="000000" w:fill="FFFFFF"/>
            <w:noWrap/>
            <w:vAlign w:val="bottom"/>
            <w:hideMark/>
          </w:tcPr>
          <w:p w14:paraId="78C21E2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7.29%</w:t>
            </w:r>
          </w:p>
        </w:tc>
        <w:tc>
          <w:tcPr>
            <w:tcW w:w="509" w:type="pct"/>
            <w:tcBorders>
              <w:top w:val="nil"/>
              <w:left w:val="nil"/>
              <w:bottom w:val="single" w:sz="4" w:space="0" w:color="auto"/>
              <w:right w:val="single" w:sz="4" w:space="0" w:color="auto"/>
            </w:tcBorders>
            <w:shd w:val="clear" w:color="000000" w:fill="FFFFFF"/>
            <w:noWrap/>
            <w:vAlign w:val="bottom"/>
            <w:hideMark/>
          </w:tcPr>
          <w:p w14:paraId="4A0CCE5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8.70%</w:t>
            </w:r>
          </w:p>
        </w:tc>
        <w:tc>
          <w:tcPr>
            <w:tcW w:w="509" w:type="pct"/>
            <w:tcBorders>
              <w:top w:val="nil"/>
              <w:left w:val="nil"/>
              <w:bottom w:val="single" w:sz="4" w:space="0" w:color="auto"/>
              <w:right w:val="single" w:sz="4" w:space="0" w:color="auto"/>
            </w:tcBorders>
            <w:shd w:val="clear" w:color="000000" w:fill="FFFFFF"/>
            <w:noWrap/>
            <w:vAlign w:val="bottom"/>
            <w:hideMark/>
          </w:tcPr>
          <w:p w14:paraId="68557EC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7.19%</w:t>
            </w:r>
          </w:p>
        </w:tc>
        <w:tc>
          <w:tcPr>
            <w:tcW w:w="509" w:type="pct"/>
            <w:tcBorders>
              <w:top w:val="nil"/>
              <w:left w:val="nil"/>
              <w:bottom w:val="single" w:sz="4" w:space="0" w:color="auto"/>
              <w:right w:val="single" w:sz="4" w:space="0" w:color="auto"/>
            </w:tcBorders>
            <w:shd w:val="clear" w:color="000000" w:fill="FFFFFF"/>
            <w:noWrap/>
            <w:vAlign w:val="bottom"/>
            <w:hideMark/>
          </w:tcPr>
          <w:p w14:paraId="32EE877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7.35%</w:t>
            </w:r>
          </w:p>
        </w:tc>
        <w:tc>
          <w:tcPr>
            <w:tcW w:w="50" w:type="pct"/>
            <w:vAlign w:val="center"/>
            <w:hideMark/>
          </w:tcPr>
          <w:p w14:paraId="03CED564" w14:textId="77777777" w:rsidR="00467225" w:rsidRPr="00467225" w:rsidRDefault="00467225" w:rsidP="00467225">
            <w:pPr>
              <w:spacing w:before="0" w:after="0" w:line="240" w:lineRule="auto"/>
              <w:jc w:val="left"/>
              <w:rPr>
                <w:sz w:val="20"/>
                <w:szCs w:val="20"/>
                <w:lang w:val="en-IN"/>
              </w:rPr>
            </w:pPr>
          </w:p>
        </w:tc>
      </w:tr>
      <w:tr w:rsidR="00467225" w:rsidRPr="00467225" w14:paraId="4680DB38"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4484B4"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15A3C31D" w14:textId="77777777" w:rsidR="00467225" w:rsidRPr="00467225" w:rsidRDefault="00467225" w:rsidP="00467225">
            <w:pPr>
              <w:spacing w:before="0" w:after="0" w:line="240" w:lineRule="auto"/>
              <w:jc w:val="left"/>
              <w:rPr>
                <w:sz w:val="20"/>
                <w:szCs w:val="20"/>
                <w:lang w:val="en-IN"/>
              </w:rPr>
            </w:pPr>
          </w:p>
        </w:tc>
      </w:tr>
      <w:tr w:rsidR="00467225" w:rsidRPr="00467225" w14:paraId="50846D92"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66C93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Margin"</w:t>
            </w:r>
          </w:p>
        </w:tc>
        <w:tc>
          <w:tcPr>
            <w:tcW w:w="50" w:type="pct"/>
            <w:vAlign w:val="center"/>
            <w:hideMark/>
          </w:tcPr>
          <w:p w14:paraId="7A41FC99" w14:textId="77777777" w:rsidR="00467225" w:rsidRPr="00467225" w:rsidRDefault="00467225" w:rsidP="00467225">
            <w:pPr>
              <w:spacing w:before="0" w:after="0" w:line="240" w:lineRule="auto"/>
              <w:jc w:val="left"/>
              <w:rPr>
                <w:sz w:val="20"/>
                <w:szCs w:val="20"/>
                <w:lang w:val="en-IN"/>
              </w:rPr>
            </w:pPr>
          </w:p>
        </w:tc>
      </w:tr>
      <w:tr w:rsidR="00467225" w:rsidRPr="00467225" w14:paraId="6DF3353B"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36C5AC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6EE3248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1AFC937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66B279B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67F4963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2D334D9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243467A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09787A29" w14:textId="77777777" w:rsidR="00467225" w:rsidRPr="00467225" w:rsidRDefault="00467225" w:rsidP="00467225">
            <w:pPr>
              <w:spacing w:before="0" w:after="0" w:line="240" w:lineRule="auto"/>
              <w:jc w:val="left"/>
              <w:rPr>
                <w:sz w:val="20"/>
                <w:szCs w:val="20"/>
                <w:lang w:val="en-IN"/>
              </w:rPr>
            </w:pPr>
          </w:p>
        </w:tc>
      </w:tr>
      <w:tr w:rsidR="00467225" w:rsidRPr="00467225" w14:paraId="19EBAAA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64E1D6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"Operating Income"</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DCBEEB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"(Operating Income (or EBIT) / </w:t>
            </w:r>
            <w:proofErr w:type="gramStart"/>
            <w:r w:rsidRPr="00467225">
              <w:rPr>
                <w:rFonts w:ascii="Arial" w:hAnsi="Arial" w:cs="Arial"/>
                <w:b/>
                <w:bCs/>
                <w:color w:val="000000"/>
                <w:lang w:val="en-IN"/>
              </w:rPr>
              <w:t>Sales)*</w:t>
            </w:r>
            <w:proofErr w:type="gramEnd"/>
            <w:r w:rsidRPr="00467225">
              <w:rPr>
                <w:rFonts w:ascii="Arial" w:hAnsi="Arial" w:cs="Arial"/>
                <w:b/>
                <w:bCs/>
                <w:color w:val="000000"/>
                <w:lang w:val="en-IN"/>
              </w:rPr>
              <w:t>100"</w:t>
            </w:r>
          </w:p>
        </w:tc>
        <w:tc>
          <w:tcPr>
            <w:tcW w:w="509" w:type="pct"/>
            <w:tcBorders>
              <w:top w:val="nil"/>
              <w:left w:val="nil"/>
              <w:bottom w:val="single" w:sz="4" w:space="0" w:color="auto"/>
              <w:right w:val="single" w:sz="4" w:space="0" w:color="auto"/>
            </w:tcBorders>
            <w:shd w:val="clear" w:color="000000" w:fill="FFFFFF"/>
            <w:noWrap/>
            <w:vAlign w:val="bottom"/>
            <w:hideMark/>
          </w:tcPr>
          <w:p w14:paraId="339094B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53,52,934 </w:t>
            </w:r>
          </w:p>
        </w:tc>
        <w:tc>
          <w:tcPr>
            <w:tcW w:w="509" w:type="pct"/>
            <w:tcBorders>
              <w:top w:val="nil"/>
              <w:left w:val="nil"/>
              <w:bottom w:val="single" w:sz="4" w:space="0" w:color="auto"/>
              <w:right w:val="single" w:sz="4" w:space="0" w:color="auto"/>
            </w:tcBorders>
            <w:shd w:val="clear" w:color="000000" w:fill="FFFFFF"/>
            <w:noWrap/>
            <w:vAlign w:val="bottom"/>
            <w:hideMark/>
          </w:tcPr>
          <w:p w14:paraId="4CA685A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27,25,025 </w:t>
            </w:r>
          </w:p>
        </w:tc>
        <w:tc>
          <w:tcPr>
            <w:tcW w:w="509" w:type="pct"/>
            <w:tcBorders>
              <w:top w:val="nil"/>
              <w:left w:val="nil"/>
              <w:bottom w:val="single" w:sz="4" w:space="0" w:color="auto"/>
              <w:right w:val="single" w:sz="4" w:space="0" w:color="auto"/>
            </w:tcBorders>
            <w:shd w:val="clear" w:color="000000" w:fill="FFFFFF"/>
            <w:noWrap/>
            <w:vAlign w:val="bottom"/>
            <w:hideMark/>
          </w:tcPr>
          <w:p w14:paraId="2B62289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29,95,697 </w:t>
            </w:r>
          </w:p>
        </w:tc>
        <w:tc>
          <w:tcPr>
            <w:tcW w:w="509" w:type="pct"/>
            <w:tcBorders>
              <w:top w:val="nil"/>
              <w:left w:val="nil"/>
              <w:bottom w:val="single" w:sz="4" w:space="0" w:color="auto"/>
              <w:right w:val="single" w:sz="4" w:space="0" w:color="auto"/>
            </w:tcBorders>
            <w:shd w:val="clear" w:color="000000" w:fill="FFFFFF"/>
            <w:noWrap/>
            <w:vAlign w:val="bottom"/>
            <w:hideMark/>
          </w:tcPr>
          <w:p w14:paraId="6FBC094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21,97,748 </w:t>
            </w:r>
          </w:p>
        </w:tc>
        <w:tc>
          <w:tcPr>
            <w:tcW w:w="509" w:type="pct"/>
            <w:tcBorders>
              <w:top w:val="nil"/>
              <w:left w:val="nil"/>
              <w:bottom w:val="single" w:sz="4" w:space="0" w:color="auto"/>
              <w:right w:val="single" w:sz="4" w:space="0" w:color="auto"/>
            </w:tcBorders>
            <w:shd w:val="clear" w:color="000000" w:fill="FFFFFF"/>
            <w:noWrap/>
            <w:vAlign w:val="bottom"/>
            <w:hideMark/>
          </w:tcPr>
          <w:p w14:paraId="1BBD2CF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24,42,869 </w:t>
            </w:r>
          </w:p>
        </w:tc>
        <w:tc>
          <w:tcPr>
            <w:tcW w:w="50" w:type="pct"/>
            <w:vAlign w:val="center"/>
            <w:hideMark/>
          </w:tcPr>
          <w:p w14:paraId="43727B29" w14:textId="77777777" w:rsidR="00467225" w:rsidRPr="00467225" w:rsidRDefault="00467225" w:rsidP="00467225">
            <w:pPr>
              <w:spacing w:before="0" w:after="0" w:line="240" w:lineRule="auto"/>
              <w:jc w:val="left"/>
              <w:rPr>
                <w:sz w:val="20"/>
                <w:szCs w:val="20"/>
                <w:lang w:val="en-IN"/>
              </w:rPr>
            </w:pPr>
          </w:p>
        </w:tc>
      </w:tr>
      <w:tr w:rsidR="00467225" w:rsidRPr="00467225" w14:paraId="72FBBDE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0FEFC4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Sales"</w:t>
            </w:r>
          </w:p>
        </w:tc>
        <w:tc>
          <w:tcPr>
            <w:tcW w:w="1302" w:type="pct"/>
            <w:vMerge/>
            <w:tcBorders>
              <w:top w:val="nil"/>
              <w:left w:val="single" w:sz="4" w:space="0" w:color="auto"/>
              <w:bottom w:val="single" w:sz="4" w:space="0" w:color="auto"/>
              <w:right w:val="single" w:sz="4" w:space="0" w:color="auto"/>
            </w:tcBorders>
            <w:vAlign w:val="center"/>
            <w:hideMark/>
          </w:tcPr>
          <w:p w14:paraId="5120CBF7"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noWrap/>
            <w:vAlign w:val="bottom"/>
            <w:hideMark/>
          </w:tcPr>
          <w:p w14:paraId="723DA7F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noWrap/>
            <w:vAlign w:val="bottom"/>
            <w:hideMark/>
          </w:tcPr>
          <w:p w14:paraId="4261568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noWrap/>
            <w:vAlign w:val="bottom"/>
            <w:hideMark/>
          </w:tcPr>
          <w:p w14:paraId="2B40F12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noWrap/>
            <w:vAlign w:val="bottom"/>
            <w:hideMark/>
          </w:tcPr>
          <w:p w14:paraId="7571226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noWrap/>
            <w:vAlign w:val="bottom"/>
            <w:hideMark/>
          </w:tcPr>
          <w:p w14:paraId="104218E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52C1E1AE" w14:textId="77777777" w:rsidR="00467225" w:rsidRPr="00467225" w:rsidRDefault="00467225" w:rsidP="00467225">
            <w:pPr>
              <w:spacing w:before="0" w:after="0" w:line="240" w:lineRule="auto"/>
              <w:jc w:val="left"/>
              <w:rPr>
                <w:sz w:val="20"/>
                <w:szCs w:val="20"/>
                <w:lang w:val="en-IN"/>
              </w:rPr>
            </w:pPr>
          </w:p>
        </w:tc>
      </w:tr>
      <w:tr w:rsidR="00467225" w:rsidRPr="00467225" w14:paraId="5523D5D2"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EB14420"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"Operating Margin"</w:t>
            </w:r>
          </w:p>
        </w:tc>
        <w:tc>
          <w:tcPr>
            <w:tcW w:w="1302" w:type="pct"/>
            <w:vMerge/>
            <w:tcBorders>
              <w:top w:val="nil"/>
              <w:left w:val="single" w:sz="4" w:space="0" w:color="auto"/>
              <w:bottom w:val="single" w:sz="4" w:space="0" w:color="auto"/>
              <w:right w:val="single" w:sz="4" w:space="0" w:color="auto"/>
            </w:tcBorders>
            <w:vAlign w:val="center"/>
            <w:hideMark/>
          </w:tcPr>
          <w:p w14:paraId="318F472F"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0AA9B7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11.87%</w:t>
            </w:r>
          </w:p>
        </w:tc>
        <w:tc>
          <w:tcPr>
            <w:tcW w:w="509" w:type="pct"/>
            <w:tcBorders>
              <w:top w:val="nil"/>
              <w:left w:val="nil"/>
              <w:bottom w:val="single" w:sz="4" w:space="0" w:color="auto"/>
              <w:right w:val="single" w:sz="4" w:space="0" w:color="auto"/>
            </w:tcBorders>
            <w:shd w:val="clear" w:color="000000" w:fill="FFFFFF"/>
            <w:noWrap/>
            <w:vAlign w:val="bottom"/>
            <w:hideMark/>
          </w:tcPr>
          <w:p w14:paraId="0C1AB8F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7.33%</w:t>
            </w:r>
          </w:p>
        </w:tc>
        <w:tc>
          <w:tcPr>
            <w:tcW w:w="509" w:type="pct"/>
            <w:tcBorders>
              <w:top w:val="nil"/>
              <w:left w:val="nil"/>
              <w:bottom w:val="single" w:sz="4" w:space="0" w:color="auto"/>
              <w:right w:val="single" w:sz="4" w:space="0" w:color="auto"/>
            </w:tcBorders>
            <w:shd w:val="clear" w:color="000000" w:fill="FFFFFF"/>
            <w:noWrap/>
            <w:vAlign w:val="bottom"/>
            <w:hideMark/>
          </w:tcPr>
          <w:p w14:paraId="7837817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9.55%</w:t>
            </w:r>
          </w:p>
        </w:tc>
        <w:tc>
          <w:tcPr>
            <w:tcW w:w="509" w:type="pct"/>
            <w:tcBorders>
              <w:top w:val="nil"/>
              <w:left w:val="nil"/>
              <w:bottom w:val="single" w:sz="4" w:space="0" w:color="auto"/>
              <w:right w:val="single" w:sz="4" w:space="0" w:color="auto"/>
            </w:tcBorders>
            <w:shd w:val="clear" w:color="000000" w:fill="FFFFFF"/>
            <w:noWrap/>
            <w:vAlign w:val="bottom"/>
            <w:hideMark/>
          </w:tcPr>
          <w:p w14:paraId="046DF3D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8.08%</w:t>
            </w:r>
          </w:p>
        </w:tc>
        <w:tc>
          <w:tcPr>
            <w:tcW w:w="509" w:type="pct"/>
            <w:tcBorders>
              <w:top w:val="nil"/>
              <w:left w:val="nil"/>
              <w:bottom w:val="single" w:sz="4" w:space="0" w:color="auto"/>
              <w:right w:val="single" w:sz="4" w:space="0" w:color="auto"/>
            </w:tcBorders>
            <w:shd w:val="clear" w:color="000000" w:fill="FFFFFF"/>
            <w:noWrap/>
            <w:vAlign w:val="bottom"/>
            <w:hideMark/>
          </w:tcPr>
          <w:p w14:paraId="092F6714"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8.16%</w:t>
            </w:r>
          </w:p>
        </w:tc>
        <w:tc>
          <w:tcPr>
            <w:tcW w:w="50" w:type="pct"/>
            <w:vAlign w:val="center"/>
            <w:hideMark/>
          </w:tcPr>
          <w:p w14:paraId="7A922F0C" w14:textId="77777777" w:rsidR="00467225" w:rsidRPr="00467225" w:rsidRDefault="00467225" w:rsidP="00467225">
            <w:pPr>
              <w:spacing w:before="0" w:after="0" w:line="240" w:lineRule="auto"/>
              <w:jc w:val="left"/>
              <w:rPr>
                <w:sz w:val="20"/>
                <w:szCs w:val="20"/>
                <w:lang w:val="en-IN"/>
              </w:rPr>
            </w:pPr>
          </w:p>
        </w:tc>
      </w:tr>
      <w:tr w:rsidR="00467225" w:rsidRPr="00467225" w14:paraId="4BBEC8F1"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CEB9D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"Net Profit Margin"</w:t>
            </w:r>
          </w:p>
        </w:tc>
        <w:tc>
          <w:tcPr>
            <w:tcW w:w="50" w:type="pct"/>
            <w:vAlign w:val="center"/>
            <w:hideMark/>
          </w:tcPr>
          <w:p w14:paraId="47BD7F05" w14:textId="77777777" w:rsidR="00467225" w:rsidRPr="00467225" w:rsidRDefault="00467225" w:rsidP="00467225">
            <w:pPr>
              <w:spacing w:before="0" w:after="0" w:line="240" w:lineRule="auto"/>
              <w:jc w:val="left"/>
              <w:rPr>
                <w:sz w:val="20"/>
                <w:szCs w:val="20"/>
                <w:lang w:val="en-IN"/>
              </w:rPr>
            </w:pPr>
          </w:p>
        </w:tc>
      </w:tr>
      <w:tr w:rsidR="00467225" w:rsidRPr="00467225" w14:paraId="5F5FF0D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12FB57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4E528AD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4FA58C3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1D00C43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4175431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4A9B5E2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45791DF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527EA3D5" w14:textId="77777777" w:rsidR="00467225" w:rsidRPr="00467225" w:rsidRDefault="00467225" w:rsidP="00467225">
            <w:pPr>
              <w:spacing w:before="0" w:after="0" w:line="240" w:lineRule="auto"/>
              <w:jc w:val="left"/>
              <w:rPr>
                <w:sz w:val="20"/>
                <w:szCs w:val="20"/>
                <w:lang w:val="en-IN"/>
              </w:rPr>
            </w:pPr>
          </w:p>
        </w:tc>
      </w:tr>
      <w:tr w:rsidR="00467225" w:rsidRPr="00467225" w14:paraId="66B913E9"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EA6D5A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"Net Income"</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61600D7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"(Net Income / </w:t>
            </w:r>
            <w:proofErr w:type="gramStart"/>
            <w:r w:rsidRPr="00467225">
              <w:rPr>
                <w:rFonts w:ascii="Arial" w:hAnsi="Arial" w:cs="Arial"/>
                <w:b/>
                <w:bCs/>
                <w:color w:val="000000"/>
                <w:lang w:val="en-IN"/>
              </w:rPr>
              <w:t>Sales)*</w:t>
            </w:r>
            <w:proofErr w:type="gramEnd"/>
            <w:r w:rsidRPr="00467225">
              <w:rPr>
                <w:rFonts w:ascii="Arial" w:hAnsi="Arial" w:cs="Arial"/>
                <w:b/>
                <w:bCs/>
                <w:color w:val="000000"/>
                <w:lang w:val="en-IN"/>
              </w:rPr>
              <w:t>100"</w:t>
            </w:r>
          </w:p>
        </w:tc>
        <w:tc>
          <w:tcPr>
            <w:tcW w:w="509" w:type="pct"/>
            <w:tcBorders>
              <w:top w:val="nil"/>
              <w:left w:val="nil"/>
              <w:bottom w:val="single" w:sz="4" w:space="0" w:color="auto"/>
              <w:right w:val="single" w:sz="4" w:space="0" w:color="auto"/>
            </w:tcBorders>
            <w:noWrap/>
            <w:vAlign w:val="bottom"/>
            <w:hideMark/>
          </w:tcPr>
          <w:p w14:paraId="3CF149F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50,71,421 </w:t>
            </w:r>
          </w:p>
        </w:tc>
        <w:tc>
          <w:tcPr>
            <w:tcW w:w="509" w:type="pct"/>
            <w:tcBorders>
              <w:top w:val="nil"/>
              <w:left w:val="nil"/>
              <w:bottom w:val="single" w:sz="4" w:space="0" w:color="auto"/>
              <w:right w:val="single" w:sz="4" w:space="0" w:color="auto"/>
            </w:tcBorders>
            <w:noWrap/>
            <w:vAlign w:val="bottom"/>
            <w:hideMark/>
          </w:tcPr>
          <w:p w14:paraId="0FAEC03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24,92,967 </w:t>
            </w:r>
          </w:p>
        </w:tc>
        <w:tc>
          <w:tcPr>
            <w:tcW w:w="509" w:type="pct"/>
            <w:tcBorders>
              <w:top w:val="nil"/>
              <w:left w:val="nil"/>
              <w:bottom w:val="single" w:sz="4" w:space="0" w:color="auto"/>
              <w:right w:val="single" w:sz="4" w:space="0" w:color="auto"/>
            </w:tcBorders>
            <w:noWrap/>
            <w:vAlign w:val="bottom"/>
            <w:hideMark/>
          </w:tcPr>
          <w:p w14:paraId="3E1044F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28,74,614 </w:t>
            </w:r>
          </w:p>
        </w:tc>
        <w:tc>
          <w:tcPr>
            <w:tcW w:w="509" w:type="pct"/>
            <w:tcBorders>
              <w:top w:val="nil"/>
              <w:left w:val="nil"/>
              <w:bottom w:val="single" w:sz="4" w:space="0" w:color="auto"/>
              <w:right w:val="single" w:sz="4" w:space="0" w:color="auto"/>
            </w:tcBorders>
            <w:noWrap/>
            <w:vAlign w:val="bottom"/>
            <w:hideMark/>
          </w:tcPr>
          <w:p w14:paraId="1132627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22,82,378 </w:t>
            </w:r>
          </w:p>
        </w:tc>
        <w:tc>
          <w:tcPr>
            <w:tcW w:w="509" w:type="pct"/>
            <w:tcBorders>
              <w:top w:val="nil"/>
              <w:left w:val="nil"/>
              <w:bottom w:val="single" w:sz="4" w:space="0" w:color="auto"/>
              <w:right w:val="single" w:sz="4" w:space="0" w:color="auto"/>
            </w:tcBorders>
            <w:noWrap/>
            <w:vAlign w:val="bottom"/>
            <w:hideMark/>
          </w:tcPr>
          <w:p w14:paraId="54F7510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21,42,329 </w:t>
            </w:r>
          </w:p>
        </w:tc>
        <w:tc>
          <w:tcPr>
            <w:tcW w:w="50" w:type="pct"/>
            <w:vAlign w:val="center"/>
            <w:hideMark/>
          </w:tcPr>
          <w:p w14:paraId="2EED7548" w14:textId="77777777" w:rsidR="00467225" w:rsidRPr="00467225" w:rsidRDefault="00467225" w:rsidP="00467225">
            <w:pPr>
              <w:spacing w:before="0" w:after="0" w:line="240" w:lineRule="auto"/>
              <w:jc w:val="left"/>
              <w:rPr>
                <w:sz w:val="20"/>
                <w:szCs w:val="20"/>
                <w:lang w:val="en-IN"/>
              </w:rPr>
            </w:pPr>
          </w:p>
        </w:tc>
      </w:tr>
      <w:tr w:rsidR="00467225" w:rsidRPr="00467225" w14:paraId="7893680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53DB9C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Sales"</w:t>
            </w:r>
          </w:p>
        </w:tc>
        <w:tc>
          <w:tcPr>
            <w:tcW w:w="1302" w:type="pct"/>
            <w:vMerge/>
            <w:tcBorders>
              <w:top w:val="nil"/>
              <w:left w:val="single" w:sz="4" w:space="0" w:color="auto"/>
              <w:bottom w:val="single" w:sz="4" w:space="0" w:color="auto"/>
              <w:right w:val="single" w:sz="4" w:space="0" w:color="auto"/>
            </w:tcBorders>
            <w:vAlign w:val="center"/>
            <w:hideMark/>
          </w:tcPr>
          <w:p w14:paraId="0C0D8D05"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7EE7BE5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shd w:val="clear" w:color="000000" w:fill="FFFFFF"/>
            <w:noWrap/>
            <w:vAlign w:val="bottom"/>
            <w:hideMark/>
          </w:tcPr>
          <w:p w14:paraId="1B7E4BC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shd w:val="clear" w:color="000000" w:fill="FFFFFF"/>
            <w:noWrap/>
            <w:vAlign w:val="bottom"/>
            <w:hideMark/>
          </w:tcPr>
          <w:p w14:paraId="572CE27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shd w:val="clear" w:color="000000" w:fill="FFFFFF"/>
            <w:noWrap/>
            <w:vAlign w:val="bottom"/>
            <w:hideMark/>
          </w:tcPr>
          <w:p w14:paraId="6FF991C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shd w:val="clear" w:color="000000" w:fill="FFFFFF"/>
            <w:noWrap/>
            <w:vAlign w:val="bottom"/>
            <w:hideMark/>
          </w:tcPr>
          <w:p w14:paraId="545B4EB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4DE8D72B" w14:textId="77777777" w:rsidR="00467225" w:rsidRPr="00467225" w:rsidRDefault="00467225" w:rsidP="00467225">
            <w:pPr>
              <w:spacing w:before="0" w:after="0" w:line="240" w:lineRule="auto"/>
              <w:jc w:val="left"/>
              <w:rPr>
                <w:sz w:val="20"/>
                <w:szCs w:val="20"/>
                <w:lang w:val="en-IN"/>
              </w:rPr>
            </w:pPr>
          </w:p>
        </w:tc>
      </w:tr>
      <w:tr w:rsidR="00467225" w:rsidRPr="00467225" w14:paraId="5496DF3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A0AEBD3"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"Net Profit Margin"</w:t>
            </w:r>
          </w:p>
        </w:tc>
        <w:tc>
          <w:tcPr>
            <w:tcW w:w="1302" w:type="pct"/>
            <w:vMerge/>
            <w:tcBorders>
              <w:top w:val="nil"/>
              <w:left w:val="single" w:sz="4" w:space="0" w:color="auto"/>
              <w:bottom w:val="single" w:sz="4" w:space="0" w:color="auto"/>
              <w:right w:val="single" w:sz="4" w:space="0" w:color="auto"/>
            </w:tcBorders>
            <w:vAlign w:val="center"/>
            <w:hideMark/>
          </w:tcPr>
          <w:p w14:paraId="2005CD4E"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9A1E00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11.25%</w:t>
            </w:r>
          </w:p>
        </w:tc>
        <w:tc>
          <w:tcPr>
            <w:tcW w:w="509" w:type="pct"/>
            <w:tcBorders>
              <w:top w:val="nil"/>
              <w:left w:val="nil"/>
              <w:bottom w:val="single" w:sz="4" w:space="0" w:color="auto"/>
              <w:right w:val="single" w:sz="4" w:space="0" w:color="auto"/>
            </w:tcBorders>
            <w:shd w:val="clear" w:color="000000" w:fill="FFFFFF"/>
            <w:noWrap/>
            <w:vAlign w:val="bottom"/>
            <w:hideMark/>
          </w:tcPr>
          <w:p w14:paraId="721C83A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6.71%</w:t>
            </w:r>
          </w:p>
        </w:tc>
        <w:tc>
          <w:tcPr>
            <w:tcW w:w="509" w:type="pct"/>
            <w:tcBorders>
              <w:top w:val="nil"/>
              <w:left w:val="nil"/>
              <w:bottom w:val="single" w:sz="4" w:space="0" w:color="auto"/>
              <w:right w:val="single" w:sz="4" w:space="0" w:color="auto"/>
            </w:tcBorders>
            <w:shd w:val="clear" w:color="000000" w:fill="FFFFFF"/>
            <w:noWrap/>
            <w:vAlign w:val="bottom"/>
            <w:hideMark/>
          </w:tcPr>
          <w:p w14:paraId="4AF4457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9.16%</w:t>
            </w:r>
          </w:p>
        </w:tc>
        <w:tc>
          <w:tcPr>
            <w:tcW w:w="509" w:type="pct"/>
            <w:tcBorders>
              <w:top w:val="nil"/>
              <w:left w:val="nil"/>
              <w:bottom w:val="single" w:sz="4" w:space="0" w:color="auto"/>
              <w:right w:val="single" w:sz="4" w:space="0" w:color="auto"/>
            </w:tcBorders>
            <w:shd w:val="clear" w:color="000000" w:fill="FFFFFF"/>
            <w:noWrap/>
            <w:vAlign w:val="bottom"/>
            <w:hideMark/>
          </w:tcPr>
          <w:p w14:paraId="181A846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8.39%</w:t>
            </w:r>
          </w:p>
        </w:tc>
        <w:tc>
          <w:tcPr>
            <w:tcW w:w="509" w:type="pct"/>
            <w:tcBorders>
              <w:top w:val="nil"/>
              <w:left w:val="nil"/>
              <w:bottom w:val="single" w:sz="4" w:space="0" w:color="auto"/>
              <w:right w:val="single" w:sz="4" w:space="0" w:color="auto"/>
            </w:tcBorders>
            <w:shd w:val="clear" w:color="000000" w:fill="FFFFFF"/>
            <w:noWrap/>
            <w:vAlign w:val="bottom"/>
            <w:hideMark/>
          </w:tcPr>
          <w:p w14:paraId="4C557160"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7.16%</w:t>
            </w:r>
          </w:p>
        </w:tc>
        <w:tc>
          <w:tcPr>
            <w:tcW w:w="50" w:type="pct"/>
            <w:vAlign w:val="center"/>
            <w:hideMark/>
          </w:tcPr>
          <w:p w14:paraId="04EB5E8C" w14:textId="77777777" w:rsidR="00467225" w:rsidRPr="00467225" w:rsidRDefault="00467225" w:rsidP="00467225">
            <w:pPr>
              <w:spacing w:before="0" w:after="0" w:line="240" w:lineRule="auto"/>
              <w:jc w:val="left"/>
              <w:rPr>
                <w:sz w:val="20"/>
                <w:szCs w:val="20"/>
                <w:lang w:val="en-IN"/>
              </w:rPr>
            </w:pPr>
          </w:p>
        </w:tc>
      </w:tr>
      <w:tr w:rsidR="00467225" w:rsidRPr="00467225" w14:paraId="3C1DFEAE"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FD862A"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2B10BC8C" w14:textId="77777777" w:rsidR="00467225" w:rsidRPr="00467225" w:rsidRDefault="00467225" w:rsidP="00467225">
            <w:pPr>
              <w:spacing w:before="0" w:after="0" w:line="240" w:lineRule="auto"/>
              <w:jc w:val="left"/>
              <w:rPr>
                <w:sz w:val="20"/>
                <w:szCs w:val="20"/>
                <w:lang w:val="en-IN"/>
              </w:rPr>
            </w:pPr>
          </w:p>
        </w:tc>
      </w:tr>
      <w:tr w:rsidR="00467225" w:rsidRPr="00467225" w14:paraId="0A827B0B"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C03F6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lastRenderedPageBreak/>
              <w:t>"Gross Profit Margin"</w:t>
            </w:r>
          </w:p>
        </w:tc>
        <w:tc>
          <w:tcPr>
            <w:tcW w:w="50" w:type="pct"/>
            <w:vAlign w:val="center"/>
            <w:hideMark/>
          </w:tcPr>
          <w:p w14:paraId="1B4D960F" w14:textId="77777777" w:rsidR="00467225" w:rsidRPr="00467225" w:rsidRDefault="00467225" w:rsidP="00467225">
            <w:pPr>
              <w:spacing w:before="0" w:after="0" w:line="240" w:lineRule="auto"/>
              <w:jc w:val="left"/>
              <w:rPr>
                <w:sz w:val="20"/>
                <w:szCs w:val="20"/>
                <w:lang w:val="en-IN"/>
              </w:rPr>
            </w:pPr>
          </w:p>
        </w:tc>
      </w:tr>
      <w:tr w:rsidR="00467225" w:rsidRPr="00467225" w14:paraId="39F951E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AB7144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6C93073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5F87E39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7B336E1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7F12B4A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0BA95E4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7B92D47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AEE7B34" w14:textId="77777777" w:rsidR="00467225" w:rsidRPr="00467225" w:rsidRDefault="00467225" w:rsidP="00467225">
            <w:pPr>
              <w:spacing w:before="0" w:after="0" w:line="240" w:lineRule="auto"/>
              <w:jc w:val="left"/>
              <w:rPr>
                <w:sz w:val="20"/>
                <w:szCs w:val="20"/>
                <w:lang w:val="en-IN"/>
              </w:rPr>
            </w:pPr>
          </w:p>
        </w:tc>
      </w:tr>
      <w:tr w:rsidR="00467225" w:rsidRPr="00467225" w14:paraId="3241139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CC901B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"Gross Profit"</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36536C5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"(Gross Profit / </w:t>
            </w:r>
            <w:proofErr w:type="gramStart"/>
            <w:r w:rsidRPr="00467225">
              <w:rPr>
                <w:rFonts w:ascii="Arial" w:hAnsi="Arial" w:cs="Arial"/>
                <w:b/>
                <w:bCs/>
                <w:color w:val="000000"/>
                <w:lang w:val="en-IN"/>
              </w:rPr>
              <w:t>Sales)*</w:t>
            </w:r>
            <w:proofErr w:type="gramEnd"/>
            <w:r w:rsidRPr="00467225">
              <w:rPr>
                <w:rFonts w:ascii="Arial" w:hAnsi="Arial" w:cs="Arial"/>
                <w:b/>
                <w:bCs/>
                <w:color w:val="000000"/>
                <w:lang w:val="en-IN"/>
              </w:rPr>
              <w:t>100"</w:t>
            </w:r>
          </w:p>
        </w:tc>
        <w:tc>
          <w:tcPr>
            <w:tcW w:w="509" w:type="pct"/>
            <w:tcBorders>
              <w:top w:val="nil"/>
              <w:left w:val="nil"/>
              <w:bottom w:val="single" w:sz="4" w:space="0" w:color="auto"/>
              <w:right w:val="single" w:sz="4" w:space="0" w:color="auto"/>
            </w:tcBorders>
            <w:shd w:val="clear" w:color="000000" w:fill="FFFFFF"/>
            <w:noWrap/>
            <w:vAlign w:val="bottom"/>
            <w:hideMark/>
          </w:tcPr>
          <w:p w14:paraId="396F716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1,14,94,713 </w:t>
            </w:r>
          </w:p>
        </w:tc>
        <w:tc>
          <w:tcPr>
            <w:tcW w:w="509" w:type="pct"/>
            <w:tcBorders>
              <w:top w:val="nil"/>
              <w:left w:val="nil"/>
              <w:bottom w:val="single" w:sz="4" w:space="0" w:color="auto"/>
              <w:right w:val="single" w:sz="4" w:space="0" w:color="auto"/>
            </w:tcBorders>
            <w:shd w:val="clear" w:color="000000" w:fill="FFFFFF"/>
            <w:noWrap/>
            <w:vAlign w:val="bottom"/>
            <w:hideMark/>
          </w:tcPr>
          <w:p w14:paraId="035DB68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80,25,737 </w:t>
            </w:r>
          </w:p>
        </w:tc>
        <w:tc>
          <w:tcPr>
            <w:tcW w:w="509" w:type="pct"/>
            <w:tcBorders>
              <w:top w:val="nil"/>
              <w:left w:val="nil"/>
              <w:bottom w:val="single" w:sz="4" w:space="0" w:color="auto"/>
              <w:right w:val="single" w:sz="4" w:space="0" w:color="auto"/>
            </w:tcBorders>
            <w:shd w:val="clear" w:color="000000" w:fill="FFFFFF"/>
            <w:noWrap/>
            <w:vAlign w:val="bottom"/>
            <w:hideMark/>
          </w:tcPr>
          <w:p w14:paraId="3D2F875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71,28,723 </w:t>
            </w:r>
          </w:p>
        </w:tc>
        <w:tc>
          <w:tcPr>
            <w:tcW w:w="509" w:type="pct"/>
            <w:tcBorders>
              <w:top w:val="nil"/>
              <w:left w:val="nil"/>
              <w:bottom w:val="single" w:sz="4" w:space="0" w:color="auto"/>
              <w:right w:val="single" w:sz="4" w:space="0" w:color="auto"/>
            </w:tcBorders>
            <w:shd w:val="clear" w:color="000000" w:fill="FFFFFF"/>
            <w:noWrap/>
            <w:vAlign w:val="bottom"/>
            <w:hideMark/>
          </w:tcPr>
          <w:p w14:paraId="636921C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60,14,704 </w:t>
            </w:r>
          </w:p>
        </w:tc>
        <w:tc>
          <w:tcPr>
            <w:tcW w:w="509" w:type="pct"/>
            <w:tcBorders>
              <w:top w:val="nil"/>
              <w:left w:val="nil"/>
              <w:bottom w:val="single" w:sz="4" w:space="0" w:color="auto"/>
              <w:right w:val="single" w:sz="4" w:space="0" w:color="auto"/>
            </w:tcBorders>
            <w:shd w:val="clear" w:color="000000" w:fill="FFFFFF"/>
            <w:noWrap/>
            <w:vAlign w:val="bottom"/>
            <w:hideMark/>
          </w:tcPr>
          <w:p w14:paraId="53428A9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67,87,248 </w:t>
            </w:r>
          </w:p>
        </w:tc>
        <w:tc>
          <w:tcPr>
            <w:tcW w:w="50" w:type="pct"/>
            <w:vAlign w:val="center"/>
            <w:hideMark/>
          </w:tcPr>
          <w:p w14:paraId="3ACBA9E2" w14:textId="77777777" w:rsidR="00467225" w:rsidRPr="00467225" w:rsidRDefault="00467225" w:rsidP="00467225">
            <w:pPr>
              <w:spacing w:before="0" w:after="0" w:line="240" w:lineRule="auto"/>
              <w:jc w:val="left"/>
              <w:rPr>
                <w:sz w:val="20"/>
                <w:szCs w:val="20"/>
                <w:lang w:val="en-IN"/>
              </w:rPr>
            </w:pPr>
          </w:p>
        </w:tc>
      </w:tr>
      <w:tr w:rsidR="00467225" w:rsidRPr="00467225" w14:paraId="7AE396D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598CB6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Sales"</w:t>
            </w:r>
          </w:p>
        </w:tc>
        <w:tc>
          <w:tcPr>
            <w:tcW w:w="1302" w:type="pct"/>
            <w:vMerge/>
            <w:tcBorders>
              <w:top w:val="nil"/>
              <w:left w:val="single" w:sz="4" w:space="0" w:color="auto"/>
              <w:bottom w:val="single" w:sz="4" w:space="0" w:color="auto"/>
              <w:right w:val="single" w:sz="4" w:space="0" w:color="auto"/>
            </w:tcBorders>
            <w:vAlign w:val="center"/>
            <w:hideMark/>
          </w:tcPr>
          <w:p w14:paraId="51BF7EC3"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A6EEAF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shd w:val="clear" w:color="000000" w:fill="FFFFFF"/>
            <w:noWrap/>
            <w:vAlign w:val="bottom"/>
            <w:hideMark/>
          </w:tcPr>
          <w:p w14:paraId="4C38BD5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shd w:val="clear" w:color="000000" w:fill="FFFFFF"/>
            <w:noWrap/>
            <w:vAlign w:val="bottom"/>
            <w:hideMark/>
          </w:tcPr>
          <w:p w14:paraId="37C410D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shd w:val="clear" w:color="000000" w:fill="FFFFFF"/>
            <w:noWrap/>
            <w:vAlign w:val="bottom"/>
            <w:hideMark/>
          </w:tcPr>
          <w:p w14:paraId="77C5D87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shd w:val="clear" w:color="000000" w:fill="FFFFFF"/>
            <w:noWrap/>
            <w:vAlign w:val="bottom"/>
            <w:hideMark/>
          </w:tcPr>
          <w:p w14:paraId="7C0E7CC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52D61B56" w14:textId="77777777" w:rsidR="00467225" w:rsidRPr="00467225" w:rsidRDefault="00467225" w:rsidP="00467225">
            <w:pPr>
              <w:spacing w:before="0" w:after="0" w:line="240" w:lineRule="auto"/>
              <w:jc w:val="left"/>
              <w:rPr>
                <w:sz w:val="20"/>
                <w:szCs w:val="20"/>
                <w:lang w:val="en-IN"/>
              </w:rPr>
            </w:pPr>
          </w:p>
        </w:tc>
      </w:tr>
      <w:tr w:rsidR="00467225" w:rsidRPr="00467225" w14:paraId="4DCF913C"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81FC0AE"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"Gross Profit Margin"</w:t>
            </w:r>
          </w:p>
        </w:tc>
        <w:tc>
          <w:tcPr>
            <w:tcW w:w="1302" w:type="pct"/>
            <w:vMerge/>
            <w:tcBorders>
              <w:top w:val="nil"/>
              <w:left w:val="single" w:sz="4" w:space="0" w:color="auto"/>
              <w:bottom w:val="single" w:sz="4" w:space="0" w:color="auto"/>
              <w:right w:val="single" w:sz="4" w:space="0" w:color="auto"/>
            </w:tcBorders>
            <w:vAlign w:val="center"/>
            <w:hideMark/>
          </w:tcPr>
          <w:p w14:paraId="452F9AC4"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4E513CF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25.49%</w:t>
            </w:r>
          </w:p>
        </w:tc>
        <w:tc>
          <w:tcPr>
            <w:tcW w:w="509" w:type="pct"/>
            <w:tcBorders>
              <w:top w:val="nil"/>
              <w:left w:val="nil"/>
              <w:bottom w:val="single" w:sz="4" w:space="0" w:color="auto"/>
              <w:right w:val="single" w:sz="4" w:space="0" w:color="auto"/>
            </w:tcBorders>
            <w:shd w:val="clear" w:color="000000" w:fill="FFFFFF"/>
            <w:noWrap/>
            <w:vAlign w:val="bottom"/>
            <w:hideMark/>
          </w:tcPr>
          <w:p w14:paraId="1D9C17C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21.60%</w:t>
            </w:r>
          </w:p>
        </w:tc>
        <w:tc>
          <w:tcPr>
            <w:tcW w:w="509" w:type="pct"/>
            <w:tcBorders>
              <w:top w:val="nil"/>
              <w:left w:val="nil"/>
              <w:bottom w:val="single" w:sz="4" w:space="0" w:color="auto"/>
              <w:right w:val="single" w:sz="4" w:space="0" w:color="auto"/>
            </w:tcBorders>
            <w:shd w:val="clear" w:color="000000" w:fill="FFFFFF"/>
            <w:noWrap/>
            <w:vAlign w:val="bottom"/>
            <w:hideMark/>
          </w:tcPr>
          <w:p w14:paraId="0848536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22.72%</w:t>
            </w:r>
          </w:p>
        </w:tc>
        <w:tc>
          <w:tcPr>
            <w:tcW w:w="509" w:type="pct"/>
            <w:tcBorders>
              <w:top w:val="nil"/>
              <w:left w:val="nil"/>
              <w:bottom w:val="single" w:sz="4" w:space="0" w:color="auto"/>
              <w:right w:val="single" w:sz="4" w:space="0" w:color="auto"/>
            </w:tcBorders>
            <w:shd w:val="clear" w:color="000000" w:fill="FFFFFF"/>
            <w:noWrap/>
            <w:vAlign w:val="bottom"/>
            <w:hideMark/>
          </w:tcPr>
          <w:p w14:paraId="59B38B46"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22.10%</w:t>
            </w:r>
          </w:p>
        </w:tc>
        <w:tc>
          <w:tcPr>
            <w:tcW w:w="509" w:type="pct"/>
            <w:tcBorders>
              <w:top w:val="nil"/>
              <w:left w:val="nil"/>
              <w:bottom w:val="single" w:sz="4" w:space="0" w:color="auto"/>
              <w:right w:val="single" w:sz="4" w:space="0" w:color="auto"/>
            </w:tcBorders>
            <w:shd w:val="clear" w:color="000000" w:fill="FFFFFF"/>
            <w:noWrap/>
            <w:vAlign w:val="bottom"/>
            <w:hideMark/>
          </w:tcPr>
          <w:p w14:paraId="57F2F0D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22.68%</w:t>
            </w:r>
          </w:p>
        </w:tc>
        <w:tc>
          <w:tcPr>
            <w:tcW w:w="50" w:type="pct"/>
            <w:vAlign w:val="center"/>
            <w:hideMark/>
          </w:tcPr>
          <w:p w14:paraId="1E0F58D4" w14:textId="77777777" w:rsidR="00467225" w:rsidRPr="00467225" w:rsidRDefault="00467225" w:rsidP="00467225">
            <w:pPr>
              <w:spacing w:before="0" w:after="0" w:line="240" w:lineRule="auto"/>
              <w:jc w:val="left"/>
              <w:rPr>
                <w:sz w:val="20"/>
                <w:szCs w:val="20"/>
                <w:lang w:val="en-IN"/>
              </w:rPr>
            </w:pPr>
          </w:p>
        </w:tc>
      </w:tr>
      <w:tr w:rsidR="00467225" w:rsidRPr="00467225" w14:paraId="2C3BC6AC" w14:textId="77777777" w:rsidTr="00467225">
        <w:trPr>
          <w:trHeight w:val="312"/>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F038AE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"Liquidity ratio"</w:t>
            </w:r>
          </w:p>
        </w:tc>
        <w:tc>
          <w:tcPr>
            <w:tcW w:w="50" w:type="pct"/>
            <w:vAlign w:val="center"/>
            <w:hideMark/>
          </w:tcPr>
          <w:p w14:paraId="35F5A806" w14:textId="77777777" w:rsidR="00467225" w:rsidRPr="00467225" w:rsidRDefault="00467225" w:rsidP="00467225">
            <w:pPr>
              <w:spacing w:before="0" w:after="0" w:line="240" w:lineRule="auto"/>
              <w:jc w:val="left"/>
              <w:rPr>
                <w:sz w:val="20"/>
                <w:szCs w:val="20"/>
                <w:lang w:val="en-IN"/>
              </w:rPr>
            </w:pPr>
          </w:p>
        </w:tc>
      </w:tr>
      <w:tr w:rsidR="00467225" w:rsidRPr="00467225" w14:paraId="445D680C"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0C417BD2"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4737D7C4"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4F511DF4"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6D792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"Current ratio"</w:t>
            </w:r>
          </w:p>
        </w:tc>
        <w:tc>
          <w:tcPr>
            <w:tcW w:w="50" w:type="pct"/>
            <w:vAlign w:val="center"/>
            <w:hideMark/>
          </w:tcPr>
          <w:p w14:paraId="58CD1951" w14:textId="77777777" w:rsidR="00467225" w:rsidRPr="00467225" w:rsidRDefault="00467225" w:rsidP="00467225">
            <w:pPr>
              <w:spacing w:before="0" w:after="0" w:line="240" w:lineRule="auto"/>
              <w:jc w:val="left"/>
              <w:rPr>
                <w:sz w:val="20"/>
                <w:szCs w:val="20"/>
                <w:lang w:val="en-IN"/>
              </w:rPr>
            </w:pPr>
          </w:p>
        </w:tc>
      </w:tr>
      <w:tr w:rsidR="00467225" w:rsidRPr="00467225" w14:paraId="0080DA1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5F6F83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1E9C9F3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799496A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5463B1A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0FA2FD4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7ADA792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2A67E05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6E16ECA1" w14:textId="77777777" w:rsidR="00467225" w:rsidRPr="00467225" w:rsidRDefault="00467225" w:rsidP="00467225">
            <w:pPr>
              <w:spacing w:before="0" w:after="0" w:line="240" w:lineRule="auto"/>
              <w:jc w:val="left"/>
              <w:rPr>
                <w:sz w:val="20"/>
                <w:szCs w:val="20"/>
                <w:lang w:val="en-IN"/>
              </w:rPr>
            </w:pPr>
          </w:p>
        </w:tc>
      </w:tr>
      <w:tr w:rsidR="00467225" w:rsidRPr="00467225" w14:paraId="40390E8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A3AA87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"Current assets"</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675F06A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"Current assets/Current liabilities"</w:t>
            </w:r>
          </w:p>
        </w:tc>
        <w:tc>
          <w:tcPr>
            <w:tcW w:w="509" w:type="pct"/>
            <w:tcBorders>
              <w:top w:val="nil"/>
              <w:left w:val="nil"/>
              <w:bottom w:val="single" w:sz="4" w:space="0" w:color="auto"/>
              <w:right w:val="single" w:sz="4" w:space="0" w:color="auto"/>
            </w:tcBorders>
            <w:shd w:val="clear" w:color="000000" w:fill="FFFFFF"/>
            <w:noWrap/>
            <w:vAlign w:val="bottom"/>
            <w:hideMark/>
          </w:tcPr>
          <w:p w14:paraId="438FE76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3,47,14,279 </w:t>
            </w:r>
          </w:p>
        </w:tc>
        <w:tc>
          <w:tcPr>
            <w:tcW w:w="509" w:type="pct"/>
            <w:tcBorders>
              <w:top w:val="nil"/>
              <w:left w:val="nil"/>
              <w:bottom w:val="single" w:sz="4" w:space="0" w:color="auto"/>
              <w:right w:val="single" w:sz="4" w:space="0" w:color="auto"/>
            </w:tcBorders>
            <w:shd w:val="clear" w:color="000000" w:fill="FFFFFF"/>
            <w:noWrap/>
            <w:vAlign w:val="bottom"/>
            <w:hideMark/>
          </w:tcPr>
          <w:p w14:paraId="02AE0C8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2,64,59,781 </w:t>
            </w:r>
          </w:p>
        </w:tc>
        <w:tc>
          <w:tcPr>
            <w:tcW w:w="509" w:type="pct"/>
            <w:tcBorders>
              <w:top w:val="nil"/>
              <w:left w:val="nil"/>
              <w:bottom w:val="single" w:sz="4" w:space="0" w:color="auto"/>
              <w:right w:val="single" w:sz="4" w:space="0" w:color="auto"/>
            </w:tcBorders>
            <w:shd w:val="clear" w:color="000000" w:fill="FFFFFF"/>
            <w:noWrap/>
            <w:vAlign w:val="bottom"/>
            <w:hideMark/>
          </w:tcPr>
          <w:p w14:paraId="6A22646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2,37,22,290 </w:t>
            </w:r>
          </w:p>
        </w:tc>
        <w:tc>
          <w:tcPr>
            <w:tcW w:w="509" w:type="pct"/>
            <w:tcBorders>
              <w:top w:val="nil"/>
              <w:left w:val="nil"/>
              <w:bottom w:val="single" w:sz="4" w:space="0" w:color="auto"/>
              <w:right w:val="single" w:sz="4" w:space="0" w:color="auto"/>
            </w:tcBorders>
            <w:shd w:val="clear" w:color="000000" w:fill="FFFFFF"/>
            <w:noWrap/>
            <w:vAlign w:val="bottom"/>
            <w:hideMark/>
          </w:tcPr>
          <w:p w14:paraId="44730F2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2,27,76,800 </w:t>
            </w:r>
          </w:p>
        </w:tc>
        <w:tc>
          <w:tcPr>
            <w:tcW w:w="509" w:type="pct"/>
            <w:tcBorders>
              <w:top w:val="nil"/>
              <w:left w:val="nil"/>
              <w:bottom w:val="single" w:sz="4" w:space="0" w:color="auto"/>
              <w:right w:val="single" w:sz="4" w:space="0" w:color="auto"/>
            </w:tcBorders>
            <w:shd w:val="clear" w:color="000000" w:fill="FFFFFF"/>
            <w:noWrap/>
            <w:vAlign w:val="bottom"/>
            <w:hideMark/>
          </w:tcPr>
          <w:p w14:paraId="0D19111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1,86,42,531 </w:t>
            </w:r>
          </w:p>
        </w:tc>
        <w:tc>
          <w:tcPr>
            <w:tcW w:w="50" w:type="pct"/>
            <w:vAlign w:val="center"/>
            <w:hideMark/>
          </w:tcPr>
          <w:p w14:paraId="15B0F1CD" w14:textId="77777777" w:rsidR="00467225" w:rsidRPr="00467225" w:rsidRDefault="00467225" w:rsidP="00467225">
            <w:pPr>
              <w:spacing w:before="0" w:after="0" w:line="240" w:lineRule="auto"/>
              <w:jc w:val="left"/>
              <w:rPr>
                <w:sz w:val="20"/>
                <w:szCs w:val="20"/>
                <w:lang w:val="en-IN"/>
              </w:rPr>
            </w:pPr>
          </w:p>
        </w:tc>
      </w:tr>
      <w:tr w:rsidR="00467225" w:rsidRPr="00467225" w14:paraId="38B7343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7EF2EB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Current Liabilities"</w:t>
            </w:r>
          </w:p>
        </w:tc>
        <w:tc>
          <w:tcPr>
            <w:tcW w:w="1302" w:type="pct"/>
            <w:vMerge/>
            <w:tcBorders>
              <w:top w:val="nil"/>
              <w:left w:val="single" w:sz="4" w:space="0" w:color="auto"/>
              <w:bottom w:val="single" w:sz="4" w:space="0" w:color="auto"/>
              <w:right w:val="single" w:sz="4" w:space="0" w:color="auto"/>
            </w:tcBorders>
            <w:vAlign w:val="center"/>
            <w:hideMark/>
          </w:tcPr>
          <w:p w14:paraId="5DDF8B2D"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3EB2AB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2,91,77,909 </w:t>
            </w:r>
          </w:p>
        </w:tc>
        <w:tc>
          <w:tcPr>
            <w:tcW w:w="509" w:type="pct"/>
            <w:tcBorders>
              <w:top w:val="nil"/>
              <w:left w:val="nil"/>
              <w:bottom w:val="single" w:sz="4" w:space="0" w:color="auto"/>
              <w:right w:val="single" w:sz="4" w:space="0" w:color="auto"/>
            </w:tcBorders>
            <w:shd w:val="clear" w:color="000000" w:fill="FFFFFF"/>
            <w:noWrap/>
            <w:vAlign w:val="bottom"/>
            <w:hideMark/>
          </w:tcPr>
          <w:p w14:paraId="4FD39C5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2,39,59,715 </w:t>
            </w:r>
          </w:p>
        </w:tc>
        <w:tc>
          <w:tcPr>
            <w:tcW w:w="509" w:type="pct"/>
            <w:tcBorders>
              <w:top w:val="nil"/>
              <w:left w:val="nil"/>
              <w:bottom w:val="single" w:sz="4" w:space="0" w:color="auto"/>
              <w:right w:val="single" w:sz="4" w:space="0" w:color="auto"/>
            </w:tcBorders>
            <w:shd w:val="clear" w:color="000000" w:fill="FFFFFF"/>
            <w:noWrap/>
            <w:vAlign w:val="bottom"/>
            <w:hideMark/>
          </w:tcPr>
          <w:p w14:paraId="0422270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2,18,42,161 </w:t>
            </w:r>
          </w:p>
        </w:tc>
        <w:tc>
          <w:tcPr>
            <w:tcW w:w="509" w:type="pct"/>
            <w:tcBorders>
              <w:top w:val="nil"/>
              <w:left w:val="nil"/>
              <w:bottom w:val="single" w:sz="4" w:space="0" w:color="auto"/>
              <w:right w:val="single" w:sz="4" w:space="0" w:color="auto"/>
            </w:tcBorders>
            <w:shd w:val="clear" w:color="000000" w:fill="FFFFFF"/>
            <w:noWrap/>
            <w:vAlign w:val="bottom"/>
            <w:hideMark/>
          </w:tcPr>
          <w:p w14:paraId="2D3FF47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2,14,60,466 </w:t>
            </w:r>
          </w:p>
        </w:tc>
        <w:tc>
          <w:tcPr>
            <w:tcW w:w="509" w:type="pct"/>
            <w:tcBorders>
              <w:top w:val="nil"/>
              <w:left w:val="nil"/>
              <w:bottom w:val="single" w:sz="4" w:space="0" w:color="auto"/>
              <w:right w:val="single" w:sz="4" w:space="0" w:color="auto"/>
            </w:tcBorders>
            <w:shd w:val="clear" w:color="000000" w:fill="FFFFFF"/>
            <w:noWrap/>
            <w:vAlign w:val="bottom"/>
            <w:hideMark/>
          </w:tcPr>
          <w:p w14:paraId="0992203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1,79,02,377 </w:t>
            </w:r>
          </w:p>
        </w:tc>
        <w:tc>
          <w:tcPr>
            <w:tcW w:w="50" w:type="pct"/>
            <w:vAlign w:val="center"/>
            <w:hideMark/>
          </w:tcPr>
          <w:p w14:paraId="45E9E306" w14:textId="77777777" w:rsidR="00467225" w:rsidRPr="00467225" w:rsidRDefault="00467225" w:rsidP="00467225">
            <w:pPr>
              <w:spacing w:before="0" w:after="0" w:line="240" w:lineRule="auto"/>
              <w:jc w:val="left"/>
              <w:rPr>
                <w:sz w:val="20"/>
                <w:szCs w:val="20"/>
                <w:lang w:val="en-IN"/>
              </w:rPr>
            </w:pPr>
          </w:p>
        </w:tc>
      </w:tr>
      <w:tr w:rsidR="00467225" w:rsidRPr="00467225" w14:paraId="37719C8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75C314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"Current ratio"</w:t>
            </w:r>
          </w:p>
        </w:tc>
        <w:tc>
          <w:tcPr>
            <w:tcW w:w="1302" w:type="pct"/>
            <w:vMerge/>
            <w:tcBorders>
              <w:top w:val="nil"/>
              <w:left w:val="single" w:sz="4" w:space="0" w:color="auto"/>
              <w:bottom w:val="single" w:sz="4" w:space="0" w:color="auto"/>
              <w:right w:val="single" w:sz="4" w:space="0" w:color="auto"/>
            </w:tcBorders>
            <w:vAlign w:val="center"/>
            <w:hideMark/>
          </w:tcPr>
          <w:p w14:paraId="56DB22D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2FD49F3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1.19</w:t>
            </w:r>
          </w:p>
        </w:tc>
        <w:tc>
          <w:tcPr>
            <w:tcW w:w="509" w:type="pct"/>
            <w:tcBorders>
              <w:top w:val="nil"/>
              <w:left w:val="nil"/>
              <w:bottom w:val="single" w:sz="4" w:space="0" w:color="auto"/>
              <w:right w:val="single" w:sz="4" w:space="0" w:color="auto"/>
            </w:tcBorders>
            <w:shd w:val="clear" w:color="000000" w:fill="FFFFFF"/>
            <w:noWrap/>
            <w:vAlign w:val="bottom"/>
            <w:hideMark/>
          </w:tcPr>
          <w:p w14:paraId="0AEC1C2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1.10</w:t>
            </w:r>
          </w:p>
        </w:tc>
        <w:tc>
          <w:tcPr>
            <w:tcW w:w="509" w:type="pct"/>
            <w:tcBorders>
              <w:top w:val="nil"/>
              <w:left w:val="nil"/>
              <w:bottom w:val="single" w:sz="4" w:space="0" w:color="auto"/>
              <w:right w:val="single" w:sz="4" w:space="0" w:color="auto"/>
            </w:tcBorders>
            <w:shd w:val="clear" w:color="000000" w:fill="FFFFFF"/>
            <w:noWrap/>
            <w:vAlign w:val="bottom"/>
            <w:hideMark/>
          </w:tcPr>
          <w:p w14:paraId="1EFFE51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1.09</w:t>
            </w:r>
          </w:p>
        </w:tc>
        <w:tc>
          <w:tcPr>
            <w:tcW w:w="509" w:type="pct"/>
            <w:tcBorders>
              <w:top w:val="nil"/>
              <w:left w:val="nil"/>
              <w:bottom w:val="single" w:sz="4" w:space="0" w:color="auto"/>
              <w:right w:val="single" w:sz="4" w:space="0" w:color="auto"/>
            </w:tcBorders>
            <w:shd w:val="clear" w:color="000000" w:fill="FFFFFF"/>
            <w:noWrap/>
            <w:vAlign w:val="bottom"/>
            <w:hideMark/>
          </w:tcPr>
          <w:p w14:paraId="5A04B20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1.06</w:t>
            </w:r>
          </w:p>
        </w:tc>
        <w:tc>
          <w:tcPr>
            <w:tcW w:w="509" w:type="pct"/>
            <w:tcBorders>
              <w:top w:val="nil"/>
              <w:left w:val="nil"/>
              <w:bottom w:val="single" w:sz="4" w:space="0" w:color="auto"/>
              <w:right w:val="single" w:sz="4" w:space="0" w:color="auto"/>
            </w:tcBorders>
            <w:shd w:val="clear" w:color="000000" w:fill="FFFFFF"/>
            <w:noWrap/>
            <w:vAlign w:val="bottom"/>
            <w:hideMark/>
          </w:tcPr>
          <w:p w14:paraId="012E3DA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1.04</w:t>
            </w:r>
          </w:p>
        </w:tc>
        <w:tc>
          <w:tcPr>
            <w:tcW w:w="50" w:type="pct"/>
            <w:vAlign w:val="center"/>
            <w:hideMark/>
          </w:tcPr>
          <w:p w14:paraId="6600600C" w14:textId="77777777" w:rsidR="00467225" w:rsidRPr="00467225" w:rsidRDefault="00467225" w:rsidP="00467225">
            <w:pPr>
              <w:spacing w:before="0" w:after="0" w:line="240" w:lineRule="auto"/>
              <w:jc w:val="left"/>
              <w:rPr>
                <w:sz w:val="20"/>
                <w:szCs w:val="20"/>
                <w:lang w:val="en-IN"/>
              </w:rPr>
            </w:pPr>
          </w:p>
        </w:tc>
      </w:tr>
      <w:tr w:rsidR="00467225" w:rsidRPr="00467225" w14:paraId="5B30584A"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8EC920"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2CC6A18D" w14:textId="77777777" w:rsidR="00467225" w:rsidRPr="00467225" w:rsidRDefault="00467225" w:rsidP="00467225">
            <w:pPr>
              <w:spacing w:before="0" w:after="0" w:line="240" w:lineRule="auto"/>
              <w:jc w:val="left"/>
              <w:rPr>
                <w:sz w:val="20"/>
                <w:szCs w:val="20"/>
                <w:lang w:val="en-IN"/>
              </w:rPr>
            </w:pPr>
          </w:p>
        </w:tc>
      </w:tr>
      <w:tr w:rsidR="00467225" w:rsidRPr="00467225" w14:paraId="3AB73DF1"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B8065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"Quick Ratio "</w:t>
            </w:r>
          </w:p>
        </w:tc>
        <w:tc>
          <w:tcPr>
            <w:tcW w:w="50" w:type="pct"/>
            <w:vAlign w:val="center"/>
            <w:hideMark/>
          </w:tcPr>
          <w:p w14:paraId="76D73FCB" w14:textId="77777777" w:rsidR="00467225" w:rsidRPr="00467225" w:rsidRDefault="00467225" w:rsidP="00467225">
            <w:pPr>
              <w:spacing w:before="0" w:after="0" w:line="240" w:lineRule="auto"/>
              <w:jc w:val="left"/>
              <w:rPr>
                <w:sz w:val="20"/>
                <w:szCs w:val="20"/>
                <w:lang w:val="en-IN"/>
              </w:rPr>
            </w:pPr>
          </w:p>
        </w:tc>
      </w:tr>
      <w:tr w:rsidR="00467225" w:rsidRPr="00467225" w14:paraId="1C02A5A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2D00F4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22E80B7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3B0D805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10008F5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00872C3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5CB7CAE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11F04EC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B0BBA9B" w14:textId="77777777" w:rsidR="00467225" w:rsidRPr="00467225" w:rsidRDefault="00467225" w:rsidP="00467225">
            <w:pPr>
              <w:spacing w:before="0" w:after="0" w:line="240" w:lineRule="auto"/>
              <w:jc w:val="left"/>
              <w:rPr>
                <w:sz w:val="20"/>
                <w:szCs w:val="20"/>
                <w:lang w:val="en-IN"/>
              </w:rPr>
            </w:pPr>
          </w:p>
        </w:tc>
      </w:tr>
      <w:tr w:rsidR="00467225" w:rsidRPr="00467225" w14:paraId="7195B0C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C98B26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"Current assets"</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7900297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"(Current </w:t>
            </w:r>
            <w:proofErr w:type="gramStart"/>
            <w:r w:rsidRPr="00467225">
              <w:rPr>
                <w:rFonts w:ascii="Arial" w:hAnsi="Arial" w:cs="Arial"/>
                <w:b/>
                <w:bCs/>
                <w:color w:val="000000"/>
                <w:lang w:val="en-IN"/>
              </w:rPr>
              <w:t>assets</w:t>
            </w:r>
            <w:proofErr w:type="gramEnd"/>
            <w:r w:rsidRPr="00467225">
              <w:rPr>
                <w:rFonts w:ascii="Arial" w:hAnsi="Arial" w:cs="Arial"/>
                <w:b/>
                <w:bCs/>
                <w:color w:val="000000"/>
                <w:lang w:val="en-IN"/>
              </w:rPr>
              <w:t>-Inventories)/Current liabilities"</w:t>
            </w:r>
          </w:p>
        </w:tc>
        <w:tc>
          <w:tcPr>
            <w:tcW w:w="509" w:type="pct"/>
            <w:tcBorders>
              <w:top w:val="nil"/>
              <w:left w:val="nil"/>
              <w:bottom w:val="single" w:sz="4" w:space="0" w:color="auto"/>
              <w:right w:val="single" w:sz="4" w:space="0" w:color="auto"/>
            </w:tcBorders>
            <w:shd w:val="clear" w:color="000000" w:fill="FFFFFF"/>
            <w:noWrap/>
            <w:vAlign w:val="bottom"/>
            <w:hideMark/>
          </w:tcPr>
          <w:p w14:paraId="1643F8E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3,47,14,279 </w:t>
            </w:r>
          </w:p>
        </w:tc>
        <w:tc>
          <w:tcPr>
            <w:tcW w:w="509" w:type="pct"/>
            <w:tcBorders>
              <w:top w:val="nil"/>
              <w:left w:val="nil"/>
              <w:bottom w:val="single" w:sz="4" w:space="0" w:color="auto"/>
              <w:right w:val="single" w:sz="4" w:space="0" w:color="auto"/>
            </w:tcBorders>
            <w:shd w:val="clear" w:color="000000" w:fill="FFFFFF"/>
            <w:noWrap/>
            <w:vAlign w:val="bottom"/>
            <w:hideMark/>
          </w:tcPr>
          <w:p w14:paraId="48B15A3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2,64,59,781 </w:t>
            </w:r>
          </w:p>
        </w:tc>
        <w:tc>
          <w:tcPr>
            <w:tcW w:w="509" w:type="pct"/>
            <w:tcBorders>
              <w:top w:val="nil"/>
              <w:left w:val="nil"/>
              <w:bottom w:val="single" w:sz="4" w:space="0" w:color="auto"/>
              <w:right w:val="single" w:sz="4" w:space="0" w:color="auto"/>
            </w:tcBorders>
            <w:shd w:val="clear" w:color="000000" w:fill="FFFFFF"/>
            <w:noWrap/>
            <w:vAlign w:val="bottom"/>
            <w:hideMark/>
          </w:tcPr>
          <w:p w14:paraId="56DEB9B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2,37,22,290 </w:t>
            </w:r>
          </w:p>
        </w:tc>
        <w:tc>
          <w:tcPr>
            <w:tcW w:w="509" w:type="pct"/>
            <w:tcBorders>
              <w:top w:val="nil"/>
              <w:left w:val="nil"/>
              <w:bottom w:val="single" w:sz="4" w:space="0" w:color="auto"/>
              <w:right w:val="single" w:sz="4" w:space="0" w:color="auto"/>
            </w:tcBorders>
            <w:shd w:val="clear" w:color="000000" w:fill="FFFFFF"/>
            <w:noWrap/>
            <w:vAlign w:val="bottom"/>
            <w:hideMark/>
          </w:tcPr>
          <w:p w14:paraId="39874AC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2,27,76,800 </w:t>
            </w:r>
          </w:p>
        </w:tc>
        <w:tc>
          <w:tcPr>
            <w:tcW w:w="509" w:type="pct"/>
            <w:tcBorders>
              <w:top w:val="nil"/>
              <w:left w:val="nil"/>
              <w:bottom w:val="single" w:sz="4" w:space="0" w:color="auto"/>
              <w:right w:val="single" w:sz="4" w:space="0" w:color="auto"/>
            </w:tcBorders>
            <w:shd w:val="clear" w:color="000000" w:fill="FFFFFF"/>
            <w:noWrap/>
            <w:vAlign w:val="bottom"/>
            <w:hideMark/>
          </w:tcPr>
          <w:p w14:paraId="164C1E4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1,86,42,531 </w:t>
            </w:r>
          </w:p>
        </w:tc>
        <w:tc>
          <w:tcPr>
            <w:tcW w:w="50" w:type="pct"/>
            <w:vAlign w:val="center"/>
            <w:hideMark/>
          </w:tcPr>
          <w:p w14:paraId="0131E11C" w14:textId="77777777" w:rsidR="00467225" w:rsidRPr="00467225" w:rsidRDefault="00467225" w:rsidP="00467225">
            <w:pPr>
              <w:spacing w:before="0" w:after="0" w:line="240" w:lineRule="auto"/>
              <w:jc w:val="left"/>
              <w:rPr>
                <w:sz w:val="20"/>
                <w:szCs w:val="20"/>
                <w:lang w:val="en-IN"/>
              </w:rPr>
            </w:pPr>
          </w:p>
        </w:tc>
      </w:tr>
      <w:tr w:rsidR="00467225" w:rsidRPr="00467225" w14:paraId="5EBFA491"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6ACD38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Inventories"</w:t>
            </w:r>
          </w:p>
        </w:tc>
        <w:tc>
          <w:tcPr>
            <w:tcW w:w="1302" w:type="pct"/>
            <w:vMerge/>
            <w:tcBorders>
              <w:top w:val="nil"/>
              <w:left w:val="single" w:sz="4" w:space="0" w:color="auto"/>
              <w:bottom w:val="single" w:sz="4" w:space="0" w:color="auto"/>
              <w:right w:val="single" w:sz="4" w:space="0" w:color="auto"/>
            </w:tcBorders>
            <w:vAlign w:val="center"/>
            <w:hideMark/>
          </w:tcPr>
          <w:p w14:paraId="7F3C082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D11DB1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46,05,368 </w:t>
            </w:r>
          </w:p>
        </w:tc>
        <w:tc>
          <w:tcPr>
            <w:tcW w:w="509" w:type="pct"/>
            <w:tcBorders>
              <w:top w:val="nil"/>
              <w:left w:val="nil"/>
              <w:bottom w:val="single" w:sz="4" w:space="0" w:color="auto"/>
              <w:right w:val="single" w:sz="4" w:space="0" w:color="auto"/>
            </w:tcBorders>
            <w:shd w:val="clear" w:color="000000" w:fill="FFFFFF"/>
            <w:noWrap/>
            <w:vAlign w:val="bottom"/>
            <w:hideMark/>
          </w:tcPr>
          <w:p w14:paraId="7110000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42,55,614 </w:t>
            </w:r>
          </w:p>
        </w:tc>
        <w:tc>
          <w:tcPr>
            <w:tcW w:w="509" w:type="pct"/>
            <w:tcBorders>
              <w:top w:val="nil"/>
              <w:left w:val="nil"/>
              <w:bottom w:val="single" w:sz="4" w:space="0" w:color="auto"/>
              <w:right w:val="single" w:sz="4" w:space="0" w:color="auto"/>
            </w:tcBorders>
            <w:shd w:val="clear" w:color="000000" w:fill="FFFFFF"/>
            <w:noWrap/>
            <w:vAlign w:val="bottom"/>
            <w:hideMark/>
          </w:tcPr>
          <w:p w14:paraId="0DDD656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38,21,356 </w:t>
            </w:r>
          </w:p>
        </w:tc>
        <w:tc>
          <w:tcPr>
            <w:tcW w:w="509" w:type="pct"/>
            <w:tcBorders>
              <w:top w:val="nil"/>
              <w:left w:val="nil"/>
              <w:bottom w:val="single" w:sz="4" w:space="0" w:color="auto"/>
              <w:right w:val="single" w:sz="4" w:space="0" w:color="auto"/>
            </w:tcBorders>
            <w:shd w:val="clear" w:color="000000" w:fill="FFFFFF"/>
            <w:noWrap/>
            <w:vAlign w:val="bottom"/>
            <w:hideMark/>
          </w:tcPr>
          <w:p w14:paraId="01890DF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28,88,028 </w:t>
            </w:r>
          </w:p>
        </w:tc>
        <w:tc>
          <w:tcPr>
            <w:tcW w:w="509" w:type="pct"/>
            <w:tcBorders>
              <w:top w:val="nil"/>
              <w:left w:val="nil"/>
              <w:bottom w:val="single" w:sz="4" w:space="0" w:color="auto"/>
              <w:right w:val="single" w:sz="4" w:space="0" w:color="auto"/>
            </w:tcBorders>
            <w:shd w:val="clear" w:color="000000" w:fill="FFFFFF"/>
            <w:noWrap/>
            <w:vAlign w:val="bottom"/>
            <w:hideMark/>
          </w:tcPr>
          <w:p w14:paraId="01EAABB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24,34,918 </w:t>
            </w:r>
          </w:p>
        </w:tc>
        <w:tc>
          <w:tcPr>
            <w:tcW w:w="50" w:type="pct"/>
            <w:vAlign w:val="center"/>
            <w:hideMark/>
          </w:tcPr>
          <w:p w14:paraId="22CAF256" w14:textId="77777777" w:rsidR="00467225" w:rsidRPr="00467225" w:rsidRDefault="00467225" w:rsidP="00467225">
            <w:pPr>
              <w:spacing w:before="0" w:after="0" w:line="240" w:lineRule="auto"/>
              <w:jc w:val="left"/>
              <w:rPr>
                <w:sz w:val="20"/>
                <w:szCs w:val="20"/>
                <w:lang w:val="en-IN"/>
              </w:rPr>
            </w:pPr>
          </w:p>
        </w:tc>
      </w:tr>
      <w:tr w:rsidR="00467225" w:rsidRPr="00467225" w14:paraId="5CA805C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9193FA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"Difference"</w:t>
            </w:r>
          </w:p>
        </w:tc>
        <w:tc>
          <w:tcPr>
            <w:tcW w:w="1302" w:type="pct"/>
            <w:vMerge/>
            <w:tcBorders>
              <w:top w:val="nil"/>
              <w:left w:val="single" w:sz="4" w:space="0" w:color="auto"/>
              <w:bottom w:val="single" w:sz="4" w:space="0" w:color="auto"/>
              <w:right w:val="single" w:sz="4" w:space="0" w:color="auto"/>
            </w:tcBorders>
            <w:vAlign w:val="center"/>
            <w:hideMark/>
          </w:tcPr>
          <w:p w14:paraId="58AAE9B0"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2FD3FBD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3,01,08,911 </w:t>
            </w:r>
          </w:p>
        </w:tc>
        <w:tc>
          <w:tcPr>
            <w:tcW w:w="509" w:type="pct"/>
            <w:tcBorders>
              <w:top w:val="nil"/>
              <w:left w:val="nil"/>
              <w:bottom w:val="single" w:sz="4" w:space="0" w:color="auto"/>
              <w:right w:val="single" w:sz="4" w:space="0" w:color="auto"/>
            </w:tcBorders>
            <w:shd w:val="clear" w:color="000000" w:fill="FFFFFF"/>
            <w:noWrap/>
            <w:vAlign w:val="bottom"/>
            <w:hideMark/>
          </w:tcPr>
          <w:p w14:paraId="727197C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2,22,04,167 </w:t>
            </w:r>
          </w:p>
        </w:tc>
        <w:tc>
          <w:tcPr>
            <w:tcW w:w="509" w:type="pct"/>
            <w:tcBorders>
              <w:top w:val="nil"/>
              <w:left w:val="nil"/>
              <w:bottom w:val="single" w:sz="4" w:space="0" w:color="auto"/>
              <w:right w:val="single" w:sz="4" w:space="0" w:color="auto"/>
            </w:tcBorders>
            <w:shd w:val="clear" w:color="000000" w:fill="FFFFFF"/>
            <w:noWrap/>
            <w:vAlign w:val="bottom"/>
            <w:hideMark/>
          </w:tcPr>
          <w:p w14:paraId="0AD8DFB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1,99,00,934 </w:t>
            </w:r>
          </w:p>
        </w:tc>
        <w:tc>
          <w:tcPr>
            <w:tcW w:w="509" w:type="pct"/>
            <w:tcBorders>
              <w:top w:val="nil"/>
              <w:left w:val="nil"/>
              <w:bottom w:val="single" w:sz="4" w:space="0" w:color="auto"/>
              <w:right w:val="single" w:sz="4" w:space="0" w:color="auto"/>
            </w:tcBorders>
            <w:shd w:val="clear" w:color="000000" w:fill="FFFFFF"/>
            <w:noWrap/>
            <w:vAlign w:val="bottom"/>
            <w:hideMark/>
          </w:tcPr>
          <w:p w14:paraId="3D0A9C3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1,98,88,772 </w:t>
            </w:r>
          </w:p>
        </w:tc>
        <w:tc>
          <w:tcPr>
            <w:tcW w:w="509" w:type="pct"/>
            <w:tcBorders>
              <w:top w:val="nil"/>
              <w:left w:val="nil"/>
              <w:bottom w:val="single" w:sz="4" w:space="0" w:color="auto"/>
              <w:right w:val="single" w:sz="4" w:space="0" w:color="auto"/>
            </w:tcBorders>
            <w:shd w:val="clear" w:color="000000" w:fill="FFFFFF"/>
            <w:noWrap/>
            <w:vAlign w:val="bottom"/>
            <w:hideMark/>
          </w:tcPr>
          <w:p w14:paraId="5B188B3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1,62,07,613 </w:t>
            </w:r>
          </w:p>
        </w:tc>
        <w:tc>
          <w:tcPr>
            <w:tcW w:w="50" w:type="pct"/>
            <w:vAlign w:val="center"/>
            <w:hideMark/>
          </w:tcPr>
          <w:p w14:paraId="57A128D3" w14:textId="77777777" w:rsidR="00467225" w:rsidRPr="00467225" w:rsidRDefault="00467225" w:rsidP="00467225">
            <w:pPr>
              <w:spacing w:before="0" w:after="0" w:line="240" w:lineRule="auto"/>
              <w:jc w:val="left"/>
              <w:rPr>
                <w:sz w:val="20"/>
                <w:szCs w:val="20"/>
                <w:lang w:val="en-IN"/>
              </w:rPr>
            </w:pPr>
          </w:p>
        </w:tc>
      </w:tr>
      <w:tr w:rsidR="00467225" w:rsidRPr="00467225" w14:paraId="105117F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4F3CA4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Current Liabilities"</w:t>
            </w:r>
          </w:p>
        </w:tc>
        <w:tc>
          <w:tcPr>
            <w:tcW w:w="1302" w:type="pct"/>
            <w:vMerge/>
            <w:tcBorders>
              <w:top w:val="nil"/>
              <w:left w:val="single" w:sz="4" w:space="0" w:color="auto"/>
              <w:bottom w:val="single" w:sz="4" w:space="0" w:color="auto"/>
              <w:right w:val="single" w:sz="4" w:space="0" w:color="auto"/>
            </w:tcBorders>
            <w:vAlign w:val="center"/>
            <w:hideMark/>
          </w:tcPr>
          <w:p w14:paraId="07A3540B"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FDBEC7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2,91,77,909 </w:t>
            </w:r>
          </w:p>
        </w:tc>
        <w:tc>
          <w:tcPr>
            <w:tcW w:w="509" w:type="pct"/>
            <w:tcBorders>
              <w:top w:val="nil"/>
              <w:left w:val="nil"/>
              <w:bottom w:val="single" w:sz="4" w:space="0" w:color="auto"/>
              <w:right w:val="single" w:sz="4" w:space="0" w:color="auto"/>
            </w:tcBorders>
            <w:shd w:val="clear" w:color="000000" w:fill="FFFFFF"/>
            <w:noWrap/>
            <w:vAlign w:val="bottom"/>
            <w:hideMark/>
          </w:tcPr>
          <w:p w14:paraId="530B22C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2,39,59,715 </w:t>
            </w:r>
          </w:p>
        </w:tc>
        <w:tc>
          <w:tcPr>
            <w:tcW w:w="509" w:type="pct"/>
            <w:tcBorders>
              <w:top w:val="nil"/>
              <w:left w:val="nil"/>
              <w:bottom w:val="single" w:sz="4" w:space="0" w:color="auto"/>
              <w:right w:val="single" w:sz="4" w:space="0" w:color="auto"/>
            </w:tcBorders>
            <w:shd w:val="clear" w:color="000000" w:fill="FFFFFF"/>
            <w:noWrap/>
            <w:vAlign w:val="bottom"/>
            <w:hideMark/>
          </w:tcPr>
          <w:p w14:paraId="6D41800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2,18,42,161 </w:t>
            </w:r>
          </w:p>
        </w:tc>
        <w:tc>
          <w:tcPr>
            <w:tcW w:w="509" w:type="pct"/>
            <w:tcBorders>
              <w:top w:val="nil"/>
              <w:left w:val="nil"/>
              <w:bottom w:val="single" w:sz="4" w:space="0" w:color="auto"/>
              <w:right w:val="single" w:sz="4" w:space="0" w:color="auto"/>
            </w:tcBorders>
            <w:shd w:val="clear" w:color="000000" w:fill="FFFFFF"/>
            <w:noWrap/>
            <w:vAlign w:val="bottom"/>
            <w:hideMark/>
          </w:tcPr>
          <w:p w14:paraId="04D8BF8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2,14,60,466 </w:t>
            </w:r>
          </w:p>
        </w:tc>
        <w:tc>
          <w:tcPr>
            <w:tcW w:w="509" w:type="pct"/>
            <w:tcBorders>
              <w:top w:val="nil"/>
              <w:left w:val="nil"/>
              <w:bottom w:val="single" w:sz="4" w:space="0" w:color="auto"/>
              <w:right w:val="single" w:sz="4" w:space="0" w:color="auto"/>
            </w:tcBorders>
            <w:shd w:val="clear" w:color="000000" w:fill="FFFFFF"/>
            <w:noWrap/>
            <w:vAlign w:val="bottom"/>
            <w:hideMark/>
          </w:tcPr>
          <w:p w14:paraId="0A380F4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1,79,02,377 </w:t>
            </w:r>
          </w:p>
        </w:tc>
        <w:tc>
          <w:tcPr>
            <w:tcW w:w="50" w:type="pct"/>
            <w:vAlign w:val="center"/>
            <w:hideMark/>
          </w:tcPr>
          <w:p w14:paraId="23AF1F50" w14:textId="77777777" w:rsidR="00467225" w:rsidRPr="00467225" w:rsidRDefault="00467225" w:rsidP="00467225">
            <w:pPr>
              <w:spacing w:before="0" w:after="0" w:line="240" w:lineRule="auto"/>
              <w:jc w:val="left"/>
              <w:rPr>
                <w:sz w:val="20"/>
                <w:szCs w:val="20"/>
                <w:lang w:val="en-IN"/>
              </w:rPr>
            </w:pPr>
          </w:p>
        </w:tc>
      </w:tr>
      <w:tr w:rsidR="00467225" w:rsidRPr="00467225" w14:paraId="1039C801"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210C7F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"Quick Ratio "</w:t>
            </w:r>
          </w:p>
        </w:tc>
        <w:tc>
          <w:tcPr>
            <w:tcW w:w="1302" w:type="pct"/>
            <w:vMerge/>
            <w:tcBorders>
              <w:top w:val="nil"/>
              <w:left w:val="single" w:sz="4" w:space="0" w:color="auto"/>
              <w:bottom w:val="single" w:sz="4" w:space="0" w:color="auto"/>
              <w:right w:val="single" w:sz="4" w:space="0" w:color="auto"/>
            </w:tcBorders>
            <w:vAlign w:val="center"/>
            <w:hideMark/>
          </w:tcPr>
          <w:p w14:paraId="28D3AD17"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5BA40FD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1.03</w:t>
            </w:r>
          </w:p>
        </w:tc>
        <w:tc>
          <w:tcPr>
            <w:tcW w:w="509" w:type="pct"/>
            <w:tcBorders>
              <w:top w:val="nil"/>
              <w:left w:val="nil"/>
              <w:bottom w:val="single" w:sz="4" w:space="0" w:color="auto"/>
              <w:right w:val="single" w:sz="4" w:space="0" w:color="auto"/>
            </w:tcBorders>
            <w:shd w:val="clear" w:color="000000" w:fill="FFFFFF"/>
            <w:noWrap/>
            <w:vAlign w:val="bottom"/>
            <w:hideMark/>
          </w:tcPr>
          <w:p w14:paraId="400085B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0.93</w:t>
            </w:r>
          </w:p>
        </w:tc>
        <w:tc>
          <w:tcPr>
            <w:tcW w:w="509" w:type="pct"/>
            <w:tcBorders>
              <w:top w:val="nil"/>
              <w:left w:val="nil"/>
              <w:bottom w:val="single" w:sz="4" w:space="0" w:color="auto"/>
              <w:right w:val="single" w:sz="4" w:space="0" w:color="auto"/>
            </w:tcBorders>
            <w:shd w:val="clear" w:color="000000" w:fill="FFFFFF"/>
            <w:noWrap/>
            <w:vAlign w:val="bottom"/>
            <w:hideMark/>
          </w:tcPr>
          <w:p w14:paraId="6F15C84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0.91</w:t>
            </w:r>
          </w:p>
        </w:tc>
        <w:tc>
          <w:tcPr>
            <w:tcW w:w="509" w:type="pct"/>
            <w:tcBorders>
              <w:top w:val="nil"/>
              <w:left w:val="nil"/>
              <w:bottom w:val="single" w:sz="4" w:space="0" w:color="auto"/>
              <w:right w:val="single" w:sz="4" w:space="0" w:color="auto"/>
            </w:tcBorders>
            <w:shd w:val="clear" w:color="000000" w:fill="FFFFFF"/>
            <w:noWrap/>
            <w:vAlign w:val="bottom"/>
            <w:hideMark/>
          </w:tcPr>
          <w:p w14:paraId="31B1BBC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0.93</w:t>
            </w:r>
          </w:p>
        </w:tc>
        <w:tc>
          <w:tcPr>
            <w:tcW w:w="509" w:type="pct"/>
            <w:tcBorders>
              <w:top w:val="nil"/>
              <w:left w:val="nil"/>
              <w:bottom w:val="single" w:sz="4" w:space="0" w:color="auto"/>
              <w:right w:val="single" w:sz="4" w:space="0" w:color="auto"/>
            </w:tcBorders>
            <w:shd w:val="clear" w:color="000000" w:fill="FFFFFF"/>
            <w:noWrap/>
            <w:vAlign w:val="bottom"/>
            <w:hideMark/>
          </w:tcPr>
          <w:p w14:paraId="0A7E066F"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0.91</w:t>
            </w:r>
          </w:p>
        </w:tc>
        <w:tc>
          <w:tcPr>
            <w:tcW w:w="50" w:type="pct"/>
            <w:vAlign w:val="center"/>
            <w:hideMark/>
          </w:tcPr>
          <w:p w14:paraId="1FC97FD5" w14:textId="77777777" w:rsidR="00467225" w:rsidRPr="00467225" w:rsidRDefault="00467225" w:rsidP="00467225">
            <w:pPr>
              <w:spacing w:before="0" w:after="0" w:line="240" w:lineRule="auto"/>
              <w:jc w:val="left"/>
              <w:rPr>
                <w:sz w:val="20"/>
                <w:szCs w:val="20"/>
                <w:lang w:val="en-IN"/>
              </w:rPr>
            </w:pPr>
          </w:p>
        </w:tc>
      </w:tr>
      <w:tr w:rsidR="00467225" w:rsidRPr="00467225" w14:paraId="74E1A9C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3BA75A1"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1302" w:type="pct"/>
            <w:tcBorders>
              <w:top w:val="nil"/>
              <w:left w:val="nil"/>
              <w:bottom w:val="single" w:sz="4" w:space="0" w:color="auto"/>
              <w:right w:val="single" w:sz="4" w:space="0" w:color="auto"/>
            </w:tcBorders>
            <w:shd w:val="clear" w:color="000000" w:fill="FFFFFF"/>
            <w:vAlign w:val="center"/>
            <w:hideMark/>
          </w:tcPr>
          <w:p w14:paraId="733F5BD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60B3CD81"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6CDFABE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BD26ED2"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2F2473B"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13A36D37"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 w:type="pct"/>
            <w:vAlign w:val="center"/>
            <w:hideMark/>
          </w:tcPr>
          <w:p w14:paraId="7FA19518" w14:textId="77777777" w:rsidR="00467225" w:rsidRPr="00467225" w:rsidRDefault="00467225" w:rsidP="00467225">
            <w:pPr>
              <w:spacing w:before="0" w:after="0" w:line="240" w:lineRule="auto"/>
              <w:jc w:val="left"/>
              <w:rPr>
                <w:sz w:val="20"/>
                <w:szCs w:val="20"/>
                <w:lang w:val="en-IN"/>
              </w:rPr>
            </w:pPr>
          </w:p>
        </w:tc>
      </w:tr>
      <w:tr w:rsidR="00467225" w:rsidRPr="00467225" w14:paraId="0045C17D"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3C603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"Cash Ratio"</w:t>
            </w:r>
          </w:p>
        </w:tc>
        <w:tc>
          <w:tcPr>
            <w:tcW w:w="50" w:type="pct"/>
            <w:vAlign w:val="center"/>
            <w:hideMark/>
          </w:tcPr>
          <w:p w14:paraId="7743D4C0" w14:textId="77777777" w:rsidR="00467225" w:rsidRPr="00467225" w:rsidRDefault="00467225" w:rsidP="00467225">
            <w:pPr>
              <w:spacing w:before="0" w:after="0" w:line="240" w:lineRule="auto"/>
              <w:jc w:val="left"/>
              <w:rPr>
                <w:sz w:val="20"/>
                <w:szCs w:val="20"/>
                <w:lang w:val="en-IN"/>
              </w:rPr>
            </w:pPr>
          </w:p>
        </w:tc>
      </w:tr>
      <w:tr w:rsidR="00467225" w:rsidRPr="00467225" w14:paraId="183598C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F1C961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56B6438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294A489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21D019D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477BCAB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731C62C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23069B7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F8764DF" w14:textId="77777777" w:rsidR="00467225" w:rsidRPr="00467225" w:rsidRDefault="00467225" w:rsidP="00467225">
            <w:pPr>
              <w:spacing w:before="0" w:after="0" w:line="240" w:lineRule="auto"/>
              <w:jc w:val="left"/>
              <w:rPr>
                <w:sz w:val="20"/>
                <w:szCs w:val="20"/>
                <w:lang w:val="en-IN"/>
              </w:rPr>
            </w:pPr>
          </w:p>
        </w:tc>
      </w:tr>
      <w:tr w:rsidR="00467225" w:rsidRPr="00467225" w14:paraId="6E0D9ACB"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B32D4F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"Cash"</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4822182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xml:space="preserve">"Cash / Current </w:t>
            </w:r>
            <w:r w:rsidRPr="00467225">
              <w:rPr>
                <w:rFonts w:ascii="Arial" w:hAnsi="Arial" w:cs="Arial"/>
                <w:b/>
                <w:bCs/>
                <w:color w:val="000000"/>
                <w:lang w:val="en-IN"/>
              </w:rPr>
              <w:lastRenderedPageBreak/>
              <w:t>Liabilities"</w:t>
            </w:r>
          </w:p>
        </w:tc>
        <w:tc>
          <w:tcPr>
            <w:tcW w:w="509" w:type="pct"/>
            <w:tcBorders>
              <w:top w:val="nil"/>
              <w:left w:val="nil"/>
              <w:bottom w:val="single" w:sz="4" w:space="0" w:color="auto"/>
              <w:right w:val="single" w:sz="4" w:space="0" w:color="auto"/>
            </w:tcBorders>
            <w:shd w:val="clear" w:color="000000" w:fill="FFFFFF"/>
            <w:noWrap/>
            <w:vAlign w:val="bottom"/>
            <w:hideMark/>
          </w:tcPr>
          <w:p w14:paraId="5F0537A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lastRenderedPageBreak/>
              <w:t xml:space="preserve"> ¥         94,12,060 </w:t>
            </w:r>
          </w:p>
        </w:tc>
        <w:tc>
          <w:tcPr>
            <w:tcW w:w="509" w:type="pct"/>
            <w:tcBorders>
              <w:top w:val="nil"/>
              <w:left w:val="nil"/>
              <w:bottom w:val="single" w:sz="4" w:space="0" w:color="auto"/>
              <w:right w:val="single" w:sz="4" w:space="0" w:color="auto"/>
            </w:tcBorders>
            <w:shd w:val="clear" w:color="000000" w:fill="FFFFFF"/>
            <w:noWrap/>
            <w:vAlign w:val="bottom"/>
            <w:hideMark/>
          </w:tcPr>
          <w:p w14:paraId="6634F74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75,16,966 </w:t>
            </w:r>
          </w:p>
        </w:tc>
        <w:tc>
          <w:tcPr>
            <w:tcW w:w="509" w:type="pct"/>
            <w:tcBorders>
              <w:top w:val="nil"/>
              <w:left w:val="nil"/>
              <w:bottom w:val="single" w:sz="4" w:space="0" w:color="auto"/>
              <w:right w:val="single" w:sz="4" w:space="0" w:color="auto"/>
            </w:tcBorders>
            <w:shd w:val="clear" w:color="000000" w:fill="FFFFFF"/>
            <w:noWrap/>
            <w:vAlign w:val="bottom"/>
            <w:hideMark/>
          </w:tcPr>
          <w:p w14:paraId="19004BE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42,92,092 </w:t>
            </w:r>
          </w:p>
        </w:tc>
        <w:tc>
          <w:tcPr>
            <w:tcW w:w="509" w:type="pct"/>
            <w:tcBorders>
              <w:top w:val="nil"/>
              <w:left w:val="nil"/>
              <w:bottom w:val="single" w:sz="4" w:space="0" w:color="auto"/>
              <w:right w:val="single" w:sz="4" w:space="0" w:color="auto"/>
            </w:tcBorders>
            <w:shd w:val="clear" w:color="000000" w:fill="FFFFFF"/>
            <w:noWrap/>
            <w:vAlign w:val="bottom"/>
            <w:hideMark/>
          </w:tcPr>
          <w:p w14:paraId="3B6D556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40,45,939 </w:t>
            </w:r>
          </w:p>
        </w:tc>
        <w:tc>
          <w:tcPr>
            <w:tcW w:w="509" w:type="pct"/>
            <w:tcBorders>
              <w:top w:val="nil"/>
              <w:left w:val="nil"/>
              <w:bottom w:val="single" w:sz="4" w:space="0" w:color="auto"/>
              <w:right w:val="single" w:sz="4" w:space="0" w:color="auto"/>
            </w:tcBorders>
            <w:shd w:val="clear" w:color="000000" w:fill="FFFFFF"/>
            <w:noWrap/>
            <w:vAlign w:val="bottom"/>
            <w:hideMark/>
          </w:tcPr>
          <w:p w14:paraId="6C71505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41,90,518 </w:t>
            </w:r>
          </w:p>
        </w:tc>
        <w:tc>
          <w:tcPr>
            <w:tcW w:w="50" w:type="pct"/>
            <w:vAlign w:val="center"/>
            <w:hideMark/>
          </w:tcPr>
          <w:p w14:paraId="5224EFBA" w14:textId="77777777" w:rsidR="00467225" w:rsidRPr="00467225" w:rsidRDefault="00467225" w:rsidP="00467225">
            <w:pPr>
              <w:spacing w:before="0" w:after="0" w:line="240" w:lineRule="auto"/>
              <w:jc w:val="left"/>
              <w:rPr>
                <w:sz w:val="20"/>
                <w:szCs w:val="20"/>
                <w:lang w:val="en-IN"/>
              </w:rPr>
            </w:pPr>
          </w:p>
        </w:tc>
      </w:tr>
      <w:tr w:rsidR="00467225" w:rsidRPr="00467225" w14:paraId="2955F126"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AF850F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lastRenderedPageBreak/>
              <w:t>"(/): Current Liabilities"</w:t>
            </w:r>
          </w:p>
        </w:tc>
        <w:tc>
          <w:tcPr>
            <w:tcW w:w="1302" w:type="pct"/>
            <w:vMerge/>
            <w:tcBorders>
              <w:top w:val="nil"/>
              <w:left w:val="single" w:sz="4" w:space="0" w:color="auto"/>
              <w:bottom w:val="single" w:sz="4" w:space="0" w:color="auto"/>
              <w:right w:val="single" w:sz="4" w:space="0" w:color="auto"/>
            </w:tcBorders>
            <w:vAlign w:val="center"/>
            <w:hideMark/>
          </w:tcPr>
          <w:p w14:paraId="4347BB79"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1EFE85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2,91,77,909 </w:t>
            </w:r>
          </w:p>
        </w:tc>
        <w:tc>
          <w:tcPr>
            <w:tcW w:w="509" w:type="pct"/>
            <w:tcBorders>
              <w:top w:val="nil"/>
              <w:left w:val="nil"/>
              <w:bottom w:val="single" w:sz="4" w:space="0" w:color="auto"/>
              <w:right w:val="single" w:sz="4" w:space="0" w:color="auto"/>
            </w:tcBorders>
            <w:shd w:val="clear" w:color="000000" w:fill="FFFFFF"/>
            <w:noWrap/>
            <w:vAlign w:val="bottom"/>
            <w:hideMark/>
          </w:tcPr>
          <w:p w14:paraId="5BB08A0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2,39,59,715 </w:t>
            </w:r>
          </w:p>
        </w:tc>
        <w:tc>
          <w:tcPr>
            <w:tcW w:w="509" w:type="pct"/>
            <w:tcBorders>
              <w:top w:val="nil"/>
              <w:left w:val="nil"/>
              <w:bottom w:val="single" w:sz="4" w:space="0" w:color="auto"/>
              <w:right w:val="single" w:sz="4" w:space="0" w:color="auto"/>
            </w:tcBorders>
            <w:shd w:val="clear" w:color="000000" w:fill="FFFFFF"/>
            <w:noWrap/>
            <w:vAlign w:val="bottom"/>
            <w:hideMark/>
          </w:tcPr>
          <w:p w14:paraId="1EACDCA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2,18,42,161 </w:t>
            </w:r>
          </w:p>
        </w:tc>
        <w:tc>
          <w:tcPr>
            <w:tcW w:w="509" w:type="pct"/>
            <w:tcBorders>
              <w:top w:val="nil"/>
              <w:left w:val="nil"/>
              <w:bottom w:val="single" w:sz="4" w:space="0" w:color="auto"/>
              <w:right w:val="single" w:sz="4" w:space="0" w:color="auto"/>
            </w:tcBorders>
            <w:shd w:val="clear" w:color="000000" w:fill="FFFFFF"/>
            <w:noWrap/>
            <w:vAlign w:val="bottom"/>
            <w:hideMark/>
          </w:tcPr>
          <w:p w14:paraId="6899DAE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2,14,60,466 </w:t>
            </w:r>
          </w:p>
        </w:tc>
        <w:tc>
          <w:tcPr>
            <w:tcW w:w="509" w:type="pct"/>
            <w:tcBorders>
              <w:top w:val="nil"/>
              <w:left w:val="nil"/>
              <w:bottom w:val="single" w:sz="4" w:space="0" w:color="auto"/>
              <w:right w:val="single" w:sz="4" w:space="0" w:color="auto"/>
            </w:tcBorders>
            <w:shd w:val="clear" w:color="000000" w:fill="FFFFFF"/>
            <w:noWrap/>
            <w:vAlign w:val="bottom"/>
            <w:hideMark/>
          </w:tcPr>
          <w:p w14:paraId="716F501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1,79,02,377 </w:t>
            </w:r>
          </w:p>
        </w:tc>
        <w:tc>
          <w:tcPr>
            <w:tcW w:w="50" w:type="pct"/>
            <w:vAlign w:val="center"/>
            <w:hideMark/>
          </w:tcPr>
          <w:p w14:paraId="565F83F3" w14:textId="77777777" w:rsidR="00467225" w:rsidRPr="00467225" w:rsidRDefault="00467225" w:rsidP="00467225">
            <w:pPr>
              <w:spacing w:before="0" w:after="0" w:line="240" w:lineRule="auto"/>
              <w:jc w:val="left"/>
              <w:rPr>
                <w:sz w:val="20"/>
                <w:szCs w:val="20"/>
                <w:lang w:val="en-IN"/>
              </w:rPr>
            </w:pPr>
          </w:p>
        </w:tc>
      </w:tr>
      <w:tr w:rsidR="00467225" w:rsidRPr="00467225" w14:paraId="745AF61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110F98C"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"Cash Ratio"</w:t>
            </w:r>
          </w:p>
        </w:tc>
        <w:tc>
          <w:tcPr>
            <w:tcW w:w="1302" w:type="pct"/>
            <w:vMerge/>
            <w:tcBorders>
              <w:top w:val="nil"/>
              <w:left w:val="single" w:sz="4" w:space="0" w:color="auto"/>
              <w:bottom w:val="single" w:sz="4" w:space="0" w:color="auto"/>
              <w:right w:val="single" w:sz="4" w:space="0" w:color="auto"/>
            </w:tcBorders>
            <w:vAlign w:val="center"/>
            <w:hideMark/>
          </w:tcPr>
          <w:p w14:paraId="6342594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03680EC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0.32</w:t>
            </w:r>
          </w:p>
        </w:tc>
        <w:tc>
          <w:tcPr>
            <w:tcW w:w="509" w:type="pct"/>
            <w:tcBorders>
              <w:top w:val="nil"/>
              <w:left w:val="nil"/>
              <w:bottom w:val="single" w:sz="4" w:space="0" w:color="auto"/>
              <w:right w:val="single" w:sz="4" w:space="0" w:color="auto"/>
            </w:tcBorders>
            <w:shd w:val="clear" w:color="000000" w:fill="FFFFFF"/>
            <w:noWrap/>
            <w:vAlign w:val="bottom"/>
            <w:hideMark/>
          </w:tcPr>
          <w:p w14:paraId="4A0C9AA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0.31</w:t>
            </w:r>
          </w:p>
        </w:tc>
        <w:tc>
          <w:tcPr>
            <w:tcW w:w="509" w:type="pct"/>
            <w:tcBorders>
              <w:top w:val="nil"/>
              <w:left w:val="nil"/>
              <w:bottom w:val="single" w:sz="4" w:space="0" w:color="auto"/>
              <w:right w:val="single" w:sz="4" w:space="0" w:color="auto"/>
            </w:tcBorders>
            <w:shd w:val="clear" w:color="000000" w:fill="FFFFFF"/>
            <w:noWrap/>
            <w:vAlign w:val="bottom"/>
            <w:hideMark/>
          </w:tcPr>
          <w:p w14:paraId="6096AE4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0.20</w:t>
            </w:r>
          </w:p>
        </w:tc>
        <w:tc>
          <w:tcPr>
            <w:tcW w:w="509" w:type="pct"/>
            <w:tcBorders>
              <w:top w:val="nil"/>
              <w:left w:val="nil"/>
              <w:bottom w:val="single" w:sz="4" w:space="0" w:color="auto"/>
              <w:right w:val="single" w:sz="4" w:space="0" w:color="auto"/>
            </w:tcBorders>
            <w:shd w:val="clear" w:color="000000" w:fill="FFFFFF"/>
            <w:noWrap/>
            <w:vAlign w:val="bottom"/>
            <w:hideMark/>
          </w:tcPr>
          <w:p w14:paraId="0FA87B9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0.19</w:t>
            </w:r>
          </w:p>
        </w:tc>
        <w:tc>
          <w:tcPr>
            <w:tcW w:w="509" w:type="pct"/>
            <w:tcBorders>
              <w:top w:val="nil"/>
              <w:left w:val="nil"/>
              <w:bottom w:val="single" w:sz="4" w:space="0" w:color="auto"/>
              <w:right w:val="single" w:sz="4" w:space="0" w:color="auto"/>
            </w:tcBorders>
            <w:shd w:val="clear" w:color="000000" w:fill="FFFFFF"/>
            <w:noWrap/>
            <w:vAlign w:val="bottom"/>
            <w:hideMark/>
          </w:tcPr>
          <w:p w14:paraId="4D9A004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0.23</w:t>
            </w:r>
          </w:p>
        </w:tc>
        <w:tc>
          <w:tcPr>
            <w:tcW w:w="50" w:type="pct"/>
            <w:vAlign w:val="center"/>
            <w:hideMark/>
          </w:tcPr>
          <w:p w14:paraId="2808CADB" w14:textId="77777777" w:rsidR="00467225" w:rsidRPr="00467225" w:rsidRDefault="00467225" w:rsidP="00467225">
            <w:pPr>
              <w:spacing w:before="0" w:after="0" w:line="240" w:lineRule="auto"/>
              <w:jc w:val="left"/>
              <w:rPr>
                <w:sz w:val="20"/>
                <w:szCs w:val="20"/>
                <w:lang w:val="en-IN"/>
              </w:rPr>
            </w:pPr>
          </w:p>
        </w:tc>
      </w:tr>
      <w:tr w:rsidR="00467225" w:rsidRPr="00467225" w14:paraId="0FCB9F68" w14:textId="77777777" w:rsidTr="00467225">
        <w:trPr>
          <w:trHeight w:val="312"/>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609FDBF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"Efficiency ratio"</w:t>
            </w:r>
          </w:p>
        </w:tc>
        <w:tc>
          <w:tcPr>
            <w:tcW w:w="50" w:type="pct"/>
            <w:vAlign w:val="center"/>
            <w:hideMark/>
          </w:tcPr>
          <w:p w14:paraId="6FC5BC09" w14:textId="77777777" w:rsidR="00467225" w:rsidRPr="00467225" w:rsidRDefault="00467225" w:rsidP="00467225">
            <w:pPr>
              <w:spacing w:before="0" w:after="0" w:line="240" w:lineRule="auto"/>
              <w:jc w:val="left"/>
              <w:rPr>
                <w:sz w:val="20"/>
                <w:szCs w:val="20"/>
                <w:lang w:val="en-IN"/>
              </w:rPr>
            </w:pPr>
          </w:p>
        </w:tc>
      </w:tr>
      <w:tr w:rsidR="00467225" w:rsidRPr="00467225" w14:paraId="1E907253"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11AF0F42"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03E90C7B"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30413A5D"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7E910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"Accounts Receivable Turnover"</w:t>
            </w:r>
          </w:p>
        </w:tc>
        <w:tc>
          <w:tcPr>
            <w:tcW w:w="50" w:type="pct"/>
            <w:vAlign w:val="center"/>
            <w:hideMark/>
          </w:tcPr>
          <w:p w14:paraId="608D8557" w14:textId="77777777" w:rsidR="00467225" w:rsidRPr="00467225" w:rsidRDefault="00467225" w:rsidP="00467225">
            <w:pPr>
              <w:spacing w:before="0" w:after="0" w:line="240" w:lineRule="auto"/>
              <w:jc w:val="left"/>
              <w:rPr>
                <w:sz w:val="20"/>
                <w:szCs w:val="20"/>
                <w:lang w:val="en-IN"/>
              </w:rPr>
            </w:pPr>
          </w:p>
        </w:tc>
      </w:tr>
      <w:tr w:rsidR="00467225" w:rsidRPr="00467225" w14:paraId="7E5599C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168E0D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3F8791B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4EEF11D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448C73E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5B47E02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6F6F139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134F05B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5999DA39" w14:textId="77777777" w:rsidR="00467225" w:rsidRPr="00467225" w:rsidRDefault="00467225" w:rsidP="00467225">
            <w:pPr>
              <w:spacing w:before="0" w:after="0" w:line="240" w:lineRule="auto"/>
              <w:jc w:val="left"/>
              <w:rPr>
                <w:sz w:val="20"/>
                <w:szCs w:val="20"/>
                <w:lang w:val="en-IN"/>
              </w:rPr>
            </w:pPr>
          </w:p>
        </w:tc>
      </w:tr>
      <w:tr w:rsidR="00467225" w:rsidRPr="00467225" w14:paraId="13E39CC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4F8E4F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"Accounts Receivable"</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4B74E62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"(Accounts Receivable / Average of Daily Sales)"</w:t>
            </w:r>
          </w:p>
        </w:tc>
        <w:tc>
          <w:tcPr>
            <w:tcW w:w="509" w:type="pct"/>
            <w:tcBorders>
              <w:top w:val="nil"/>
              <w:left w:val="nil"/>
              <w:bottom w:val="single" w:sz="4" w:space="0" w:color="auto"/>
              <w:right w:val="single" w:sz="4" w:space="0" w:color="auto"/>
            </w:tcBorders>
            <w:shd w:val="clear" w:color="000000" w:fill="FFFFFF"/>
            <w:noWrap/>
            <w:vAlign w:val="bottom"/>
            <w:hideMark/>
          </w:tcPr>
          <w:p w14:paraId="5EAEE4E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37,89,429 </w:t>
            </w:r>
          </w:p>
        </w:tc>
        <w:tc>
          <w:tcPr>
            <w:tcW w:w="509" w:type="pct"/>
            <w:tcBorders>
              <w:top w:val="nil"/>
              <w:left w:val="nil"/>
              <w:bottom w:val="single" w:sz="4" w:space="0" w:color="auto"/>
              <w:right w:val="single" w:sz="4" w:space="0" w:color="auto"/>
            </w:tcBorders>
            <w:shd w:val="clear" w:color="000000" w:fill="FFFFFF"/>
            <w:noWrap/>
            <w:vAlign w:val="bottom"/>
            <w:hideMark/>
          </w:tcPr>
          <w:p w14:paraId="769121C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35,86,130 </w:t>
            </w:r>
          </w:p>
        </w:tc>
        <w:tc>
          <w:tcPr>
            <w:tcW w:w="509" w:type="pct"/>
            <w:tcBorders>
              <w:top w:val="nil"/>
              <w:left w:val="nil"/>
              <w:bottom w:val="single" w:sz="4" w:space="0" w:color="auto"/>
              <w:right w:val="single" w:sz="4" w:space="0" w:color="auto"/>
            </w:tcBorders>
            <w:shd w:val="clear" w:color="000000" w:fill="FFFFFF"/>
            <w:noWrap/>
            <w:vAlign w:val="bottom"/>
            <w:hideMark/>
          </w:tcPr>
          <w:p w14:paraId="38C8B1C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31,42,832 </w:t>
            </w:r>
          </w:p>
        </w:tc>
        <w:tc>
          <w:tcPr>
            <w:tcW w:w="509" w:type="pct"/>
            <w:tcBorders>
              <w:top w:val="nil"/>
              <w:left w:val="nil"/>
              <w:bottom w:val="single" w:sz="4" w:space="0" w:color="auto"/>
              <w:right w:val="single" w:sz="4" w:space="0" w:color="auto"/>
            </w:tcBorders>
            <w:shd w:val="clear" w:color="000000" w:fill="FFFFFF"/>
            <w:noWrap/>
            <w:vAlign w:val="bottom"/>
            <w:hideMark/>
          </w:tcPr>
          <w:p w14:paraId="06599A1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29,58,742 </w:t>
            </w:r>
          </w:p>
        </w:tc>
        <w:tc>
          <w:tcPr>
            <w:tcW w:w="509" w:type="pct"/>
            <w:tcBorders>
              <w:top w:val="nil"/>
              <w:left w:val="nil"/>
              <w:bottom w:val="single" w:sz="4" w:space="0" w:color="auto"/>
              <w:right w:val="single" w:sz="4" w:space="0" w:color="auto"/>
            </w:tcBorders>
            <w:shd w:val="clear" w:color="000000" w:fill="FFFFFF"/>
            <w:noWrap/>
            <w:vAlign w:val="bottom"/>
            <w:hideMark/>
          </w:tcPr>
          <w:p w14:paraId="3678C93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5,64,854 </w:t>
            </w:r>
          </w:p>
        </w:tc>
        <w:tc>
          <w:tcPr>
            <w:tcW w:w="50" w:type="pct"/>
            <w:vAlign w:val="center"/>
            <w:hideMark/>
          </w:tcPr>
          <w:p w14:paraId="52CCBFB6" w14:textId="77777777" w:rsidR="00467225" w:rsidRPr="00467225" w:rsidRDefault="00467225" w:rsidP="00467225">
            <w:pPr>
              <w:spacing w:before="0" w:after="0" w:line="240" w:lineRule="auto"/>
              <w:jc w:val="left"/>
              <w:rPr>
                <w:sz w:val="20"/>
                <w:szCs w:val="20"/>
                <w:lang w:val="en-IN"/>
              </w:rPr>
            </w:pPr>
          </w:p>
        </w:tc>
      </w:tr>
      <w:tr w:rsidR="00467225" w:rsidRPr="00467225" w14:paraId="32744E5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E03761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Average of Daily Sales"</w:t>
            </w:r>
          </w:p>
        </w:tc>
        <w:tc>
          <w:tcPr>
            <w:tcW w:w="1302" w:type="pct"/>
            <w:vMerge/>
            <w:tcBorders>
              <w:top w:val="nil"/>
              <w:left w:val="single" w:sz="4" w:space="0" w:color="auto"/>
              <w:bottom w:val="single" w:sz="4" w:space="0" w:color="auto"/>
              <w:right w:val="single" w:sz="4" w:space="0" w:color="auto"/>
            </w:tcBorders>
            <w:vAlign w:val="center"/>
            <w:hideMark/>
          </w:tcPr>
          <w:p w14:paraId="05D4F485"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55B5485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4,11,24,812 </w:t>
            </w:r>
          </w:p>
        </w:tc>
        <w:tc>
          <w:tcPr>
            <w:tcW w:w="509" w:type="pct"/>
            <w:tcBorders>
              <w:top w:val="nil"/>
              <w:left w:val="nil"/>
              <w:bottom w:val="single" w:sz="4" w:space="0" w:color="auto"/>
              <w:right w:val="single" w:sz="4" w:space="0" w:color="auto"/>
            </w:tcBorders>
            <w:shd w:val="clear" w:color="000000" w:fill="FFFFFF"/>
            <w:noWrap/>
            <w:vAlign w:val="bottom"/>
            <w:hideMark/>
          </w:tcPr>
          <w:p w14:paraId="26A50A0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3,42,66,903 </w:t>
            </w:r>
          </w:p>
        </w:tc>
        <w:tc>
          <w:tcPr>
            <w:tcW w:w="509" w:type="pct"/>
            <w:tcBorders>
              <w:top w:val="nil"/>
              <w:left w:val="nil"/>
              <w:bottom w:val="single" w:sz="4" w:space="0" w:color="auto"/>
              <w:right w:val="single" w:sz="4" w:space="0" w:color="auto"/>
            </w:tcBorders>
            <w:shd w:val="clear" w:color="000000" w:fill="FFFFFF"/>
            <w:noWrap/>
            <w:vAlign w:val="bottom"/>
            <w:hideMark/>
          </w:tcPr>
          <w:p w14:paraId="247E488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2,92,97,051 </w:t>
            </w:r>
          </w:p>
        </w:tc>
        <w:tc>
          <w:tcPr>
            <w:tcW w:w="509" w:type="pct"/>
            <w:tcBorders>
              <w:top w:val="nil"/>
              <w:left w:val="nil"/>
              <w:bottom w:val="single" w:sz="4" w:space="0" w:color="auto"/>
              <w:right w:val="single" w:sz="4" w:space="0" w:color="auto"/>
            </w:tcBorders>
            <w:shd w:val="clear" w:color="000000" w:fill="FFFFFF"/>
            <w:noWrap/>
            <w:vAlign w:val="bottom"/>
            <w:hideMark/>
          </w:tcPr>
          <w:p w14:paraId="1BB1D77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2,85,72,293 </w:t>
            </w:r>
          </w:p>
        </w:tc>
        <w:tc>
          <w:tcPr>
            <w:tcW w:w="509" w:type="pct"/>
            <w:tcBorders>
              <w:top w:val="nil"/>
              <w:left w:val="nil"/>
              <w:bottom w:val="single" w:sz="4" w:space="0" w:color="auto"/>
              <w:right w:val="single" w:sz="4" w:space="0" w:color="auto"/>
            </w:tcBorders>
            <w:shd w:val="clear" w:color="000000" w:fill="FFFFFF"/>
            <w:noWrap/>
            <w:vAlign w:val="bottom"/>
            <w:hideMark/>
          </w:tcPr>
          <w:p w14:paraId="10A390F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1,49,64,996 </w:t>
            </w:r>
          </w:p>
        </w:tc>
        <w:tc>
          <w:tcPr>
            <w:tcW w:w="50" w:type="pct"/>
            <w:vAlign w:val="center"/>
            <w:hideMark/>
          </w:tcPr>
          <w:p w14:paraId="6DFD88C1" w14:textId="77777777" w:rsidR="00467225" w:rsidRPr="00467225" w:rsidRDefault="00467225" w:rsidP="00467225">
            <w:pPr>
              <w:spacing w:before="0" w:after="0" w:line="240" w:lineRule="auto"/>
              <w:jc w:val="left"/>
              <w:rPr>
                <w:sz w:val="20"/>
                <w:szCs w:val="20"/>
                <w:lang w:val="en-IN"/>
              </w:rPr>
            </w:pPr>
          </w:p>
        </w:tc>
      </w:tr>
      <w:tr w:rsidR="00467225" w:rsidRPr="00467225" w14:paraId="2BE397F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2ED838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"Accounts Receivable Turnover"</w:t>
            </w:r>
          </w:p>
        </w:tc>
        <w:tc>
          <w:tcPr>
            <w:tcW w:w="1302" w:type="pct"/>
            <w:vMerge/>
            <w:tcBorders>
              <w:top w:val="nil"/>
              <w:left w:val="single" w:sz="4" w:space="0" w:color="auto"/>
              <w:bottom w:val="single" w:sz="4" w:space="0" w:color="auto"/>
              <w:right w:val="single" w:sz="4" w:space="0" w:color="auto"/>
            </w:tcBorders>
            <w:vAlign w:val="center"/>
            <w:hideMark/>
          </w:tcPr>
          <w:p w14:paraId="5CDB5616"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58282D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0.82</w:t>
            </w:r>
          </w:p>
        </w:tc>
        <w:tc>
          <w:tcPr>
            <w:tcW w:w="509" w:type="pct"/>
            <w:tcBorders>
              <w:top w:val="nil"/>
              <w:left w:val="nil"/>
              <w:bottom w:val="single" w:sz="4" w:space="0" w:color="auto"/>
              <w:right w:val="single" w:sz="4" w:space="0" w:color="auto"/>
            </w:tcBorders>
            <w:shd w:val="clear" w:color="000000" w:fill="FFFFFF"/>
            <w:noWrap/>
            <w:vAlign w:val="bottom"/>
            <w:hideMark/>
          </w:tcPr>
          <w:p w14:paraId="5AE2BE8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0.85</w:t>
            </w:r>
          </w:p>
        </w:tc>
        <w:tc>
          <w:tcPr>
            <w:tcW w:w="509" w:type="pct"/>
            <w:tcBorders>
              <w:top w:val="nil"/>
              <w:left w:val="nil"/>
              <w:bottom w:val="single" w:sz="4" w:space="0" w:color="auto"/>
              <w:right w:val="single" w:sz="4" w:space="0" w:color="auto"/>
            </w:tcBorders>
            <w:shd w:val="clear" w:color="000000" w:fill="FFFFFF"/>
            <w:noWrap/>
            <w:vAlign w:val="bottom"/>
            <w:hideMark/>
          </w:tcPr>
          <w:p w14:paraId="47B36ED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0.83</w:t>
            </w:r>
          </w:p>
        </w:tc>
        <w:tc>
          <w:tcPr>
            <w:tcW w:w="509" w:type="pct"/>
            <w:tcBorders>
              <w:top w:val="nil"/>
              <w:left w:val="nil"/>
              <w:bottom w:val="single" w:sz="4" w:space="0" w:color="auto"/>
              <w:right w:val="single" w:sz="4" w:space="0" w:color="auto"/>
            </w:tcBorders>
            <w:shd w:val="clear" w:color="000000" w:fill="FFFFFF"/>
            <w:noWrap/>
            <w:vAlign w:val="bottom"/>
            <w:hideMark/>
          </w:tcPr>
          <w:p w14:paraId="49B04AB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0.74</w:t>
            </w:r>
          </w:p>
        </w:tc>
        <w:tc>
          <w:tcPr>
            <w:tcW w:w="509" w:type="pct"/>
            <w:tcBorders>
              <w:top w:val="nil"/>
              <w:left w:val="nil"/>
              <w:bottom w:val="single" w:sz="4" w:space="0" w:color="auto"/>
              <w:right w:val="single" w:sz="4" w:space="0" w:color="auto"/>
            </w:tcBorders>
            <w:shd w:val="clear" w:color="000000" w:fill="FFFFFF"/>
            <w:noWrap/>
            <w:vAlign w:val="bottom"/>
            <w:hideMark/>
          </w:tcPr>
          <w:p w14:paraId="0B2ECD5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 w:type="pct"/>
            <w:vAlign w:val="center"/>
            <w:hideMark/>
          </w:tcPr>
          <w:p w14:paraId="1D890077" w14:textId="77777777" w:rsidR="00467225" w:rsidRPr="00467225" w:rsidRDefault="00467225" w:rsidP="00467225">
            <w:pPr>
              <w:spacing w:before="0" w:after="0" w:line="240" w:lineRule="auto"/>
              <w:jc w:val="left"/>
              <w:rPr>
                <w:sz w:val="20"/>
                <w:szCs w:val="20"/>
                <w:lang w:val="en-IN"/>
              </w:rPr>
            </w:pPr>
          </w:p>
        </w:tc>
      </w:tr>
      <w:tr w:rsidR="00467225" w:rsidRPr="00467225" w14:paraId="7D117E09"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54ABF0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1302" w:type="pct"/>
            <w:tcBorders>
              <w:top w:val="nil"/>
              <w:left w:val="nil"/>
              <w:bottom w:val="single" w:sz="4" w:space="0" w:color="auto"/>
              <w:right w:val="single" w:sz="4" w:space="0" w:color="auto"/>
            </w:tcBorders>
            <w:shd w:val="clear" w:color="000000" w:fill="FFFFFF"/>
            <w:noWrap/>
            <w:vAlign w:val="bottom"/>
            <w:hideMark/>
          </w:tcPr>
          <w:p w14:paraId="2F8FE5A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E6B388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2635CB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28E9C17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2AB0916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2C80B9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5F709503" w14:textId="77777777" w:rsidR="00467225" w:rsidRPr="00467225" w:rsidRDefault="00467225" w:rsidP="00467225">
            <w:pPr>
              <w:spacing w:before="0" w:after="0" w:line="240" w:lineRule="auto"/>
              <w:jc w:val="left"/>
              <w:rPr>
                <w:sz w:val="20"/>
                <w:szCs w:val="20"/>
                <w:lang w:val="en-IN"/>
              </w:rPr>
            </w:pPr>
          </w:p>
        </w:tc>
      </w:tr>
      <w:tr w:rsidR="00467225" w:rsidRPr="00467225" w14:paraId="6DAA8CB6"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1D195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"Inventory Turnover"</w:t>
            </w:r>
          </w:p>
        </w:tc>
        <w:tc>
          <w:tcPr>
            <w:tcW w:w="50" w:type="pct"/>
            <w:vAlign w:val="center"/>
            <w:hideMark/>
          </w:tcPr>
          <w:p w14:paraId="2E61814F" w14:textId="77777777" w:rsidR="00467225" w:rsidRPr="00467225" w:rsidRDefault="00467225" w:rsidP="00467225">
            <w:pPr>
              <w:spacing w:before="0" w:after="0" w:line="240" w:lineRule="auto"/>
              <w:jc w:val="left"/>
              <w:rPr>
                <w:sz w:val="20"/>
                <w:szCs w:val="20"/>
                <w:lang w:val="en-IN"/>
              </w:rPr>
            </w:pPr>
          </w:p>
        </w:tc>
      </w:tr>
      <w:tr w:rsidR="00467225" w:rsidRPr="00467225" w14:paraId="357B44C1"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2E51A3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6A2C038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358F3CF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53218B3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48E5C5F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31E9906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6855347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27CB1898" w14:textId="77777777" w:rsidR="00467225" w:rsidRPr="00467225" w:rsidRDefault="00467225" w:rsidP="00467225">
            <w:pPr>
              <w:spacing w:before="0" w:after="0" w:line="240" w:lineRule="auto"/>
              <w:jc w:val="left"/>
              <w:rPr>
                <w:sz w:val="20"/>
                <w:szCs w:val="20"/>
                <w:lang w:val="en-IN"/>
              </w:rPr>
            </w:pPr>
          </w:p>
        </w:tc>
      </w:tr>
      <w:tr w:rsidR="00467225" w:rsidRPr="00467225" w14:paraId="0BBD945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509692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"COGS"</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6514744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"(COGS / Average Inventory)"</w:t>
            </w:r>
          </w:p>
        </w:tc>
        <w:tc>
          <w:tcPr>
            <w:tcW w:w="509" w:type="pct"/>
            <w:tcBorders>
              <w:top w:val="nil"/>
              <w:left w:val="nil"/>
              <w:bottom w:val="single" w:sz="4" w:space="0" w:color="auto"/>
              <w:right w:val="single" w:sz="4" w:space="0" w:color="auto"/>
            </w:tcBorders>
            <w:shd w:val="clear" w:color="000000" w:fill="FFFFFF"/>
            <w:noWrap/>
            <w:vAlign w:val="bottom"/>
            <w:hideMark/>
          </w:tcPr>
          <w:p w14:paraId="5CBDC9F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3,36,00,612 </w:t>
            </w:r>
          </w:p>
        </w:tc>
        <w:tc>
          <w:tcPr>
            <w:tcW w:w="509" w:type="pct"/>
            <w:tcBorders>
              <w:top w:val="nil"/>
              <w:left w:val="nil"/>
              <w:bottom w:val="single" w:sz="4" w:space="0" w:color="auto"/>
              <w:right w:val="single" w:sz="4" w:space="0" w:color="auto"/>
            </w:tcBorders>
            <w:shd w:val="clear" w:color="000000" w:fill="FFFFFF"/>
            <w:noWrap/>
            <w:vAlign w:val="bottom"/>
            <w:hideMark/>
          </w:tcPr>
          <w:p w14:paraId="77F90FF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2,91,28,561 </w:t>
            </w:r>
          </w:p>
        </w:tc>
        <w:tc>
          <w:tcPr>
            <w:tcW w:w="509" w:type="pct"/>
            <w:tcBorders>
              <w:top w:val="nil"/>
              <w:left w:val="nil"/>
              <w:bottom w:val="single" w:sz="4" w:space="0" w:color="auto"/>
              <w:right w:val="single" w:sz="4" w:space="0" w:color="auto"/>
            </w:tcBorders>
            <w:shd w:val="clear" w:color="000000" w:fill="FFFFFF"/>
            <w:noWrap/>
            <w:vAlign w:val="bottom"/>
            <w:hideMark/>
          </w:tcPr>
          <w:p w14:paraId="28E5983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2,42,50,784 </w:t>
            </w:r>
          </w:p>
        </w:tc>
        <w:tc>
          <w:tcPr>
            <w:tcW w:w="509" w:type="pct"/>
            <w:tcBorders>
              <w:top w:val="nil"/>
              <w:left w:val="nil"/>
              <w:bottom w:val="single" w:sz="4" w:space="0" w:color="auto"/>
              <w:right w:val="single" w:sz="4" w:space="0" w:color="auto"/>
            </w:tcBorders>
            <w:shd w:val="clear" w:color="000000" w:fill="FFFFFF"/>
            <w:noWrap/>
            <w:vAlign w:val="bottom"/>
            <w:hideMark/>
          </w:tcPr>
          <w:p w14:paraId="0B0E80E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2,11,99,890 </w:t>
            </w:r>
          </w:p>
        </w:tc>
        <w:tc>
          <w:tcPr>
            <w:tcW w:w="509" w:type="pct"/>
            <w:tcBorders>
              <w:top w:val="nil"/>
              <w:left w:val="nil"/>
              <w:bottom w:val="single" w:sz="4" w:space="0" w:color="auto"/>
              <w:right w:val="single" w:sz="4" w:space="0" w:color="auto"/>
            </w:tcBorders>
            <w:shd w:val="clear" w:color="000000" w:fill="FFFFFF"/>
            <w:noWrap/>
            <w:vAlign w:val="bottom"/>
            <w:hideMark/>
          </w:tcPr>
          <w:p w14:paraId="4674EE5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2,31,42,744 </w:t>
            </w:r>
          </w:p>
        </w:tc>
        <w:tc>
          <w:tcPr>
            <w:tcW w:w="50" w:type="pct"/>
            <w:vAlign w:val="center"/>
            <w:hideMark/>
          </w:tcPr>
          <w:p w14:paraId="0EE8958A" w14:textId="77777777" w:rsidR="00467225" w:rsidRPr="00467225" w:rsidRDefault="00467225" w:rsidP="00467225">
            <w:pPr>
              <w:spacing w:before="0" w:after="0" w:line="240" w:lineRule="auto"/>
              <w:jc w:val="left"/>
              <w:rPr>
                <w:sz w:val="20"/>
                <w:szCs w:val="20"/>
                <w:lang w:val="en-IN"/>
              </w:rPr>
            </w:pPr>
          </w:p>
        </w:tc>
      </w:tr>
      <w:tr w:rsidR="00467225" w:rsidRPr="00467225" w14:paraId="3B73BE7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2F1ADB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Average Inventory"</w:t>
            </w:r>
          </w:p>
        </w:tc>
        <w:tc>
          <w:tcPr>
            <w:tcW w:w="1302" w:type="pct"/>
            <w:vMerge/>
            <w:tcBorders>
              <w:top w:val="nil"/>
              <w:left w:val="single" w:sz="4" w:space="0" w:color="auto"/>
              <w:bottom w:val="single" w:sz="4" w:space="0" w:color="auto"/>
              <w:right w:val="single" w:sz="4" w:space="0" w:color="auto"/>
            </w:tcBorders>
            <w:vAlign w:val="center"/>
            <w:hideMark/>
          </w:tcPr>
          <w:p w14:paraId="0CA14D73"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2324E8B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44,30,491 </w:t>
            </w:r>
          </w:p>
        </w:tc>
        <w:tc>
          <w:tcPr>
            <w:tcW w:w="509" w:type="pct"/>
            <w:tcBorders>
              <w:top w:val="nil"/>
              <w:left w:val="nil"/>
              <w:bottom w:val="single" w:sz="4" w:space="0" w:color="auto"/>
              <w:right w:val="single" w:sz="4" w:space="0" w:color="auto"/>
            </w:tcBorders>
            <w:shd w:val="clear" w:color="000000" w:fill="FFFFFF"/>
            <w:noWrap/>
            <w:vAlign w:val="bottom"/>
            <w:hideMark/>
          </w:tcPr>
          <w:p w14:paraId="5A002D8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40,38,485 </w:t>
            </w:r>
          </w:p>
        </w:tc>
        <w:tc>
          <w:tcPr>
            <w:tcW w:w="509" w:type="pct"/>
            <w:tcBorders>
              <w:top w:val="nil"/>
              <w:left w:val="nil"/>
              <w:bottom w:val="single" w:sz="4" w:space="0" w:color="auto"/>
              <w:right w:val="single" w:sz="4" w:space="0" w:color="auto"/>
            </w:tcBorders>
            <w:shd w:val="clear" w:color="000000" w:fill="FFFFFF"/>
            <w:noWrap/>
            <w:vAlign w:val="bottom"/>
            <w:hideMark/>
          </w:tcPr>
          <w:p w14:paraId="53DE7C9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33,54,692 </w:t>
            </w:r>
          </w:p>
        </w:tc>
        <w:tc>
          <w:tcPr>
            <w:tcW w:w="509" w:type="pct"/>
            <w:tcBorders>
              <w:top w:val="nil"/>
              <w:left w:val="nil"/>
              <w:bottom w:val="single" w:sz="4" w:space="0" w:color="auto"/>
              <w:right w:val="single" w:sz="4" w:space="0" w:color="auto"/>
            </w:tcBorders>
            <w:shd w:val="clear" w:color="000000" w:fill="FFFFFF"/>
            <w:noWrap/>
            <w:vAlign w:val="bottom"/>
            <w:hideMark/>
          </w:tcPr>
          <w:p w14:paraId="195DF94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26,61,473 </w:t>
            </w:r>
          </w:p>
        </w:tc>
        <w:tc>
          <w:tcPr>
            <w:tcW w:w="509" w:type="pct"/>
            <w:tcBorders>
              <w:top w:val="nil"/>
              <w:left w:val="nil"/>
              <w:bottom w:val="single" w:sz="4" w:space="0" w:color="auto"/>
              <w:right w:val="single" w:sz="4" w:space="0" w:color="auto"/>
            </w:tcBorders>
            <w:shd w:val="clear" w:color="000000" w:fill="FFFFFF"/>
            <w:noWrap/>
            <w:vAlign w:val="bottom"/>
            <w:hideMark/>
          </w:tcPr>
          <w:p w14:paraId="4532006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12,17,459 </w:t>
            </w:r>
          </w:p>
        </w:tc>
        <w:tc>
          <w:tcPr>
            <w:tcW w:w="50" w:type="pct"/>
            <w:vAlign w:val="center"/>
            <w:hideMark/>
          </w:tcPr>
          <w:p w14:paraId="2A4530F4" w14:textId="77777777" w:rsidR="00467225" w:rsidRPr="00467225" w:rsidRDefault="00467225" w:rsidP="00467225">
            <w:pPr>
              <w:spacing w:before="0" w:after="0" w:line="240" w:lineRule="auto"/>
              <w:jc w:val="left"/>
              <w:rPr>
                <w:sz w:val="20"/>
                <w:szCs w:val="20"/>
                <w:lang w:val="en-IN"/>
              </w:rPr>
            </w:pPr>
          </w:p>
        </w:tc>
      </w:tr>
      <w:tr w:rsidR="00467225" w:rsidRPr="00467225" w14:paraId="2D1BBAD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25E62B9"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"Inventory Turnover"</w:t>
            </w:r>
          </w:p>
        </w:tc>
        <w:tc>
          <w:tcPr>
            <w:tcW w:w="1302" w:type="pct"/>
            <w:vMerge/>
            <w:tcBorders>
              <w:top w:val="nil"/>
              <w:left w:val="single" w:sz="4" w:space="0" w:color="auto"/>
              <w:bottom w:val="single" w:sz="4" w:space="0" w:color="auto"/>
              <w:right w:val="single" w:sz="4" w:space="0" w:color="auto"/>
            </w:tcBorders>
            <w:vAlign w:val="center"/>
            <w:hideMark/>
          </w:tcPr>
          <w:p w14:paraId="59FE3357"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08046C2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7.58</w:t>
            </w:r>
          </w:p>
        </w:tc>
        <w:tc>
          <w:tcPr>
            <w:tcW w:w="509" w:type="pct"/>
            <w:tcBorders>
              <w:top w:val="nil"/>
              <w:left w:val="nil"/>
              <w:bottom w:val="single" w:sz="4" w:space="0" w:color="auto"/>
              <w:right w:val="single" w:sz="4" w:space="0" w:color="auto"/>
            </w:tcBorders>
            <w:shd w:val="clear" w:color="000000" w:fill="FFFFFF"/>
            <w:noWrap/>
            <w:vAlign w:val="bottom"/>
            <w:hideMark/>
          </w:tcPr>
          <w:p w14:paraId="2CB6861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7.21</w:t>
            </w:r>
          </w:p>
        </w:tc>
        <w:tc>
          <w:tcPr>
            <w:tcW w:w="509" w:type="pct"/>
            <w:tcBorders>
              <w:top w:val="nil"/>
              <w:left w:val="nil"/>
              <w:bottom w:val="single" w:sz="4" w:space="0" w:color="auto"/>
              <w:right w:val="single" w:sz="4" w:space="0" w:color="auto"/>
            </w:tcBorders>
            <w:shd w:val="clear" w:color="000000" w:fill="FFFFFF"/>
            <w:noWrap/>
            <w:vAlign w:val="bottom"/>
            <w:hideMark/>
          </w:tcPr>
          <w:p w14:paraId="7143CDD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7.23</w:t>
            </w:r>
          </w:p>
        </w:tc>
        <w:tc>
          <w:tcPr>
            <w:tcW w:w="509" w:type="pct"/>
            <w:tcBorders>
              <w:top w:val="nil"/>
              <w:left w:val="nil"/>
              <w:bottom w:val="single" w:sz="4" w:space="0" w:color="auto"/>
              <w:right w:val="single" w:sz="4" w:space="0" w:color="auto"/>
            </w:tcBorders>
            <w:shd w:val="clear" w:color="000000" w:fill="FFFFFF"/>
            <w:noWrap/>
            <w:vAlign w:val="bottom"/>
            <w:hideMark/>
          </w:tcPr>
          <w:p w14:paraId="513D947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7.97</w:t>
            </w:r>
          </w:p>
        </w:tc>
        <w:tc>
          <w:tcPr>
            <w:tcW w:w="509" w:type="pct"/>
            <w:tcBorders>
              <w:top w:val="nil"/>
              <w:left w:val="nil"/>
              <w:bottom w:val="single" w:sz="4" w:space="0" w:color="auto"/>
              <w:right w:val="single" w:sz="4" w:space="0" w:color="auto"/>
            </w:tcBorders>
            <w:shd w:val="clear" w:color="000000" w:fill="FFFFFF"/>
            <w:noWrap/>
            <w:vAlign w:val="bottom"/>
            <w:hideMark/>
          </w:tcPr>
          <w:p w14:paraId="42766D5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19.01</w:t>
            </w:r>
          </w:p>
        </w:tc>
        <w:tc>
          <w:tcPr>
            <w:tcW w:w="50" w:type="pct"/>
            <w:vAlign w:val="center"/>
            <w:hideMark/>
          </w:tcPr>
          <w:p w14:paraId="544D1B43" w14:textId="77777777" w:rsidR="00467225" w:rsidRPr="00467225" w:rsidRDefault="00467225" w:rsidP="00467225">
            <w:pPr>
              <w:spacing w:before="0" w:after="0" w:line="240" w:lineRule="auto"/>
              <w:jc w:val="left"/>
              <w:rPr>
                <w:sz w:val="20"/>
                <w:szCs w:val="20"/>
                <w:lang w:val="en-IN"/>
              </w:rPr>
            </w:pPr>
          </w:p>
        </w:tc>
      </w:tr>
      <w:tr w:rsidR="00467225" w:rsidRPr="00467225" w14:paraId="3ED5D72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BDAF032"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1302" w:type="pct"/>
            <w:tcBorders>
              <w:top w:val="nil"/>
              <w:left w:val="nil"/>
              <w:bottom w:val="single" w:sz="4" w:space="0" w:color="auto"/>
              <w:right w:val="single" w:sz="4" w:space="0" w:color="auto"/>
            </w:tcBorders>
            <w:shd w:val="clear" w:color="000000" w:fill="FFFFFF"/>
            <w:vAlign w:val="center"/>
            <w:hideMark/>
          </w:tcPr>
          <w:p w14:paraId="393D62D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0305A02F"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09DEE8E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4799470D"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E478E7C"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7A32149E"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 w:type="pct"/>
            <w:vAlign w:val="center"/>
            <w:hideMark/>
          </w:tcPr>
          <w:p w14:paraId="6E4DEEFA" w14:textId="77777777" w:rsidR="00467225" w:rsidRPr="00467225" w:rsidRDefault="00467225" w:rsidP="00467225">
            <w:pPr>
              <w:spacing w:before="0" w:after="0" w:line="240" w:lineRule="auto"/>
              <w:jc w:val="left"/>
              <w:rPr>
                <w:sz w:val="20"/>
                <w:szCs w:val="20"/>
                <w:lang w:val="en-IN"/>
              </w:rPr>
            </w:pPr>
          </w:p>
        </w:tc>
      </w:tr>
      <w:tr w:rsidR="00467225" w:rsidRPr="00467225" w14:paraId="00B47B68"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AB76B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"Asset Turnover"</w:t>
            </w:r>
          </w:p>
        </w:tc>
        <w:tc>
          <w:tcPr>
            <w:tcW w:w="50" w:type="pct"/>
            <w:vAlign w:val="center"/>
            <w:hideMark/>
          </w:tcPr>
          <w:p w14:paraId="48F52C62" w14:textId="77777777" w:rsidR="00467225" w:rsidRPr="00467225" w:rsidRDefault="00467225" w:rsidP="00467225">
            <w:pPr>
              <w:spacing w:before="0" w:after="0" w:line="240" w:lineRule="auto"/>
              <w:jc w:val="left"/>
              <w:rPr>
                <w:sz w:val="20"/>
                <w:szCs w:val="20"/>
                <w:lang w:val="en-IN"/>
              </w:rPr>
            </w:pPr>
          </w:p>
        </w:tc>
      </w:tr>
      <w:tr w:rsidR="00467225" w:rsidRPr="00467225" w14:paraId="12CAA36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6EEE30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3589524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70252F2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5D8E379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33F8837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5FD72DC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5D03760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68D37209" w14:textId="77777777" w:rsidR="00467225" w:rsidRPr="00467225" w:rsidRDefault="00467225" w:rsidP="00467225">
            <w:pPr>
              <w:spacing w:before="0" w:after="0" w:line="240" w:lineRule="auto"/>
              <w:jc w:val="left"/>
              <w:rPr>
                <w:sz w:val="20"/>
                <w:szCs w:val="20"/>
                <w:lang w:val="en-IN"/>
              </w:rPr>
            </w:pPr>
          </w:p>
        </w:tc>
      </w:tr>
      <w:tr w:rsidR="00467225" w:rsidRPr="00467225" w14:paraId="13974FC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2EB81F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"Sales"</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FE652A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"(Sales / Average Total Assets)"</w:t>
            </w:r>
          </w:p>
        </w:tc>
        <w:tc>
          <w:tcPr>
            <w:tcW w:w="509" w:type="pct"/>
            <w:tcBorders>
              <w:top w:val="nil"/>
              <w:left w:val="nil"/>
              <w:bottom w:val="single" w:sz="4" w:space="0" w:color="auto"/>
              <w:right w:val="single" w:sz="4" w:space="0" w:color="auto"/>
            </w:tcBorders>
            <w:shd w:val="clear" w:color="000000" w:fill="FFFFFF"/>
            <w:noWrap/>
            <w:vAlign w:val="bottom"/>
            <w:hideMark/>
          </w:tcPr>
          <w:p w14:paraId="61FE7E2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shd w:val="clear" w:color="000000" w:fill="FFFFFF"/>
            <w:noWrap/>
            <w:vAlign w:val="bottom"/>
            <w:hideMark/>
          </w:tcPr>
          <w:p w14:paraId="7B3B988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shd w:val="clear" w:color="000000" w:fill="FFFFFF"/>
            <w:noWrap/>
            <w:vAlign w:val="bottom"/>
            <w:hideMark/>
          </w:tcPr>
          <w:p w14:paraId="3858645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shd w:val="clear" w:color="000000" w:fill="FFFFFF"/>
            <w:noWrap/>
            <w:vAlign w:val="bottom"/>
            <w:hideMark/>
          </w:tcPr>
          <w:p w14:paraId="320F297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shd w:val="clear" w:color="000000" w:fill="FFFFFF"/>
            <w:noWrap/>
            <w:vAlign w:val="bottom"/>
            <w:hideMark/>
          </w:tcPr>
          <w:p w14:paraId="0AB6805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16674A3A" w14:textId="77777777" w:rsidR="00467225" w:rsidRPr="00467225" w:rsidRDefault="00467225" w:rsidP="00467225">
            <w:pPr>
              <w:spacing w:before="0" w:after="0" w:line="240" w:lineRule="auto"/>
              <w:jc w:val="left"/>
              <w:rPr>
                <w:sz w:val="20"/>
                <w:szCs w:val="20"/>
                <w:lang w:val="en-IN"/>
              </w:rPr>
            </w:pPr>
          </w:p>
        </w:tc>
      </w:tr>
      <w:tr w:rsidR="00467225" w:rsidRPr="00467225" w14:paraId="687E2582"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EDBCAA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Average Total Assets"</w:t>
            </w:r>
          </w:p>
        </w:tc>
        <w:tc>
          <w:tcPr>
            <w:tcW w:w="1302" w:type="pct"/>
            <w:vMerge/>
            <w:tcBorders>
              <w:top w:val="nil"/>
              <w:left w:val="single" w:sz="4" w:space="0" w:color="auto"/>
              <w:bottom w:val="single" w:sz="4" w:space="0" w:color="auto"/>
              <w:right w:val="single" w:sz="4" w:space="0" w:color="auto"/>
            </w:tcBorders>
            <w:vAlign w:val="center"/>
            <w:hideMark/>
          </w:tcPr>
          <w:p w14:paraId="40F92D59"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24D854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8,22,08,738 </w:t>
            </w:r>
          </w:p>
        </w:tc>
        <w:tc>
          <w:tcPr>
            <w:tcW w:w="509" w:type="pct"/>
            <w:tcBorders>
              <w:top w:val="nil"/>
              <w:left w:val="nil"/>
              <w:bottom w:val="single" w:sz="4" w:space="0" w:color="auto"/>
              <w:right w:val="single" w:sz="4" w:space="0" w:color="auto"/>
            </w:tcBorders>
            <w:shd w:val="clear" w:color="000000" w:fill="FFFFFF"/>
            <w:noWrap/>
            <w:vAlign w:val="bottom"/>
            <w:hideMark/>
          </w:tcPr>
          <w:p w14:paraId="62FEB56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7,09,95,976 </w:t>
            </w:r>
          </w:p>
        </w:tc>
        <w:tc>
          <w:tcPr>
            <w:tcW w:w="509" w:type="pct"/>
            <w:tcBorders>
              <w:top w:val="nil"/>
              <w:left w:val="nil"/>
              <w:bottom w:val="single" w:sz="4" w:space="0" w:color="auto"/>
              <w:right w:val="single" w:sz="4" w:space="0" w:color="auto"/>
            </w:tcBorders>
            <w:shd w:val="clear" w:color="000000" w:fill="FFFFFF"/>
            <w:noWrap/>
            <w:vAlign w:val="bottom"/>
            <w:hideMark/>
          </w:tcPr>
          <w:p w14:paraId="60813A1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6,49,77,956 </w:t>
            </w:r>
          </w:p>
        </w:tc>
        <w:tc>
          <w:tcPr>
            <w:tcW w:w="509" w:type="pct"/>
            <w:tcBorders>
              <w:top w:val="nil"/>
              <w:left w:val="nil"/>
              <w:bottom w:val="single" w:sz="4" w:space="0" w:color="auto"/>
              <w:right w:val="single" w:sz="4" w:space="0" w:color="auto"/>
            </w:tcBorders>
            <w:shd w:val="clear" w:color="000000" w:fill="FFFFFF"/>
            <w:noWrap/>
            <w:vAlign w:val="bottom"/>
            <w:hideMark/>
          </w:tcPr>
          <w:p w14:paraId="589EFEE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5,74,73,788 </w:t>
            </w:r>
          </w:p>
        </w:tc>
        <w:tc>
          <w:tcPr>
            <w:tcW w:w="509" w:type="pct"/>
            <w:tcBorders>
              <w:top w:val="nil"/>
              <w:left w:val="nil"/>
              <w:bottom w:val="single" w:sz="4" w:space="0" w:color="auto"/>
              <w:right w:val="single" w:sz="4" w:space="0" w:color="auto"/>
            </w:tcBorders>
            <w:shd w:val="clear" w:color="000000" w:fill="FFFFFF"/>
            <w:noWrap/>
            <w:vAlign w:val="bottom"/>
            <w:hideMark/>
          </w:tcPr>
          <w:p w14:paraId="66A6406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2,63,40,218 </w:t>
            </w:r>
          </w:p>
        </w:tc>
        <w:tc>
          <w:tcPr>
            <w:tcW w:w="50" w:type="pct"/>
            <w:vAlign w:val="center"/>
            <w:hideMark/>
          </w:tcPr>
          <w:p w14:paraId="1302AB9B" w14:textId="77777777" w:rsidR="00467225" w:rsidRPr="00467225" w:rsidRDefault="00467225" w:rsidP="00467225">
            <w:pPr>
              <w:spacing w:before="0" w:after="0" w:line="240" w:lineRule="auto"/>
              <w:jc w:val="left"/>
              <w:rPr>
                <w:sz w:val="20"/>
                <w:szCs w:val="20"/>
                <w:lang w:val="en-IN"/>
              </w:rPr>
            </w:pPr>
          </w:p>
        </w:tc>
      </w:tr>
      <w:tr w:rsidR="00467225" w:rsidRPr="00467225" w14:paraId="28FA7FB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A71E203"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"Asset Turnover"</w:t>
            </w:r>
          </w:p>
        </w:tc>
        <w:tc>
          <w:tcPr>
            <w:tcW w:w="1302" w:type="pct"/>
            <w:vMerge/>
            <w:tcBorders>
              <w:top w:val="nil"/>
              <w:left w:val="single" w:sz="4" w:space="0" w:color="auto"/>
              <w:bottom w:val="single" w:sz="4" w:space="0" w:color="auto"/>
              <w:right w:val="single" w:sz="4" w:space="0" w:color="auto"/>
            </w:tcBorders>
            <w:vAlign w:val="center"/>
            <w:hideMark/>
          </w:tcPr>
          <w:p w14:paraId="0DF87B9D"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0AAE67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0.55</w:t>
            </w:r>
          </w:p>
        </w:tc>
        <w:tc>
          <w:tcPr>
            <w:tcW w:w="509" w:type="pct"/>
            <w:tcBorders>
              <w:top w:val="nil"/>
              <w:left w:val="nil"/>
              <w:bottom w:val="single" w:sz="4" w:space="0" w:color="auto"/>
              <w:right w:val="single" w:sz="4" w:space="0" w:color="auto"/>
            </w:tcBorders>
            <w:shd w:val="clear" w:color="000000" w:fill="FFFFFF"/>
            <w:noWrap/>
            <w:vAlign w:val="bottom"/>
            <w:hideMark/>
          </w:tcPr>
          <w:p w14:paraId="07573D9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0.52</w:t>
            </w:r>
          </w:p>
        </w:tc>
        <w:tc>
          <w:tcPr>
            <w:tcW w:w="509" w:type="pct"/>
            <w:tcBorders>
              <w:top w:val="nil"/>
              <w:left w:val="nil"/>
              <w:bottom w:val="single" w:sz="4" w:space="0" w:color="auto"/>
              <w:right w:val="single" w:sz="4" w:space="0" w:color="auto"/>
            </w:tcBorders>
            <w:shd w:val="clear" w:color="000000" w:fill="FFFFFF"/>
            <w:noWrap/>
            <w:vAlign w:val="bottom"/>
            <w:hideMark/>
          </w:tcPr>
          <w:p w14:paraId="38E1A636"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0.48</w:t>
            </w:r>
          </w:p>
        </w:tc>
        <w:tc>
          <w:tcPr>
            <w:tcW w:w="509" w:type="pct"/>
            <w:tcBorders>
              <w:top w:val="nil"/>
              <w:left w:val="nil"/>
              <w:bottom w:val="single" w:sz="4" w:space="0" w:color="auto"/>
              <w:right w:val="single" w:sz="4" w:space="0" w:color="auto"/>
            </w:tcBorders>
            <w:shd w:val="clear" w:color="000000" w:fill="FFFFFF"/>
            <w:noWrap/>
            <w:vAlign w:val="bottom"/>
            <w:hideMark/>
          </w:tcPr>
          <w:p w14:paraId="43B24AD8"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0.47</w:t>
            </w:r>
          </w:p>
        </w:tc>
        <w:tc>
          <w:tcPr>
            <w:tcW w:w="509" w:type="pct"/>
            <w:tcBorders>
              <w:top w:val="nil"/>
              <w:left w:val="nil"/>
              <w:bottom w:val="single" w:sz="4" w:space="0" w:color="auto"/>
              <w:right w:val="single" w:sz="4" w:space="0" w:color="auto"/>
            </w:tcBorders>
            <w:shd w:val="clear" w:color="000000" w:fill="FFFFFF"/>
            <w:noWrap/>
            <w:vAlign w:val="bottom"/>
            <w:hideMark/>
          </w:tcPr>
          <w:p w14:paraId="29EE298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1.14</w:t>
            </w:r>
          </w:p>
        </w:tc>
        <w:tc>
          <w:tcPr>
            <w:tcW w:w="50" w:type="pct"/>
            <w:vAlign w:val="center"/>
            <w:hideMark/>
          </w:tcPr>
          <w:p w14:paraId="30BBA01F" w14:textId="77777777" w:rsidR="00467225" w:rsidRPr="00467225" w:rsidRDefault="00467225" w:rsidP="00467225">
            <w:pPr>
              <w:spacing w:before="0" w:after="0" w:line="240" w:lineRule="auto"/>
              <w:jc w:val="left"/>
              <w:rPr>
                <w:sz w:val="20"/>
                <w:szCs w:val="20"/>
                <w:lang w:val="en-IN"/>
              </w:rPr>
            </w:pPr>
          </w:p>
        </w:tc>
      </w:tr>
      <w:tr w:rsidR="00467225" w:rsidRPr="00467225" w14:paraId="63E56226" w14:textId="77777777" w:rsidTr="00467225">
        <w:trPr>
          <w:trHeight w:val="312"/>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2D02104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"Leverage (Gearing) Ratio"</w:t>
            </w:r>
          </w:p>
        </w:tc>
        <w:tc>
          <w:tcPr>
            <w:tcW w:w="50" w:type="pct"/>
            <w:vAlign w:val="center"/>
            <w:hideMark/>
          </w:tcPr>
          <w:p w14:paraId="43385A1A" w14:textId="77777777" w:rsidR="00467225" w:rsidRPr="00467225" w:rsidRDefault="00467225" w:rsidP="00467225">
            <w:pPr>
              <w:spacing w:before="0" w:after="0" w:line="240" w:lineRule="auto"/>
              <w:jc w:val="left"/>
              <w:rPr>
                <w:sz w:val="20"/>
                <w:szCs w:val="20"/>
                <w:lang w:val="en-IN"/>
              </w:rPr>
            </w:pPr>
          </w:p>
        </w:tc>
      </w:tr>
      <w:tr w:rsidR="00467225" w:rsidRPr="00467225" w14:paraId="3B1D3125"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71F32950"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1884D647"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45201960"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9F319A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"Debt to Equity Ratio"</w:t>
            </w:r>
          </w:p>
        </w:tc>
        <w:tc>
          <w:tcPr>
            <w:tcW w:w="50" w:type="pct"/>
            <w:vAlign w:val="center"/>
            <w:hideMark/>
          </w:tcPr>
          <w:p w14:paraId="2E2B1061" w14:textId="77777777" w:rsidR="00467225" w:rsidRPr="00467225" w:rsidRDefault="00467225" w:rsidP="00467225">
            <w:pPr>
              <w:spacing w:before="0" w:after="0" w:line="240" w:lineRule="auto"/>
              <w:jc w:val="left"/>
              <w:rPr>
                <w:sz w:val="20"/>
                <w:szCs w:val="20"/>
                <w:lang w:val="en-IN"/>
              </w:rPr>
            </w:pPr>
          </w:p>
        </w:tc>
      </w:tr>
      <w:tr w:rsidR="00467225" w:rsidRPr="00467225" w14:paraId="7D3FAD9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B7A644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21668B1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75F2659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6F303E3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28CF1D8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2CAD307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0B283BD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218B6F75" w14:textId="77777777" w:rsidR="00467225" w:rsidRPr="00467225" w:rsidRDefault="00467225" w:rsidP="00467225">
            <w:pPr>
              <w:spacing w:before="0" w:after="0" w:line="240" w:lineRule="auto"/>
              <w:jc w:val="left"/>
              <w:rPr>
                <w:sz w:val="20"/>
                <w:szCs w:val="20"/>
                <w:lang w:val="en-IN"/>
              </w:rPr>
            </w:pPr>
          </w:p>
        </w:tc>
      </w:tr>
      <w:tr w:rsidR="00467225" w:rsidRPr="00467225" w14:paraId="6C4E9F9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EF4AFF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lastRenderedPageBreak/>
              <w:t>"Total Debt"</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5C0F4C4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"(Total debt/Total equity)"</w:t>
            </w:r>
          </w:p>
        </w:tc>
        <w:tc>
          <w:tcPr>
            <w:tcW w:w="509" w:type="pct"/>
            <w:tcBorders>
              <w:top w:val="nil"/>
              <w:left w:val="nil"/>
              <w:bottom w:val="single" w:sz="4" w:space="0" w:color="auto"/>
              <w:right w:val="single" w:sz="4" w:space="0" w:color="auto"/>
            </w:tcBorders>
            <w:noWrap/>
            <w:vAlign w:val="bottom"/>
            <w:hideMark/>
          </w:tcPr>
          <w:p w14:paraId="51EF214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5,48,74,958 </w:t>
            </w:r>
          </w:p>
        </w:tc>
        <w:tc>
          <w:tcPr>
            <w:tcW w:w="509" w:type="pct"/>
            <w:tcBorders>
              <w:top w:val="nil"/>
              <w:left w:val="nil"/>
              <w:bottom w:val="single" w:sz="4" w:space="0" w:color="auto"/>
              <w:right w:val="single" w:sz="4" w:space="0" w:color="auto"/>
            </w:tcBorders>
            <w:noWrap/>
            <w:vAlign w:val="bottom"/>
            <w:hideMark/>
          </w:tcPr>
          <w:p w14:paraId="5DDD866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4,50,38,967 </w:t>
            </w:r>
          </w:p>
        </w:tc>
        <w:tc>
          <w:tcPr>
            <w:tcW w:w="509" w:type="pct"/>
            <w:tcBorders>
              <w:top w:val="nil"/>
              <w:left w:val="nil"/>
              <w:bottom w:val="single" w:sz="4" w:space="0" w:color="auto"/>
              <w:right w:val="single" w:sz="4" w:space="0" w:color="auto"/>
            </w:tcBorders>
            <w:noWrap/>
            <w:vAlign w:val="bottom"/>
            <w:hideMark/>
          </w:tcPr>
          <w:p w14:paraId="167ADC5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4,05,33,951 </w:t>
            </w:r>
          </w:p>
        </w:tc>
        <w:tc>
          <w:tcPr>
            <w:tcW w:w="509" w:type="pct"/>
            <w:tcBorders>
              <w:top w:val="nil"/>
              <w:left w:val="nil"/>
              <w:bottom w:val="single" w:sz="4" w:space="0" w:color="auto"/>
              <w:right w:val="single" w:sz="4" w:space="0" w:color="auto"/>
            </w:tcBorders>
            <w:noWrap/>
            <w:vAlign w:val="bottom"/>
            <w:hideMark/>
          </w:tcPr>
          <w:p w14:paraId="0262C54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3,79,78,811 </w:t>
            </w:r>
          </w:p>
        </w:tc>
        <w:tc>
          <w:tcPr>
            <w:tcW w:w="509" w:type="pct"/>
            <w:tcBorders>
              <w:top w:val="nil"/>
              <w:left w:val="nil"/>
              <w:bottom w:val="single" w:sz="4" w:space="0" w:color="auto"/>
              <w:right w:val="single" w:sz="8" w:space="0" w:color="auto"/>
            </w:tcBorders>
            <w:noWrap/>
            <w:vAlign w:val="bottom"/>
            <w:hideMark/>
          </w:tcPr>
          <w:p w14:paraId="2237E57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3,14,38,585 </w:t>
            </w:r>
          </w:p>
        </w:tc>
        <w:tc>
          <w:tcPr>
            <w:tcW w:w="50" w:type="pct"/>
            <w:vAlign w:val="center"/>
            <w:hideMark/>
          </w:tcPr>
          <w:p w14:paraId="556A5BBF" w14:textId="77777777" w:rsidR="00467225" w:rsidRPr="00467225" w:rsidRDefault="00467225" w:rsidP="00467225">
            <w:pPr>
              <w:spacing w:before="0" w:after="0" w:line="240" w:lineRule="auto"/>
              <w:jc w:val="left"/>
              <w:rPr>
                <w:sz w:val="20"/>
                <w:szCs w:val="20"/>
                <w:lang w:val="en-IN"/>
              </w:rPr>
            </w:pPr>
          </w:p>
        </w:tc>
      </w:tr>
      <w:tr w:rsidR="00467225" w:rsidRPr="00467225" w14:paraId="6B57D73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F4DC26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Total Equity"</w:t>
            </w:r>
          </w:p>
        </w:tc>
        <w:tc>
          <w:tcPr>
            <w:tcW w:w="1302" w:type="pct"/>
            <w:vMerge/>
            <w:tcBorders>
              <w:top w:val="nil"/>
              <w:left w:val="single" w:sz="4" w:space="0" w:color="auto"/>
              <w:bottom w:val="single" w:sz="4" w:space="0" w:color="auto"/>
              <w:right w:val="single" w:sz="4" w:space="0" w:color="auto"/>
            </w:tcBorders>
            <w:vAlign w:val="center"/>
            <w:hideMark/>
          </w:tcPr>
          <w:p w14:paraId="05276274"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noWrap/>
            <w:vAlign w:val="bottom"/>
            <w:hideMark/>
          </w:tcPr>
          <w:p w14:paraId="52F8B3B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3,52,39,338 </w:t>
            </w:r>
          </w:p>
        </w:tc>
        <w:tc>
          <w:tcPr>
            <w:tcW w:w="509" w:type="pct"/>
            <w:tcBorders>
              <w:top w:val="nil"/>
              <w:left w:val="nil"/>
              <w:bottom w:val="single" w:sz="4" w:space="0" w:color="auto"/>
              <w:right w:val="single" w:sz="4" w:space="0" w:color="auto"/>
            </w:tcBorders>
            <w:noWrap/>
            <w:vAlign w:val="bottom"/>
            <w:hideMark/>
          </w:tcPr>
          <w:p w14:paraId="2A142AF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2,92,64,213 </w:t>
            </w:r>
          </w:p>
        </w:tc>
        <w:tc>
          <w:tcPr>
            <w:tcW w:w="509" w:type="pct"/>
            <w:tcBorders>
              <w:top w:val="nil"/>
              <w:left w:val="nil"/>
              <w:bottom w:val="single" w:sz="4" w:space="0" w:color="auto"/>
              <w:right w:val="single" w:sz="4" w:space="0" w:color="auto"/>
            </w:tcBorders>
            <w:noWrap/>
            <w:vAlign w:val="bottom"/>
            <w:hideMark/>
          </w:tcPr>
          <w:p w14:paraId="62C0D5E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2,71,54,820 </w:t>
            </w:r>
          </w:p>
        </w:tc>
        <w:tc>
          <w:tcPr>
            <w:tcW w:w="509" w:type="pct"/>
            <w:tcBorders>
              <w:top w:val="nil"/>
              <w:left w:val="nil"/>
              <w:bottom w:val="single" w:sz="4" w:space="0" w:color="auto"/>
              <w:right w:val="single" w:sz="4" w:space="0" w:color="auto"/>
            </w:tcBorders>
            <w:noWrap/>
            <w:vAlign w:val="bottom"/>
            <w:hideMark/>
          </w:tcPr>
          <w:p w14:paraId="1ADB54D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2,42,88,329 </w:t>
            </w:r>
          </w:p>
        </w:tc>
        <w:tc>
          <w:tcPr>
            <w:tcW w:w="509" w:type="pct"/>
            <w:tcBorders>
              <w:top w:val="nil"/>
              <w:left w:val="nil"/>
              <w:bottom w:val="single" w:sz="4" w:space="0" w:color="auto"/>
              <w:right w:val="single" w:sz="4" w:space="0" w:color="auto"/>
            </w:tcBorders>
            <w:noWrap/>
            <w:vAlign w:val="bottom"/>
            <w:hideMark/>
          </w:tcPr>
          <w:p w14:paraId="6B5285F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2,07,37,682 </w:t>
            </w:r>
          </w:p>
        </w:tc>
        <w:tc>
          <w:tcPr>
            <w:tcW w:w="50" w:type="pct"/>
            <w:vAlign w:val="center"/>
            <w:hideMark/>
          </w:tcPr>
          <w:p w14:paraId="57EAF222" w14:textId="77777777" w:rsidR="00467225" w:rsidRPr="00467225" w:rsidRDefault="00467225" w:rsidP="00467225">
            <w:pPr>
              <w:spacing w:before="0" w:after="0" w:line="240" w:lineRule="auto"/>
              <w:jc w:val="left"/>
              <w:rPr>
                <w:sz w:val="20"/>
                <w:szCs w:val="20"/>
                <w:lang w:val="en-IN"/>
              </w:rPr>
            </w:pPr>
          </w:p>
        </w:tc>
      </w:tr>
      <w:tr w:rsidR="00467225" w:rsidRPr="00467225" w14:paraId="4232E06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3E95E03"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"Debt to Equity Ratio"</w:t>
            </w:r>
          </w:p>
        </w:tc>
        <w:tc>
          <w:tcPr>
            <w:tcW w:w="1302" w:type="pct"/>
            <w:vMerge/>
            <w:tcBorders>
              <w:top w:val="nil"/>
              <w:left w:val="single" w:sz="4" w:space="0" w:color="auto"/>
              <w:bottom w:val="single" w:sz="4" w:space="0" w:color="auto"/>
              <w:right w:val="single" w:sz="4" w:space="0" w:color="auto"/>
            </w:tcBorders>
            <w:vAlign w:val="center"/>
            <w:hideMark/>
          </w:tcPr>
          <w:p w14:paraId="4AC84F90"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01A1232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1.56</w:t>
            </w:r>
          </w:p>
        </w:tc>
        <w:tc>
          <w:tcPr>
            <w:tcW w:w="509" w:type="pct"/>
            <w:tcBorders>
              <w:top w:val="nil"/>
              <w:left w:val="nil"/>
              <w:bottom w:val="single" w:sz="4" w:space="0" w:color="auto"/>
              <w:right w:val="single" w:sz="4" w:space="0" w:color="auto"/>
            </w:tcBorders>
            <w:shd w:val="clear" w:color="000000" w:fill="FFFFFF"/>
            <w:noWrap/>
            <w:vAlign w:val="bottom"/>
            <w:hideMark/>
          </w:tcPr>
          <w:p w14:paraId="1DCF435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1.54</w:t>
            </w:r>
          </w:p>
        </w:tc>
        <w:tc>
          <w:tcPr>
            <w:tcW w:w="509" w:type="pct"/>
            <w:tcBorders>
              <w:top w:val="nil"/>
              <w:left w:val="nil"/>
              <w:bottom w:val="single" w:sz="4" w:space="0" w:color="auto"/>
              <w:right w:val="single" w:sz="4" w:space="0" w:color="auto"/>
            </w:tcBorders>
            <w:shd w:val="clear" w:color="000000" w:fill="FFFFFF"/>
            <w:noWrap/>
            <w:vAlign w:val="bottom"/>
            <w:hideMark/>
          </w:tcPr>
          <w:p w14:paraId="33578A8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1.49</w:t>
            </w:r>
          </w:p>
        </w:tc>
        <w:tc>
          <w:tcPr>
            <w:tcW w:w="509" w:type="pct"/>
            <w:tcBorders>
              <w:top w:val="nil"/>
              <w:left w:val="nil"/>
              <w:bottom w:val="single" w:sz="4" w:space="0" w:color="auto"/>
              <w:right w:val="single" w:sz="4" w:space="0" w:color="auto"/>
            </w:tcBorders>
            <w:shd w:val="clear" w:color="000000" w:fill="FFFFFF"/>
            <w:noWrap/>
            <w:vAlign w:val="bottom"/>
            <w:hideMark/>
          </w:tcPr>
          <w:p w14:paraId="406ADA5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1.56</w:t>
            </w:r>
          </w:p>
        </w:tc>
        <w:tc>
          <w:tcPr>
            <w:tcW w:w="509" w:type="pct"/>
            <w:tcBorders>
              <w:top w:val="nil"/>
              <w:left w:val="nil"/>
              <w:bottom w:val="single" w:sz="4" w:space="0" w:color="auto"/>
              <w:right w:val="single" w:sz="4" w:space="0" w:color="auto"/>
            </w:tcBorders>
            <w:shd w:val="clear" w:color="000000" w:fill="FFFFFF"/>
            <w:noWrap/>
            <w:vAlign w:val="bottom"/>
            <w:hideMark/>
          </w:tcPr>
          <w:p w14:paraId="5E4703A6"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1.52</w:t>
            </w:r>
          </w:p>
        </w:tc>
        <w:tc>
          <w:tcPr>
            <w:tcW w:w="50" w:type="pct"/>
            <w:vAlign w:val="center"/>
            <w:hideMark/>
          </w:tcPr>
          <w:p w14:paraId="6563D6C3" w14:textId="77777777" w:rsidR="00467225" w:rsidRPr="00467225" w:rsidRDefault="00467225" w:rsidP="00467225">
            <w:pPr>
              <w:spacing w:before="0" w:after="0" w:line="240" w:lineRule="auto"/>
              <w:jc w:val="left"/>
              <w:rPr>
                <w:sz w:val="20"/>
                <w:szCs w:val="20"/>
                <w:lang w:val="en-IN"/>
              </w:rPr>
            </w:pPr>
          </w:p>
        </w:tc>
      </w:tr>
      <w:tr w:rsidR="00467225" w:rsidRPr="00467225" w14:paraId="30370995"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D819BA"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615FB887" w14:textId="77777777" w:rsidR="00467225" w:rsidRPr="00467225" w:rsidRDefault="00467225" w:rsidP="00467225">
            <w:pPr>
              <w:spacing w:before="0" w:after="0" w:line="240" w:lineRule="auto"/>
              <w:jc w:val="left"/>
              <w:rPr>
                <w:sz w:val="20"/>
                <w:szCs w:val="20"/>
                <w:lang w:val="en-IN"/>
              </w:rPr>
            </w:pPr>
          </w:p>
        </w:tc>
      </w:tr>
      <w:tr w:rsidR="00467225" w:rsidRPr="00467225" w14:paraId="75C269AC"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775A3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"Interest Coverage Ratios"</w:t>
            </w:r>
          </w:p>
        </w:tc>
        <w:tc>
          <w:tcPr>
            <w:tcW w:w="50" w:type="pct"/>
            <w:vAlign w:val="center"/>
            <w:hideMark/>
          </w:tcPr>
          <w:p w14:paraId="5FCDD071" w14:textId="77777777" w:rsidR="00467225" w:rsidRPr="00467225" w:rsidRDefault="00467225" w:rsidP="00467225">
            <w:pPr>
              <w:spacing w:before="0" w:after="0" w:line="240" w:lineRule="auto"/>
              <w:jc w:val="left"/>
              <w:rPr>
                <w:sz w:val="20"/>
                <w:szCs w:val="20"/>
                <w:lang w:val="en-IN"/>
              </w:rPr>
            </w:pPr>
          </w:p>
        </w:tc>
      </w:tr>
      <w:tr w:rsidR="00467225" w:rsidRPr="00467225" w14:paraId="4A09605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E5CD78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0AC5538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4F23053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0D8BE34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4A9ADB8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31E4C7D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30D3A8B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2FB9ED6" w14:textId="77777777" w:rsidR="00467225" w:rsidRPr="00467225" w:rsidRDefault="00467225" w:rsidP="00467225">
            <w:pPr>
              <w:spacing w:before="0" w:after="0" w:line="240" w:lineRule="auto"/>
              <w:jc w:val="left"/>
              <w:rPr>
                <w:sz w:val="20"/>
                <w:szCs w:val="20"/>
                <w:lang w:val="en-IN"/>
              </w:rPr>
            </w:pPr>
          </w:p>
        </w:tc>
      </w:tr>
      <w:tr w:rsidR="00467225" w:rsidRPr="00467225" w14:paraId="1BCD3EF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4C1D95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"EBIT"</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7BBB185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"(EBIT/ Interest Expenses)"</w:t>
            </w:r>
          </w:p>
        </w:tc>
        <w:tc>
          <w:tcPr>
            <w:tcW w:w="509" w:type="pct"/>
            <w:tcBorders>
              <w:top w:val="nil"/>
              <w:left w:val="nil"/>
              <w:bottom w:val="single" w:sz="4" w:space="0" w:color="auto"/>
              <w:right w:val="single" w:sz="4" w:space="0" w:color="auto"/>
            </w:tcBorders>
            <w:shd w:val="clear" w:color="000000" w:fill="FFFFFF"/>
            <w:noWrap/>
            <w:vAlign w:val="bottom"/>
            <w:hideMark/>
          </w:tcPr>
          <w:p w14:paraId="53A0F37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69,65,085 </w:t>
            </w:r>
          </w:p>
        </w:tc>
        <w:tc>
          <w:tcPr>
            <w:tcW w:w="509" w:type="pct"/>
            <w:tcBorders>
              <w:top w:val="nil"/>
              <w:left w:val="nil"/>
              <w:bottom w:val="single" w:sz="4" w:space="0" w:color="auto"/>
              <w:right w:val="single" w:sz="4" w:space="0" w:color="auto"/>
            </w:tcBorders>
            <w:shd w:val="clear" w:color="000000" w:fill="FFFFFF"/>
            <w:noWrap/>
            <w:vAlign w:val="bottom"/>
            <w:hideMark/>
          </w:tcPr>
          <w:p w14:paraId="60A8981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36,68,733 </w:t>
            </w:r>
          </w:p>
        </w:tc>
        <w:tc>
          <w:tcPr>
            <w:tcW w:w="509" w:type="pct"/>
            <w:tcBorders>
              <w:top w:val="nil"/>
              <w:left w:val="nil"/>
              <w:bottom w:val="single" w:sz="4" w:space="0" w:color="auto"/>
              <w:right w:val="single" w:sz="4" w:space="0" w:color="auto"/>
            </w:tcBorders>
            <w:shd w:val="clear" w:color="000000" w:fill="FFFFFF"/>
            <w:noWrap/>
            <w:vAlign w:val="bottom"/>
            <w:hideMark/>
          </w:tcPr>
          <w:p w14:paraId="3EE0446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39,90,532 </w:t>
            </w:r>
          </w:p>
        </w:tc>
        <w:tc>
          <w:tcPr>
            <w:tcW w:w="509" w:type="pct"/>
            <w:tcBorders>
              <w:top w:val="nil"/>
              <w:left w:val="nil"/>
              <w:bottom w:val="single" w:sz="4" w:space="0" w:color="auto"/>
              <w:right w:val="single" w:sz="4" w:space="0" w:color="auto"/>
            </w:tcBorders>
            <w:shd w:val="clear" w:color="000000" w:fill="FFFFFF"/>
            <w:noWrap/>
            <w:vAlign w:val="bottom"/>
            <w:hideMark/>
          </w:tcPr>
          <w:p w14:paraId="3CAC581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29,32,354 </w:t>
            </w:r>
          </w:p>
        </w:tc>
        <w:tc>
          <w:tcPr>
            <w:tcW w:w="509" w:type="pct"/>
            <w:tcBorders>
              <w:top w:val="nil"/>
              <w:left w:val="nil"/>
              <w:bottom w:val="single" w:sz="4" w:space="0" w:color="auto"/>
              <w:right w:val="single" w:sz="4" w:space="0" w:color="auto"/>
            </w:tcBorders>
            <w:shd w:val="clear" w:color="000000" w:fill="FFFFFF"/>
            <w:noWrap/>
            <w:vAlign w:val="bottom"/>
            <w:hideMark/>
          </w:tcPr>
          <w:p w14:paraId="3ABD3BA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25,54,607 </w:t>
            </w:r>
          </w:p>
        </w:tc>
        <w:tc>
          <w:tcPr>
            <w:tcW w:w="50" w:type="pct"/>
            <w:vAlign w:val="center"/>
            <w:hideMark/>
          </w:tcPr>
          <w:p w14:paraId="08A778AD" w14:textId="77777777" w:rsidR="00467225" w:rsidRPr="00467225" w:rsidRDefault="00467225" w:rsidP="00467225">
            <w:pPr>
              <w:spacing w:before="0" w:after="0" w:line="240" w:lineRule="auto"/>
              <w:jc w:val="left"/>
              <w:rPr>
                <w:sz w:val="20"/>
                <w:szCs w:val="20"/>
                <w:lang w:val="en-IN"/>
              </w:rPr>
            </w:pPr>
          </w:p>
        </w:tc>
      </w:tr>
      <w:tr w:rsidR="00467225" w:rsidRPr="00467225" w14:paraId="36FF338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BF66E5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Interest Expense"</w:t>
            </w:r>
          </w:p>
        </w:tc>
        <w:tc>
          <w:tcPr>
            <w:tcW w:w="1302" w:type="pct"/>
            <w:vMerge/>
            <w:tcBorders>
              <w:top w:val="nil"/>
              <w:left w:val="single" w:sz="4" w:space="0" w:color="auto"/>
              <w:bottom w:val="single" w:sz="4" w:space="0" w:color="auto"/>
              <w:right w:val="single" w:sz="4" w:space="0" w:color="auto"/>
            </w:tcBorders>
            <w:vAlign w:val="center"/>
            <w:hideMark/>
          </w:tcPr>
          <w:p w14:paraId="27F2DD50"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noWrap/>
            <w:vAlign w:val="bottom"/>
            <w:hideMark/>
          </w:tcPr>
          <w:p w14:paraId="2B210F4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1,03,709 </w:t>
            </w:r>
          </w:p>
        </w:tc>
        <w:tc>
          <w:tcPr>
            <w:tcW w:w="509" w:type="pct"/>
            <w:tcBorders>
              <w:top w:val="nil"/>
              <w:left w:val="nil"/>
              <w:bottom w:val="single" w:sz="4" w:space="0" w:color="auto"/>
              <w:right w:val="single" w:sz="4" w:space="0" w:color="auto"/>
            </w:tcBorders>
            <w:noWrap/>
            <w:vAlign w:val="bottom"/>
            <w:hideMark/>
          </w:tcPr>
          <w:p w14:paraId="2E538F4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1,25,113 </w:t>
            </w:r>
          </w:p>
        </w:tc>
        <w:tc>
          <w:tcPr>
            <w:tcW w:w="509" w:type="pct"/>
            <w:tcBorders>
              <w:top w:val="nil"/>
              <w:left w:val="nil"/>
              <w:bottom w:val="single" w:sz="4" w:space="0" w:color="auto"/>
              <w:right w:val="single" w:sz="4" w:space="0" w:color="auto"/>
            </w:tcBorders>
            <w:noWrap/>
            <w:vAlign w:val="bottom"/>
            <w:hideMark/>
          </w:tcPr>
          <w:p w14:paraId="56AD508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43,997 </w:t>
            </w:r>
          </w:p>
        </w:tc>
        <w:tc>
          <w:tcPr>
            <w:tcW w:w="509" w:type="pct"/>
            <w:tcBorders>
              <w:top w:val="nil"/>
              <w:left w:val="nil"/>
              <w:bottom w:val="single" w:sz="4" w:space="0" w:color="auto"/>
              <w:right w:val="single" w:sz="4" w:space="0" w:color="auto"/>
            </w:tcBorders>
            <w:noWrap/>
            <w:vAlign w:val="bottom"/>
            <w:hideMark/>
          </w:tcPr>
          <w:p w14:paraId="51F6C61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47,537 </w:t>
            </w:r>
          </w:p>
        </w:tc>
        <w:tc>
          <w:tcPr>
            <w:tcW w:w="509" w:type="pct"/>
            <w:tcBorders>
              <w:top w:val="nil"/>
              <w:left w:val="nil"/>
              <w:bottom w:val="single" w:sz="4" w:space="0" w:color="auto"/>
              <w:right w:val="single" w:sz="8" w:space="0" w:color="auto"/>
            </w:tcBorders>
            <w:noWrap/>
            <w:vAlign w:val="bottom"/>
            <w:hideMark/>
          </w:tcPr>
          <w:p w14:paraId="031A876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32,217 </w:t>
            </w:r>
          </w:p>
        </w:tc>
        <w:tc>
          <w:tcPr>
            <w:tcW w:w="50" w:type="pct"/>
            <w:vAlign w:val="center"/>
            <w:hideMark/>
          </w:tcPr>
          <w:p w14:paraId="2BC81CA2" w14:textId="77777777" w:rsidR="00467225" w:rsidRPr="00467225" w:rsidRDefault="00467225" w:rsidP="00467225">
            <w:pPr>
              <w:spacing w:before="0" w:after="0" w:line="240" w:lineRule="auto"/>
              <w:jc w:val="left"/>
              <w:rPr>
                <w:sz w:val="20"/>
                <w:szCs w:val="20"/>
                <w:lang w:val="en-IN"/>
              </w:rPr>
            </w:pPr>
          </w:p>
        </w:tc>
      </w:tr>
      <w:tr w:rsidR="00467225" w:rsidRPr="00467225" w14:paraId="46FC564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768366D"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"Interest Coverage Ratios"</w:t>
            </w:r>
          </w:p>
        </w:tc>
        <w:tc>
          <w:tcPr>
            <w:tcW w:w="1302" w:type="pct"/>
            <w:vMerge/>
            <w:tcBorders>
              <w:top w:val="nil"/>
              <w:left w:val="single" w:sz="4" w:space="0" w:color="auto"/>
              <w:bottom w:val="single" w:sz="4" w:space="0" w:color="auto"/>
              <w:right w:val="single" w:sz="4" w:space="0" w:color="auto"/>
            </w:tcBorders>
            <w:vAlign w:val="center"/>
            <w:hideMark/>
          </w:tcPr>
          <w:p w14:paraId="73FCEDE1"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493EBB5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67.16</w:t>
            </w:r>
          </w:p>
        </w:tc>
        <w:tc>
          <w:tcPr>
            <w:tcW w:w="509" w:type="pct"/>
            <w:tcBorders>
              <w:top w:val="nil"/>
              <w:left w:val="nil"/>
              <w:bottom w:val="single" w:sz="4" w:space="0" w:color="auto"/>
              <w:right w:val="single" w:sz="4" w:space="0" w:color="auto"/>
            </w:tcBorders>
            <w:shd w:val="clear" w:color="000000" w:fill="FFFFFF"/>
            <w:noWrap/>
            <w:vAlign w:val="bottom"/>
            <w:hideMark/>
          </w:tcPr>
          <w:p w14:paraId="06A6A48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29.32</w:t>
            </w:r>
          </w:p>
        </w:tc>
        <w:tc>
          <w:tcPr>
            <w:tcW w:w="509" w:type="pct"/>
            <w:tcBorders>
              <w:top w:val="nil"/>
              <w:left w:val="nil"/>
              <w:bottom w:val="single" w:sz="4" w:space="0" w:color="auto"/>
              <w:right w:val="single" w:sz="4" w:space="0" w:color="auto"/>
            </w:tcBorders>
            <w:shd w:val="clear" w:color="000000" w:fill="FFFFFF"/>
            <w:noWrap/>
            <w:vAlign w:val="bottom"/>
            <w:hideMark/>
          </w:tcPr>
          <w:p w14:paraId="4203467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90.70</w:t>
            </w:r>
          </w:p>
        </w:tc>
        <w:tc>
          <w:tcPr>
            <w:tcW w:w="509" w:type="pct"/>
            <w:tcBorders>
              <w:top w:val="nil"/>
              <w:left w:val="nil"/>
              <w:bottom w:val="single" w:sz="4" w:space="0" w:color="auto"/>
              <w:right w:val="single" w:sz="4" w:space="0" w:color="auto"/>
            </w:tcBorders>
            <w:shd w:val="clear" w:color="000000" w:fill="FFFFFF"/>
            <w:noWrap/>
            <w:vAlign w:val="bottom"/>
            <w:hideMark/>
          </w:tcPr>
          <w:p w14:paraId="12B2C7C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61.69</w:t>
            </w:r>
          </w:p>
        </w:tc>
        <w:tc>
          <w:tcPr>
            <w:tcW w:w="509" w:type="pct"/>
            <w:tcBorders>
              <w:top w:val="nil"/>
              <w:left w:val="nil"/>
              <w:bottom w:val="single" w:sz="4" w:space="0" w:color="auto"/>
              <w:right w:val="single" w:sz="4" w:space="0" w:color="auto"/>
            </w:tcBorders>
            <w:shd w:val="clear" w:color="000000" w:fill="FFFFFF"/>
            <w:noWrap/>
            <w:vAlign w:val="bottom"/>
            <w:hideMark/>
          </w:tcPr>
          <w:p w14:paraId="6FA7E06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79.29</w:t>
            </w:r>
          </w:p>
        </w:tc>
        <w:tc>
          <w:tcPr>
            <w:tcW w:w="50" w:type="pct"/>
            <w:vAlign w:val="center"/>
            <w:hideMark/>
          </w:tcPr>
          <w:p w14:paraId="1657F26F" w14:textId="77777777" w:rsidR="00467225" w:rsidRPr="00467225" w:rsidRDefault="00467225" w:rsidP="00467225">
            <w:pPr>
              <w:spacing w:before="0" w:after="0" w:line="240" w:lineRule="auto"/>
              <w:jc w:val="left"/>
              <w:rPr>
                <w:sz w:val="20"/>
                <w:szCs w:val="20"/>
                <w:lang w:val="en-IN"/>
              </w:rPr>
            </w:pPr>
          </w:p>
        </w:tc>
      </w:tr>
      <w:tr w:rsidR="00467225" w:rsidRPr="00467225" w14:paraId="65E672CD"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986C658"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1302" w:type="pct"/>
            <w:tcBorders>
              <w:top w:val="nil"/>
              <w:left w:val="nil"/>
              <w:bottom w:val="single" w:sz="4" w:space="0" w:color="auto"/>
              <w:right w:val="single" w:sz="4" w:space="0" w:color="auto"/>
            </w:tcBorders>
            <w:shd w:val="clear" w:color="000000" w:fill="FFFFFF"/>
            <w:vAlign w:val="center"/>
            <w:hideMark/>
          </w:tcPr>
          <w:p w14:paraId="2274150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A579F6F"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6E8C42C2"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15E9F9BA"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4C1E01C0"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63610E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 w:type="pct"/>
            <w:vAlign w:val="center"/>
            <w:hideMark/>
          </w:tcPr>
          <w:p w14:paraId="5332FB7B" w14:textId="77777777" w:rsidR="00467225" w:rsidRPr="00467225" w:rsidRDefault="00467225" w:rsidP="00467225">
            <w:pPr>
              <w:spacing w:before="0" w:after="0" w:line="240" w:lineRule="auto"/>
              <w:jc w:val="left"/>
              <w:rPr>
                <w:sz w:val="20"/>
                <w:szCs w:val="20"/>
                <w:lang w:val="en-IN"/>
              </w:rPr>
            </w:pPr>
          </w:p>
        </w:tc>
      </w:tr>
      <w:tr w:rsidR="00467225" w:rsidRPr="00467225" w14:paraId="5CB88471"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CF098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"Debt-to-Capital Ratio "</w:t>
            </w:r>
          </w:p>
        </w:tc>
        <w:tc>
          <w:tcPr>
            <w:tcW w:w="50" w:type="pct"/>
            <w:vAlign w:val="center"/>
            <w:hideMark/>
          </w:tcPr>
          <w:p w14:paraId="25AC43FA" w14:textId="77777777" w:rsidR="00467225" w:rsidRPr="00467225" w:rsidRDefault="00467225" w:rsidP="00467225">
            <w:pPr>
              <w:spacing w:before="0" w:after="0" w:line="240" w:lineRule="auto"/>
              <w:jc w:val="left"/>
              <w:rPr>
                <w:sz w:val="20"/>
                <w:szCs w:val="20"/>
                <w:lang w:val="en-IN"/>
              </w:rPr>
            </w:pPr>
          </w:p>
        </w:tc>
      </w:tr>
      <w:tr w:rsidR="00467225" w:rsidRPr="00467225" w14:paraId="5CEEFA4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DBDCCD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65688CF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76F44A9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14DEC73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418E728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10CBCF0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75D2054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152238F0" w14:textId="77777777" w:rsidR="00467225" w:rsidRPr="00467225" w:rsidRDefault="00467225" w:rsidP="00467225">
            <w:pPr>
              <w:spacing w:before="0" w:after="0" w:line="240" w:lineRule="auto"/>
              <w:jc w:val="left"/>
              <w:rPr>
                <w:sz w:val="20"/>
                <w:szCs w:val="20"/>
                <w:lang w:val="en-IN"/>
              </w:rPr>
            </w:pPr>
          </w:p>
        </w:tc>
      </w:tr>
      <w:tr w:rsidR="00467225" w:rsidRPr="00467225" w14:paraId="3F0C1C8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70413E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"Total Debt"</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527CD29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"Total Debt / (Total Equity + Total Debt)"</w:t>
            </w:r>
          </w:p>
        </w:tc>
        <w:tc>
          <w:tcPr>
            <w:tcW w:w="509" w:type="pct"/>
            <w:tcBorders>
              <w:top w:val="nil"/>
              <w:left w:val="nil"/>
              <w:bottom w:val="single" w:sz="4" w:space="0" w:color="auto"/>
              <w:right w:val="single" w:sz="4" w:space="0" w:color="auto"/>
            </w:tcBorders>
            <w:shd w:val="clear" w:color="000000" w:fill="FFFFFF"/>
            <w:noWrap/>
            <w:vAlign w:val="bottom"/>
            <w:hideMark/>
          </w:tcPr>
          <w:p w14:paraId="19A8023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5,48,74,958 </w:t>
            </w:r>
          </w:p>
        </w:tc>
        <w:tc>
          <w:tcPr>
            <w:tcW w:w="509" w:type="pct"/>
            <w:tcBorders>
              <w:top w:val="nil"/>
              <w:left w:val="nil"/>
              <w:bottom w:val="single" w:sz="4" w:space="0" w:color="auto"/>
              <w:right w:val="single" w:sz="4" w:space="0" w:color="auto"/>
            </w:tcBorders>
            <w:shd w:val="clear" w:color="000000" w:fill="FFFFFF"/>
            <w:noWrap/>
            <w:vAlign w:val="bottom"/>
            <w:hideMark/>
          </w:tcPr>
          <w:p w14:paraId="5D69A82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4,50,38,967 </w:t>
            </w:r>
          </w:p>
        </w:tc>
        <w:tc>
          <w:tcPr>
            <w:tcW w:w="509" w:type="pct"/>
            <w:tcBorders>
              <w:top w:val="nil"/>
              <w:left w:val="nil"/>
              <w:bottom w:val="single" w:sz="4" w:space="0" w:color="auto"/>
              <w:right w:val="single" w:sz="4" w:space="0" w:color="auto"/>
            </w:tcBorders>
            <w:shd w:val="clear" w:color="000000" w:fill="FFFFFF"/>
            <w:noWrap/>
            <w:vAlign w:val="bottom"/>
            <w:hideMark/>
          </w:tcPr>
          <w:p w14:paraId="3964FED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4,05,33,951 </w:t>
            </w:r>
          </w:p>
        </w:tc>
        <w:tc>
          <w:tcPr>
            <w:tcW w:w="509" w:type="pct"/>
            <w:tcBorders>
              <w:top w:val="nil"/>
              <w:left w:val="nil"/>
              <w:bottom w:val="single" w:sz="4" w:space="0" w:color="auto"/>
              <w:right w:val="single" w:sz="4" w:space="0" w:color="auto"/>
            </w:tcBorders>
            <w:shd w:val="clear" w:color="000000" w:fill="FFFFFF"/>
            <w:noWrap/>
            <w:vAlign w:val="bottom"/>
            <w:hideMark/>
          </w:tcPr>
          <w:p w14:paraId="7292598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3,79,78,811 </w:t>
            </w:r>
          </w:p>
        </w:tc>
        <w:tc>
          <w:tcPr>
            <w:tcW w:w="509" w:type="pct"/>
            <w:tcBorders>
              <w:top w:val="nil"/>
              <w:left w:val="nil"/>
              <w:bottom w:val="single" w:sz="4" w:space="0" w:color="auto"/>
              <w:right w:val="single" w:sz="4" w:space="0" w:color="auto"/>
            </w:tcBorders>
            <w:shd w:val="clear" w:color="000000" w:fill="FFFFFF"/>
            <w:noWrap/>
            <w:vAlign w:val="bottom"/>
            <w:hideMark/>
          </w:tcPr>
          <w:p w14:paraId="738233F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3,14,38,585 </w:t>
            </w:r>
          </w:p>
        </w:tc>
        <w:tc>
          <w:tcPr>
            <w:tcW w:w="50" w:type="pct"/>
            <w:vAlign w:val="center"/>
            <w:hideMark/>
          </w:tcPr>
          <w:p w14:paraId="651057FB" w14:textId="77777777" w:rsidR="00467225" w:rsidRPr="00467225" w:rsidRDefault="00467225" w:rsidP="00467225">
            <w:pPr>
              <w:spacing w:before="0" w:after="0" w:line="240" w:lineRule="auto"/>
              <w:jc w:val="left"/>
              <w:rPr>
                <w:sz w:val="20"/>
                <w:szCs w:val="20"/>
                <w:lang w:val="en-IN"/>
              </w:rPr>
            </w:pPr>
          </w:p>
        </w:tc>
      </w:tr>
      <w:tr w:rsidR="00467225" w:rsidRPr="00467225" w14:paraId="41DA2F5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EAEAFB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Total Equity"</w:t>
            </w:r>
          </w:p>
        </w:tc>
        <w:tc>
          <w:tcPr>
            <w:tcW w:w="1302" w:type="pct"/>
            <w:vMerge/>
            <w:tcBorders>
              <w:top w:val="nil"/>
              <w:left w:val="single" w:sz="4" w:space="0" w:color="auto"/>
              <w:bottom w:val="single" w:sz="4" w:space="0" w:color="auto"/>
              <w:right w:val="single" w:sz="4" w:space="0" w:color="auto"/>
            </w:tcBorders>
            <w:vAlign w:val="center"/>
            <w:hideMark/>
          </w:tcPr>
          <w:p w14:paraId="1E990A4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702C221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3,52,39,338 </w:t>
            </w:r>
          </w:p>
        </w:tc>
        <w:tc>
          <w:tcPr>
            <w:tcW w:w="509" w:type="pct"/>
            <w:tcBorders>
              <w:top w:val="nil"/>
              <w:left w:val="nil"/>
              <w:bottom w:val="single" w:sz="4" w:space="0" w:color="auto"/>
              <w:right w:val="single" w:sz="4" w:space="0" w:color="auto"/>
            </w:tcBorders>
            <w:shd w:val="clear" w:color="000000" w:fill="FFFFFF"/>
            <w:noWrap/>
            <w:vAlign w:val="bottom"/>
            <w:hideMark/>
          </w:tcPr>
          <w:p w14:paraId="6825374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2,92,64,213 </w:t>
            </w:r>
          </w:p>
        </w:tc>
        <w:tc>
          <w:tcPr>
            <w:tcW w:w="509" w:type="pct"/>
            <w:tcBorders>
              <w:top w:val="nil"/>
              <w:left w:val="nil"/>
              <w:bottom w:val="single" w:sz="4" w:space="0" w:color="auto"/>
              <w:right w:val="single" w:sz="4" w:space="0" w:color="auto"/>
            </w:tcBorders>
            <w:shd w:val="clear" w:color="000000" w:fill="FFFFFF"/>
            <w:noWrap/>
            <w:vAlign w:val="bottom"/>
            <w:hideMark/>
          </w:tcPr>
          <w:p w14:paraId="76C5A38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2,71,54,820 </w:t>
            </w:r>
          </w:p>
        </w:tc>
        <w:tc>
          <w:tcPr>
            <w:tcW w:w="509" w:type="pct"/>
            <w:tcBorders>
              <w:top w:val="nil"/>
              <w:left w:val="nil"/>
              <w:bottom w:val="single" w:sz="4" w:space="0" w:color="auto"/>
              <w:right w:val="single" w:sz="4" w:space="0" w:color="auto"/>
            </w:tcBorders>
            <w:shd w:val="clear" w:color="000000" w:fill="FFFFFF"/>
            <w:noWrap/>
            <w:vAlign w:val="bottom"/>
            <w:hideMark/>
          </w:tcPr>
          <w:p w14:paraId="171FA05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2,42,88,329 </w:t>
            </w:r>
          </w:p>
        </w:tc>
        <w:tc>
          <w:tcPr>
            <w:tcW w:w="509" w:type="pct"/>
            <w:tcBorders>
              <w:top w:val="nil"/>
              <w:left w:val="nil"/>
              <w:bottom w:val="single" w:sz="4" w:space="0" w:color="auto"/>
              <w:right w:val="single" w:sz="4" w:space="0" w:color="auto"/>
            </w:tcBorders>
            <w:shd w:val="clear" w:color="000000" w:fill="FFFFFF"/>
            <w:noWrap/>
            <w:vAlign w:val="bottom"/>
            <w:hideMark/>
          </w:tcPr>
          <w:p w14:paraId="33567D2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2,07,37,682 </w:t>
            </w:r>
          </w:p>
        </w:tc>
        <w:tc>
          <w:tcPr>
            <w:tcW w:w="50" w:type="pct"/>
            <w:vAlign w:val="center"/>
            <w:hideMark/>
          </w:tcPr>
          <w:p w14:paraId="180CE5D7" w14:textId="77777777" w:rsidR="00467225" w:rsidRPr="00467225" w:rsidRDefault="00467225" w:rsidP="00467225">
            <w:pPr>
              <w:spacing w:before="0" w:after="0" w:line="240" w:lineRule="auto"/>
              <w:jc w:val="left"/>
              <w:rPr>
                <w:sz w:val="20"/>
                <w:szCs w:val="20"/>
                <w:lang w:val="en-IN"/>
              </w:rPr>
            </w:pPr>
          </w:p>
        </w:tc>
      </w:tr>
      <w:tr w:rsidR="00467225" w:rsidRPr="00467225" w14:paraId="3811E04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A55F178"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"Debt-to-Capital Ratio "</w:t>
            </w:r>
          </w:p>
        </w:tc>
        <w:tc>
          <w:tcPr>
            <w:tcW w:w="1302" w:type="pct"/>
            <w:vMerge/>
            <w:tcBorders>
              <w:top w:val="nil"/>
              <w:left w:val="single" w:sz="4" w:space="0" w:color="auto"/>
              <w:bottom w:val="single" w:sz="4" w:space="0" w:color="auto"/>
              <w:right w:val="single" w:sz="4" w:space="0" w:color="auto"/>
            </w:tcBorders>
            <w:vAlign w:val="center"/>
            <w:hideMark/>
          </w:tcPr>
          <w:p w14:paraId="7E1D6786"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49198534"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0.61</w:t>
            </w:r>
          </w:p>
        </w:tc>
        <w:tc>
          <w:tcPr>
            <w:tcW w:w="509" w:type="pct"/>
            <w:tcBorders>
              <w:top w:val="nil"/>
              <w:left w:val="nil"/>
              <w:bottom w:val="single" w:sz="4" w:space="0" w:color="auto"/>
              <w:right w:val="single" w:sz="4" w:space="0" w:color="auto"/>
            </w:tcBorders>
            <w:shd w:val="clear" w:color="000000" w:fill="FFFFFF"/>
            <w:noWrap/>
            <w:vAlign w:val="bottom"/>
            <w:hideMark/>
          </w:tcPr>
          <w:p w14:paraId="7317E9B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0.61</w:t>
            </w:r>
          </w:p>
        </w:tc>
        <w:tc>
          <w:tcPr>
            <w:tcW w:w="509" w:type="pct"/>
            <w:tcBorders>
              <w:top w:val="nil"/>
              <w:left w:val="nil"/>
              <w:bottom w:val="single" w:sz="4" w:space="0" w:color="auto"/>
              <w:right w:val="single" w:sz="4" w:space="0" w:color="auto"/>
            </w:tcBorders>
            <w:shd w:val="clear" w:color="000000" w:fill="FFFFFF"/>
            <w:noWrap/>
            <w:vAlign w:val="bottom"/>
            <w:hideMark/>
          </w:tcPr>
          <w:p w14:paraId="776EED4B"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0.60</w:t>
            </w:r>
          </w:p>
        </w:tc>
        <w:tc>
          <w:tcPr>
            <w:tcW w:w="509" w:type="pct"/>
            <w:tcBorders>
              <w:top w:val="nil"/>
              <w:left w:val="nil"/>
              <w:bottom w:val="single" w:sz="4" w:space="0" w:color="auto"/>
              <w:right w:val="single" w:sz="4" w:space="0" w:color="auto"/>
            </w:tcBorders>
            <w:shd w:val="clear" w:color="000000" w:fill="FFFFFF"/>
            <w:noWrap/>
            <w:vAlign w:val="bottom"/>
            <w:hideMark/>
          </w:tcPr>
          <w:p w14:paraId="75925D5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0.61</w:t>
            </w:r>
          </w:p>
        </w:tc>
        <w:tc>
          <w:tcPr>
            <w:tcW w:w="509" w:type="pct"/>
            <w:tcBorders>
              <w:top w:val="nil"/>
              <w:left w:val="nil"/>
              <w:bottom w:val="single" w:sz="4" w:space="0" w:color="auto"/>
              <w:right w:val="single" w:sz="4" w:space="0" w:color="auto"/>
            </w:tcBorders>
            <w:shd w:val="clear" w:color="000000" w:fill="FFFFFF"/>
            <w:noWrap/>
            <w:vAlign w:val="bottom"/>
            <w:hideMark/>
          </w:tcPr>
          <w:p w14:paraId="0B13BFA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0.60</w:t>
            </w:r>
          </w:p>
        </w:tc>
        <w:tc>
          <w:tcPr>
            <w:tcW w:w="50" w:type="pct"/>
            <w:vAlign w:val="center"/>
            <w:hideMark/>
          </w:tcPr>
          <w:p w14:paraId="0FAB420F" w14:textId="77777777" w:rsidR="00467225" w:rsidRPr="00467225" w:rsidRDefault="00467225" w:rsidP="00467225">
            <w:pPr>
              <w:spacing w:before="0" w:after="0" w:line="240" w:lineRule="auto"/>
              <w:jc w:val="left"/>
              <w:rPr>
                <w:sz w:val="20"/>
                <w:szCs w:val="20"/>
                <w:lang w:val="en-IN"/>
              </w:rPr>
            </w:pPr>
          </w:p>
        </w:tc>
      </w:tr>
      <w:tr w:rsidR="00467225" w:rsidRPr="00467225" w14:paraId="259611F7"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D547A1"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3129A46F" w14:textId="77777777" w:rsidR="00467225" w:rsidRPr="00467225" w:rsidRDefault="00467225" w:rsidP="00467225">
            <w:pPr>
              <w:spacing w:before="0" w:after="0" w:line="240" w:lineRule="auto"/>
              <w:jc w:val="left"/>
              <w:rPr>
                <w:sz w:val="20"/>
                <w:szCs w:val="20"/>
                <w:lang w:val="en-IN"/>
              </w:rPr>
            </w:pPr>
          </w:p>
        </w:tc>
      </w:tr>
      <w:tr w:rsidR="00467225" w:rsidRPr="00467225" w14:paraId="6881E149"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3BE9D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"Equity Multiplier"</w:t>
            </w:r>
          </w:p>
        </w:tc>
        <w:tc>
          <w:tcPr>
            <w:tcW w:w="50" w:type="pct"/>
            <w:vAlign w:val="center"/>
            <w:hideMark/>
          </w:tcPr>
          <w:p w14:paraId="5A862D3A" w14:textId="77777777" w:rsidR="00467225" w:rsidRPr="00467225" w:rsidRDefault="00467225" w:rsidP="00467225">
            <w:pPr>
              <w:spacing w:before="0" w:after="0" w:line="240" w:lineRule="auto"/>
              <w:jc w:val="left"/>
              <w:rPr>
                <w:sz w:val="20"/>
                <w:szCs w:val="20"/>
                <w:lang w:val="en-IN"/>
              </w:rPr>
            </w:pPr>
          </w:p>
        </w:tc>
      </w:tr>
      <w:tr w:rsidR="00467225" w:rsidRPr="00467225" w14:paraId="089300C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9AC97D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4D4A09A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2C60C00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16B4AD0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2C5DE9F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29E6549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0448223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5E554709" w14:textId="77777777" w:rsidR="00467225" w:rsidRPr="00467225" w:rsidRDefault="00467225" w:rsidP="00467225">
            <w:pPr>
              <w:spacing w:before="0" w:after="0" w:line="240" w:lineRule="auto"/>
              <w:jc w:val="left"/>
              <w:rPr>
                <w:sz w:val="20"/>
                <w:szCs w:val="20"/>
                <w:lang w:val="en-IN"/>
              </w:rPr>
            </w:pPr>
          </w:p>
        </w:tc>
      </w:tr>
      <w:tr w:rsidR="00467225" w:rsidRPr="00467225" w14:paraId="6BE1C976"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A92C53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"Total Assets"</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3BA3A0E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"(Total Assets/Book Value of Equity)"</w:t>
            </w:r>
          </w:p>
        </w:tc>
        <w:tc>
          <w:tcPr>
            <w:tcW w:w="509" w:type="pct"/>
            <w:tcBorders>
              <w:top w:val="nil"/>
              <w:left w:val="nil"/>
              <w:bottom w:val="single" w:sz="4" w:space="0" w:color="auto"/>
              <w:right w:val="single" w:sz="4" w:space="0" w:color="auto"/>
            </w:tcBorders>
            <w:shd w:val="clear" w:color="000000" w:fill="FFFFFF"/>
            <w:noWrap/>
            <w:vAlign w:val="bottom"/>
            <w:hideMark/>
          </w:tcPr>
          <w:p w14:paraId="0F61597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9,01,14,296 </w:t>
            </w:r>
          </w:p>
        </w:tc>
        <w:tc>
          <w:tcPr>
            <w:tcW w:w="509" w:type="pct"/>
            <w:tcBorders>
              <w:top w:val="nil"/>
              <w:left w:val="nil"/>
              <w:bottom w:val="single" w:sz="4" w:space="0" w:color="auto"/>
              <w:right w:val="single" w:sz="4" w:space="0" w:color="auto"/>
            </w:tcBorders>
            <w:shd w:val="clear" w:color="000000" w:fill="FFFFFF"/>
            <w:noWrap/>
            <w:vAlign w:val="bottom"/>
            <w:hideMark/>
          </w:tcPr>
          <w:p w14:paraId="24B150D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7,43,03,180 </w:t>
            </w:r>
          </w:p>
        </w:tc>
        <w:tc>
          <w:tcPr>
            <w:tcW w:w="509" w:type="pct"/>
            <w:tcBorders>
              <w:top w:val="nil"/>
              <w:left w:val="nil"/>
              <w:bottom w:val="single" w:sz="4" w:space="0" w:color="auto"/>
              <w:right w:val="single" w:sz="4" w:space="0" w:color="auto"/>
            </w:tcBorders>
            <w:shd w:val="clear" w:color="000000" w:fill="FFFFFF"/>
            <w:noWrap/>
            <w:vAlign w:val="bottom"/>
            <w:hideMark/>
          </w:tcPr>
          <w:p w14:paraId="41772D8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6,76,88,771 </w:t>
            </w:r>
          </w:p>
        </w:tc>
        <w:tc>
          <w:tcPr>
            <w:tcW w:w="509" w:type="pct"/>
            <w:tcBorders>
              <w:top w:val="nil"/>
              <w:left w:val="nil"/>
              <w:bottom w:val="single" w:sz="4" w:space="0" w:color="auto"/>
              <w:right w:val="single" w:sz="4" w:space="0" w:color="auto"/>
            </w:tcBorders>
            <w:shd w:val="clear" w:color="000000" w:fill="FFFFFF"/>
            <w:noWrap/>
            <w:vAlign w:val="bottom"/>
            <w:hideMark/>
          </w:tcPr>
          <w:p w14:paraId="141B9E8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6,22,67,140 </w:t>
            </w:r>
          </w:p>
        </w:tc>
        <w:tc>
          <w:tcPr>
            <w:tcW w:w="509" w:type="pct"/>
            <w:tcBorders>
              <w:top w:val="nil"/>
              <w:left w:val="nil"/>
              <w:bottom w:val="single" w:sz="4" w:space="0" w:color="auto"/>
              <w:right w:val="single" w:sz="4" w:space="0" w:color="auto"/>
            </w:tcBorders>
            <w:shd w:val="clear" w:color="000000" w:fill="FFFFFF"/>
            <w:noWrap/>
            <w:vAlign w:val="bottom"/>
            <w:hideMark/>
          </w:tcPr>
          <w:p w14:paraId="029DFAF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5,26,80,436 </w:t>
            </w:r>
          </w:p>
        </w:tc>
        <w:tc>
          <w:tcPr>
            <w:tcW w:w="50" w:type="pct"/>
            <w:vAlign w:val="center"/>
            <w:hideMark/>
          </w:tcPr>
          <w:p w14:paraId="01B084C2" w14:textId="77777777" w:rsidR="00467225" w:rsidRPr="00467225" w:rsidRDefault="00467225" w:rsidP="00467225">
            <w:pPr>
              <w:spacing w:before="0" w:after="0" w:line="240" w:lineRule="auto"/>
              <w:jc w:val="left"/>
              <w:rPr>
                <w:sz w:val="20"/>
                <w:szCs w:val="20"/>
                <w:lang w:val="en-IN"/>
              </w:rPr>
            </w:pPr>
          </w:p>
        </w:tc>
      </w:tr>
      <w:tr w:rsidR="00467225" w:rsidRPr="00467225" w14:paraId="5D29F01C"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FFAB38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Book Value of Equity"</w:t>
            </w:r>
          </w:p>
        </w:tc>
        <w:tc>
          <w:tcPr>
            <w:tcW w:w="1302" w:type="pct"/>
            <w:vMerge/>
            <w:tcBorders>
              <w:top w:val="nil"/>
              <w:left w:val="single" w:sz="4" w:space="0" w:color="auto"/>
              <w:bottom w:val="single" w:sz="4" w:space="0" w:color="auto"/>
              <w:right w:val="single" w:sz="4" w:space="0" w:color="auto"/>
            </w:tcBorders>
            <w:vAlign w:val="center"/>
            <w:hideMark/>
          </w:tcPr>
          <w:p w14:paraId="5FC69B42"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13F22E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3,52,39,338 </w:t>
            </w:r>
          </w:p>
        </w:tc>
        <w:tc>
          <w:tcPr>
            <w:tcW w:w="509" w:type="pct"/>
            <w:tcBorders>
              <w:top w:val="nil"/>
              <w:left w:val="nil"/>
              <w:bottom w:val="single" w:sz="4" w:space="0" w:color="auto"/>
              <w:right w:val="single" w:sz="4" w:space="0" w:color="auto"/>
            </w:tcBorders>
            <w:shd w:val="clear" w:color="000000" w:fill="FFFFFF"/>
            <w:noWrap/>
            <w:vAlign w:val="bottom"/>
            <w:hideMark/>
          </w:tcPr>
          <w:p w14:paraId="4E2B797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2,92,64,213 </w:t>
            </w:r>
          </w:p>
        </w:tc>
        <w:tc>
          <w:tcPr>
            <w:tcW w:w="509" w:type="pct"/>
            <w:tcBorders>
              <w:top w:val="nil"/>
              <w:left w:val="nil"/>
              <w:bottom w:val="single" w:sz="4" w:space="0" w:color="auto"/>
              <w:right w:val="single" w:sz="4" w:space="0" w:color="auto"/>
            </w:tcBorders>
            <w:shd w:val="clear" w:color="000000" w:fill="FFFFFF"/>
            <w:noWrap/>
            <w:vAlign w:val="bottom"/>
            <w:hideMark/>
          </w:tcPr>
          <w:p w14:paraId="74DEEFB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2,71,54,820 </w:t>
            </w:r>
          </w:p>
        </w:tc>
        <w:tc>
          <w:tcPr>
            <w:tcW w:w="509" w:type="pct"/>
            <w:tcBorders>
              <w:top w:val="nil"/>
              <w:left w:val="nil"/>
              <w:bottom w:val="single" w:sz="4" w:space="0" w:color="auto"/>
              <w:right w:val="single" w:sz="4" w:space="0" w:color="auto"/>
            </w:tcBorders>
            <w:shd w:val="clear" w:color="000000" w:fill="FFFFFF"/>
            <w:noWrap/>
            <w:vAlign w:val="bottom"/>
            <w:hideMark/>
          </w:tcPr>
          <w:p w14:paraId="279F2F8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2,42,88,329 </w:t>
            </w:r>
          </w:p>
        </w:tc>
        <w:tc>
          <w:tcPr>
            <w:tcW w:w="509" w:type="pct"/>
            <w:tcBorders>
              <w:top w:val="nil"/>
              <w:left w:val="nil"/>
              <w:bottom w:val="single" w:sz="4" w:space="0" w:color="auto"/>
              <w:right w:val="single" w:sz="4" w:space="0" w:color="auto"/>
            </w:tcBorders>
            <w:shd w:val="clear" w:color="000000" w:fill="FFFFFF"/>
            <w:noWrap/>
            <w:vAlign w:val="bottom"/>
            <w:hideMark/>
          </w:tcPr>
          <w:p w14:paraId="20EE0A4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2,07,37,682 </w:t>
            </w:r>
          </w:p>
        </w:tc>
        <w:tc>
          <w:tcPr>
            <w:tcW w:w="50" w:type="pct"/>
            <w:vAlign w:val="center"/>
            <w:hideMark/>
          </w:tcPr>
          <w:p w14:paraId="670C47C3" w14:textId="77777777" w:rsidR="00467225" w:rsidRPr="00467225" w:rsidRDefault="00467225" w:rsidP="00467225">
            <w:pPr>
              <w:spacing w:before="0" w:after="0" w:line="240" w:lineRule="auto"/>
              <w:jc w:val="left"/>
              <w:rPr>
                <w:sz w:val="20"/>
                <w:szCs w:val="20"/>
                <w:lang w:val="en-IN"/>
              </w:rPr>
            </w:pPr>
          </w:p>
        </w:tc>
      </w:tr>
      <w:tr w:rsidR="00467225" w:rsidRPr="00467225" w14:paraId="035F5F9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CED4E12"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"Equity Multiplier"</w:t>
            </w:r>
          </w:p>
        </w:tc>
        <w:tc>
          <w:tcPr>
            <w:tcW w:w="1302" w:type="pct"/>
            <w:vMerge/>
            <w:tcBorders>
              <w:top w:val="nil"/>
              <w:left w:val="single" w:sz="4" w:space="0" w:color="auto"/>
              <w:bottom w:val="single" w:sz="4" w:space="0" w:color="auto"/>
              <w:right w:val="single" w:sz="4" w:space="0" w:color="auto"/>
            </w:tcBorders>
            <w:vAlign w:val="center"/>
            <w:hideMark/>
          </w:tcPr>
          <w:p w14:paraId="26D8D199"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6ED91E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2.56</w:t>
            </w:r>
          </w:p>
        </w:tc>
        <w:tc>
          <w:tcPr>
            <w:tcW w:w="509" w:type="pct"/>
            <w:tcBorders>
              <w:top w:val="nil"/>
              <w:left w:val="nil"/>
              <w:bottom w:val="single" w:sz="4" w:space="0" w:color="auto"/>
              <w:right w:val="single" w:sz="4" w:space="0" w:color="auto"/>
            </w:tcBorders>
            <w:shd w:val="clear" w:color="000000" w:fill="FFFFFF"/>
            <w:noWrap/>
            <w:vAlign w:val="bottom"/>
            <w:hideMark/>
          </w:tcPr>
          <w:p w14:paraId="4302408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2.54</w:t>
            </w:r>
          </w:p>
        </w:tc>
        <w:tc>
          <w:tcPr>
            <w:tcW w:w="509" w:type="pct"/>
            <w:tcBorders>
              <w:top w:val="nil"/>
              <w:left w:val="nil"/>
              <w:bottom w:val="single" w:sz="4" w:space="0" w:color="auto"/>
              <w:right w:val="single" w:sz="4" w:space="0" w:color="auto"/>
            </w:tcBorders>
            <w:shd w:val="clear" w:color="000000" w:fill="FFFFFF"/>
            <w:noWrap/>
            <w:vAlign w:val="bottom"/>
            <w:hideMark/>
          </w:tcPr>
          <w:p w14:paraId="4872421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2.49</w:t>
            </w:r>
          </w:p>
        </w:tc>
        <w:tc>
          <w:tcPr>
            <w:tcW w:w="509" w:type="pct"/>
            <w:tcBorders>
              <w:top w:val="nil"/>
              <w:left w:val="nil"/>
              <w:bottom w:val="single" w:sz="4" w:space="0" w:color="auto"/>
              <w:right w:val="single" w:sz="4" w:space="0" w:color="auto"/>
            </w:tcBorders>
            <w:shd w:val="clear" w:color="000000" w:fill="FFFFFF"/>
            <w:noWrap/>
            <w:vAlign w:val="bottom"/>
            <w:hideMark/>
          </w:tcPr>
          <w:p w14:paraId="625DB43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2.56</w:t>
            </w:r>
          </w:p>
        </w:tc>
        <w:tc>
          <w:tcPr>
            <w:tcW w:w="509" w:type="pct"/>
            <w:tcBorders>
              <w:top w:val="nil"/>
              <w:left w:val="nil"/>
              <w:bottom w:val="single" w:sz="4" w:space="0" w:color="auto"/>
              <w:right w:val="single" w:sz="4" w:space="0" w:color="auto"/>
            </w:tcBorders>
            <w:shd w:val="clear" w:color="000000" w:fill="FFFFFF"/>
            <w:noWrap/>
            <w:vAlign w:val="bottom"/>
            <w:hideMark/>
          </w:tcPr>
          <w:p w14:paraId="3FD839C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2.54</w:t>
            </w:r>
          </w:p>
        </w:tc>
        <w:tc>
          <w:tcPr>
            <w:tcW w:w="50" w:type="pct"/>
            <w:vAlign w:val="center"/>
            <w:hideMark/>
          </w:tcPr>
          <w:p w14:paraId="652CD11E" w14:textId="77777777" w:rsidR="00467225" w:rsidRPr="00467225" w:rsidRDefault="00467225" w:rsidP="00467225">
            <w:pPr>
              <w:spacing w:before="0" w:after="0" w:line="240" w:lineRule="auto"/>
              <w:jc w:val="left"/>
              <w:rPr>
                <w:sz w:val="20"/>
                <w:szCs w:val="20"/>
                <w:lang w:val="en-IN"/>
              </w:rPr>
            </w:pPr>
          </w:p>
        </w:tc>
      </w:tr>
      <w:tr w:rsidR="00467225" w:rsidRPr="00467225" w14:paraId="1E245666" w14:textId="77777777" w:rsidTr="00467225">
        <w:trPr>
          <w:trHeight w:val="312"/>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CE2E8B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"Investment Ratio"</w:t>
            </w:r>
          </w:p>
        </w:tc>
        <w:tc>
          <w:tcPr>
            <w:tcW w:w="50" w:type="pct"/>
            <w:vAlign w:val="center"/>
            <w:hideMark/>
          </w:tcPr>
          <w:p w14:paraId="28068B8D" w14:textId="77777777" w:rsidR="00467225" w:rsidRPr="00467225" w:rsidRDefault="00467225" w:rsidP="00467225">
            <w:pPr>
              <w:spacing w:before="0" w:after="0" w:line="240" w:lineRule="auto"/>
              <w:jc w:val="left"/>
              <w:rPr>
                <w:sz w:val="20"/>
                <w:szCs w:val="20"/>
                <w:lang w:val="en-IN"/>
              </w:rPr>
            </w:pPr>
          </w:p>
        </w:tc>
      </w:tr>
      <w:tr w:rsidR="00467225" w:rsidRPr="00467225" w14:paraId="258AFD79"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7313470A"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45994F7B"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1396FA7E"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2AD1F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lastRenderedPageBreak/>
              <w:t>"Dividend Payout Ratio "</w:t>
            </w:r>
          </w:p>
        </w:tc>
        <w:tc>
          <w:tcPr>
            <w:tcW w:w="50" w:type="pct"/>
            <w:vAlign w:val="center"/>
            <w:hideMark/>
          </w:tcPr>
          <w:p w14:paraId="65C6B83D" w14:textId="77777777" w:rsidR="00467225" w:rsidRPr="00467225" w:rsidRDefault="00467225" w:rsidP="00467225">
            <w:pPr>
              <w:spacing w:before="0" w:after="0" w:line="240" w:lineRule="auto"/>
              <w:jc w:val="left"/>
              <w:rPr>
                <w:sz w:val="20"/>
                <w:szCs w:val="20"/>
                <w:lang w:val="en-IN"/>
              </w:rPr>
            </w:pPr>
          </w:p>
        </w:tc>
      </w:tr>
      <w:tr w:rsidR="00467225" w:rsidRPr="00467225" w14:paraId="36F9AE12"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21470B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053403A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377BFC5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2A8CB96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73B15A7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75E7797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4C2BB0F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330820B" w14:textId="77777777" w:rsidR="00467225" w:rsidRPr="00467225" w:rsidRDefault="00467225" w:rsidP="00467225">
            <w:pPr>
              <w:spacing w:before="0" w:after="0" w:line="240" w:lineRule="auto"/>
              <w:jc w:val="left"/>
              <w:rPr>
                <w:sz w:val="20"/>
                <w:szCs w:val="20"/>
                <w:lang w:val="en-IN"/>
              </w:rPr>
            </w:pPr>
          </w:p>
        </w:tc>
      </w:tr>
      <w:tr w:rsidR="00467225" w:rsidRPr="00467225" w14:paraId="514ABB8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397CCB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"Dividend"</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195831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"Dividends Paid / Net Income"</w:t>
            </w:r>
          </w:p>
        </w:tc>
        <w:tc>
          <w:tcPr>
            <w:tcW w:w="509" w:type="pct"/>
            <w:tcBorders>
              <w:top w:val="nil"/>
              <w:left w:val="nil"/>
              <w:bottom w:val="single" w:sz="4" w:space="0" w:color="auto"/>
              <w:right w:val="single" w:sz="4" w:space="0" w:color="auto"/>
            </w:tcBorders>
            <w:noWrap/>
            <w:vAlign w:val="bottom"/>
            <w:hideMark/>
          </w:tcPr>
          <w:p w14:paraId="2FD1DCF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10,11,753 </w:t>
            </w:r>
          </w:p>
        </w:tc>
        <w:tc>
          <w:tcPr>
            <w:tcW w:w="509" w:type="pct"/>
            <w:tcBorders>
              <w:top w:val="nil"/>
              <w:left w:val="nil"/>
              <w:bottom w:val="single" w:sz="4" w:space="0" w:color="auto"/>
              <w:right w:val="single" w:sz="4" w:space="0" w:color="auto"/>
            </w:tcBorders>
            <w:noWrap/>
            <w:vAlign w:val="bottom"/>
            <w:hideMark/>
          </w:tcPr>
          <w:p w14:paraId="21160B7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8,16,968 </w:t>
            </w:r>
          </w:p>
        </w:tc>
        <w:tc>
          <w:tcPr>
            <w:tcW w:w="509" w:type="pct"/>
            <w:tcBorders>
              <w:top w:val="nil"/>
              <w:left w:val="nil"/>
              <w:bottom w:val="single" w:sz="4" w:space="0" w:color="auto"/>
              <w:right w:val="single" w:sz="4" w:space="0" w:color="auto"/>
            </w:tcBorders>
            <w:noWrap/>
            <w:vAlign w:val="bottom"/>
            <w:hideMark/>
          </w:tcPr>
          <w:p w14:paraId="65C31FC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7,18,211 </w:t>
            </w:r>
          </w:p>
        </w:tc>
        <w:tc>
          <w:tcPr>
            <w:tcW w:w="509" w:type="pct"/>
            <w:tcBorders>
              <w:top w:val="nil"/>
              <w:left w:val="nil"/>
              <w:bottom w:val="single" w:sz="4" w:space="0" w:color="auto"/>
              <w:right w:val="single" w:sz="4" w:space="0" w:color="auto"/>
            </w:tcBorders>
            <w:noWrap/>
            <w:vAlign w:val="bottom"/>
            <w:hideMark/>
          </w:tcPr>
          <w:p w14:paraId="09A835E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6,71,029 </w:t>
            </w:r>
          </w:p>
        </w:tc>
        <w:tc>
          <w:tcPr>
            <w:tcW w:w="509" w:type="pct"/>
            <w:tcBorders>
              <w:top w:val="nil"/>
              <w:left w:val="nil"/>
              <w:bottom w:val="single" w:sz="4" w:space="0" w:color="auto"/>
              <w:right w:val="single" w:sz="8" w:space="0" w:color="auto"/>
            </w:tcBorders>
            <w:noWrap/>
            <w:vAlign w:val="bottom"/>
            <w:hideMark/>
          </w:tcPr>
          <w:p w14:paraId="1528690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6,10,847 </w:t>
            </w:r>
          </w:p>
        </w:tc>
        <w:tc>
          <w:tcPr>
            <w:tcW w:w="50" w:type="pct"/>
            <w:vAlign w:val="center"/>
            <w:hideMark/>
          </w:tcPr>
          <w:p w14:paraId="4A5245C0" w14:textId="77777777" w:rsidR="00467225" w:rsidRPr="00467225" w:rsidRDefault="00467225" w:rsidP="00467225">
            <w:pPr>
              <w:spacing w:before="0" w:after="0" w:line="240" w:lineRule="auto"/>
              <w:jc w:val="left"/>
              <w:rPr>
                <w:sz w:val="20"/>
                <w:szCs w:val="20"/>
                <w:lang w:val="en-IN"/>
              </w:rPr>
            </w:pPr>
          </w:p>
        </w:tc>
      </w:tr>
      <w:tr w:rsidR="00467225" w:rsidRPr="00467225" w14:paraId="5287D3D1"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B090FA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"Net Income"</w:t>
            </w:r>
          </w:p>
        </w:tc>
        <w:tc>
          <w:tcPr>
            <w:tcW w:w="1302" w:type="pct"/>
            <w:vMerge/>
            <w:tcBorders>
              <w:top w:val="nil"/>
              <w:left w:val="single" w:sz="4" w:space="0" w:color="auto"/>
              <w:bottom w:val="single" w:sz="4" w:space="0" w:color="auto"/>
              <w:right w:val="single" w:sz="4" w:space="0" w:color="auto"/>
            </w:tcBorders>
            <w:vAlign w:val="center"/>
            <w:hideMark/>
          </w:tcPr>
          <w:p w14:paraId="65AA1278"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4893642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50,71,421 </w:t>
            </w:r>
          </w:p>
        </w:tc>
        <w:tc>
          <w:tcPr>
            <w:tcW w:w="509" w:type="pct"/>
            <w:tcBorders>
              <w:top w:val="nil"/>
              <w:left w:val="nil"/>
              <w:bottom w:val="single" w:sz="4" w:space="0" w:color="auto"/>
              <w:right w:val="single" w:sz="4" w:space="0" w:color="auto"/>
            </w:tcBorders>
            <w:shd w:val="clear" w:color="000000" w:fill="FFFFFF"/>
            <w:noWrap/>
            <w:vAlign w:val="bottom"/>
            <w:hideMark/>
          </w:tcPr>
          <w:p w14:paraId="59760ED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24,92,967 </w:t>
            </w:r>
          </w:p>
        </w:tc>
        <w:tc>
          <w:tcPr>
            <w:tcW w:w="509" w:type="pct"/>
            <w:tcBorders>
              <w:top w:val="nil"/>
              <w:left w:val="nil"/>
              <w:bottom w:val="single" w:sz="4" w:space="0" w:color="auto"/>
              <w:right w:val="single" w:sz="4" w:space="0" w:color="auto"/>
            </w:tcBorders>
            <w:shd w:val="clear" w:color="000000" w:fill="FFFFFF"/>
            <w:noWrap/>
            <w:vAlign w:val="bottom"/>
            <w:hideMark/>
          </w:tcPr>
          <w:p w14:paraId="21247D2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28,74,614 </w:t>
            </w:r>
          </w:p>
        </w:tc>
        <w:tc>
          <w:tcPr>
            <w:tcW w:w="509" w:type="pct"/>
            <w:tcBorders>
              <w:top w:val="nil"/>
              <w:left w:val="nil"/>
              <w:bottom w:val="single" w:sz="4" w:space="0" w:color="auto"/>
              <w:right w:val="single" w:sz="4" w:space="0" w:color="auto"/>
            </w:tcBorders>
            <w:shd w:val="clear" w:color="000000" w:fill="FFFFFF"/>
            <w:noWrap/>
            <w:vAlign w:val="bottom"/>
            <w:hideMark/>
          </w:tcPr>
          <w:p w14:paraId="0FE18D8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22,82,378 </w:t>
            </w:r>
          </w:p>
        </w:tc>
        <w:tc>
          <w:tcPr>
            <w:tcW w:w="509" w:type="pct"/>
            <w:tcBorders>
              <w:top w:val="nil"/>
              <w:left w:val="nil"/>
              <w:bottom w:val="single" w:sz="4" w:space="0" w:color="auto"/>
              <w:right w:val="single" w:sz="4" w:space="0" w:color="auto"/>
            </w:tcBorders>
            <w:shd w:val="clear" w:color="000000" w:fill="FFFFFF"/>
            <w:noWrap/>
            <w:vAlign w:val="bottom"/>
            <w:hideMark/>
          </w:tcPr>
          <w:p w14:paraId="5AFFE19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21,42,329 </w:t>
            </w:r>
          </w:p>
        </w:tc>
        <w:tc>
          <w:tcPr>
            <w:tcW w:w="50" w:type="pct"/>
            <w:vAlign w:val="center"/>
            <w:hideMark/>
          </w:tcPr>
          <w:p w14:paraId="257D49E0" w14:textId="77777777" w:rsidR="00467225" w:rsidRPr="00467225" w:rsidRDefault="00467225" w:rsidP="00467225">
            <w:pPr>
              <w:spacing w:before="0" w:after="0" w:line="240" w:lineRule="auto"/>
              <w:jc w:val="left"/>
              <w:rPr>
                <w:sz w:val="20"/>
                <w:szCs w:val="20"/>
                <w:lang w:val="en-IN"/>
              </w:rPr>
            </w:pPr>
          </w:p>
        </w:tc>
      </w:tr>
      <w:tr w:rsidR="00467225" w:rsidRPr="00467225" w14:paraId="55548F5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FD5D0AB"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"Dividend Payout Ratio "</w:t>
            </w:r>
          </w:p>
        </w:tc>
        <w:tc>
          <w:tcPr>
            <w:tcW w:w="1302" w:type="pct"/>
            <w:vMerge/>
            <w:tcBorders>
              <w:top w:val="nil"/>
              <w:left w:val="single" w:sz="4" w:space="0" w:color="auto"/>
              <w:bottom w:val="single" w:sz="4" w:space="0" w:color="auto"/>
              <w:right w:val="single" w:sz="4" w:space="0" w:color="auto"/>
            </w:tcBorders>
            <w:vAlign w:val="center"/>
            <w:hideMark/>
          </w:tcPr>
          <w:p w14:paraId="08B2FE80"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55DA27D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0.20</w:t>
            </w:r>
          </w:p>
        </w:tc>
        <w:tc>
          <w:tcPr>
            <w:tcW w:w="509" w:type="pct"/>
            <w:tcBorders>
              <w:top w:val="nil"/>
              <w:left w:val="nil"/>
              <w:bottom w:val="single" w:sz="4" w:space="0" w:color="auto"/>
              <w:right w:val="single" w:sz="4" w:space="0" w:color="auto"/>
            </w:tcBorders>
            <w:shd w:val="clear" w:color="000000" w:fill="FFFFFF"/>
            <w:noWrap/>
            <w:vAlign w:val="bottom"/>
            <w:hideMark/>
          </w:tcPr>
          <w:p w14:paraId="2D36B3C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0.33</w:t>
            </w:r>
          </w:p>
        </w:tc>
        <w:tc>
          <w:tcPr>
            <w:tcW w:w="509" w:type="pct"/>
            <w:tcBorders>
              <w:top w:val="nil"/>
              <w:left w:val="nil"/>
              <w:bottom w:val="single" w:sz="4" w:space="0" w:color="auto"/>
              <w:right w:val="single" w:sz="4" w:space="0" w:color="auto"/>
            </w:tcBorders>
            <w:shd w:val="clear" w:color="000000" w:fill="FFFFFF"/>
            <w:noWrap/>
            <w:vAlign w:val="bottom"/>
            <w:hideMark/>
          </w:tcPr>
          <w:p w14:paraId="269AAE6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0.25</w:t>
            </w:r>
          </w:p>
        </w:tc>
        <w:tc>
          <w:tcPr>
            <w:tcW w:w="509" w:type="pct"/>
            <w:tcBorders>
              <w:top w:val="nil"/>
              <w:left w:val="nil"/>
              <w:bottom w:val="single" w:sz="4" w:space="0" w:color="auto"/>
              <w:right w:val="single" w:sz="4" w:space="0" w:color="auto"/>
            </w:tcBorders>
            <w:shd w:val="clear" w:color="000000" w:fill="FFFFFF"/>
            <w:noWrap/>
            <w:vAlign w:val="bottom"/>
            <w:hideMark/>
          </w:tcPr>
          <w:p w14:paraId="1720B31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0.29</w:t>
            </w:r>
          </w:p>
        </w:tc>
        <w:tc>
          <w:tcPr>
            <w:tcW w:w="509" w:type="pct"/>
            <w:tcBorders>
              <w:top w:val="nil"/>
              <w:left w:val="nil"/>
              <w:bottom w:val="single" w:sz="4" w:space="0" w:color="auto"/>
              <w:right w:val="single" w:sz="4" w:space="0" w:color="auto"/>
            </w:tcBorders>
            <w:shd w:val="clear" w:color="000000" w:fill="FFFFFF"/>
            <w:noWrap/>
            <w:vAlign w:val="bottom"/>
            <w:hideMark/>
          </w:tcPr>
          <w:p w14:paraId="5C82D90F"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0.29</w:t>
            </w:r>
          </w:p>
        </w:tc>
        <w:tc>
          <w:tcPr>
            <w:tcW w:w="50" w:type="pct"/>
            <w:vAlign w:val="center"/>
            <w:hideMark/>
          </w:tcPr>
          <w:p w14:paraId="22CE09A4" w14:textId="77777777" w:rsidR="00467225" w:rsidRPr="00467225" w:rsidRDefault="00467225" w:rsidP="00467225">
            <w:pPr>
              <w:spacing w:before="0" w:after="0" w:line="240" w:lineRule="auto"/>
              <w:jc w:val="left"/>
              <w:rPr>
                <w:sz w:val="20"/>
                <w:szCs w:val="20"/>
                <w:lang w:val="en-IN"/>
              </w:rPr>
            </w:pPr>
          </w:p>
        </w:tc>
      </w:tr>
      <w:tr w:rsidR="00467225" w:rsidRPr="00467225" w14:paraId="36E6B0CC"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0C4112"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79290D0D" w14:textId="77777777" w:rsidR="00467225" w:rsidRPr="00467225" w:rsidRDefault="00467225" w:rsidP="00467225">
            <w:pPr>
              <w:spacing w:before="0" w:after="0" w:line="240" w:lineRule="auto"/>
              <w:jc w:val="left"/>
              <w:rPr>
                <w:sz w:val="20"/>
                <w:szCs w:val="20"/>
                <w:lang w:val="en-IN"/>
              </w:rPr>
            </w:pPr>
          </w:p>
        </w:tc>
      </w:tr>
      <w:tr w:rsidR="00467225" w:rsidRPr="00467225" w14:paraId="45B71C69"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B194C5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"Return on Equity (ROE)"</w:t>
            </w:r>
          </w:p>
        </w:tc>
        <w:tc>
          <w:tcPr>
            <w:tcW w:w="50" w:type="pct"/>
            <w:vAlign w:val="center"/>
            <w:hideMark/>
          </w:tcPr>
          <w:p w14:paraId="249365DA" w14:textId="77777777" w:rsidR="00467225" w:rsidRPr="00467225" w:rsidRDefault="00467225" w:rsidP="00467225">
            <w:pPr>
              <w:spacing w:before="0" w:after="0" w:line="240" w:lineRule="auto"/>
              <w:jc w:val="left"/>
              <w:rPr>
                <w:sz w:val="20"/>
                <w:szCs w:val="20"/>
                <w:lang w:val="en-IN"/>
              </w:rPr>
            </w:pPr>
          </w:p>
        </w:tc>
      </w:tr>
      <w:tr w:rsidR="00467225" w:rsidRPr="00467225" w14:paraId="69499BE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CC9B52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0138285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62702C6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046552D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3E2840C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294AB684"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3248A8B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287D4841" w14:textId="77777777" w:rsidR="00467225" w:rsidRPr="00467225" w:rsidRDefault="00467225" w:rsidP="00467225">
            <w:pPr>
              <w:spacing w:before="0" w:after="0" w:line="240" w:lineRule="auto"/>
              <w:jc w:val="left"/>
              <w:rPr>
                <w:sz w:val="20"/>
                <w:szCs w:val="20"/>
                <w:lang w:val="en-IN"/>
              </w:rPr>
            </w:pPr>
          </w:p>
        </w:tc>
      </w:tr>
      <w:tr w:rsidR="00467225" w:rsidRPr="00467225" w14:paraId="20D116F9"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7F0141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"Net Income "</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604072C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"Net Income / Book Value of Equity (Total Equity)"</w:t>
            </w:r>
          </w:p>
        </w:tc>
        <w:tc>
          <w:tcPr>
            <w:tcW w:w="509" w:type="pct"/>
            <w:tcBorders>
              <w:top w:val="nil"/>
              <w:left w:val="nil"/>
              <w:bottom w:val="single" w:sz="4" w:space="0" w:color="auto"/>
              <w:right w:val="single" w:sz="4" w:space="0" w:color="auto"/>
            </w:tcBorders>
            <w:shd w:val="clear" w:color="000000" w:fill="FFFFFF"/>
            <w:noWrap/>
            <w:vAlign w:val="bottom"/>
            <w:hideMark/>
          </w:tcPr>
          <w:p w14:paraId="238018C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50,71,421 </w:t>
            </w:r>
          </w:p>
        </w:tc>
        <w:tc>
          <w:tcPr>
            <w:tcW w:w="509" w:type="pct"/>
            <w:tcBorders>
              <w:top w:val="nil"/>
              <w:left w:val="nil"/>
              <w:bottom w:val="single" w:sz="4" w:space="0" w:color="auto"/>
              <w:right w:val="single" w:sz="4" w:space="0" w:color="auto"/>
            </w:tcBorders>
            <w:shd w:val="clear" w:color="000000" w:fill="FFFFFF"/>
            <w:noWrap/>
            <w:vAlign w:val="bottom"/>
            <w:hideMark/>
          </w:tcPr>
          <w:p w14:paraId="0442838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24,92,967 </w:t>
            </w:r>
          </w:p>
        </w:tc>
        <w:tc>
          <w:tcPr>
            <w:tcW w:w="509" w:type="pct"/>
            <w:tcBorders>
              <w:top w:val="nil"/>
              <w:left w:val="nil"/>
              <w:bottom w:val="single" w:sz="4" w:space="0" w:color="auto"/>
              <w:right w:val="single" w:sz="4" w:space="0" w:color="auto"/>
            </w:tcBorders>
            <w:shd w:val="clear" w:color="000000" w:fill="FFFFFF"/>
            <w:noWrap/>
            <w:vAlign w:val="bottom"/>
            <w:hideMark/>
          </w:tcPr>
          <w:p w14:paraId="06BB81B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28,74,614 </w:t>
            </w:r>
          </w:p>
        </w:tc>
        <w:tc>
          <w:tcPr>
            <w:tcW w:w="509" w:type="pct"/>
            <w:tcBorders>
              <w:top w:val="nil"/>
              <w:left w:val="nil"/>
              <w:bottom w:val="single" w:sz="4" w:space="0" w:color="auto"/>
              <w:right w:val="single" w:sz="4" w:space="0" w:color="auto"/>
            </w:tcBorders>
            <w:shd w:val="clear" w:color="000000" w:fill="FFFFFF"/>
            <w:noWrap/>
            <w:vAlign w:val="bottom"/>
            <w:hideMark/>
          </w:tcPr>
          <w:p w14:paraId="626D315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22,82,378 </w:t>
            </w:r>
          </w:p>
        </w:tc>
        <w:tc>
          <w:tcPr>
            <w:tcW w:w="509" w:type="pct"/>
            <w:tcBorders>
              <w:top w:val="nil"/>
              <w:left w:val="nil"/>
              <w:bottom w:val="single" w:sz="4" w:space="0" w:color="auto"/>
              <w:right w:val="single" w:sz="4" w:space="0" w:color="auto"/>
            </w:tcBorders>
            <w:shd w:val="clear" w:color="000000" w:fill="FFFFFF"/>
            <w:noWrap/>
            <w:vAlign w:val="bottom"/>
            <w:hideMark/>
          </w:tcPr>
          <w:p w14:paraId="120B806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21,42,329 </w:t>
            </w:r>
          </w:p>
        </w:tc>
        <w:tc>
          <w:tcPr>
            <w:tcW w:w="50" w:type="pct"/>
            <w:vAlign w:val="center"/>
            <w:hideMark/>
          </w:tcPr>
          <w:p w14:paraId="5E489035" w14:textId="77777777" w:rsidR="00467225" w:rsidRPr="00467225" w:rsidRDefault="00467225" w:rsidP="00467225">
            <w:pPr>
              <w:spacing w:before="0" w:after="0" w:line="240" w:lineRule="auto"/>
              <w:jc w:val="left"/>
              <w:rPr>
                <w:sz w:val="20"/>
                <w:szCs w:val="20"/>
                <w:lang w:val="en-IN"/>
              </w:rPr>
            </w:pPr>
          </w:p>
        </w:tc>
      </w:tr>
      <w:tr w:rsidR="00467225" w:rsidRPr="00467225" w14:paraId="4489E3E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06B208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Book Value of Equity"</w:t>
            </w:r>
          </w:p>
        </w:tc>
        <w:tc>
          <w:tcPr>
            <w:tcW w:w="1302" w:type="pct"/>
            <w:vMerge/>
            <w:tcBorders>
              <w:top w:val="nil"/>
              <w:left w:val="single" w:sz="4" w:space="0" w:color="auto"/>
              <w:bottom w:val="single" w:sz="4" w:space="0" w:color="auto"/>
              <w:right w:val="single" w:sz="4" w:space="0" w:color="auto"/>
            </w:tcBorders>
            <w:vAlign w:val="center"/>
            <w:hideMark/>
          </w:tcPr>
          <w:p w14:paraId="78CACABA"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6D047E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3,52,39,338 </w:t>
            </w:r>
          </w:p>
        </w:tc>
        <w:tc>
          <w:tcPr>
            <w:tcW w:w="509" w:type="pct"/>
            <w:tcBorders>
              <w:top w:val="nil"/>
              <w:left w:val="nil"/>
              <w:bottom w:val="single" w:sz="4" w:space="0" w:color="auto"/>
              <w:right w:val="single" w:sz="4" w:space="0" w:color="auto"/>
            </w:tcBorders>
            <w:shd w:val="clear" w:color="000000" w:fill="FFFFFF"/>
            <w:noWrap/>
            <w:vAlign w:val="bottom"/>
            <w:hideMark/>
          </w:tcPr>
          <w:p w14:paraId="4F63D01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2,92,64,213 </w:t>
            </w:r>
          </w:p>
        </w:tc>
        <w:tc>
          <w:tcPr>
            <w:tcW w:w="509" w:type="pct"/>
            <w:tcBorders>
              <w:top w:val="nil"/>
              <w:left w:val="nil"/>
              <w:bottom w:val="single" w:sz="4" w:space="0" w:color="auto"/>
              <w:right w:val="single" w:sz="4" w:space="0" w:color="auto"/>
            </w:tcBorders>
            <w:shd w:val="clear" w:color="000000" w:fill="FFFFFF"/>
            <w:noWrap/>
            <w:vAlign w:val="bottom"/>
            <w:hideMark/>
          </w:tcPr>
          <w:p w14:paraId="43322A3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2,71,54,820 </w:t>
            </w:r>
          </w:p>
        </w:tc>
        <w:tc>
          <w:tcPr>
            <w:tcW w:w="509" w:type="pct"/>
            <w:tcBorders>
              <w:top w:val="nil"/>
              <w:left w:val="nil"/>
              <w:bottom w:val="single" w:sz="4" w:space="0" w:color="auto"/>
              <w:right w:val="single" w:sz="4" w:space="0" w:color="auto"/>
            </w:tcBorders>
            <w:shd w:val="clear" w:color="000000" w:fill="FFFFFF"/>
            <w:noWrap/>
            <w:vAlign w:val="bottom"/>
            <w:hideMark/>
          </w:tcPr>
          <w:p w14:paraId="768B4EF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2,42,88,329 </w:t>
            </w:r>
          </w:p>
        </w:tc>
        <w:tc>
          <w:tcPr>
            <w:tcW w:w="509" w:type="pct"/>
            <w:tcBorders>
              <w:top w:val="nil"/>
              <w:left w:val="nil"/>
              <w:bottom w:val="single" w:sz="4" w:space="0" w:color="auto"/>
              <w:right w:val="single" w:sz="4" w:space="0" w:color="auto"/>
            </w:tcBorders>
            <w:shd w:val="clear" w:color="000000" w:fill="FFFFFF"/>
            <w:noWrap/>
            <w:vAlign w:val="bottom"/>
            <w:hideMark/>
          </w:tcPr>
          <w:p w14:paraId="5961F7C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2,07,37,682 </w:t>
            </w:r>
          </w:p>
        </w:tc>
        <w:tc>
          <w:tcPr>
            <w:tcW w:w="50" w:type="pct"/>
            <w:vAlign w:val="center"/>
            <w:hideMark/>
          </w:tcPr>
          <w:p w14:paraId="1E6C8729" w14:textId="77777777" w:rsidR="00467225" w:rsidRPr="00467225" w:rsidRDefault="00467225" w:rsidP="00467225">
            <w:pPr>
              <w:spacing w:before="0" w:after="0" w:line="240" w:lineRule="auto"/>
              <w:jc w:val="left"/>
              <w:rPr>
                <w:sz w:val="20"/>
                <w:szCs w:val="20"/>
                <w:lang w:val="en-IN"/>
              </w:rPr>
            </w:pPr>
          </w:p>
        </w:tc>
      </w:tr>
      <w:tr w:rsidR="00467225" w:rsidRPr="00467225" w14:paraId="3B309C5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78F8A446"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"Return on Equity (ROE)"</w:t>
            </w:r>
          </w:p>
        </w:tc>
        <w:tc>
          <w:tcPr>
            <w:tcW w:w="1302" w:type="pct"/>
            <w:vMerge/>
            <w:tcBorders>
              <w:top w:val="nil"/>
              <w:left w:val="single" w:sz="4" w:space="0" w:color="auto"/>
              <w:bottom w:val="single" w:sz="4" w:space="0" w:color="auto"/>
              <w:right w:val="single" w:sz="4" w:space="0" w:color="auto"/>
            </w:tcBorders>
            <w:vAlign w:val="center"/>
            <w:hideMark/>
          </w:tcPr>
          <w:p w14:paraId="75C31AB2"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58E415E0"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0.14</w:t>
            </w:r>
          </w:p>
        </w:tc>
        <w:tc>
          <w:tcPr>
            <w:tcW w:w="509" w:type="pct"/>
            <w:tcBorders>
              <w:top w:val="nil"/>
              <w:left w:val="nil"/>
              <w:bottom w:val="single" w:sz="4" w:space="0" w:color="auto"/>
              <w:right w:val="single" w:sz="4" w:space="0" w:color="auto"/>
            </w:tcBorders>
            <w:shd w:val="clear" w:color="000000" w:fill="FFFFFF"/>
            <w:noWrap/>
            <w:vAlign w:val="bottom"/>
            <w:hideMark/>
          </w:tcPr>
          <w:p w14:paraId="41280BE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0.09</w:t>
            </w:r>
          </w:p>
        </w:tc>
        <w:tc>
          <w:tcPr>
            <w:tcW w:w="509" w:type="pct"/>
            <w:tcBorders>
              <w:top w:val="nil"/>
              <w:left w:val="nil"/>
              <w:bottom w:val="single" w:sz="4" w:space="0" w:color="auto"/>
              <w:right w:val="single" w:sz="4" w:space="0" w:color="auto"/>
            </w:tcBorders>
            <w:shd w:val="clear" w:color="000000" w:fill="FFFFFF"/>
            <w:noWrap/>
            <w:vAlign w:val="bottom"/>
            <w:hideMark/>
          </w:tcPr>
          <w:p w14:paraId="385DEC2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0.11</w:t>
            </w:r>
          </w:p>
        </w:tc>
        <w:tc>
          <w:tcPr>
            <w:tcW w:w="509" w:type="pct"/>
            <w:tcBorders>
              <w:top w:val="nil"/>
              <w:left w:val="nil"/>
              <w:bottom w:val="single" w:sz="4" w:space="0" w:color="auto"/>
              <w:right w:val="single" w:sz="4" w:space="0" w:color="auto"/>
            </w:tcBorders>
            <w:shd w:val="clear" w:color="000000" w:fill="FFFFFF"/>
            <w:noWrap/>
            <w:vAlign w:val="bottom"/>
            <w:hideMark/>
          </w:tcPr>
          <w:p w14:paraId="063A1780"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0.09</w:t>
            </w:r>
          </w:p>
        </w:tc>
        <w:tc>
          <w:tcPr>
            <w:tcW w:w="509" w:type="pct"/>
            <w:tcBorders>
              <w:top w:val="nil"/>
              <w:left w:val="nil"/>
              <w:bottom w:val="single" w:sz="4" w:space="0" w:color="auto"/>
              <w:right w:val="single" w:sz="4" w:space="0" w:color="auto"/>
            </w:tcBorders>
            <w:shd w:val="clear" w:color="000000" w:fill="FFFFFF"/>
            <w:noWrap/>
            <w:vAlign w:val="bottom"/>
            <w:hideMark/>
          </w:tcPr>
          <w:p w14:paraId="7DA42FD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0.10</w:t>
            </w:r>
          </w:p>
        </w:tc>
        <w:tc>
          <w:tcPr>
            <w:tcW w:w="50" w:type="pct"/>
            <w:vAlign w:val="center"/>
            <w:hideMark/>
          </w:tcPr>
          <w:p w14:paraId="1ECD0B20" w14:textId="77777777" w:rsidR="00467225" w:rsidRPr="00467225" w:rsidRDefault="00467225" w:rsidP="00467225">
            <w:pPr>
              <w:spacing w:before="0" w:after="0" w:line="240" w:lineRule="auto"/>
              <w:jc w:val="left"/>
              <w:rPr>
                <w:sz w:val="20"/>
                <w:szCs w:val="20"/>
                <w:lang w:val="en-IN"/>
              </w:rPr>
            </w:pPr>
          </w:p>
        </w:tc>
      </w:tr>
      <w:tr w:rsidR="00467225" w:rsidRPr="00467225" w14:paraId="3F28077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2EBC8DE"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1302" w:type="pct"/>
            <w:tcBorders>
              <w:top w:val="nil"/>
              <w:left w:val="nil"/>
              <w:bottom w:val="single" w:sz="4" w:space="0" w:color="auto"/>
              <w:right w:val="single" w:sz="4" w:space="0" w:color="auto"/>
            </w:tcBorders>
            <w:shd w:val="clear" w:color="000000" w:fill="FFFFFF"/>
            <w:vAlign w:val="center"/>
            <w:hideMark/>
          </w:tcPr>
          <w:p w14:paraId="3A85DD1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C809407"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2BBB9900"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6E96147"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245B72F"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57917079"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 </w:t>
            </w:r>
          </w:p>
        </w:tc>
        <w:tc>
          <w:tcPr>
            <w:tcW w:w="50" w:type="pct"/>
            <w:vAlign w:val="center"/>
            <w:hideMark/>
          </w:tcPr>
          <w:p w14:paraId="0194A91A" w14:textId="77777777" w:rsidR="00467225" w:rsidRPr="00467225" w:rsidRDefault="00467225" w:rsidP="00467225">
            <w:pPr>
              <w:spacing w:before="0" w:after="0" w:line="240" w:lineRule="auto"/>
              <w:jc w:val="left"/>
              <w:rPr>
                <w:sz w:val="20"/>
                <w:szCs w:val="20"/>
                <w:lang w:val="en-IN"/>
              </w:rPr>
            </w:pPr>
          </w:p>
        </w:tc>
      </w:tr>
      <w:tr w:rsidR="00467225" w:rsidRPr="00467225" w14:paraId="4E6D2740"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B227F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"Return on Assets (ROA)"</w:t>
            </w:r>
          </w:p>
        </w:tc>
        <w:tc>
          <w:tcPr>
            <w:tcW w:w="50" w:type="pct"/>
            <w:vAlign w:val="center"/>
            <w:hideMark/>
          </w:tcPr>
          <w:p w14:paraId="36B4BAC0" w14:textId="77777777" w:rsidR="00467225" w:rsidRPr="00467225" w:rsidRDefault="00467225" w:rsidP="00467225">
            <w:pPr>
              <w:spacing w:before="0" w:after="0" w:line="240" w:lineRule="auto"/>
              <w:jc w:val="left"/>
              <w:rPr>
                <w:sz w:val="20"/>
                <w:szCs w:val="20"/>
                <w:lang w:val="en-IN"/>
              </w:rPr>
            </w:pPr>
          </w:p>
        </w:tc>
      </w:tr>
      <w:tr w:rsidR="00467225" w:rsidRPr="00467225" w14:paraId="6C21F9DF"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C87916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07E0E28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595EEF9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2A19730E"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2D5FB0B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4B0AFAA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7F3FA06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6F97C4A" w14:textId="77777777" w:rsidR="00467225" w:rsidRPr="00467225" w:rsidRDefault="00467225" w:rsidP="00467225">
            <w:pPr>
              <w:spacing w:before="0" w:after="0" w:line="240" w:lineRule="auto"/>
              <w:jc w:val="left"/>
              <w:rPr>
                <w:sz w:val="20"/>
                <w:szCs w:val="20"/>
                <w:lang w:val="en-IN"/>
              </w:rPr>
            </w:pPr>
          </w:p>
        </w:tc>
      </w:tr>
      <w:tr w:rsidR="00467225" w:rsidRPr="00467225" w14:paraId="762DA7D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E7BDBC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"Net Income "</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20ABD74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"Net Income / Total Assets"</w:t>
            </w:r>
          </w:p>
        </w:tc>
        <w:tc>
          <w:tcPr>
            <w:tcW w:w="509" w:type="pct"/>
            <w:tcBorders>
              <w:top w:val="nil"/>
              <w:left w:val="nil"/>
              <w:bottom w:val="single" w:sz="4" w:space="0" w:color="auto"/>
              <w:right w:val="single" w:sz="4" w:space="0" w:color="auto"/>
            </w:tcBorders>
            <w:shd w:val="clear" w:color="000000" w:fill="FFFFFF"/>
            <w:noWrap/>
            <w:vAlign w:val="bottom"/>
            <w:hideMark/>
          </w:tcPr>
          <w:p w14:paraId="7B6ECB9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50,71,421 </w:t>
            </w:r>
          </w:p>
        </w:tc>
        <w:tc>
          <w:tcPr>
            <w:tcW w:w="509" w:type="pct"/>
            <w:tcBorders>
              <w:top w:val="nil"/>
              <w:left w:val="nil"/>
              <w:bottom w:val="single" w:sz="4" w:space="0" w:color="auto"/>
              <w:right w:val="single" w:sz="4" w:space="0" w:color="auto"/>
            </w:tcBorders>
            <w:shd w:val="clear" w:color="000000" w:fill="FFFFFF"/>
            <w:noWrap/>
            <w:vAlign w:val="bottom"/>
            <w:hideMark/>
          </w:tcPr>
          <w:p w14:paraId="6484F89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24,92,967 </w:t>
            </w:r>
          </w:p>
        </w:tc>
        <w:tc>
          <w:tcPr>
            <w:tcW w:w="509" w:type="pct"/>
            <w:tcBorders>
              <w:top w:val="nil"/>
              <w:left w:val="nil"/>
              <w:bottom w:val="single" w:sz="4" w:space="0" w:color="auto"/>
              <w:right w:val="single" w:sz="4" w:space="0" w:color="auto"/>
            </w:tcBorders>
            <w:shd w:val="clear" w:color="000000" w:fill="FFFFFF"/>
            <w:noWrap/>
            <w:vAlign w:val="bottom"/>
            <w:hideMark/>
          </w:tcPr>
          <w:p w14:paraId="5C4143D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28,74,614 </w:t>
            </w:r>
          </w:p>
        </w:tc>
        <w:tc>
          <w:tcPr>
            <w:tcW w:w="509" w:type="pct"/>
            <w:tcBorders>
              <w:top w:val="nil"/>
              <w:left w:val="nil"/>
              <w:bottom w:val="single" w:sz="4" w:space="0" w:color="auto"/>
              <w:right w:val="single" w:sz="4" w:space="0" w:color="auto"/>
            </w:tcBorders>
            <w:shd w:val="clear" w:color="000000" w:fill="FFFFFF"/>
            <w:noWrap/>
            <w:vAlign w:val="bottom"/>
            <w:hideMark/>
          </w:tcPr>
          <w:p w14:paraId="4ED5906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22,82,378 </w:t>
            </w:r>
          </w:p>
        </w:tc>
        <w:tc>
          <w:tcPr>
            <w:tcW w:w="509" w:type="pct"/>
            <w:tcBorders>
              <w:top w:val="nil"/>
              <w:left w:val="nil"/>
              <w:bottom w:val="single" w:sz="4" w:space="0" w:color="auto"/>
              <w:right w:val="single" w:sz="4" w:space="0" w:color="auto"/>
            </w:tcBorders>
            <w:shd w:val="clear" w:color="000000" w:fill="FFFFFF"/>
            <w:noWrap/>
            <w:vAlign w:val="bottom"/>
            <w:hideMark/>
          </w:tcPr>
          <w:p w14:paraId="7210FFA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21,42,329 </w:t>
            </w:r>
          </w:p>
        </w:tc>
        <w:tc>
          <w:tcPr>
            <w:tcW w:w="50" w:type="pct"/>
            <w:vAlign w:val="center"/>
            <w:hideMark/>
          </w:tcPr>
          <w:p w14:paraId="112C93C5" w14:textId="77777777" w:rsidR="00467225" w:rsidRPr="00467225" w:rsidRDefault="00467225" w:rsidP="00467225">
            <w:pPr>
              <w:spacing w:before="0" w:after="0" w:line="240" w:lineRule="auto"/>
              <w:jc w:val="left"/>
              <w:rPr>
                <w:sz w:val="20"/>
                <w:szCs w:val="20"/>
                <w:lang w:val="en-IN"/>
              </w:rPr>
            </w:pPr>
          </w:p>
        </w:tc>
      </w:tr>
      <w:tr w:rsidR="00467225" w:rsidRPr="00467225" w14:paraId="7C8F6D6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08C8A3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"Total Assets"</w:t>
            </w:r>
          </w:p>
        </w:tc>
        <w:tc>
          <w:tcPr>
            <w:tcW w:w="1302" w:type="pct"/>
            <w:vMerge/>
            <w:tcBorders>
              <w:top w:val="nil"/>
              <w:left w:val="single" w:sz="4" w:space="0" w:color="auto"/>
              <w:bottom w:val="single" w:sz="4" w:space="0" w:color="auto"/>
              <w:right w:val="single" w:sz="4" w:space="0" w:color="auto"/>
            </w:tcBorders>
            <w:vAlign w:val="center"/>
            <w:hideMark/>
          </w:tcPr>
          <w:p w14:paraId="3A9F594A"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0E3148A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9,01,14,296 </w:t>
            </w:r>
          </w:p>
        </w:tc>
        <w:tc>
          <w:tcPr>
            <w:tcW w:w="509" w:type="pct"/>
            <w:tcBorders>
              <w:top w:val="nil"/>
              <w:left w:val="nil"/>
              <w:bottom w:val="single" w:sz="4" w:space="0" w:color="auto"/>
              <w:right w:val="single" w:sz="4" w:space="0" w:color="auto"/>
            </w:tcBorders>
            <w:shd w:val="clear" w:color="000000" w:fill="FFFFFF"/>
            <w:noWrap/>
            <w:vAlign w:val="bottom"/>
            <w:hideMark/>
          </w:tcPr>
          <w:p w14:paraId="13BCB6D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7,43,03,180 </w:t>
            </w:r>
          </w:p>
        </w:tc>
        <w:tc>
          <w:tcPr>
            <w:tcW w:w="509" w:type="pct"/>
            <w:tcBorders>
              <w:top w:val="nil"/>
              <w:left w:val="nil"/>
              <w:bottom w:val="single" w:sz="4" w:space="0" w:color="auto"/>
              <w:right w:val="single" w:sz="4" w:space="0" w:color="auto"/>
            </w:tcBorders>
            <w:shd w:val="clear" w:color="000000" w:fill="FFFFFF"/>
            <w:noWrap/>
            <w:vAlign w:val="bottom"/>
            <w:hideMark/>
          </w:tcPr>
          <w:p w14:paraId="49BF01D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6,76,88,771 </w:t>
            </w:r>
          </w:p>
        </w:tc>
        <w:tc>
          <w:tcPr>
            <w:tcW w:w="509" w:type="pct"/>
            <w:tcBorders>
              <w:top w:val="nil"/>
              <w:left w:val="nil"/>
              <w:bottom w:val="single" w:sz="4" w:space="0" w:color="auto"/>
              <w:right w:val="single" w:sz="4" w:space="0" w:color="auto"/>
            </w:tcBorders>
            <w:shd w:val="clear" w:color="000000" w:fill="FFFFFF"/>
            <w:noWrap/>
            <w:vAlign w:val="bottom"/>
            <w:hideMark/>
          </w:tcPr>
          <w:p w14:paraId="3FB7581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6,22,67,140 </w:t>
            </w:r>
          </w:p>
        </w:tc>
        <w:tc>
          <w:tcPr>
            <w:tcW w:w="509" w:type="pct"/>
            <w:tcBorders>
              <w:top w:val="nil"/>
              <w:left w:val="nil"/>
              <w:bottom w:val="single" w:sz="4" w:space="0" w:color="auto"/>
              <w:right w:val="single" w:sz="4" w:space="0" w:color="auto"/>
            </w:tcBorders>
            <w:shd w:val="clear" w:color="000000" w:fill="FFFFFF"/>
            <w:noWrap/>
            <w:vAlign w:val="bottom"/>
            <w:hideMark/>
          </w:tcPr>
          <w:p w14:paraId="77BC791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5,26,80,436 </w:t>
            </w:r>
          </w:p>
        </w:tc>
        <w:tc>
          <w:tcPr>
            <w:tcW w:w="50" w:type="pct"/>
            <w:vAlign w:val="center"/>
            <w:hideMark/>
          </w:tcPr>
          <w:p w14:paraId="147F8EA1" w14:textId="77777777" w:rsidR="00467225" w:rsidRPr="00467225" w:rsidRDefault="00467225" w:rsidP="00467225">
            <w:pPr>
              <w:spacing w:before="0" w:after="0" w:line="240" w:lineRule="auto"/>
              <w:jc w:val="left"/>
              <w:rPr>
                <w:sz w:val="20"/>
                <w:szCs w:val="20"/>
                <w:lang w:val="en-IN"/>
              </w:rPr>
            </w:pPr>
          </w:p>
        </w:tc>
      </w:tr>
      <w:tr w:rsidR="00467225" w:rsidRPr="00467225" w14:paraId="1E6B7827"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565347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"Return on Assets (ROA)"</w:t>
            </w:r>
          </w:p>
        </w:tc>
        <w:tc>
          <w:tcPr>
            <w:tcW w:w="1302" w:type="pct"/>
            <w:vMerge/>
            <w:tcBorders>
              <w:top w:val="nil"/>
              <w:left w:val="single" w:sz="4" w:space="0" w:color="auto"/>
              <w:bottom w:val="single" w:sz="4" w:space="0" w:color="auto"/>
              <w:right w:val="single" w:sz="4" w:space="0" w:color="auto"/>
            </w:tcBorders>
            <w:vAlign w:val="center"/>
            <w:hideMark/>
          </w:tcPr>
          <w:p w14:paraId="369A21C7"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520EAEC0"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0.06</w:t>
            </w:r>
          </w:p>
        </w:tc>
        <w:tc>
          <w:tcPr>
            <w:tcW w:w="509" w:type="pct"/>
            <w:tcBorders>
              <w:top w:val="nil"/>
              <w:left w:val="nil"/>
              <w:bottom w:val="single" w:sz="4" w:space="0" w:color="auto"/>
              <w:right w:val="single" w:sz="4" w:space="0" w:color="auto"/>
            </w:tcBorders>
            <w:shd w:val="clear" w:color="000000" w:fill="FFFFFF"/>
            <w:noWrap/>
            <w:vAlign w:val="bottom"/>
            <w:hideMark/>
          </w:tcPr>
          <w:p w14:paraId="1852E554"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0.03</w:t>
            </w:r>
          </w:p>
        </w:tc>
        <w:tc>
          <w:tcPr>
            <w:tcW w:w="509" w:type="pct"/>
            <w:tcBorders>
              <w:top w:val="nil"/>
              <w:left w:val="nil"/>
              <w:bottom w:val="single" w:sz="4" w:space="0" w:color="auto"/>
              <w:right w:val="single" w:sz="4" w:space="0" w:color="auto"/>
            </w:tcBorders>
            <w:shd w:val="clear" w:color="000000" w:fill="FFFFFF"/>
            <w:noWrap/>
            <w:vAlign w:val="bottom"/>
            <w:hideMark/>
          </w:tcPr>
          <w:p w14:paraId="3F34785F"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9" w:type="pct"/>
            <w:tcBorders>
              <w:top w:val="nil"/>
              <w:left w:val="nil"/>
              <w:bottom w:val="single" w:sz="4" w:space="0" w:color="auto"/>
              <w:right w:val="single" w:sz="4" w:space="0" w:color="auto"/>
            </w:tcBorders>
            <w:shd w:val="clear" w:color="000000" w:fill="FFFFFF"/>
            <w:noWrap/>
            <w:vAlign w:val="bottom"/>
            <w:hideMark/>
          </w:tcPr>
          <w:p w14:paraId="5AFA9878"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9" w:type="pct"/>
            <w:tcBorders>
              <w:top w:val="nil"/>
              <w:left w:val="nil"/>
              <w:bottom w:val="single" w:sz="4" w:space="0" w:color="auto"/>
              <w:right w:val="single" w:sz="4" w:space="0" w:color="auto"/>
            </w:tcBorders>
            <w:shd w:val="clear" w:color="000000" w:fill="FFFFFF"/>
            <w:noWrap/>
            <w:vAlign w:val="bottom"/>
            <w:hideMark/>
          </w:tcPr>
          <w:p w14:paraId="5AB82A2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 w:type="pct"/>
            <w:vAlign w:val="center"/>
            <w:hideMark/>
          </w:tcPr>
          <w:p w14:paraId="66351B76" w14:textId="77777777" w:rsidR="00467225" w:rsidRPr="00467225" w:rsidRDefault="00467225" w:rsidP="00467225">
            <w:pPr>
              <w:spacing w:before="0" w:after="0" w:line="240" w:lineRule="auto"/>
              <w:jc w:val="left"/>
              <w:rPr>
                <w:sz w:val="20"/>
                <w:szCs w:val="20"/>
                <w:lang w:val="en-IN"/>
              </w:rPr>
            </w:pPr>
          </w:p>
        </w:tc>
      </w:tr>
      <w:tr w:rsidR="00467225" w:rsidRPr="00467225" w14:paraId="250E01EF"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ED346E"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760125A4" w14:textId="77777777" w:rsidR="00467225" w:rsidRPr="00467225" w:rsidRDefault="00467225" w:rsidP="00467225">
            <w:pPr>
              <w:spacing w:before="0" w:after="0" w:line="240" w:lineRule="auto"/>
              <w:jc w:val="left"/>
              <w:rPr>
                <w:sz w:val="20"/>
                <w:szCs w:val="20"/>
                <w:lang w:val="en-IN"/>
              </w:rPr>
            </w:pPr>
          </w:p>
        </w:tc>
      </w:tr>
      <w:tr w:rsidR="00467225" w:rsidRPr="00467225" w14:paraId="44FA15B1"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6D035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"Return on Invested Capital (ROIC)"</w:t>
            </w:r>
          </w:p>
        </w:tc>
        <w:tc>
          <w:tcPr>
            <w:tcW w:w="50" w:type="pct"/>
            <w:vAlign w:val="center"/>
            <w:hideMark/>
          </w:tcPr>
          <w:p w14:paraId="62251DEE" w14:textId="77777777" w:rsidR="00467225" w:rsidRPr="00467225" w:rsidRDefault="00467225" w:rsidP="00467225">
            <w:pPr>
              <w:spacing w:before="0" w:after="0" w:line="240" w:lineRule="auto"/>
              <w:jc w:val="left"/>
              <w:rPr>
                <w:sz w:val="20"/>
                <w:szCs w:val="20"/>
                <w:lang w:val="en-IN"/>
              </w:rPr>
            </w:pPr>
          </w:p>
        </w:tc>
      </w:tr>
      <w:tr w:rsidR="00467225" w:rsidRPr="00467225" w14:paraId="3BEDA10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91F062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463C2B1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0D4DBCD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7A515EE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1EB216D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3121F63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7EEF6ED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427C76FD" w14:textId="77777777" w:rsidR="00467225" w:rsidRPr="00467225" w:rsidRDefault="00467225" w:rsidP="00467225">
            <w:pPr>
              <w:spacing w:before="0" w:after="0" w:line="240" w:lineRule="auto"/>
              <w:jc w:val="left"/>
              <w:rPr>
                <w:sz w:val="20"/>
                <w:szCs w:val="20"/>
                <w:lang w:val="en-IN"/>
              </w:rPr>
            </w:pPr>
          </w:p>
        </w:tc>
      </w:tr>
      <w:tr w:rsidR="00467225" w:rsidRPr="00467225" w14:paraId="3D3F78E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64655B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"Net Income "</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735329B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"After-tax Profit or (EBIT−Taxation) / (Total Equity + Net Debt)"</w:t>
            </w:r>
          </w:p>
        </w:tc>
        <w:tc>
          <w:tcPr>
            <w:tcW w:w="509" w:type="pct"/>
            <w:tcBorders>
              <w:top w:val="nil"/>
              <w:left w:val="nil"/>
              <w:bottom w:val="single" w:sz="4" w:space="0" w:color="auto"/>
              <w:right w:val="single" w:sz="4" w:space="0" w:color="auto"/>
            </w:tcBorders>
            <w:shd w:val="clear" w:color="000000" w:fill="FFFFFF"/>
            <w:noWrap/>
            <w:vAlign w:val="bottom"/>
            <w:hideMark/>
          </w:tcPr>
          <w:p w14:paraId="5874425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50,71,421 </w:t>
            </w:r>
          </w:p>
        </w:tc>
        <w:tc>
          <w:tcPr>
            <w:tcW w:w="509" w:type="pct"/>
            <w:tcBorders>
              <w:top w:val="nil"/>
              <w:left w:val="nil"/>
              <w:bottom w:val="single" w:sz="4" w:space="0" w:color="auto"/>
              <w:right w:val="single" w:sz="4" w:space="0" w:color="auto"/>
            </w:tcBorders>
            <w:shd w:val="clear" w:color="000000" w:fill="FFFFFF"/>
            <w:noWrap/>
            <w:vAlign w:val="bottom"/>
            <w:hideMark/>
          </w:tcPr>
          <w:p w14:paraId="7F2132E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24,92,967 </w:t>
            </w:r>
          </w:p>
        </w:tc>
        <w:tc>
          <w:tcPr>
            <w:tcW w:w="509" w:type="pct"/>
            <w:tcBorders>
              <w:top w:val="nil"/>
              <w:left w:val="nil"/>
              <w:bottom w:val="single" w:sz="4" w:space="0" w:color="auto"/>
              <w:right w:val="single" w:sz="4" w:space="0" w:color="auto"/>
            </w:tcBorders>
            <w:shd w:val="clear" w:color="000000" w:fill="FFFFFF"/>
            <w:noWrap/>
            <w:vAlign w:val="bottom"/>
            <w:hideMark/>
          </w:tcPr>
          <w:p w14:paraId="37AAD66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28,74,614 </w:t>
            </w:r>
          </w:p>
        </w:tc>
        <w:tc>
          <w:tcPr>
            <w:tcW w:w="509" w:type="pct"/>
            <w:tcBorders>
              <w:top w:val="nil"/>
              <w:left w:val="nil"/>
              <w:bottom w:val="single" w:sz="4" w:space="0" w:color="auto"/>
              <w:right w:val="single" w:sz="4" w:space="0" w:color="auto"/>
            </w:tcBorders>
            <w:shd w:val="clear" w:color="000000" w:fill="FFFFFF"/>
            <w:noWrap/>
            <w:vAlign w:val="bottom"/>
            <w:hideMark/>
          </w:tcPr>
          <w:p w14:paraId="2FF1266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22,82,378 </w:t>
            </w:r>
          </w:p>
        </w:tc>
        <w:tc>
          <w:tcPr>
            <w:tcW w:w="509" w:type="pct"/>
            <w:tcBorders>
              <w:top w:val="nil"/>
              <w:left w:val="nil"/>
              <w:bottom w:val="single" w:sz="4" w:space="0" w:color="auto"/>
              <w:right w:val="single" w:sz="4" w:space="0" w:color="auto"/>
            </w:tcBorders>
            <w:shd w:val="clear" w:color="000000" w:fill="FFFFFF"/>
            <w:noWrap/>
            <w:vAlign w:val="bottom"/>
            <w:hideMark/>
          </w:tcPr>
          <w:p w14:paraId="515A511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21,42,329 </w:t>
            </w:r>
          </w:p>
        </w:tc>
        <w:tc>
          <w:tcPr>
            <w:tcW w:w="50" w:type="pct"/>
            <w:vAlign w:val="center"/>
            <w:hideMark/>
          </w:tcPr>
          <w:p w14:paraId="10E506B8" w14:textId="77777777" w:rsidR="00467225" w:rsidRPr="00467225" w:rsidRDefault="00467225" w:rsidP="00467225">
            <w:pPr>
              <w:spacing w:before="0" w:after="0" w:line="240" w:lineRule="auto"/>
              <w:jc w:val="left"/>
              <w:rPr>
                <w:sz w:val="20"/>
                <w:szCs w:val="20"/>
                <w:lang w:val="en-IN"/>
              </w:rPr>
            </w:pPr>
          </w:p>
        </w:tc>
      </w:tr>
      <w:tr w:rsidR="00467225" w:rsidRPr="00467225" w14:paraId="15F6CCA0"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70D979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(/):"Total Equity"</w:t>
            </w:r>
          </w:p>
        </w:tc>
        <w:tc>
          <w:tcPr>
            <w:tcW w:w="1302" w:type="pct"/>
            <w:vMerge/>
            <w:tcBorders>
              <w:top w:val="nil"/>
              <w:left w:val="single" w:sz="4" w:space="0" w:color="auto"/>
              <w:bottom w:val="single" w:sz="4" w:space="0" w:color="auto"/>
              <w:right w:val="single" w:sz="4" w:space="0" w:color="auto"/>
            </w:tcBorders>
            <w:vAlign w:val="center"/>
            <w:hideMark/>
          </w:tcPr>
          <w:p w14:paraId="6F7CA696"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C0FAD9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3,52,39,338 </w:t>
            </w:r>
          </w:p>
        </w:tc>
        <w:tc>
          <w:tcPr>
            <w:tcW w:w="509" w:type="pct"/>
            <w:tcBorders>
              <w:top w:val="nil"/>
              <w:left w:val="nil"/>
              <w:bottom w:val="single" w:sz="4" w:space="0" w:color="auto"/>
              <w:right w:val="single" w:sz="4" w:space="0" w:color="auto"/>
            </w:tcBorders>
            <w:shd w:val="clear" w:color="000000" w:fill="FFFFFF"/>
            <w:noWrap/>
            <w:vAlign w:val="bottom"/>
            <w:hideMark/>
          </w:tcPr>
          <w:p w14:paraId="2082953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2,92,64,213 </w:t>
            </w:r>
          </w:p>
        </w:tc>
        <w:tc>
          <w:tcPr>
            <w:tcW w:w="509" w:type="pct"/>
            <w:tcBorders>
              <w:top w:val="nil"/>
              <w:left w:val="nil"/>
              <w:bottom w:val="single" w:sz="4" w:space="0" w:color="auto"/>
              <w:right w:val="single" w:sz="4" w:space="0" w:color="auto"/>
            </w:tcBorders>
            <w:shd w:val="clear" w:color="000000" w:fill="FFFFFF"/>
            <w:noWrap/>
            <w:vAlign w:val="bottom"/>
            <w:hideMark/>
          </w:tcPr>
          <w:p w14:paraId="4CA3AE1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2,71,54,820 </w:t>
            </w:r>
          </w:p>
        </w:tc>
        <w:tc>
          <w:tcPr>
            <w:tcW w:w="509" w:type="pct"/>
            <w:tcBorders>
              <w:top w:val="nil"/>
              <w:left w:val="nil"/>
              <w:bottom w:val="single" w:sz="4" w:space="0" w:color="auto"/>
              <w:right w:val="single" w:sz="4" w:space="0" w:color="auto"/>
            </w:tcBorders>
            <w:shd w:val="clear" w:color="000000" w:fill="FFFFFF"/>
            <w:noWrap/>
            <w:vAlign w:val="bottom"/>
            <w:hideMark/>
          </w:tcPr>
          <w:p w14:paraId="3E5A379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2,42,88,329 </w:t>
            </w:r>
          </w:p>
        </w:tc>
        <w:tc>
          <w:tcPr>
            <w:tcW w:w="509" w:type="pct"/>
            <w:tcBorders>
              <w:top w:val="nil"/>
              <w:left w:val="nil"/>
              <w:bottom w:val="single" w:sz="4" w:space="0" w:color="auto"/>
              <w:right w:val="single" w:sz="4" w:space="0" w:color="auto"/>
            </w:tcBorders>
            <w:shd w:val="clear" w:color="000000" w:fill="FFFFFF"/>
            <w:noWrap/>
            <w:vAlign w:val="bottom"/>
            <w:hideMark/>
          </w:tcPr>
          <w:p w14:paraId="26128AA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2,07,37,682 </w:t>
            </w:r>
          </w:p>
        </w:tc>
        <w:tc>
          <w:tcPr>
            <w:tcW w:w="50" w:type="pct"/>
            <w:vAlign w:val="center"/>
            <w:hideMark/>
          </w:tcPr>
          <w:p w14:paraId="305DB508" w14:textId="77777777" w:rsidR="00467225" w:rsidRPr="00467225" w:rsidRDefault="00467225" w:rsidP="00467225">
            <w:pPr>
              <w:spacing w:before="0" w:after="0" w:line="240" w:lineRule="auto"/>
              <w:jc w:val="left"/>
              <w:rPr>
                <w:sz w:val="20"/>
                <w:szCs w:val="20"/>
                <w:lang w:val="en-IN"/>
              </w:rPr>
            </w:pPr>
          </w:p>
        </w:tc>
      </w:tr>
      <w:tr w:rsidR="00467225" w:rsidRPr="00467225" w14:paraId="08AA880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814CC0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"Net Debt (Total Debt – Cash)"</w:t>
            </w:r>
          </w:p>
        </w:tc>
        <w:tc>
          <w:tcPr>
            <w:tcW w:w="1302" w:type="pct"/>
            <w:vMerge/>
            <w:tcBorders>
              <w:top w:val="nil"/>
              <w:left w:val="single" w:sz="4" w:space="0" w:color="auto"/>
              <w:bottom w:val="single" w:sz="4" w:space="0" w:color="auto"/>
              <w:right w:val="single" w:sz="4" w:space="0" w:color="auto"/>
            </w:tcBorders>
            <w:vAlign w:val="center"/>
            <w:hideMark/>
          </w:tcPr>
          <w:p w14:paraId="10E2E67B"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BB0C54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4,54,62,898 </w:t>
            </w:r>
          </w:p>
        </w:tc>
        <w:tc>
          <w:tcPr>
            <w:tcW w:w="509" w:type="pct"/>
            <w:tcBorders>
              <w:top w:val="nil"/>
              <w:left w:val="nil"/>
              <w:bottom w:val="single" w:sz="4" w:space="0" w:color="auto"/>
              <w:right w:val="single" w:sz="4" w:space="0" w:color="auto"/>
            </w:tcBorders>
            <w:shd w:val="clear" w:color="000000" w:fill="FFFFFF"/>
            <w:noWrap/>
            <w:vAlign w:val="bottom"/>
            <w:hideMark/>
          </w:tcPr>
          <w:p w14:paraId="778D821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3,75,22,001 </w:t>
            </w:r>
          </w:p>
        </w:tc>
        <w:tc>
          <w:tcPr>
            <w:tcW w:w="509" w:type="pct"/>
            <w:tcBorders>
              <w:top w:val="nil"/>
              <w:left w:val="nil"/>
              <w:bottom w:val="single" w:sz="4" w:space="0" w:color="auto"/>
              <w:right w:val="single" w:sz="4" w:space="0" w:color="auto"/>
            </w:tcBorders>
            <w:shd w:val="clear" w:color="000000" w:fill="FFFFFF"/>
            <w:noWrap/>
            <w:vAlign w:val="bottom"/>
            <w:hideMark/>
          </w:tcPr>
          <w:p w14:paraId="0AC4C73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3,62,41,859 </w:t>
            </w:r>
          </w:p>
        </w:tc>
        <w:tc>
          <w:tcPr>
            <w:tcW w:w="509" w:type="pct"/>
            <w:tcBorders>
              <w:top w:val="nil"/>
              <w:left w:val="nil"/>
              <w:bottom w:val="single" w:sz="4" w:space="0" w:color="auto"/>
              <w:right w:val="single" w:sz="4" w:space="0" w:color="auto"/>
            </w:tcBorders>
            <w:shd w:val="clear" w:color="000000" w:fill="FFFFFF"/>
            <w:noWrap/>
            <w:vAlign w:val="bottom"/>
            <w:hideMark/>
          </w:tcPr>
          <w:p w14:paraId="3A1C0DA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3,39,32,872 </w:t>
            </w:r>
          </w:p>
        </w:tc>
        <w:tc>
          <w:tcPr>
            <w:tcW w:w="509" w:type="pct"/>
            <w:tcBorders>
              <w:top w:val="nil"/>
              <w:left w:val="nil"/>
              <w:bottom w:val="single" w:sz="4" w:space="0" w:color="auto"/>
              <w:right w:val="single" w:sz="4" w:space="0" w:color="auto"/>
            </w:tcBorders>
            <w:shd w:val="clear" w:color="000000" w:fill="FFFFFF"/>
            <w:noWrap/>
            <w:vAlign w:val="bottom"/>
            <w:hideMark/>
          </w:tcPr>
          <w:p w14:paraId="6144BD1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2,72,48,067 </w:t>
            </w:r>
          </w:p>
        </w:tc>
        <w:tc>
          <w:tcPr>
            <w:tcW w:w="50" w:type="pct"/>
            <w:vAlign w:val="center"/>
            <w:hideMark/>
          </w:tcPr>
          <w:p w14:paraId="25174478" w14:textId="77777777" w:rsidR="00467225" w:rsidRPr="00467225" w:rsidRDefault="00467225" w:rsidP="00467225">
            <w:pPr>
              <w:spacing w:before="0" w:after="0" w:line="240" w:lineRule="auto"/>
              <w:jc w:val="left"/>
              <w:rPr>
                <w:sz w:val="20"/>
                <w:szCs w:val="20"/>
                <w:lang w:val="en-IN"/>
              </w:rPr>
            </w:pPr>
          </w:p>
        </w:tc>
      </w:tr>
      <w:tr w:rsidR="00467225" w:rsidRPr="00467225" w14:paraId="33B22AD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1309B7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lastRenderedPageBreak/>
              <w:t>"Return on Invested Capital (ROIC)"</w:t>
            </w:r>
          </w:p>
        </w:tc>
        <w:tc>
          <w:tcPr>
            <w:tcW w:w="1302" w:type="pct"/>
            <w:vMerge/>
            <w:tcBorders>
              <w:top w:val="nil"/>
              <w:left w:val="single" w:sz="4" w:space="0" w:color="auto"/>
              <w:bottom w:val="single" w:sz="4" w:space="0" w:color="auto"/>
              <w:right w:val="single" w:sz="4" w:space="0" w:color="auto"/>
            </w:tcBorders>
            <w:vAlign w:val="center"/>
            <w:hideMark/>
          </w:tcPr>
          <w:p w14:paraId="10C88C1B"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78B3AEE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0.06</w:t>
            </w:r>
          </w:p>
        </w:tc>
        <w:tc>
          <w:tcPr>
            <w:tcW w:w="509" w:type="pct"/>
            <w:tcBorders>
              <w:top w:val="nil"/>
              <w:left w:val="nil"/>
              <w:bottom w:val="single" w:sz="4" w:space="0" w:color="auto"/>
              <w:right w:val="single" w:sz="4" w:space="0" w:color="auto"/>
            </w:tcBorders>
            <w:shd w:val="clear" w:color="000000" w:fill="FFFFFF"/>
            <w:noWrap/>
            <w:vAlign w:val="bottom"/>
            <w:hideMark/>
          </w:tcPr>
          <w:p w14:paraId="204A2F4F"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9" w:type="pct"/>
            <w:tcBorders>
              <w:top w:val="nil"/>
              <w:left w:val="nil"/>
              <w:bottom w:val="single" w:sz="4" w:space="0" w:color="auto"/>
              <w:right w:val="single" w:sz="4" w:space="0" w:color="auto"/>
            </w:tcBorders>
            <w:shd w:val="clear" w:color="000000" w:fill="FFFFFF"/>
            <w:noWrap/>
            <w:vAlign w:val="bottom"/>
            <w:hideMark/>
          </w:tcPr>
          <w:p w14:paraId="5905BD8B"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0.05</w:t>
            </w:r>
          </w:p>
        </w:tc>
        <w:tc>
          <w:tcPr>
            <w:tcW w:w="509" w:type="pct"/>
            <w:tcBorders>
              <w:top w:val="nil"/>
              <w:left w:val="nil"/>
              <w:bottom w:val="single" w:sz="4" w:space="0" w:color="auto"/>
              <w:right w:val="single" w:sz="4" w:space="0" w:color="auto"/>
            </w:tcBorders>
            <w:shd w:val="clear" w:color="000000" w:fill="FFFFFF"/>
            <w:noWrap/>
            <w:vAlign w:val="bottom"/>
            <w:hideMark/>
          </w:tcPr>
          <w:p w14:paraId="4C456126"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9" w:type="pct"/>
            <w:tcBorders>
              <w:top w:val="nil"/>
              <w:left w:val="nil"/>
              <w:bottom w:val="single" w:sz="4" w:space="0" w:color="auto"/>
              <w:right w:val="single" w:sz="4" w:space="0" w:color="auto"/>
            </w:tcBorders>
            <w:shd w:val="clear" w:color="000000" w:fill="FFFFFF"/>
            <w:noWrap/>
            <w:vAlign w:val="bottom"/>
            <w:hideMark/>
          </w:tcPr>
          <w:p w14:paraId="1CACDEFA"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0.04</w:t>
            </w:r>
          </w:p>
        </w:tc>
        <w:tc>
          <w:tcPr>
            <w:tcW w:w="50" w:type="pct"/>
            <w:vAlign w:val="center"/>
            <w:hideMark/>
          </w:tcPr>
          <w:p w14:paraId="2EF2CD13" w14:textId="77777777" w:rsidR="00467225" w:rsidRPr="00467225" w:rsidRDefault="00467225" w:rsidP="00467225">
            <w:pPr>
              <w:spacing w:before="0" w:after="0" w:line="240" w:lineRule="auto"/>
              <w:jc w:val="left"/>
              <w:rPr>
                <w:sz w:val="20"/>
                <w:szCs w:val="20"/>
                <w:lang w:val="en-IN"/>
              </w:rPr>
            </w:pPr>
          </w:p>
        </w:tc>
      </w:tr>
      <w:tr w:rsidR="00467225" w:rsidRPr="00467225" w14:paraId="58DAC3E0" w14:textId="77777777" w:rsidTr="00467225">
        <w:trPr>
          <w:trHeight w:val="312"/>
          <w:jc w:val="center"/>
        </w:trPr>
        <w:tc>
          <w:tcPr>
            <w:tcW w:w="4950" w:type="pct"/>
            <w:gridSpan w:val="7"/>
            <w:vMerge w:val="restart"/>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55226B3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"Cash Flow Ratios"</w:t>
            </w:r>
          </w:p>
        </w:tc>
        <w:tc>
          <w:tcPr>
            <w:tcW w:w="50" w:type="pct"/>
            <w:vAlign w:val="center"/>
            <w:hideMark/>
          </w:tcPr>
          <w:p w14:paraId="2479345E" w14:textId="77777777" w:rsidR="00467225" w:rsidRPr="00467225" w:rsidRDefault="00467225" w:rsidP="00467225">
            <w:pPr>
              <w:spacing w:before="0" w:after="0" w:line="240" w:lineRule="auto"/>
              <w:jc w:val="left"/>
              <w:rPr>
                <w:sz w:val="20"/>
                <w:szCs w:val="20"/>
                <w:lang w:val="en-IN"/>
              </w:rPr>
            </w:pPr>
          </w:p>
        </w:tc>
      </w:tr>
      <w:tr w:rsidR="00467225" w:rsidRPr="00467225" w14:paraId="5880ABF2" w14:textId="77777777" w:rsidTr="00467225">
        <w:trPr>
          <w:trHeight w:val="312"/>
          <w:jc w:val="center"/>
        </w:trPr>
        <w:tc>
          <w:tcPr>
            <w:tcW w:w="4950" w:type="pct"/>
            <w:gridSpan w:val="7"/>
            <w:vMerge/>
            <w:tcBorders>
              <w:top w:val="single" w:sz="4" w:space="0" w:color="auto"/>
              <w:left w:val="single" w:sz="4" w:space="0" w:color="auto"/>
              <w:bottom w:val="single" w:sz="4" w:space="0" w:color="auto"/>
              <w:right w:val="single" w:sz="4" w:space="0" w:color="auto"/>
            </w:tcBorders>
            <w:vAlign w:val="center"/>
            <w:hideMark/>
          </w:tcPr>
          <w:p w14:paraId="5B995E63" w14:textId="77777777" w:rsidR="00467225" w:rsidRPr="00467225" w:rsidRDefault="00467225" w:rsidP="00467225">
            <w:pPr>
              <w:spacing w:before="0" w:after="0" w:line="240" w:lineRule="auto"/>
              <w:jc w:val="left"/>
              <w:rPr>
                <w:rFonts w:ascii="Arial" w:hAnsi="Arial" w:cs="Arial"/>
                <w:b/>
                <w:bCs/>
                <w:color w:val="000000"/>
                <w:lang w:val="en-IN"/>
              </w:rPr>
            </w:pPr>
          </w:p>
        </w:tc>
        <w:tc>
          <w:tcPr>
            <w:tcW w:w="50" w:type="pct"/>
            <w:tcBorders>
              <w:top w:val="nil"/>
              <w:left w:val="nil"/>
              <w:bottom w:val="nil"/>
              <w:right w:val="nil"/>
            </w:tcBorders>
            <w:noWrap/>
            <w:vAlign w:val="bottom"/>
            <w:hideMark/>
          </w:tcPr>
          <w:p w14:paraId="25C6D907" w14:textId="77777777" w:rsidR="00467225" w:rsidRPr="00467225" w:rsidRDefault="00467225" w:rsidP="00467225">
            <w:pPr>
              <w:spacing w:before="0" w:after="0" w:line="240" w:lineRule="auto"/>
              <w:jc w:val="center"/>
              <w:rPr>
                <w:rFonts w:ascii="Arial" w:hAnsi="Arial" w:cs="Arial"/>
                <w:b/>
                <w:bCs/>
                <w:color w:val="000000"/>
                <w:lang w:val="en-IN"/>
              </w:rPr>
            </w:pPr>
          </w:p>
        </w:tc>
      </w:tr>
      <w:tr w:rsidR="00467225" w:rsidRPr="00467225" w14:paraId="0572EAC0"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514AEA"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Cash Flow Ratio"</w:t>
            </w:r>
          </w:p>
        </w:tc>
        <w:tc>
          <w:tcPr>
            <w:tcW w:w="50" w:type="pct"/>
            <w:vAlign w:val="center"/>
            <w:hideMark/>
          </w:tcPr>
          <w:p w14:paraId="58B3D157" w14:textId="77777777" w:rsidR="00467225" w:rsidRPr="00467225" w:rsidRDefault="00467225" w:rsidP="00467225">
            <w:pPr>
              <w:spacing w:before="0" w:after="0" w:line="240" w:lineRule="auto"/>
              <w:jc w:val="left"/>
              <w:rPr>
                <w:sz w:val="20"/>
                <w:szCs w:val="20"/>
                <w:lang w:val="en-IN"/>
              </w:rPr>
            </w:pPr>
          </w:p>
        </w:tc>
      </w:tr>
      <w:tr w:rsidR="00467225" w:rsidRPr="00467225" w14:paraId="59B52735"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4A469B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5277900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4FDC54F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52B5A449"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1D6C62B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6213799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202C8CC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68211F28" w14:textId="77777777" w:rsidR="00467225" w:rsidRPr="00467225" w:rsidRDefault="00467225" w:rsidP="00467225">
            <w:pPr>
              <w:spacing w:before="0" w:after="0" w:line="240" w:lineRule="auto"/>
              <w:jc w:val="left"/>
              <w:rPr>
                <w:sz w:val="20"/>
                <w:szCs w:val="20"/>
                <w:lang w:val="en-IN"/>
              </w:rPr>
            </w:pPr>
          </w:p>
        </w:tc>
      </w:tr>
      <w:tr w:rsidR="00467225" w:rsidRPr="00467225" w14:paraId="00D00CEC"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5AE08C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"Operating Cash Flow"</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5092883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Cash Flow/Current Liabilities)"</w:t>
            </w:r>
          </w:p>
        </w:tc>
        <w:tc>
          <w:tcPr>
            <w:tcW w:w="509" w:type="pct"/>
            <w:tcBorders>
              <w:top w:val="nil"/>
              <w:left w:val="nil"/>
              <w:bottom w:val="single" w:sz="4" w:space="0" w:color="auto"/>
              <w:right w:val="single" w:sz="4" w:space="0" w:color="auto"/>
            </w:tcBorders>
            <w:noWrap/>
            <w:vAlign w:val="bottom"/>
            <w:hideMark/>
          </w:tcPr>
          <w:p w14:paraId="207F7C7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42,06,373 </w:t>
            </w:r>
          </w:p>
        </w:tc>
        <w:tc>
          <w:tcPr>
            <w:tcW w:w="509" w:type="pct"/>
            <w:tcBorders>
              <w:top w:val="nil"/>
              <w:left w:val="nil"/>
              <w:bottom w:val="single" w:sz="4" w:space="0" w:color="auto"/>
              <w:right w:val="single" w:sz="4" w:space="0" w:color="auto"/>
            </w:tcBorders>
            <w:noWrap/>
            <w:vAlign w:val="bottom"/>
            <w:hideMark/>
          </w:tcPr>
          <w:p w14:paraId="55D7CC8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29,55,076 </w:t>
            </w:r>
          </w:p>
        </w:tc>
        <w:tc>
          <w:tcPr>
            <w:tcW w:w="509" w:type="pct"/>
            <w:tcBorders>
              <w:top w:val="nil"/>
              <w:left w:val="nil"/>
              <w:bottom w:val="single" w:sz="4" w:space="0" w:color="auto"/>
              <w:right w:val="single" w:sz="4" w:space="0" w:color="auto"/>
            </w:tcBorders>
            <w:noWrap/>
            <w:vAlign w:val="bottom"/>
            <w:hideMark/>
          </w:tcPr>
          <w:p w14:paraId="52CF5B2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37,22,615 </w:t>
            </w:r>
          </w:p>
        </w:tc>
        <w:tc>
          <w:tcPr>
            <w:tcW w:w="509" w:type="pct"/>
            <w:tcBorders>
              <w:top w:val="nil"/>
              <w:left w:val="nil"/>
              <w:bottom w:val="single" w:sz="4" w:space="0" w:color="auto"/>
              <w:right w:val="single" w:sz="4" w:space="0" w:color="auto"/>
            </w:tcBorders>
            <w:noWrap/>
            <w:vAlign w:val="bottom"/>
            <w:hideMark/>
          </w:tcPr>
          <w:p w14:paraId="77E97CE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27,27,162 </w:t>
            </w:r>
          </w:p>
        </w:tc>
        <w:tc>
          <w:tcPr>
            <w:tcW w:w="509" w:type="pct"/>
            <w:tcBorders>
              <w:top w:val="nil"/>
              <w:left w:val="nil"/>
              <w:bottom w:val="single" w:sz="4" w:space="0" w:color="auto"/>
              <w:right w:val="single" w:sz="4" w:space="0" w:color="auto"/>
            </w:tcBorders>
            <w:noWrap/>
            <w:vAlign w:val="bottom"/>
            <w:hideMark/>
          </w:tcPr>
          <w:p w14:paraId="536A770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35,90,643 </w:t>
            </w:r>
          </w:p>
        </w:tc>
        <w:tc>
          <w:tcPr>
            <w:tcW w:w="50" w:type="pct"/>
            <w:vAlign w:val="center"/>
            <w:hideMark/>
          </w:tcPr>
          <w:p w14:paraId="3665F761" w14:textId="77777777" w:rsidR="00467225" w:rsidRPr="00467225" w:rsidRDefault="00467225" w:rsidP="00467225">
            <w:pPr>
              <w:spacing w:before="0" w:after="0" w:line="240" w:lineRule="auto"/>
              <w:jc w:val="left"/>
              <w:rPr>
                <w:sz w:val="20"/>
                <w:szCs w:val="20"/>
                <w:lang w:val="en-IN"/>
              </w:rPr>
            </w:pPr>
          </w:p>
        </w:tc>
      </w:tr>
      <w:tr w:rsidR="00467225" w:rsidRPr="00467225" w14:paraId="6F3DD33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88C748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Current Liabilities"</w:t>
            </w:r>
          </w:p>
        </w:tc>
        <w:tc>
          <w:tcPr>
            <w:tcW w:w="1302" w:type="pct"/>
            <w:vMerge/>
            <w:tcBorders>
              <w:top w:val="nil"/>
              <w:left w:val="single" w:sz="4" w:space="0" w:color="auto"/>
              <w:bottom w:val="single" w:sz="4" w:space="0" w:color="auto"/>
              <w:right w:val="single" w:sz="4" w:space="0" w:color="auto"/>
            </w:tcBorders>
            <w:vAlign w:val="center"/>
            <w:hideMark/>
          </w:tcPr>
          <w:p w14:paraId="4F60359E"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8F5BF0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2,91,77,909 </w:t>
            </w:r>
          </w:p>
        </w:tc>
        <w:tc>
          <w:tcPr>
            <w:tcW w:w="509" w:type="pct"/>
            <w:tcBorders>
              <w:top w:val="nil"/>
              <w:left w:val="nil"/>
              <w:bottom w:val="single" w:sz="4" w:space="0" w:color="auto"/>
              <w:right w:val="single" w:sz="4" w:space="0" w:color="auto"/>
            </w:tcBorders>
            <w:shd w:val="clear" w:color="000000" w:fill="FFFFFF"/>
            <w:noWrap/>
            <w:vAlign w:val="bottom"/>
            <w:hideMark/>
          </w:tcPr>
          <w:p w14:paraId="46AE0DB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2,39,59,715 </w:t>
            </w:r>
          </w:p>
        </w:tc>
        <w:tc>
          <w:tcPr>
            <w:tcW w:w="509" w:type="pct"/>
            <w:tcBorders>
              <w:top w:val="nil"/>
              <w:left w:val="nil"/>
              <w:bottom w:val="single" w:sz="4" w:space="0" w:color="auto"/>
              <w:right w:val="single" w:sz="4" w:space="0" w:color="auto"/>
            </w:tcBorders>
            <w:shd w:val="clear" w:color="000000" w:fill="FFFFFF"/>
            <w:noWrap/>
            <w:vAlign w:val="bottom"/>
            <w:hideMark/>
          </w:tcPr>
          <w:p w14:paraId="1E51ED3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2,18,42,161 </w:t>
            </w:r>
          </w:p>
        </w:tc>
        <w:tc>
          <w:tcPr>
            <w:tcW w:w="509" w:type="pct"/>
            <w:tcBorders>
              <w:top w:val="nil"/>
              <w:left w:val="nil"/>
              <w:bottom w:val="single" w:sz="4" w:space="0" w:color="auto"/>
              <w:right w:val="single" w:sz="4" w:space="0" w:color="auto"/>
            </w:tcBorders>
            <w:shd w:val="clear" w:color="000000" w:fill="FFFFFF"/>
            <w:noWrap/>
            <w:vAlign w:val="bottom"/>
            <w:hideMark/>
          </w:tcPr>
          <w:p w14:paraId="480643DA"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2,14,60,466 </w:t>
            </w:r>
          </w:p>
        </w:tc>
        <w:tc>
          <w:tcPr>
            <w:tcW w:w="509" w:type="pct"/>
            <w:tcBorders>
              <w:top w:val="nil"/>
              <w:left w:val="nil"/>
              <w:bottom w:val="single" w:sz="4" w:space="0" w:color="auto"/>
              <w:right w:val="single" w:sz="4" w:space="0" w:color="auto"/>
            </w:tcBorders>
            <w:shd w:val="clear" w:color="000000" w:fill="FFFFFF"/>
            <w:noWrap/>
            <w:vAlign w:val="bottom"/>
            <w:hideMark/>
          </w:tcPr>
          <w:p w14:paraId="3365D91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1,79,02,377 </w:t>
            </w:r>
          </w:p>
        </w:tc>
        <w:tc>
          <w:tcPr>
            <w:tcW w:w="50" w:type="pct"/>
            <w:vAlign w:val="center"/>
            <w:hideMark/>
          </w:tcPr>
          <w:p w14:paraId="6546FBFC" w14:textId="77777777" w:rsidR="00467225" w:rsidRPr="00467225" w:rsidRDefault="00467225" w:rsidP="00467225">
            <w:pPr>
              <w:spacing w:before="0" w:after="0" w:line="240" w:lineRule="auto"/>
              <w:jc w:val="left"/>
              <w:rPr>
                <w:sz w:val="20"/>
                <w:szCs w:val="20"/>
                <w:lang w:val="en-IN"/>
              </w:rPr>
            </w:pPr>
          </w:p>
        </w:tc>
      </w:tr>
      <w:tr w:rsidR="00467225" w:rsidRPr="00467225" w14:paraId="5858453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1DC57DF"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"Operating Cash Flow Ratio"</w:t>
            </w:r>
          </w:p>
        </w:tc>
        <w:tc>
          <w:tcPr>
            <w:tcW w:w="1302" w:type="pct"/>
            <w:vMerge/>
            <w:tcBorders>
              <w:top w:val="nil"/>
              <w:left w:val="single" w:sz="4" w:space="0" w:color="auto"/>
              <w:bottom w:val="single" w:sz="4" w:space="0" w:color="auto"/>
              <w:right w:val="single" w:sz="4" w:space="0" w:color="auto"/>
            </w:tcBorders>
            <w:vAlign w:val="center"/>
            <w:hideMark/>
          </w:tcPr>
          <w:p w14:paraId="6D23C1BA"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0FCBF3D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0.14</w:t>
            </w:r>
          </w:p>
        </w:tc>
        <w:tc>
          <w:tcPr>
            <w:tcW w:w="509" w:type="pct"/>
            <w:tcBorders>
              <w:top w:val="nil"/>
              <w:left w:val="nil"/>
              <w:bottom w:val="single" w:sz="4" w:space="0" w:color="auto"/>
              <w:right w:val="single" w:sz="4" w:space="0" w:color="auto"/>
            </w:tcBorders>
            <w:shd w:val="clear" w:color="000000" w:fill="FFFFFF"/>
            <w:noWrap/>
            <w:vAlign w:val="bottom"/>
            <w:hideMark/>
          </w:tcPr>
          <w:p w14:paraId="1E56F8F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0.12</w:t>
            </w:r>
          </w:p>
        </w:tc>
        <w:tc>
          <w:tcPr>
            <w:tcW w:w="509" w:type="pct"/>
            <w:tcBorders>
              <w:top w:val="nil"/>
              <w:left w:val="nil"/>
              <w:bottom w:val="single" w:sz="4" w:space="0" w:color="auto"/>
              <w:right w:val="single" w:sz="4" w:space="0" w:color="auto"/>
            </w:tcBorders>
            <w:shd w:val="clear" w:color="000000" w:fill="FFFFFF"/>
            <w:noWrap/>
            <w:vAlign w:val="bottom"/>
            <w:hideMark/>
          </w:tcPr>
          <w:p w14:paraId="099AF95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0.17</w:t>
            </w:r>
          </w:p>
        </w:tc>
        <w:tc>
          <w:tcPr>
            <w:tcW w:w="509" w:type="pct"/>
            <w:tcBorders>
              <w:top w:val="nil"/>
              <w:left w:val="nil"/>
              <w:bottom w:val="single" w:sz="4" w:space="0" w:color="auto"/>
              <w:right w:val="single" w:sz="4" w:space="0" w:color="auto"/>
            </w:tcBorders>
            <w:shd w:val="clear" w:color="000000" w:fill="FFFFFF"/>
            <w:noWrap/>
            <w:vAlign w:val="bottom"/>
            <w:hideMark/>
          </w:tcPr>
          <w:p w14:paraId="195C9357"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0.13</w:t>
            </w:r>
          </w:p>
        </w:tc>
        <w:tc>
          <w:tcPr>
            <w:tcW w:w="509" w:type="pct"/>
            <w:tcBorders>
              <w:top w:val="nil"/>
              <w:left w:val="nil"/>
              <w:bottom w:val="single" w:sz="4" w:space="0" w:color="auto"/>
              <w:right w:val="single" w:sz="4" w:space="0" w:color="auto"/>
            </w:tcBorders>
            <w:shd w:val="clear" w:color="000000" w:fill="FFFFFF"/>
            <w:noWrap/>
            <w:vAlign w:val="bottom"/>
            <w:hideMark/>
          </w:tcPr>
          <w:p w14:paraId="0F8D3970"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0.20</w:t>
            </w:r>
          </w:p>
        </w:tc>
        <w:tc>
          <w:tcPr>
            <w:tcW w:w="50" w:type="pct"/>
            <w:vAlign w:val="center"/>
            <w:hideMark/>
          </w:tcPr>
          <w:p w14:paraId="37E14672" w14:textId="77777777" w:rsidR="00467225" w:rsidRPr="00467225" w:rsidRDefault="00467225" w:rsidP="00467225">
            <w:pPr>
              <w:spacing w:before="0" w:after="0" w:line="240" w:lineRule="auto"/>
              <w:jc w:val="left"/>
              <w:rPr>
                <w:sz w:val="20"/>
                <w:szCs w:val="20"/>
                <w:lang w:val="en-IN"/>
              </w:rPr>
            </w:pPr>
          </w:p>
        </w:tc>
      </w:tr>
      <w:tr w:rsidR="00467225" w:rsidRPr="00467225" w14:paraId="5EA444C8"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63A1CC"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0242FB03" w14:textId="77777777" w:rsidR="00467225" w:rsidRPr="00467225" w:rsidRDefault="00467225" w:rsidP="00467225">
            <w:pPr>
              <w:spacing w:before="0" w:after="0" w:line="240" w:lineRule="auto"/>
              <w:jc w:val="left"/>
              <w:rPr>
                <w:sz w:val="20"/>
                <w:szCs w:val="20"/>
                <w:lang w:val="en-IN"/>
              </w:rPr>
            </w:pPr>
          </w:p>
        </w:tc>
      </w:tr>
      <w:tr w:rsidR="00467225" w:rsidRPr="00467225" w14:paraId="056B7A50"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EF8A51"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"Cash Flow to Debt Ratio"</w:t>
            </w:r>
          </w:p>
        </w:tc>
        <w:tc>
          <w:tcPr>
            <w:tcW w:w="50" w:type="pct"/>
            <w:vAlign w:val="center"/>
            <w:hideMark/>
          </w:tcPr>
          <w:p w14:paraId="269A3838" w14:textId="77777777" w:rsidR="00467225" w:rsidRPr="00467225" w:rsidRDefault="00467225" w:rsidP="00467225">
            <w:pPr>
              <w:spacing w:before="0" w:after="0" w:line="240" w:lineRule="auto"/>
              <w:jc w:val="left"/>
              <w:rPr>
                <w:sz w:val="20"/>
                <w:szCs w:val="20"/>
                <w:lang w:val="en-IN"/>
              </w:rPr>
            </w:pPr>
          </w:p>
        </w:tc>
      </w:tr>
      <w:tr w:rsidR="00467225" w:rsidRPr="00467225" w14:paraId="2E4B112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07400AD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3EED4B73"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3074571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7A3DDEC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3299495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3D9EA987"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0ADA789D"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7A51C6F8" w14:textId="77777777" w:rsidR="00467225" w:rsidRPr="00467225" w:rsidRDefault="00467225" w:rsidP="00467225">
            <w:pPr>
              <w:spacing w:before="0" w:after="0" w:line="240" w:lineRule="auto"/>
              <w:jc w:val="left"/>
              <w:rPr>
                <w:sz w:val="20"/>
                <w:szCs w:val="20"/>
                <w:lang w:val="en-IN"/>
              </w:rPr>
            </w:pPr>
          </w:p>
        </w:tc>
      </w:tr>
      <w:tr w:rsidR="00467225" w:rsidRPr="00467225" w14:paraId="4435C0D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0DED99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"Operating Cash Flow"</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504D70E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Cash Flow/Total Debt)"</w:t>
            </w:r>
          </w:p>
        </w:tc>
        <w:tc>
          <w:tcPr>
            <w:tcW w:w="509" w:type="pct"/>
            <w:tcBorders>
              <w:top w:val="nil"/>
              <w:left w:val="nil"/>
              <w:bottom w:val="single" w:sz="4" w:space="0" w:color="auto"/>
              <w:right w:val="single" w:sz="4" w:space="0" w:color="auto"/>
            </w:tcBorders>
            <w:shd w:val="clear" w:color="000000" w:fill="FFFFFF"/>
            <w:noWrap/>
            <w:vAlign w:val="bottom"/>
            <w:hideMark/>
          </w:tcPr>
          <w:p w14:paraId="45F251D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42,06,373 </w:t>
            </w:r>
          </w:p>
        </w:tc>
        <w:tc>
          <w:tcPr>
            <w:tcW w:w="509" w:type="pct"/>
            <w:tcBorders>
              <w:top w:val="nil"/>
              <w:left w:val="nil"/>
              <w:bottom w:val="single" w:sz="4" w:space="0" w:color="auto"/>
              <w:right w:val="single" w:sz="4" w:space="0" w:color="auto"/>
            </w:tcBorders>
            <w:shd w:val="clear" w:color="000000" w:fill="FFFFFF"/>
            <w:noWrap/>
            <w:vAlign w:val="bottom"/>
            <w:hideMark/>
          </w:tcPr>
          <w:p w14:paraId="7C39CCB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29,55,076 </w:t>
            </w:r>
          </w:p>
        </w:tc>
        <w:tc>
          <w:tcPr>
            <w:tcW w:w="509" w:type="pct"/>
            <w:tcBorders>
              <w:top w:val="nil"/>
              <w:left w:val="nil"/>
              <w:bottom w:val="single" w:sz="4" w:space="0" w:color="auto"/>
              <w:right w:val="single" w:sz="4" w:space="0" w:color="auto"/>
            </w:tcBorders>
            <w:shd w:val="clear" w:color="000000" w:fill="FFFFFF"/>
            <w:noWrap/>
            <w:vAlign w:val="bottom"/>
            <w:hideMark/>
          </w:tcPr>
          <w:p w14:paraId="506E6F4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37,22,615 </w:t>
            </w:r>
          </w:p>
        </w:tc>
        <w:tc>
          <w:tcPr>
            <w:tcW w:w="509" w:type="pct"/>
            <w:tcBorders>
              <w:top w:val="nil"/>
              <w:left w:val="nil"/>
              <w:bottom w:val="single" w:sz="4" w:space="0" w:color="auto"/>
              <w:right w:val="single" w:sz="4" w:space="0" w:color="auto"/>
            </w:tcBorders>
            <w:shd w:val="clear" w:color="000000" w:fill="FFFFFF"/>
            <w:noWrap/>
            <w:vAlign w:val="bottom"/>
            <w:hideMark/>
          </w:tcPr>
          <w:p w14:paraId="37AED91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27,27,162 </w:t>
            </w:r>
          </w:p>
        </w:tc>
        <w:tc>
          <w:tcPr>
            <w:tcW w:w="509" w:type="pct"/>
            <w:tcBorders>
              <w:top w:val="nil"/>
              <w:left w:val="nil"/>
              <w:bottom w:val="single" w:sz="4" w:space="0" w:color="auto"/>
              <w:right w:val="single" w:sz="4" w:space="0" w:color="auto"/>
            </w:tcBorders>
            <w:shd w:val="clear" w:color="000000" w:fill="FFFFFF"/>
            <w:noWrap/>
            <w:vAlign w:val="bottom"/>
            <w:hideMark/>
          </w:tcPr>
          <w:p w14:paraId="49CA53D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35,90,643 </w:t>
            </w:r>
          </w:p>
        </w:tc>
        <w:tc>
          <w:tcPr>
            <w:tcW w:w="50" w:type="pct"/>
            <w:vAlign w:val="center"/>
            <w:hideMark/>
          </w:tcPr>
          <w:p w14:paraId="71FE4F51" w14:textId="77777777" w:rsidR="00467225" w:rsidRPr="00467225" w:rsidRDefault="00467225" w:rsidP="00467225">
            <w:pPr>
              <w:spacing w:before="0" w:after="0" w:line="240" w:lineRule="auto"/>
              <w:jc w:val="left"/>
              <w:rPr>
                <w:sz w:val="20"/>
                <w:szCs w:val="20"/>
                <w:lang w:val="en-IN"/>
              </w:rPr>
            </w:pPr>
          </w:p>
        </w:tc>
      </w:tr>
      <w:tr w:rsidR="00467225" w:rsidRPr="00467225" w14:paraId="3F1BC33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D3335C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Total Debt"</w:t>
            </w:r>
          </w:p>
        </w:tc>
        <w:tc>
          <w:tcPr>
            <w:tcW w:w="1302" w:type="pct"/>
            <w:vMerge/>
            <w:tcBorders>
              <w:top w:val="nil"/>
              <w:left w:val="single" w:sz="4" w:space="0" w:color="auto"/>
              <w:bottom w:val="single" w:sz="4" w:space="0" w:color="auto"/>
              <w:right w:val="single" w:sz="4" w:space="0" w:color="auto"/>
            </w:tcBorders>
            <w:vAlign w:val="center"/>
            <w:hideMark/>
          </w:tcPr>
          <w:p w14:paraId="10A3901B"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6DDC09B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5,48,74,958 </w:t>
            </w:r>
          </w:p>
        </w:tc>
        <w:tc>
          <w:tcPr>
            <w:tcW w:w="509" w:type="pct"/>
            <w:tcBorders>
              <w:top w:val="nil"/>
              <w:left w:val="nil"/>
              <w:bottom w:val="single" w:sz="4" w:space="0" w:color="auto"/>
              <w:right w:val="single" w:sz="4" w:space="0" w:color="auto"/>
            </w:tcBorders>
            <w:shd w:val="clear" w:color="000000" w:fill="FFFFFF"/>
            <w:noWrap/>
            <w:vAlign w:val="bottom"/>
            <w:hideMark/>
          </w:tcPr>
          <w:p w14:paraId="2D6E7EC3"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4,50,38,967 </w:t>
            </w:r>
          </w:p>
        </w:tc>
        <w:tc>
          <w:tcPr>
            <w:tcW w:w="509" w:type="pct"/>
            <w:tcBorders>
              <w:top w:val="nil"/>
              <w:left w:val="nil"/>
              <w:bottom w:val="single" w:sz="4" w:space="0" w:color="auto"/>
              <w:right w:val="single" w:sz="4" w:space="0" w:color="auto"/>
            </w:tcBorders>
            <w:shd w:val="clear" w:color="000000" w:fill="FFFFFF"/>
            <w:noWrap/>
            <w:vAlign w:val="bottom"/>
            <w:hideMark/>
          </w:tcPr>
          <w:p w14:paraId="0301D64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4,05,33,951 </w:t>
            </w:r>
          </w:p>
        </w:tc>
        <w:tc>
          <w:tcPr>
            <w:tcW w:w="509" w:type="pct"/>
            <w:tcBorders>
              <w:top w:val="nil"/>
              <w:left w:val="nil"/>
              <w:bottom w:val="single" w:sz="4" w:space="0" w:color="auto"/>
              <w:right w:val="single" w:sz="4" w:space="0" w:color="auto"/>
            </w:tcBorders>
            <w:shd w:val="clear" w:color="000000" w:fill="FFFFFF"/>
            <w:noWrap/>
            <w:vAlign w:val="bottom"/>
            <w:hideMark/>
          </w:tcPr>
          <w:p w14:paraId="7886610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3,79,78,811 </w:t>
            </w:r>
          </w:p>
        </w:tc>
        <w:tc>
          <w:tcPr>
            <w:tcW w:w="509" w:type="pct"/>
            <w:tcBorders>
              <w:top w:val="nil"/>
              <w:left w:val="nil"/>
              <w:bottom w:val="single" w:sz="4" w:space="0" w:color="auto"/>
              <w:right w:val="single" w:sz="4" w:space="0" w:color="auto"/>
            </w:tcBorders>
            <w:shd w:val="clear" w:color="000000" w:fill="FFFFFF"/>
            <w:noWrap/>
            <w:vAlign w:val="bottom"/>
            <w:hideMark/>
          </w:tcPr>
          <w:p w14:paraId="5644E6F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3,14,38,585 </w:t>
            </w:r>
          </w:p>
        </w:tc>
        <w:tc>
          <w:tcPr>
            <w:tcW w:w="50" w:type="pct"/>
            <w:vAlign w:val="center"/>
            <w:hideMark/>
          </w:tcPr>
          <w:p w14:paraId="2C5E7784" w14:textId="77777777" w:rsidR="00467225" w:rsidRPr="00467225" w:rsidRDefault="00467225" w:rsidP="00467225">
            <w:pPr>
              <w:spacing w:before="0" w:after="0" w:line="240" w:lineRule="auto"/>
              <w:jc w:val="left"/>
              <w:rPr>
                <w:sz w:val="20"/>
                <w:szCs w:val="20"/>
                <w:lang w:val="en-IN"/>
              </w:rPr>
            </w:pPr>
          </w:p>
        </w:tc>
      </w:tr>
      <w:tr w:rsidR="00467225" w:rsidRPr="00467225" w14:paraId="77D4B012"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71DF585"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"Cash Flow to Debt Ratio"</w:t>
            </w:r>
          </w:p>
        </w:tc>
        <w:tc>
          <w:tcPr>
            <w:tcW w:w="1302" w:type="pct"/>
            <w:vMerge/>
            <w:tcBorders>
              <w:top w:val="nil"/>
              <w:left w:val="single" w:sz="4" w:space="0" w:color="auto"/>
              <w:bottom w:val="single" w:sz="4" w:space="0" w:color="auto"/>
              <w:right w:val="single" w:sz="4" w:space="0" w:color="auto"/>
            </w:tcBorders>
            <w:vAlign w:val="center"/>
            <w:hideMark/>
          </w:tcPr>
          <w:p w14:paraId="4360BA8B"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70E14E6B"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0.08</w:t>
            </w:r>
          </w:p>
        </w:tc>
        <w:tc>
          <w:tcPr>
            <w:tcW w:w="509" w:type="pct"/>
            <w:tcBorders>
              <w:top w:val="nil"/>
              <w:left w:val="nil"/>
              <w:bottom w:val="single" w:sz="4" w:space="0" w:color="auto"/>
              <w:right w:val="single" w:sz="4" w:space="0" w:color="auto"/>
            </w:tcBorders>
            <w:shd w:val="clear" w:color="000000" w:fill="FFFFFF"/>
            <w:noWrap/>
            <w:vAlign w:val="bottom"/>
            <w:hideMark/>
          </w:tcPr>
          <w:p w14:paraId="0E8A5C9B"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0.07</w:t>
            </w:r>
          </w:p>
        </w:tc>
        <w:tc>
          <w:tcPr>
            <w:tcW w:w="509" w:type="pct"/>
            <w:tcBorders>
              <w:top w:val="nil"/>
              <w:left w:val="nil"/>
              <w:bottom w:val="single" w:sz="4" w:space="0" w:color="auto"/>
              <w:right w:val="single" w:sz="4" w:space="0" w:color="auto"/>
            </w:tcBorders>
            <w:shd w:val="clear" w:color="000000" w:fill="FFFFFF"/>
            <w:noWrap/>
            <w:vAlign w:val="bottom"/>
            <w:hideMark/>
          </w:tcPr>
          <w:p w14:paraId="6D0F51FD"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0.09</w:t>
            </w:r>
          </w:p>
        </w:tc>
        <w:tc>
          <w:tcPr>
            <w:tcW w:w="509" w:type="pct"/>
            <w:tcBorders>
              <w:top w:val="nil"/>
              <w:left w:val="nil"/>
              <w:bottom w:val="single" w:sz="4" w:space="0" w:color="auto"/>
              <w:right w:val="single" w:sz="4" w:space="0" w:color="auto"/>
            </w:tcBorders>
            <w:shd w:val="clear" w:color="000000" w:fill="FFFFFF"/>
            <w:noWrap/>
            <w:vAlign w:val="bottom"/>
            <w:hideMark/>
          </w:tcPr>
          <w:p w14:paraId="7FC9532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0.07</w:t>
            </w:r>
          </w:p>
        </w:tc>
        <w:tc>
          <w:tcPr>
            <w:tcW w:w="509" w:type="pct"/>
            <w:tcBorders>
              <w:top w:val="nil"/>
              <w:left w:val="nil"/>
              <w:bottom w:val="single" w:sz="4" w:space="0" w:color="auto"/>
              <w:right w:val="single" w:sz="4" w:space="0" w:color="auto"/>
            </w:tcBorders>
            <w:shd w:val="clear" w:color="000000" w:fill="FFFFFF"/>
            <w:noWrap/>
            <w:vAlign w:val="bottom"/>
            <w:hideMark/>
          </w:tcPr>
          <w:p w14:paraId="69876C3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0.11</w:t>
            </w:r>
          </w:p>
        </w:tc>
        <w:tc>
          <w:tcPr>
            <w:tcW w:w="50" w:type="pct"/>
            <w:vAlign w:val="center"/>
            <w:hideMark/>
          </w:tcPr>
          <w:p w14:paraId="0B4F2F42" w14:textId="77777777" w:rsidR="00467225" w:rsidRPr="00467225" w:rsidRDefault="00467225" w:rsidP="00467225">
            <w:pPr>
              <w:spacing w:before="0" w:after="0" w:line="240" w:lineRule="auto"/>
              <w:jc w:val="left"/>
              <w:rPr>
                <w:sz w:val="20"/>
                <w:szCs w:val="20"/>
                <w:lang w:val="en-IN"/>
              </w:rPr>
            </w:pPr>
          </w:p>
        </w:tc>
      </w:tr>
      <w:tr w:rsidR="00467225" w:rsidRPr="00467225" w14:paraId="440D7C31" w14:textId="77777777" w:rsidTr="00467225">
        <w:trPr>
          <w:trHeight w:val="288"/>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5738C1D"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1302" w:type="pct"/>
            <w:tcBorders>
              <w:top w:val="nil"/>
              <w:left w:val="nil"/>
              <w:bottom w:val="single" w:sz="4" w:space="0" w:color="auto"/>
              <w:right w:val="single" w:sz="4" w:space="0" w:color="auto"/>
            </w:tcBorders>
            <w:shd w:val="clear" w:color="000000" w:fill="FFFFFF"/>
            <w:noWrap/>
            <w:vAlign w:val="bottom"/>
            <w:hideMark/>
          </w:tcPr>
          <w:p w14:paraId="2CD30BD4"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7798EF2"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4D6DA5F7"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0284DC96"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3E0F1087"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9" w:type="pct"/>
            <w:tcBorders>
              <w:top w:val="nil"/>
              <w:left w:val="nil"/>
              <w:bottom w:val="single" w:sz="4" w:space="0" w:color="auto"/>
              <w:right w:val="single" w:sz="4" w:space="0" w:color="auto"/>
            </w:tcBorders>
            <w:shd w:val="clear" w:color="000000" w:fill="FFFFFF"/>
            <w:noWrap/>
            <w:vAlign w:val="bottom"/>
            <w:hideMark/>
          </w:tcPr>
          <w:p w14:paraId="62F9E110" w14:textId="77777777" w:rsidR="00467225" w:rsidRPr="00467225" w:rsidRDefault="00467225" w:rsidP="00467225">
            <w:pPr>
              <w:spacing w:before="0" w:after="0" w:line="240" w:lineRule="auto"/>
              <w:jc w:val="left"/>
              <w:rPr>
                <w:rFonts w:ascii="Aptos Narrow" w:hAnsi="Aptos Narrow"/>
                <w:color w:val="000000"/>
                <w:sz w:val="22"/>
                <w:szCs w:val="22"/>
                <w:lang w:val="en-IN"/>
              </w:rPr>
            </w:pPr>
            <w:r w:rsidRPr="00467225">
              <w:rPr>
                <w:rFonts w:ascii="Aptos Narrow" w:hAnsi="Aptos Narrow"/>
                <w:color w:val="000000"/>
                <w:sz w:val="22"/>
                <w:szCs w:val="22"/>
                <w:lang w:val="en-IN"/>
              </w:rPr>
              <w:t> </w:t>
            </w:r>
          </w:p>
        </w:tc>
        <w:tc>
          <w:tcPr>
            <w:tcW w:w="50" w:type="pct"/>
            <w:vAlign w:val="center"/>
            <w:hideMark/>
          </w:tcPr>
          <w:p w14:paraId="273C0160" w14:textId="77777777" w:rsidR="00467225" w:rsidRPr="00467225" w:rsidRDefault="00467225" w:rsidP="00467225">
            <w:pPr>
              <w:spacing w:before="0" w:after="0" w:line="240" w:lineRule="auto"/>
              <w:jc w:val="left"/>
              <w:rPr>
                <w:sz w:val="20"/>
                <w:szCs w:val="20"/>
                <w:lang w:val="en-IN"/>
              </w:rPr>
            </w:pPr>
          </w:p>
        </w:tc>
      </w:tr>
      <w:tr w:rsidR="00467225" w:rsidRPr="00467225" w14:paraId="7CE9C448"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62461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"Cash Flow Margin"</w:t>
            </w:r>
          </w:p>
        </w:tc>
        <w:tc>
          <w:tcPr>
            <w:tcW w:w="50" w:type="pct"/>
            <w:vAlign w:val="center"/>
            <w:hideMark/>
          </w:tcPr>
          <w:p w14:paraId="59285FA3" w14:textId="77777777" w:rsidR="00467225" w:rsidRPr="00467225" w:rsidRDefault="00467225" w:rsidP="00467225">
            <w:pPr>
              <w:spacing w:before="0" w:after="0" w:line="240" w:lineRule="auto"/>
              <w:jc w:val="left"/>
              <w:rPr>
                <w:sz w:val="20"/>
                <w:szCs w:val="20"/>
                <w:lang w:val="en-IN"/>
              </w:rPr>
            </w:pPr>
          </w:p>
        </w:tc>
      </w:tr>
      <w:tr w:rsidR="00467225" w:rsidRPr="00467225" w14:paraId="554B79D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F1BF6B8"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5ED4AE5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2031DE2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3423889B"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523C7C5F"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757C2F1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3827526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579048F3" w14:textId="77777777" w:rsidR="00467225" w:rsidRPr="00467225" w:rsidRDefault="00467225" w:rsidP="00467225">
            <w:pPr>
              <w:spacing w:before="0" w:after="0" w:line="240" w:lineRule="auto"/>
              <w:jc w:val="left"/>
              <w:rPr>
                <w:sz w:val="20"/>
                <w:szCs w:val="20"/>
                <w:lang w:val="en-IN"/>
              </w:rPr>
            </w:pPr>
          </w:p>
        </w:tc>
      </w:tr>
      <w:tr w:rsidR="00467225" w:rsidRPr="00467225" w14:paraId="280D1A5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4B8D94E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"Operating Cash Flow"</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196486C"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Cash Flow/Sales)"</w:t>
            </w:r>
          </w:p>
        </w:tc>
        <w:tc>
          <w:tcPr>
            <w:tcW w:w="509" w:type="pct"/>
            <w:tcBorders>
              <w:top w:val="nil"/>
              <w:left w:val="nil"/>
              <w:bottom w:val="single" w:sz="4" w:space="0" w:color="auto"/>
              <w:right w:val="single" w:sz="4" w:space="0" w:color="auto"/>
            </w:tcBorders>
            <w:shd w:val="clear" w:color="000000" w:fill="FFFFFF"/>
            <w:noWrap/>
            <w:vAlign w:val="bottom"/>
            <w:hideMark/>
          </w:tcPr>
          <w:p w14:paraId="4D651D4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42,06,373 </w:t>
            </w:r>
          </w:p>
        </w:tc>
        <w:tc>
          <w:tcPr>
            <w:tcW w:w="509" w:type="pct"/>
            <w:tcBorders>
              <w:top w:val="nil"/>
              <w:left w:val="nil"/>
              <w:bottom w:val="single" w:sz="4" w:space="0" w:color="auto"/>
              <w:right w:val="single" w:sz="4" w:space="0" w:color="auto"/>
            </w:tcBorders>
            <w:shd w:val="clear" w:color="000000" w:fill="FFFFFF"/>
            <w:noWrap/>
            <w:vAlign w:val="bottom"/>
            <w:hideMark/>
          </w:tcPr>
          <w:p w14:paraId="3B2199B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29,55,076 </w:t>
            </w:r>
          </w:p>
        </w:tc>
        <w:tc>
          <w:tcPr>
            <w:tcW w:w="509" w:type="pct"/>
            <w:tcBorders>
              <w:top w:val="nil"/>
              <w:left w:val="nil"/>
              <w:bottom w:val="single" w:sz="4" w:space="0" w:color="auto"/>
              <w:right w:val="single" w:sz="4" w:space="0" w:color="auto"/>
            </w:tcBorders>
            <w:shd w:val="clear" w:color="000000" w:fill="FFFFFF"/>
            <w:noWrap/>
            <w:vAlign w:val="bottom"/>
            <w:hideMark/>
          </w:tcPr>
          <w:p w14:paraId="1312E8A9"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37,22,615 </w:t>
            </w:r>
          </w:p>
        </w:tc>
        <w:tc>
          <w:tcPr>
            <w:tcW w:w="509" w:type="pct"/>
            <w:tcBorders>
              <w:top w:val="nil"/>
              <w:left w:val="nil"/>
              <w:bottom w:val="single" w:sz="4" w:space="0" w:color="auto"/>
              <w:right w:val="single" w:sz="4" w:space="0" w:color="auto"/>
            </w:tcBorders>
            <w:shd w:val="clear" w:color="000000" w:fill="FFFFFF"/>
            <w:noWrap/>
            <w:vAlign w:val="bottom"/>
            <w:hideMark/>
          </w:tcPr>
          <w:p w14:paraId="5774537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27,27,162 </w:t>
            </w:r>
          </w:p>
        </w:tc>
        <w:tc>
          <w:tcPr>
            <w:tcW w:w="509" w:type="pct"/>
            <w:tcBorders>
              <w:top w:val="nil"/>
              <w:left w:val="nil"/>
              <w:bottom w:val="single" w:sz="4" w:space="0" w:color="auto"/>
              <w:right w:val="single" w:sz="4" w:space="0" w:color="auto"/>
            </w:tcBorders>
            <w:shd w:val="clear" w:color="000000" w:fill="FFFFFF"/>
            <w:noWrap/>
            <w:vAlign w:val="bottom"/>
            <w:hideMark/>
          </w:tcPr>
          <w:p w14:paraId="24B1EAC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35,90,643 </w:t>
            </w:r>
          </w:p>
        </w:tc>
        <w:tc>
          <w:tcPr>
            <w:tcW w:w="50" w:type="pct"/>
            <w:vAlign w:val="center"/>
            <w:hideMark/>
          </w:tcPr>
          <w:p w14:paraId="5889584B" w14:textId="77777777" w:rsidR="00467225" w:rsidRPr="00467225" w:rsidRDefault="00467225" w:rsidP="00467225">
            <w:pPr>
              <w:spacing w:before="0" w:after="0" w:line="240" w:lineRule="auto"/>
              <w:jc w:val="left"/>
              <w:rPr>
                <w:sz w:val="20"/>
                <w:szCs w:val="20"/>
                <w:lang w:val="en-IN"/>
              </w:rPr>
            </w:pPr>
          </w:p>
        </w:tc>
      </w:tr>
      <w:tr w:rsidR="00467225" w:rsidRPr="00467225" w14:paraId="5CAF91BA"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9B7BD4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Sales"</w:t>
            </w:r>
          </w:p>
        </w:tc>
        <w:tc>
          <w:tcPr>
            <w:tcW w:w="1302" w:type="pct"/>
            <w:vMerge/>
            <w:tcBorders>
              <w:top w:val="nil"/>
              <w:left w:val="single" w:sz="4" w:space="0" w:color="auto"/>
              <w:bottom w:val="single" w:sz="4" w:space="0" w:color="auto"/>
              <w:right w:val="single" w:sz="4" w:space="0" w:color="auto"/>
            </w:tcBorders>
            <w:vAlign w:val="center"/>
            <w:hideMark/>
          </w:tcPr>
          <w:p w14:paraId="38E4AEBF"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810B572"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shd w:val="clear" w:color="000000" w:fill="FFFFFF"/>
            <w:noWrap/>
            <w:vAlign w:val="bottom"/>
            <w:hideMark/>
          </w:tcPr>
          <w:p w14:paraId="740DAB0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shd w:val="clear" w:color="000000" w:fill="FFFFFF"/>
            <w:noWrap/>
            <w:vAlign w:val="bottom"/>
            <w:hideMark/>
          </w:tcPr>
          <w:p w14:paraId="4B66485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shd w:val="clear" w:color="000000" w:fill="FFFFFF"/>
            <w:noWrap/>
            <w:vAlign w:val="bottom"/>
            <w:hideMark/>
          </w:tcPr>
          <w:p w14:paraId="2DF1F89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shd w:val="clear" w:color="000000" w:fill="FFFFFF"/>
            <w:noWrap/>
            <w:vAlign w:val="bottom"/>
            <w:hideMark/>
          </w:tcPr>
          <w:p w14:paraId="36D986A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521076EF" w14:textId="77777777" w:rsidR="00467225" w:rsidRPr="00467225" w:rsidRDefault="00467225" w:rsidP="00467225">
            <w:pPr>
              <w:spacing w:before="0" w:after="0" w:line="240" w:lineRule="auto"/>
              <w:jc w:val="left"/>
              <w:rPr>
                <w:sz w:val="20"/>
                <w:szCs w:val="20"/>
                <w:lang w:val="en-IN"/>
              </w:rPr>
            </w:pPr>
          </w:p>
        </w:tc>
      </w:tr>
      <w:tr w:rsidR="00467225" w:rsidRPr="00467225" w14:paraId="54AD851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67683C8"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"Cash Flow Margin"</w:t>
            </w:r>
          </w:p>
        </w:tc>
        <w:tc>
          <w:tcPr>
            <w:tcW w:w="1302" w:type="pct"/>
            <w:vMerge/>
            <w:tcBorders>
              <w:top w:val="nil"/>
              <w:left w:val="single" w:sz="4" w:space="0" w:color="auto"/>
              <w:bottom w:val="single" w:sz="4" w:space="0" w:color="auto"/>
              <w:right w:val="single" w:sz="4" w:space="0" w:color="auto"/>
            </w:tcBorders>
            <w:vAlign w:val="center"/>
            <w:hideMark/>
          </w:tcPr>
          <w:p w14:paraId="1BAA6920"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738F9F74"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0.09</w:t>
            </w:r>
          </w:p>
        </w:tc>
        <w:tc>
          <w:tcPr>
            <w:tcW w:w="509" w:type="pct"/>
            <w:tcBorders>
              <w:top w:val="nil"/>
              <w:left w:val="nil"/>
              <w:bottom w:val="single" w:sz="4" w:space="0" w:color="auto"/>
              <w:right w:val="single" w:sz="4" w:space="0" w:color="auto"/>
            </w:tcBorders>
            <w:shd w:val="clear" w:color="000000" w:fill="FFFFFF"/>
            <w:noWrap/>
            <w:vAlign w:val="bottom"/>
            <w:hideMark/>
          </w:tcPr>
          <w:p w14:paraId="67E51322"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0.08</w:t>
            </w:r>
          </w:p>
        </w:tc>
        <w:tc>
          <w:tcPr>
            <w:tcW w:w="509" w:type="pct"/>
            <w:tcBorders>
              <w:top w:val="nil"/>
              <w:left w:val="nil"/>
              <w:bottom w:val="single" w:sz="4" w:space="0" w:color="auto"/>
              <w:right w:val="single" w:sz="4" w:space="0" w:color="auto"/>
            </w:tcBorders>
            <w:shd w:val="clear" w:color="000000" w:fill="FFFFFF"/>
            <w:noWrap/>
            <w:vAlign w:val="bottom"/>
            <w:hideMark/>
          </w:tcPr>
          <w:p w14:paraId="5A1BF211"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0.12</w:t>
            </w:r>
          </w:p>
        </w:tc>
        <w:tc>
          <w:tcPr>
            <w:tcW w:w="509" w:type="pct"/>
            <w:tcBorders>
              <w:top w:val="nil"/>
              <w:left w:val="nil"/>
              <w:bottom w:val="single" w:sz="4" w:space="0" w:color="auto"/>
              <w:right w:val="single" w:sz="4" w:space="0" w:color="auto"/>
            </w:tcBorders>
            <w:shd w:val="clear" w:color="000000" w:fill="FFFFFF"/>
            <w:noWrap/>
            <w:vAlign w:val="bottom"/>
            <w:hideMark/>
          </w:tcPr>
          <w:p w14:paraId="7D225388"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0.10</w:t>
            </w:r>
          </w:p>
        </w:tc>
        <w:tc>
          <w:tcPr>
            <w:tcW w:w="509" w:type="pct"/>
            <w:tcBorders>
              <w:top w:val="nil"/>
              <w:left w:val="nil"/>
              <w:bottom w:val="single" w:sz="4" w:space="0" w:color="auto"/>
              <w:right w:val="single" w:sz="4" w:space="0" w:color="auto"/>
            </w:tcBorders>
            <w:shd w:val="clear" w:color="000000" w:fill="FFFFFF"/>
            <w:noWrap/>
            <w:vAlign w:val="bottom"/>
            <w:hideMark/>
          </w:tcPr>
          <w:p w14:paraId="28EB950C"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0.12</w:t>
            </w:r>
          </w:p>
        </w:tc>
        <w:tc>
          <w:tcPr>
            <w:tcW w:w="50" w:type="pct"/>
            <w:vAlign w:val="center"/>
            <w:hideMark/>
          </w:tcPr>
          <w:p w14:paraId="70C1C4F3" w14:textId="77777777" w:rsidR="00467225" w:rsidRPr="00467225" w:rsidRDefault="00467225" w:rsidP="00467225">
            <w:pPr>
              <w:spacing w:before="0" w:after="0" w:line="240" w:lineRule="auto"/>
              <w:jc w:val="left"/>
              <w:rPr>
                <w:sz w:val="20"/>
                <w:szCs w:val="20"/>
                <w:lang w:val="en-IN"/>
              </w:rPr>
            </w:pPr>
          </w:p>
        </w:tc>
      </w:tr>
      <w:tr w:rsidR="00467225" w:rsidRPr="00467225" w14:paraId="26B43744"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D73233" w14:textId="77777777" w:rsidR="00467225" w:rsidRPr="00467225" w:rsidRDefault="00467225" w:rsidP="00467225">
            <w:pPr>
              <w:spacing w:before="0" w:after="0" w:line="240" w:lineRule="auto"/>
              <w:jc w:val="center"/>
              <w:rPr>
                <w:rFonts w:ascii="Arial" w:hAnsi="Arial" w:cs="Arial"/>
                <w:color w:val="000000"/>
                <w:lang w:val="en-IN"/>
              </w:rPr>
            </w:pPr>
            <w:r w:rsidRPr="00467225">
              <w:rPr>
                <w:rFonts w:ascii="Arial" w:hAnsi="Arial" w:cs="Arial"/>
                <w:color w:val="000000"/>
                <w:lang w:val="en-IN"/>
              </w:rPr>
              <w:t> </w:t>
            </w:r>
          </w:p>
        </w:tc>
        <w:tc>
          <w:tcPr>
            <w:tcW w:w="50" w:type="pct"/>
            <w:vAlign w:val="center"/>
            <w:hideMark/>
          </w:tcPr>
          <w:p w14:paraId="1DAD9184" w14:textId="77777777" w:rsidR="00467225" w:rsidRPr="00467225" w:rsidRDefault="00467225" w:rsidP="00467225">
            <w:pPr>
              <w:spacing w:before="0" w:after="0" w:line="240" w:lineRule="auto"/>
              <w:jc w:val="left"/>
              <w:rPr>
                <w:sz w:val="20"/>
                <w:szCs w:val="20"/>
                <w:lang w:val="en-IN"/>
              </w:rPr>
            </w:pPr>
          </w:p>
        </w:tc>
      </w:tr>
      <w:tr w:rsidR="00467225" w:rsidRPr="00467225" w14:paraId="5EF7FDE5" w14:textId="77777777" w:rsidTr="00467225">
        <w:trPr>
          <w:trHeight w:val="312"/>
          <w:jc w:val="center"/>
        </w:trPr>
        <w:tc>
          <w:tcPr>
            <w:tcW w:w="4950" w:type="pct"/>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B8FC0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"Free Cash Flow Margin"</w:t>
            </w:r>
          </w:p>
        </w:tc>
        <w:tc>
          <w:tcPr>
            <w:tcW w:w="50" w:type="pct"/>
            <w:vAlign w:val="center"/>
            <w:hideMark/>
          </w:tcPr>
          <w:p w14:paraId="55A96797" w14:textId="77777777" w:rsidR="00467225" w:rsidRPr="00467225" w:rsidRDefault="00467225" w:rsidP="00467225">
            <w:pPr>
              <w:spacing w:before="0" w:after="0" w:line="240" w:lineRule="auto"/>
              <w:jc w:val="left"/>
              <w:rPr>
                <w:sz w:val="20"/>
                <w:szCs w:val="20"/>
                <w:lang w:val="en-IN"/>
              </w:rPr>
            </w:pPr>
          </w:p>
        </w:tc>
      </w:tr>
      <w:tr w:rsidR="00467225" w:rsidRPr="00467225" w14:paraId="6EBB9078"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6AD4259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"Financial aspects"</w:t>
            </w:r>
          </w:p>
        </w:tc>
        <w:tc>
          <w:tcPr>
            <w:tcW w:w="1302" w:type="pct"/>
            <w:tcBorders>
              <w:top w:val="nil"/>
              <w:left w:val="nil"/>
              <w:bottom w:val="single" w:sz="4" w:space="0" w:color="auto"/>
              <w:right w:val="single" w:sz="4" w:space="0" w:color="auto"/>
            </w:tcBorders>
            <w:shd w:val="clear" w:color="000000" w:fill="FFFFFF"/>
            <w:noWrap/>
            <w:vAlign w:val="bottom"/>
            <w:hideMark/>
          </w:tcPr>
          <w:p w14:paraId="67B1EA5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"Formula"</w:t>
            </w:r>
          </w:p>
        </w:tc>
        <w:tc>
          <w:tcPr>
            <w:tcW w:w="509" w:type="pct"/>
            <w:tcBorders>
              <w:top w:val="nil"/>
              <w:left w:val="nil"/>
              <w:bottom w:val="single" w:sz="4" w:space="0" w:color="auto"/>
              <w:right w:val="single" w:sz="4" w:space="0" w:color="auto"/>
            </w:tcBorders>
            <w:shd w:val="clear" w:color="000000" w:fill="FFFFFF"/>
            <w:noWrap/>
            <w:vAlign w:val="bottom"/>
            <w:hideMark/>
          </w:tcPr>
          <w:p w14:paraId="2F76F99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2024</w:t>
            </w:r>
          </w:p>
        </w:tc>
        <w:tc>
          <w:tcPr>
            <w:tcW w:w="509" w:type="pct"/>
            <w:tcBorders>
              <w:top w:val="nil"/>
              <w:left w:val="nil"/>
              <w:bottom w:val="single" w:sz="4" w:space="0" w:color="auto"/>
              <w:right w:val="single" w:sz="4" w:space="0" w:color="auto"/>
            </w:tcBorders>
            <w:shd w:val="clear" w:color="000000" w:fill="FFFFFF"/>
            <w:noWrap/>
            <w:vAlign w:val="bottom"/>
            <w:hideMark/>
          </w:tcPr>
          <w:p w14:paraId="02512F3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2023</w:t>
            </w:r>
          </w:p>
        </w:tc>
        <w:tc>
          <w:tcPr>
            <w:tcW w:w="509" w:type="pct"/>
            <w:tcBorders>
              <w:top w:val="nil"/>
              <w:left w:val="nil"/>
              <w:bottom w:val="single" w:sz="4" w:space="0" w:color="auto"/>
              <w:right w:val="single" w:sz="4" w:space="0" w:color="auto"/>
            </w:tcBorders>
            <w:shd w:val="clear" w:color="000000" w:fill="FFFFFF"/>
            <w:noWrap/>
            <w:vAlign w:val="bottom"/>
            <w:hideMark/>
          </w:tcPr>
          <w:p w14:paraId="7F8CBD92"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2022</w:t>
            </w:r>
          </w:p>
        </w:tc>
        <w:tc>
          <w:tcPr>
            <w:tcW w:w="509" w:type="pct"/>
            <w:tcBorders>
              <w:top w:val="nil"/>
              <w:left w:val="nil"/>
              <w:bottom w:val="single" w:sz="4" w:space="0" w:color="auto"/>
              <w:right w:val="single" w:sz="4" w:space="0" w:color="auto"/>
            </w:tcBorders>
            <w:shd w:val="clear" w:color="000000" w:fill="FFFFFF"/>
            <w:noWrap/>
            <w:vAlign w:val="bottom"/>
            <w:hideMark/>
          </w:tcPr>
          <w:p w14:paraId="55518885"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2021</w:t>
            </w:r>
          </w:p>
        </w:tc>
        <w:tc>
          <w:tcPr>
            <w:tcW w:w="509" w:type="pct"/>
            <w:tcBorders>
              <w:top w:val="nil"/>
              <w:left w:val="nil"/>
              <w:bottom w:val="single" w:sz="4" w:space="0" w:color="auto"/>
              <w:right w:val="single" w:sz="4" w:space="0" w:color="auto"/>
            </w:tcBorders>
            <w:shd w:val="clear" w:color="000000" w:fill="FFFFFF"/>
            <w:noWrap/>
            <w:vAlign w:val="bottom"/>
            <w:hideMark/>
          </w:tcPr>
          <w:p w14:paraId="33EF3840"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2020</w:t>
            </w:r>
          </w:p>
        </w:tc>
        <w:tc>
          <w:tcPr>
            <w:tcW w:w="50" w:type="pct"/>
            <w:vAlign w:val="center"/>
            <w:hideMark/>
          </w:tcPr>
          <w:p w14:paraId="7B4DB23C" w14:textId="77777777" w:rsidR="00467225" w:rsidRPr="00467225" w:rsidRDefault="00467225" w:rsidP="00467225">
            <w:pPr>
              <w:spacing w:before="0" w:after="0" w:line="240" w:lineRule="auto"/>
              <w:jc w:val="left"/>
              <w:rPr>
                <w:sz w:val="20"/>
                <w:szCs w:val="20"/>
                <w:lang w:val="en-IN"/>
              </w:rPr>
            </w:pPr>
          </w:p>
        </w:tc>
      </w:tr>
      <w:tr w:rsidR="00467225" w:rsidRPr="00467225" w14:paraId="51F3F97C"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2CA2425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lastRenderedPageBreak/>
              <w:t>"Operating Cash Flow"</w:t>
            </w:r>
          </w:p>
        </w:tc>
        <w:tc>
          <w:tcPr>
            <w:tcW w:w="13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67D87326" w14:textId="77777777" w:rsidR="00467225" w:rsidRPr="00467225" w:rsidRDefault="00467225" w:rsidP="00467225">
            <w:pPr>
              <w:spacing w:before="0" w:after="0" w:line="240" w:lineRule="auto"/>
              <w:jc w:val="center"/>
              <w:rPr>
                <w:rFonts w:ascii="Arial" w:hAnsi="Arial" w:cs="Arial"/>
                <w:b/>
                <w:bCs/>
                <w:color w:val="000000"/>
                <w:lang w:val="en-IN"/>
              </w:rPr>
            </w:pPr>
            <w:r w:rsidRPr="00467225">
              <w:rPr>
                <w:rFonts w:ascii="Arial" w:hAnsi="Arial" w:cs="Arial"/>
                <w:b/>
                <w:bCs/>
                <w:color w:val="000000"/>
                <w:lang w:val="en-IN"/>
              </w:rPr>
              <w:t>"(Operating Cash Flow-Capital Expenditure)/Sales"</w:t>
            </w:r>
          </w:p>
        </w:tc>
        <w:tc>
          <w:tcPr>
            <w:tcW w:w="509" w:type="pct"/>
            <w:tcBorders>
              <w:top w:val="nil"/>
              <w:left w:val="nil"/>
              <w:bottom w:val="single" w:sz="4" w:space="0" w:color="auto"/>
              <w:right w:val="single" w:sz="4" w:space="0" w:color="auto"/>
            </w:tcBorders>
            <w:shd w:val="clear" w:color="000000" w:fill="FFFFFF"/>
            <w:noWrap/>
            <w:vAlign w:val="bottom"/>
            <w:hideMark/>
          </w:tcPr>
          <w:p w14:paraId="75C66DB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42,06,373 </w:t>
            </w:r>
          </w:p>
        </w:tc>
        <w:tc>
          <w:tcPr>
            <w:tcW w:w="509" w:type="pct"/>
            <w:tcBorders>
              <w:top w:val="nil"/>
              <w:left w:val="nil"/>
              <w:bottom w:val="single" w:sz="4" w:space="0" w:color="auto"/>
              <w:right w:val="single" w:sz="4" w:space="0" w:color="auto"/>
            </w:tcBorders>
            <w:shd w:val="clear" w:color="000000" w:fill="FFFFFF"/>
            <w:noWrap/>
            <w:vAlign w:val="bottom"/>
            <w:hideMark/>
          </w:tcPr>
          <w:p w14:paraId="586B06ED"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29,55,076 </w:t>
            </w:r>
          </w:p>
        </w:tc>
        <w:tc>
          <w:tcPr>
            <w:tcW w:w="509" w:type="pct"/>
            <w:tcBorders>
              <w:top w:val="nil"/>
              <w:left w:val="nil"/>
              <w:bottom w:val="single" w:sz="4" w:space="0" w:color="auto"/>
              <w:right w:val="single" w:sz="4" w:space="0" w:color="auto"/>
            </w:tcBorders>
            <w:shd w:val="clear" w:color="000000" w:fill="FFFFFF"/>
            <w:noWrap/>
            <w:vAlign w:val="bottom"/>
            <w:hideMark/>
          </w:tcPr>
          <w:p w14:paraId="1CF59408"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37,22,615 </w:t>
            </w:r>
          </w:p>
        </w:tc>
        <w:tc>
          <w:tcPr>
            <w:tcW w:w="509" w:type="pct"/>
            <w:tcBorders>
              <w:top w:val="nil"/>
              <w:left w:val="nil"/>
              <w:bottom w:val="single" w:sz="4" w:space="0" w:color="auto"/>
              <w:right w:val="single" w:sz="4" w:space="0" w:color="auto"/>
            </w:tcBorders>
            <w:shd w:val="clear" w:color="000000" w:fill="FFFFFF"/>
            <w:noWrap/>
            <w:vAlign w:val="bottom"/>
            <w:hideMark/>
          </w:tcPr>
          <w:p w14:paraId="143CB9E5"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27,27,162 </w:t>
            </w:r>
          </w:p>
        </w:tc>
        <w:tc>
          <w:tcPr>
            <w:tcW w:w="509" w:type="pct"/>
            <w:tcBorders>
              <w:top w:val="nil"/>
              <w:left w:val="nil"/>
              <w:bottom w:val="single" w:sz="4" w:space="0" w:color="auto"/>
              <w:right w:val="single" w:sz="4" w:space="0" w:color="auto"/>
            </w:tcBorders>
            <w:shd w:val="clear" w:color="000000" w:fill="FFFFFF"/>
            <w:noWrap/>
            <w:vAlign w:val="bottom"/>
            <w:hideMark/>
          </w:tcPr>
          <w:p w14:paraId="78B44880"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35,90,643 </w:t>
            </w:r>
          </w:p>
        </w:tc>
        <w:tc>
          <w:tcPr>
            <w:tcW w:w="50" w:type="pct"/>
            <w:vAlign w:val="center"/>
            <w:hideMark/>
          </w:tcPr>
          <w:p w14:paraId="374E4D30" w14:textId="77777777" w:rsidR="00467225" w:rsidRPr="00467225" w:rsidRDefault="00467225" w:rsidP="00467225">
            <w:pPr>
              <w:spacing w:before="0" w:after="0" w:line="240" w:lineRule="auto"/>
              <w:jc w:val="left"/>
              <w:rPr>
                <w:sz w:val="20"/>
                <w:szCs w:val="20"/>
                <w:lang w:val="en-IN"/>
              </w:rPr>
            </w:pPr>
          </w:p>
        </w:tc>
      </w:tr>
      <w:tr w:rsidR="00467225" w:rsidRPr="00467225" w14:paraId="1C789A63"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17B6FC1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Capital Expenditure"</w:t>
            </w:r>
          </w:p>
        </w:tc>
        <w:tc>
          <w:tcPr>
            <w:tcW w:w="1302" w:type="pct"/>
            <w:vMerge/>
            <w:tcBorders>
              <w:top w:val="nil"/>
              <w:left w:val="single" w:sz="4" w:space="0" w:color="auto"/>
              <w:bottom w:val="single" w:sz="4" w:space="0" w:color="auto"/>
              <w:right w:val="single" w:sz="4" w:space="0" w:color="auto"/>
            </w:tcBorders>
            <w:vAlign w:val="center"/>
            <w:hideMark/>
          </w:tcPr>
          <w:p w14:paraId="61F1C35D"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12E0ABC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48,48,042 </w:t>
            </w:r>
          </w:p>
        </w:tc>
        <w:tc>
          <w:tcPr>
            <w:tcW w:w="509" w:type="pct"/>
            <w:tcBorders>
              <w:top w:val="nil"/>
              <w:left w:val="nil"/>
              <w:bottom w:val="single" w:sz="4" w:space="0" w:color="auto"/>
              <w:right w:val="single" w:sz="4" w:space="0" w:color="auto"/>
            </w:tcBorders>
            <w:shd w:val="clear" w:color="000000" w:fill="FFFFFF"/>
            <w:noWrap/>
            <w:vAlign w:val="bottom"/>
            <w:hideMark/>
          </w:tcPr>
          <w:p w14:paraId="502B388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34,96,219 </w:t>
            </w:r>
          </w:p>
        </w:tc>
        <w:tc>
          <w:tcPr>
            <w:tcW w:w="509" w:type="pct"/>
            <w:tcBorders>
              <w:top w:val="nil"/>
              <w:left w:val="nil"/>
              <w:bottom w:val="single" w:sz="4" w:space="0" w:color="auto"/>
              <w:right w:val="single" w:sz="4" w:space="0" w:color="auto"/>
            </w:tcBorders>
            <w:shd w:val="clear" w:color="000000" w:fill="FFFFFF"/>
            <w:noWrap/>
            <w:vAlign w:val="bottom"/>
            <w:hideMark/>
          </w:tcPr>
          <w:p w14:paraId="25246C36"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36,11,587 </w:t>
            </w:r>
          </w:p>
        </w:tc>
        <w:tc>
          <w:tcPr>
            <w:tcW w:w="509" w:type="pct"/>
            <w:tcBorders>
              <w:top w:val="nil"/>
              <w:left w:val="nil"/>
              <w:bottom w:val="single" w:sz="4" w:space="0" w:color="auto"/>
              <w:right w:val="single" w:sz="4" w:space="0" w:color="auto"/>
            </w:tcBorders>
            <w:shd w:val="clear" w:color="000000" w:fill="FFFFFF"/>
            <w:noWrap/>
            <w:vAlign w:val="bottom"/>
            <w:hideMark/>
          </w:tcPr>
          <w:p w14:paraId="01580CF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36,09,699 </w:t>
            </w:r>
          </w:p>
        </w:tc>
        <w:tc>
          <w:tcPr>
            <w:tcW w:w="509" w:type="pct"/>
            <w:tcBorders>
              <w:top w:val="nil"/>
              <w:left w:val="nil"/>
              <w:bottom w:val="single" w:sz="4" w:space="0" w:color="auto"/>
              <w:right w:val="single" w:sz="4" w:space="0" w:color="auto"/>
            </w:tcBorders>
            <w:shd w:val="clear" w:color="000000" w:fill="FFFFFF"/>
            <w:noWrap/>
            <w:vAlign w:val="bottom"/>
            <w:hideMark/>
          </w:tcPr>
          <w:p w14:paraId="29F52B4E"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36,03,232 </w:t>
            </w:r>
          </w:p>
        </w:tc>
        <w:tc>
          <w:tcPr>
            <w:tcW w:w="50" w:type="pct"/>
            <w:vAlign w:val="center"/>
            <w:hideMark/>
          </w:tcPr>
          <w:p w14:paraId="3D8B1A31" w14:textId="77777777" w:rsidR="00467225" w:rsidRPr="00467225" w:rsidRDefault="00467225" w:rsidP="00467225">
            <w:pPr>
              <w:spacing w:before="0" w:after="0" w:line="240" w:lineRule="auto"/>
              <w:jc w:val="left"/>
              <w:rPr>
                <w:sz w:val="20"/>
                <w:szCs w:val="20"/>
                <w:lang w:val="en-IN"/>
              </w:rPr>
            </w:pPr>
          </w:p>
        </w:tc>
      </w:tr>
      <w:tr w:rsidR="00467225" w:rsidRPr="00467225" w14:paraId="64840424"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59C79C2F"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Sales"</w:t>
            </w:r>
          </w:p>
        </w:tc>
        <w:tc>
          <w:tcPr>
            <w:tcW w:w="1302" w:type="pct"/>
            <w:vMerge/>
            <w:tcBorders>
              <w:top w:val="nil"/>
              <w:left w:val="single" w:sz="4" w:space="0" w:color="auto"/>
              <w:bottom w:val="single" w:sz="4" w:space="0" w:color="auto"/>
              <w:right w:val="single" w:sz="4" w:space="0" w:color="auto"/>
            </w:tcBorders>
            <w:vAlign w:val="center"/>
            <w:hideMark/>
          </w:tcPr>
          <w:p w14:paraId="59BF9735"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2618A7D1"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4,50,95,325 </w:t>
            </w:r>
          </w:p>
        </w:tc>
        <w:tc>
          <w:tcPr>
            <w:tcW w:w="509" w:type="pct"/>
            <w:tcBorders>
              <w:top w:val="nil"/>
              <w:left w:val="nil"/>
              <w:bottom w:val="single" w:sz="4" w:space="0" w:color="auto"/>
              <w:right w:val="single" w:sz="4" w:space="0" w:color="auto"/>
            </w:tcBorders>
            <w:shd w:val="clear" w:color="000000" w:fill="FFFFFF"/>
            <w:noWrap/>
            <w:vAlign w:val="bottom"/>
            <w:hideMark/>
          </w:tcPr>
          <w:p w14:paraId="1AEAD56B"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3,71,54,298 </w:t>
            </w:r>
          </w:p>
        </w:tc>
        <w:tc>
          <w:tcPr>
            <w:tcW w:w="509" w:type="pct"/>
            <w:tcBorders>
              <w:top w:val="nil"/>
              <w:left w:val="nil"/>
              <w:bottom w:val="single" w:sz="4" w:space="0" w:color="auto"/>
              <w:right w:val="single" w:sz="4" w:space="0" w:color="auto"/>
            </w:tcBorders>
            <w:shd w:val="clear" w:color="000000" w:fill="FFFFFF"/>
            <w:noWrap/>
            <w:vAlign w:val="bottom"/>
            <w:hideMark/>
          </w:tcPr>
          <w:p w14:paraId="3E0A3134"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3,13,79,507 </w:t>
            </w:r>
          </w:p>
        </w:tc>
        <w:tc>
          <w:tcPr>
            <w:tcW w:w="509" w:type="pct"/>
            <w:tcBorders>
              <w:top w:val="nil"/>
              <w:left w:val="nil"/>
              <w:bottom w:val="single" w:sz="4" w:space="0" w:color="auto"/>
              <w:right w:val="single" w:sz="4" w:space="0" w:color="auto"/>
            </w:tcBorders>
            <w:shd w:val="clear" w:color="000000" w:fill="FFFFFF"/>
            <w:noWrap/>
            <w:vAlign w:val="bottom"/>
            <w:hideMark/>
          </w:tcPr>
          <w:p w14:paraId="280E6EBC"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2,72,14,594 </w:t>
            </w:r>
          </w:p>
        </w:tc>
        <w:tc>
          <w:tcPr>
            <w:tcW w:w="509" w:type="pct"/>
            <w:tcBorders>
              <w:top w:val="nil"/>
              <w:left w:val="nil"/>
              <w:bottom w:val="single" w:sz="4" w:space="0" w:color="auto"/>
              <w:right w:val="single" w:sz="4" w:space="0" w:color="auto"/>
            </w:tcBorders>
            <w:shd w:val="clear" w:color="000000" w:fill="FFFFFF"/>
            <w:noWrap/>
            <w:vAlign w:val="bottom"/>
            <w:hideMark/>
          </w:tcPr>
          <w:p w14:paraId="4CBAE9C7" w14:textId="77777777" w:rsidR="00467225" w:rsidRPr="00467225" w:rsidRDefault="00467225" w:rsidP="00467225">
            <w:pPr>
              <w:spacing w:before="0" w:after="0" w:line="240" w:lineRule="auto"/>
              <w:jc w:val="left"/>
              <w:rPr>
                <w:rFonts w:ascii="Arial" w:hAnsi="Arial" w:cs="Arial"/>
                <w:color w:val="000000"/>
                <w:lang w:val="en-IN"/>
              </w:rPr>
            </w:pPr>
            <w:r w:rsidRPr="00467225">
              <w:rPr>
                <w:rFonts w:ascii="Arial" w:hAnsi="Arial" w:cs="Arial"/>
                <w:color w:val="000000"/>
                <w:lang w:val="en-IN"/>
              </w:rPr>
              <w:t xml:space="preserve"> ¥      2,99,29,992 </w:t>
            </w:r>
          </w:p>
        </w:tc>
        <w:tc>
          <w:tcPr>
            <w:tcW w:w="50" w:type="pct"/>
            <w:vAlign w:val="center"/>
            <w:hideMark/>
          </w:tcPr>
          <w:p w14:paraId="39A75C12" w14:textId="77777777" w:rsidR="00467225" w:rsidRPr="00467225" w:rsidRDefault="00467225" w:rsidP="00467225">
            <w:pPr>
              <w:spacing w:before="0" w:after="0" w:line="240" w:lineRule="auto"/>
              <w:jc w:val="left"/>
              <w:rPr>
                <w:sz w:val="20"/>
                <w:szCs w:val="20"/>
                <w:lang w:val="en-IN"/>
              </w:rPr>
            </w:pPr>
          </w:p>
        </w:tc>
      </w:tr>
      <w:tr w:rsidR="00467225" w:rsidRPr="00467225" w14:paraId="29BF9AAE" w14:textId="77777777" w:rsidTr="00467225">
        <w:trPr>
          <w:trHeight w:val="312"/>
          <w:jc w:val="center"/>
        </w:trPr>
        <w:tc>
          <w:tcPr>
            <w:tcW w:w="1105" w:type="pct"/>
            <w:tcBorders>
              <w:top w:val="nil"/>
              <w:left w:val="single" w:sz="4" w:space="0" w:color="auto"/>
              <w:bottom w:val="single" w:sz="4" w:space="0" w:color="auto"/>
              <w:right w:val="single" w:sz="4" w:space="0" w:color="auto"/>
            </w:tcBorders>
            <w:shd w:val="clear" w:color="000000" w:fill="FFFFFF"/>
            <w:noWrap/>
            <w:vAlign w:val="bottom"/>
            <w:hideMark/>
          </w:tcPr>
          <w:p w14:paraId="379FBE9B" w14:textId="77777777" w:rsidR="00467225" w:rsidRPr="00467225" w:rsidRDefault="00467225" w:rsidP="00467225">
            <w:pPr>
              <w:spacing w:before="0" w:after="0" w:line="240" w:lineRule="auto"/>
              <w:jc w:val="left"/>
              <w:rPr>
                <w:rFonts w:ascii="Arial" w:hAnsi="Arial" w:cs="Arial"/>
                <w:b/>
                <w:bCs/>
                <w:color w:val="000000"/>
                <w:lang w:val="en-IN"/>
              </w:rPr>
            </w:pPr>
            <w:r w:rsidRPr="00467225">
              <w:rPr>
                <w:rFonts w:ascii="Arial" w:hAnsi="Arial" w:cs="Arial"/>
                <w:b/>
                <w:bCs/>
                <w:color w:val="000000"/>
                <w:lang w:val="en-IN"/>
              </w:rPr>
              <w:t>"Free Cash Flow Margin"</w:t>
            </w:r>
          </w:p>
        </w:tc>
        <w:tc>
          <w:tcPr>
            <w:tcW w:w="1302" w:type="pct"/>
            <w:vMerge/>
            <w:tcBorders>
              <w:top w:val="nil"/>
              <w:left w:val="single" w:sz="4" w:space="0" w:color="auto"/>
              <w:bottom w:val="single" w:sz="4" w:space="0" w:color="auto"/>
              <w:right w:val="single" w:sz="4" w:space="0" w:color="auto"/>
            </w:tcBorders>
            <w:vAlign w:val="center"/>
            <w:hideMark/>
          </w:tcPr>
          <w:p w14:paraId="06601EDF" w14:textId="77777777" w:rsidR="00467225" w:rsidRPr="00467225" w:rsidRDefault="00467225" w:rsidP="00467225">
            <w:pPr>
              <w:spacing w:before="0" w:after="0" w:line="240" w:lineRule="auto"/>
              <w:jc w:val="left"/>
              <w:rPr>
                <w:rFonts w:ascii="Arial" w:hAnsi="Arial" w:cs="Arial"/>
                <w:b/>
                <w:bCs/>
                <w:color w:val="000000"/>
                <w:lang w:val="en-IN"/>
              </w:rPr>
            </w:pPr>
          </w:p>
        </w:tc>
        <w:tc>
          <w:tcPr>
            <w:tcW w:w="509" w:type="pct"/>
            <w:tcBorders>
              <w:top w:val="nil"/>
              <w:left w:val="nil"/>
              <w:bottom w:val="single" w:sz="4" w:space="0" w:color="auto"/>
              <w:right w:val="single" w:sz="4" w:space="0" w:color="auto"/>
            </w:tcBorders>
            <w:shd w:val="clear" w:color="000000" w:fill="FFFFFF"/>
            <w:noWrap/>
            <w:vAlign w:val="bottom"/>
            <w:hideMark/>
          </w:tcPr>
          <w:p w14:paraId="308D0D55"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-0.0142</w:t>
            </w:r>
          </w:p>
        </w:tc>
        <w:tc>
          <w:tcPr>
            <w:tcW w:w="509" w:type="pct"/>
            <w:tcBorders>
              <w:top w:val="nil"/>
              <w:left w:val="nil"/>
              <w:bottom w:val="single" w:sz="4" w:space="0" w:color="auto"/>
              <w:right w:val="single" w:sz="4" w:space="0" w:color="auto"/>
            </w:tcBorders>
            <w:shd w:val="clear" w:color="000000" w:fill="FFFFFF"/>
            <w:noWrap/>
            <w:vAlign w:val="bottom"/>
            <w:hideMark/>
          </w:tcPr>
          <w:p w14:paraId="2E4531D3"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-0.0146</w:t>
            </w:r>
          </w:p>
        </w:tc>
        <w:tc>
          <w:tcPr>
            <w:tcW w:w="509" w:type="pct"/>
            <w:tcBorders>
              <w:top w:val="nil"/>
              <w:left w:val="nil"/>
              <w:bottom w:val="single" w:sz="4" w:space="0" w:color="auto"/>
              <w:right w:val="single" w:sz="4" w:space="0" w:color="auto"/>
            </w:tcBorders>
            <w:shd w:val="clear" w:color="000000" w:fill="FFFFFF"/>
            <w:noWrap/>
            <w:vAlign w:val="bottom"/>
            <w:hideMark/>
          </w:tcPr>
          <w:p w14:paraId="2F952B1E"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0.0035</w:t>
            </w:r>
          </w:p>
        </w:tc>
        <w:tc>
          <w:tcPr>
            <w:tcW w:w="509" w:type="pct"/>
            <w:tcBorders>
              <w:top w:val="nil"/>
              <w:left w:val="nil"/>
              <w:bottom w:val="single" w:sz="4" w:space="0" w:color="auto"/>
              <w:right w:val="single" w:sz="4" w:space="0" w:color="auto"/>
            </w:tcBorders>
            <w:shd w:val="clear" w:color="000000" w:fill="FFFFFF"/>
            <w:noWrap/>
            <w:vAlign w:val="bottom"/>
            <w:hideMark/>
          </w:tcPr>
          <w:p w14:paraId="08A3F1F9"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-0.0324</w:t>
            </w:r>
          </w:p>
        </w:tc>
        <w:tc>
          <w:tcPr>
            <w:tcW w:w="509" w:type="pct"/>
            <w:tcBorders>
              <w:top w:val="nil"/>
              <w:left w:val="nil"/>
              <w:bottom w:val="single" w:sz="4" w:space="0" w:color="auto"/>
              <w:right w:val="single" w:sz="4" w:space="0" w:color="auto"/>
            </w:tcBorders>
            <w:shd w:val="clear" w:color="000000" w:fill="FFFFFF"/>
            <w:noWrap/>
            <w:vAlign w:val="bottom"/>
            <w:hideMark/>
          </w:tcPr>
          <w:p w14:paraId="1486894B" w14:textId="77777777" w:rsidR="00467225" w:rsidRPr="00467225" w:rsidRDefault="00467225" w:rsidP="00467225">
            <w:pPr>
              <w:spacing w:before="0" w:after="0" w:line="240" w:lineRule="auto"/>
              <w:jc w:val="right"/>
              <w:rPr>
                <w:rFonts w:ascii="Arial" w:hAnsi="Arial" w:cs="Arial"/>
                <w:b/>
                <w:bCs/>
                <w:color w:val="000000"/>
                <w:lang w:val="en-IN"/>
              </w:rPr>
            </w:pPr>
            <w:r w:rsidRPr="00467225">
              <w:rPr>
                <w:rFonts w:ascii="Arial" w:hAnsi="Arial" w:cs="Arial"/>
                <w:b/>
                <w:bCs/>
                <w:color w:val="000000"/>
                <w:lang w:val="en-IN"/>
              </w:rPr>
              <w:t>-0.0004</w:t>
            </w:r>
          </w:p>
        </w:tc>
        <w:tc>
          <w:tcPr>
            <w:tcW w:w="50" w:type="pct"/>
            <w:vAlign w:val="center"/>
            <w:hideMark/>
          </w:tcPr>
          <w:p w14:paraId="084DBFB1" w14:textId="77777777" w:rsidR="00467225" w:rsidRPr="00467225" w:rsidRDefault="00467225" w:rsidP="00467225">
            <w:pPr>
              <w:spacing w:before="0" w:after="0" w:line="240" w:lineRule="auto"/>
              <w:jc w:val="left"/>
              <w:rPr>
                <w:sz w:val="20"/>
                <w:szCs w:val="20"/>
                <w:lang w:val="en-IN"/>
              </w:rPr>
            </w:pPr>
          </w:p>
        </w:tc>
      </w:tr>
    </w:tbl>
    <w:p w14:paraId="685FF025" w14:textId="77777777" w:rsidR="00E0377B" w:rsidRDefault="00977F3B" w:rsidP="00467225">
      <w:pPr>
        <w:jc w:val="center"/>
        <w:rPr>
          <w:rFonts w:ascii="Arial" w:eastAsia="Arial" w:hAnsi="Arial" w:cs="Arial"/>
        </w:rPr>
      </w:pPr>
      <w:r>
        <w:rPr>
          <w:rFonts w:ascii="Arial" w:eastAsia="Arial" w:hAnsi="Arial" w:cs="Arial"/>
        </w:rPr>
        <w:t>(Source: Excel)</w:t>
      </w:r>
    </w:p>
    <w:p w14:paraId="438CA827" w14:textId="77777777" w:rsidR="00E0377B" w:rsidRDefault="00977F3B">
      <w:pPr>
        <w:pStyle w:val="Heading2"/>
      </w:pPr>
      <w:bookmarkStart w:id="25" w:name="_Toc227855507"/>
      <w:r>
        <w:t>Appendix 2: Ratio Graphs</w:t>
      </w:r>
      <w:bookmarkEnd w:id="25"/>
    </w:p>
    <w:p w14:paraId="061BC03B" w14:textId="77777777" w:rsidR="00E0377B" w:rsidRDefault="00977F3B">
      <w:pPr>
        <w:jc w:val="center"/>
        <w:rPr>
          <w:rFonts w:ascii="Arial" w:eastAsia="Arial" w:hAnsi="Arial" w:cs="Arial"/>
        </w:rPr>
      </w:pPr>
      <w:r>
        <w:rPr>
          <w:rFonts w:ascii="Arial" w:eastAsia="Arial" w:hAnsi="Arial" w:cs="Arial"/>
          <w:noProof/>
        </w:rPr>
        <w:drawing>
          <wp:inline distT="114300" distB="114300" distL="114300" distR="114300" wp14:anchorId="0B951304" wp14:editId="71074A08">
            <wp:extent cx="5731200" cy="2247900"/>
            <wp:effectExtent l="0" t="0" r="0" b="0"/>
            <wp:docPr id="1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50"/>
                    <a:srcRect/>
                    <a:stretch>
                      <a:fillRect/>
                    </a:stretch>
                  </pic:blipFill>
                  <pic:spPr>
                    <a:xfrm>
                      <a:off x="0" y="0"/>
                      <a:ext cx="5731200" cy="2247900"/>
                    </a:xfrm>
                    <a:prstGeom prst="rect">
                      <a:avLst/>
                    </a:prstGeom>
                    <a:ln/>
                  </pic:spPr>
                </pic:pic>
              </a:graphicData>
            </a:graphic>
          </wp:inline>
        </w:drawing>
      </w:r>
      <w:r>
        <w:rPr>
          <w:rFonts w:ascii="Arial" w:eastAsia="Arial" w:hAnsi="Arial" w:cs="Arial"/>
          <w:noProof/>
        </w:rPr>
        <w:drawing>
          <wp:inline distT="114300" distB="114300" distL="114300" distR="114300" wp14:anchorId="3FAFFCFB" wp14:editId="5D890E8F">
            <wp:extent cx="5731200" cy="2882900"/>
            <wp:effectExtent l="0" t="0" r="0" b="0"/>
            <wp:docPr id="24"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51"/>
                    <a:srcRect/>
                    <a:stretch>
                      <a:fillRect/>
                    </a:stretch>
                  </pic:blipFill>
                  <pic:spPr>
                    <a:xfrm>
                      <a:off x="0" y="0"/>
                      <a:ext cx="5731200" cy="28829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6E007AEF" wp14:editId="23790DC0">
            <wp:extent cx="5731200" cy="36068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2"/>
                    <a:srcRect/>
                    <a:stretch>
                      <a:fillRect/>
                    </a:stretch>
                  </pic:blipFill>
                  <pic:spPr>
                    <a:xfrm>
                      <a:off x="0" y="0"/>
                      <a:ext cx="5731200" cy="3606800"/>
                    </a:xfrm>
                    <a:prstGeom prst="rect">
                      <a:avLst/>
                    </a:prstGeom>
                    <a:ln/>
                  </pic:spPr>
                </pic:pic>
              </a:graphicData>
            </a:graphic>
          </wp:inline>
        </w:drawing>
      </w:r>
      <w:r>
        <w:rPr>
          <w:rFonts w:ascii="Arial" w:eastAsia="Arial" w:hAnsi="Arial" w:cs="Arial"/>
          <w:noProof/>
        </w:rPr>
        <w:drawing>
          <wp:inline distT="114300" distB="114300" distL="114300" distR="114300" wp14:anchorId="76113A04" wp14:editId="0DEB9F4C">
            <wp:extent cx="5731200" cy="4025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3"/>
                    <a:srcRect/>
                    <a:stretch>
                      <a:fillRect/>
                    </a:stretch>
                  </pic:blipFill>
                  <pic:spPr>
                    <a:xfrm>
                      <a:off x="0" y="0"/>
                      <a:ext cx="5731200" cy="40259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234AD332" wp14:editId="0894DB91">
            <wp:extent cx="5731200" cy="5105400"/>
            <wp:effectExtent l="0" t="0" r="0" b="0"/>
            <wp:docPr id="1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54"/>
                    <a:srcRect/>
                    <a:stretch>
                      <a:fillRect/>
                    </a:stretch>
                  </pic:blipFill>
                  <pic:spPr>
                    <a:xfrm>
                      <a:off x="0" y="0"/>
                      <a:ext cx="5731200" cy="51054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51B7F835" wp14:editId="19B9DB61">
            <wp:extent cx="5731200" cy="4038600"/>
            <wp:effectExtent l="0" t="0" r="0" b="0"/>
            <wp:docPr id="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5"/>
                    <a:srcRect/>
                    <a:stretch>
                      <a:fillRect/>
                    </a:stretch>
                  </pic:blipFill>
                  <pic:spPr>
                    <a:xfrm>
                      <a:off x="0" y="0"/>
                      <a:ext cx="5731200" cy="4038600"/>
                    </a:xfrm>
                    <a:prstGeom prst="rect">
                      <a:avLst/>
                    </a:prstGeom>
                    <a:ln/>
                  </pic:spPr>
                </pic:pic>
              </a:graphicData>
            </a:graphic>
          </wp:inline>
        </w:drawing>
      </w:r>
    </w:p>
    <w:p w14:paraId="71AA45A9" w14:textId="77777777" w:rsidR="00E0377B" w:rsidRDefault="00977F3B">
      <w:pPr>
        <w:jc w:val="center"/>
        <w:rPr>
          <w:rFonts w:ascii="Arial" w:eastAsia="Arial" w:hAnsi="Arial" w:cs="Arial"/>
        </w:rPr>
      </w:pPr>
      <w:r>
        <w:rPr>
          <w:rFonts w:ascii="Arial" w:eastAsia="Arial" w:hAnsi="Arial" w:cs="Arial"/>
        </w:rPr>
        <w:t>(Source: Excel)</w:t>
      </w:r>
    </w:p>
    <w:p w14:paraId="2C3F675F" w14:textId="77777777" w:rsidR="00E0377B" w:rsidRDefault="00977F3B">
      <w:pPr>
        <w:pStyle w:val="Heading2"/>
      </w:pPr>
      <w:bookmarkStart w:id="26" w:name="_Toc227855508"/>
      <w:r>
        <w:t>Appendix 3: CCC Table</w:t>
      </w:r>
      <w:bookmarkEnd w:id="26"/>
      <w:r>
        <w:t xml:space="preserve"> </w:t>
      </w:r>
    </w:p>
    <w:tbl>
      <w:tblPr>
        <w:tblW w:w="5000" w:type="pct"/>
        <w:jc w:val="center"/>
        <w:tblLook w:val="04A0" w:firstRow="1" w:lastRow="0" w:firstColumn="1" w:lastColumn="0" w:noHBand="0" w:noVBand="1"/>
      </w:tblPr>
      <w:tblGrid>
        <w:gridCol w:w="2410"/>
        <w:gridCol w:w="1584"/>
        <w:gridCol w:w="1005"/>
        <w:gridCol w:w="1005"/>
        <w:gridCol w:w="1005"/>
        <w:gridCol w:w="1005"/>
        <w:gridCol w:w="1005"/>
      </w:tblGrid>
      <w:tr w:rsidR="00467225" w:rsidRPr="00467225" w14:paraId="04D94352" w14:textId="77777777" w:rsidTr="00467225">
        <w:trPr>
          <w:trHeight w:val="312"/>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802F762"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"Cash Operating Cycle (CCC)"</w:t>
            </w:r>
          </w:p>
        </w:tc>
      </w:tr>
      <w:tr w:rsidR="00467225" w:rsidRPr="00467225" w14:paraId="478C1A6A"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1DF856AA"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"Financial aspects"</w:t>
            </w:r>
          </w:p>
        </w:tc>
        <w:tc>
          <w:tcPr>
            <w:tcW w:w="955" w:type="pct"/>
            <w:tcBorders>
              <w:top w:val="nil"/>
              <w:left w:val="nil"/>
              <w:bottom w:val="single" w:sz="4" w:space="0" w:color="auto"/>
              <w:right w:val="single" w:sz="4" w:space="0" w:color="auto"/>
            </w:tcBorders>
            <w:shd w:val="clear" w:color="000000" w:fill="FFC000"/>
            <w:noWrap/>
            <w:vAlign w:val="bottom"/>
            <w:hideMark/>
          </w:tcPr>
          <w:p w14:paraId="5B21823C"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"Formula"</w:t>
            </w:r>
          </w:p>
        </w:tc>
        <w:tc>
          <w:tcPr>
            <w:tcW w:w="522" w:type="pct"/>
            <w:tcBorders>
              <w:top w:val="nil"/>
              <w:left w:val="nil"/>
              <w:bottom w:val="single" w:sz="4" w:space="0" w:color="auto"/>
              <w:right w:val="single" w:sz="4" w:space="0" w:color="auto"/>
            </w:tcBorders>
            <w:shd w:val="clear" w:color="000000" w:fill="FFC000"/>
            <w:noWrap/>
            <w:vAlign w:val="bottom"/>
            <w:hideMark/>
          </w:tcPr>
          <w:p w14:paraId="2F8E26C4"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2024</w:t>
            </w:r>
          </w:p>
        </w:tc>
        <w:tc>
          <w:tcPr>
            <w:tcW w:w="522" w:type="pct"/>
            <w:tcBorders>
              <w:top w:val="nil"/>
              <w:left w:val="nil"/>
              <w:bottom w:val="single" w:sz="4" w:space="0" w:color="auto"/>
              <w:right w:val="single" w:sz="4" w:space="0" w:color="auto"/>
            </w:tcBorders>
            <w:shd w:val="clear" w:color="000000" w:fill="FFC000"/>
            <w:noWrap/>
            <w:vAlign w:val="bottom"/>
            <w:hideMark/>
          </w:tcPr>
          <w:p w14:paraId="7B72076A"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2023</w:t>
            </w:r>
          </w:p>
        </w:tc>
        <w:tc>
          <w:tcPr>
            <w:tcW w:w="522" w:type="pct"/>
            <w:tcBorders>
              <w:top w:val="nil"/>
              <w:left w:val="nil"/>
              <w:bottom w:val="single" w:sz="4" w:space="0" w:color="auto"/>
              <w:right w:val="single" w:sz="4" w:space="0" w:color="auto"/>
            </w:tcBorders>
            <w:shd w:val="clear" w:color="000000" w:fill="FFC000"/>
            <w:noWrap/>
            <w:vAlign w:val="bottom"/>
            <w:hideMark/>
          </w:tcPr>
          <w:p w14:paraId="60936205"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2022</w:t>
            </w:r>
          </w:p>
        </w:tc>
        <w:tc>
          <w:tcPr>
            <w:tcW w:w="522" w:type="pct"/>
            <w:tcBorders>
              <w:top w:val="nil"/>
              <w:left w:val="nil"/>
              <w:bottom w:val="single" w:sz="4" w:space="0" w:color="auto"/>
              <w:right w:val="single" w:sz="4" w:space="0" w:color="auto"/>
            </w:tcBorders>
            <w:shd w:val="clear" w:color="000000" w:fill="FFC000"/>
            <w:noWrap/>
            <w:vAlign w:val="bottom"/>
            <w:hideMark/>
          </w:tcPr>
          <w:p w14:paraId="1124450B"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2021</w:t>
            </w:r>
          </w:p>
        </w:tc>
        <w:tc>
          <w:tcPr>
            <w:tcW w:w="522" w:type="pct"/>
            <w:tcBorders>
              <w:top w:val="nil"/>
              <w:left w:val="nil"/>
              <w:bottom w:val="single" w:sz="4" w:space="0" w:color="auto"/>
              <w:right w:val="single" w:sz="4" w:space="0" w:color="auto"/>
            </w:tcBorders>
            <w:shd w:val="clear" w:color="000000" w:fill="FFC000"/>
            <w:noWrap/>
            <w:vAlign w:val="bottom"/>
            <w:hideMark/>
          </w:tcPr>
          <w:p w14:paraId="377967B3" w14:textId="77777777" w:rsidR="00467225" w:rsidRPr="00467225" w:rsidRDefault="00467225" w:rsidP="00467225">
            <w:pPr>
              <w:spacing w:before="0" w:after="0" w:line="240" w:lineRule="auto"/>
              <w:jc w:val="center"/>
              <w:rPr>
                <w:rFonts w:ascii="Arial" w:hAnsi="Arial" w:cs="Arial"/>
                <w:b/>
                <w:bCs/>
                <w:lang w:val="en-IN"/>
              </w:rPr>
            </w:pPr>
            <w:r w:rsidRPr="00467225">
              <w:rPr>
                <w:rFonts w:ascii="Arial" w:hAnsi="Arial" w:cs="Arial"/>
                <w:b/>
                <w:bCs/>
                <w:lang w:val="en-IN"/>
              </w:rPr>
              <w:t>2020</w:t>
            </w:r>
          </w:p>
        </w:tc>
      </w:tr>
      <w:tr w:rsidR="00467225" w:rsidRPr="00467225" w14:paraId="036AB77D"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64DE2CEC"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1. Inventory Days (Inventory Holding Period)</w:t>
            </w:r>
          </w:p>
        </w:tc>
        <w:tc>
          <w:tcPr>
            <w:tcW w:w="955" w:type="pct"/>
            <w:vMerge w:val="restart"/>
            <w:tcBorders>
              <w:top w:val="nil"/>
              <w:left w:val="single" w:sz="4" w:space="0" w:color="auto"/>
              <w:bottom w:val="single" w:sz="4" w:space="0" w:color="auto"/>
              <w:right w:val="single" w:sz="4" w:space="0" w:color="auto"/>
            </w:tcBorders>
            <w:shd w:val="clear" w:color="000000" w:fill="FFC000"/>
            <w:vAlign w:val="center"/>
            <w:hideMark/>
          </w:tcPr>
          <w:p w14:paraId="3A6E4076"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(Inventory/</w:t>
            </w:r>
            <w:proofErr w:type="gramStart"/>
            <w:r w:rsidRPr="00467225">
              <w:rPr>
                <w:rFonts w:ascii="Arial" w:hAnsi="Arial" w:cs="Arial"/>
                <w:lang w:val="en-IN"/>
              </w:rPr>
              <w:t>Sales)*</w:t>
            </w:r>
            <w:proofErr w:type="gramEnd"/>
            <w:r w:rsidRPr="00467225">
              <w:rPr>
                <w:rFonts w:ascii="Arial" w:hAnsi="Arial" w:cs="Arial"/>
                <w:lang w:val="en-IN"/>
              </w:rPr>
              <w:t>365</w:t>
            </w:r>
          </w:p>
        </w:tc>
        <w:tc>
          <w:tcPr>
            <w:tcW w:w="2608" w:type="pct"/>
            <w:gridSpan w:val="5"/>
            <w:tcBorders>
              <w:top w:val="single" w:sz="4" w:space="0" w:color="auto"/>
              <w:left w:val="nil"/>
              <w:bottom w:val="single" w:sz="4" w:space="0" w:color="auto"/>
              <w:right w:val="single" w:sz="4" w:space="0" w:color="auto"/>
            </w:tcBorders>
            <w:shd w:val="clear" w:color="000000" w:fill="FFC000"/>
            <w:noWrap/>
            <w:vAlign w:val="bottom"/>
            <w:hideMark/>
          </w:tcPr>
          <w:p w14:paraId="32ABC9D5"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 </w:t>
            </w:r>
          </w:p>
        </w:tc>
      </w:tr>
      <w:tr w:rsidR="00467225" w:rsidRPr="00467225" w14:paraId="7992C82F"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300DF859"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Inventory</w:t>
            </w:r>
          </w:p>
        </w:tc>
        <w:tc>
          <w:tcPr>
            <w:tcW w:w="955" w:type="pct"/>
            <w:vMerge/>
            <w:tcBorders>
              <w:top w:val="nil"/>
              <w:left w:val="single" w:sz="4" w:space="0" w:color="auto"/>
              <w:bottom w:val="single" w:sz="4" w:space="0" w:color="auto"/>
              <w:right w:val="single" w:sz="4" w:space="0" w:color="auto"/>
            </w:tcBorders>
            <w:vAlign w:val="center"/>
            <w:hideMark/>
          </w:tcPr>
          <w:p w14:paraId="22FD422E"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68E09C0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46,05,368 </w:t>
            </w:r>
          </w:p>
        </w:tc>
        <w:tc>
          <w:tcPr>
            <w:tcW w:w="522" w:type="pct"/>
            <w:tcBorders>
              <w:top w:val="nil"/>
              <w:left w:val="nil"/>
              <w:bottom w:val="single" w:sz="4" w:space="0" w:color="auto"/>
              <w:right w:val="single" w:sz="4" w:space="0" w:color="auto"/>
            </w:tcBorders>
            <w:shd w:val="clear" w:color="000000" w:fill="FFC000"/>
            <w:noWrap/>
            <w:vAlign w:val="bottom"/>
            <w:hideMark/>
          </w:tcPr>
          <w:p w14:paraId="0BCD9C2C"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42,55,614 </w:t>
            </w:r>
          </w:p>
        </w:tc>
        <w:tc>
          <w:tcPr>
            <w:tcW w:w="522" w:type="pct"/>
            <w:tcBorders>
              <w:top w:val="nil"/>
              <w:left w:val="nil"/>
              <w:bottom w:val="single" w:sz="4" w:space="0" w:color="auto"/>
              <w:right w:val="single" w:sz="4" w:space="0" w:color="auto"/>
            </w:tcBorders>
            <w:shd w:val="clear" w:color="000000" w:fill="FFC000"/>
            <w:noWrap/>
            <w:vAlign w:val="bottom"/>
            <w:hideMark/>
          </w:tcPr>
          <w:p w14:paraId="69ECF43C"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38,21,356 </w:t>
            </w:r>
          </w:p>
        </w:tc>
        <w:tc>
          <w:tcPr>
            <w:tcW w:w="522" w:type="pct"/>
            <w:tcBorders>
              <w:top w:val="nil"/>
              <w:left w:val="nil"/>
              <w:bottom w:val="single" w:sz="4" w:space="0" w:color="auto"/>
              <w:right w:val="single" w:sz="4" w:space="0" w:color="auto"/>
            </w:tcBorders>
            <w:shd w:val="clear" w:color="000000" w:fill="FFC000"/>
            <w:noWrap/>
            <w:vAlign w:val="bottom"/>
            <w:hideMark/>
          </w:tcPr>
          <w:p w14:paraId="4262A11A"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28,88,028 </w:t>
            </w:r>
          </w:p>
        </w:tc>
        <w:tc>
          <w:tcPr>
            <w:tcW w:w="522" w:type="pct"/>
            <w:tcBorders>
              <w:top w:val="nil"/>
              <w:left w:val="nil"/>
              <w:bottom w:val="single" w:sz="4" w:space="0" w:color="auto"/>
              <w:right w:val="single" w:sz="4" w:space="0" w:color="auto"/>
            </w:tcBorders>
            <w:shd w:val="clear" w:color="000000" w:fill="FFC000"/>
            <w:noWrap/>
            <w:vAlign w:val="bottom"/>
            <w:hideMark/>
          </w:tcPr>
          <w:p w14:paraId="5CCB2D39"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24,34,918 </w:t>
            </w:r>
          </w:p>
        </w:tc>
      </w:tr>
      <w:tr w:rsidR="00467225" w:rsidRPr="00467225" w14:paraId="21038FC8"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0F16A32C"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Sales</w:t>
            </w:r>
          </w:p>
        </w:tc>
        <w:tc>
          <w:tcPr>
            <w:tcW w:w="955" w:type="pct"/>
            <w:vMerge/>
            <w:tcBorders>
              <w:top w:val="nil"/>
              <w:left w:val="single" w:sz="4" w:space="0" w:color="auto"/>
              <w:bottom w:val="single" w:sz="4" w:space="0" w:color="auto"/>
              <w:right w:val="single" w:sz="4" w:space="0" w:color="auto"/>
            </w:tcBorders>
            <w:vAlign w:val="center"/>
            <w:hideMark/>
          </w:tcPr>
          <w:p w14:paraId="727E7844"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78D8CC2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4,50,95,325 </w:t>
            </w:r>
          </w:p>
        </w:tc>
        <w:tc>
          <w:tcPr>
            <w:tcW w:w="522" w:type="pct"/>
            <w:tcBorders>
              <w:top w:val="nil"/>
              <w:left w:val="nil"/>
              <w:bottom w:val="single" w:sz="4" w:space="0" w:color="auto"/>
              <w:right w:val="single" w:sz="4" w:space="0" w:color="auto"/>
            </w:tcBorders>
            <w:shd w:val="clear" w:color="000000" w:fill="FFC000"/>
            <w:noWrap/>
            <w:vAlign w:val="bottom"/>
            <w:hideMark/>
          </w:tcPr>
          <w:p w14:paraId="301BD88B"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3,71,54,298 </w:t>
            </w:r>
          </w:p>
        </w:tc>
        <w:tc>
          <w:tcPr>
            <w:tcW w:w="522" w:type="pct"/>
            <w:tcBorders>
              <w:top w:val="nil"/>
              <w:left w:val="nil"/>
              <w:bottom w:val="single" w:sz="4" w:space="0" w:color="auto"/>
              <w:right w:val="single" w:sz="4" w:space="0" w:color="auto"/>
            </w:tcBorders>
            <w:shd w:val="clear" w:color="000000" w:fill="FFC000"/>
            <w:noWrap/>
            <w:vAlign w:val="bottom"/>
            <w:hideMark/>
          </w:tcPr>
          <w:p w14:paraId="374F1C25"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3,13,79,507 </w:t>
            </w:r>
          </w:p>
        </w:tc>
        <w:tc>
          <w:tcPr>
            <w:tcW w:w="522" w:type="pct"/>
            <w:tcBorders>
              <w:top w:val="nil"/>
              <w:left w:val="nil"/>
              <w:bottom w:val="single" w:sz="4" w:space="0" w:color="auto"/>
              <w:right w:val="single" w:sz="4" w:space="0" w:color="auto"/>
            </w:tcBorders>
            <w:shd w:val="clear" w:color="000000" w:fill="FFC000"/>
            <w:noWrap/>
            <w:vAlign w:val="bottom"/>
            <w:hideMark/>
          </w:tcPr>
          <w:p w14:paraId="70F7948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2,72,14,594 </w:t>
            </w:r>
          </w:p>
        </w:tc>
        <w:tc>
          <w:tcPr>
            <w:tcW w:w="522" w:type="pct"/>
            <w:tcBorders>
              <w:top w:val="nil"/>
              <w:left w:val="nil"/>
              <w:bottom w:val="single" w:sz="4" w:space="0" w:color="auto"/>
              <w:right w:val="single" w:sz="4" w:space="0" w:color="auto"/>
            </w:tcBorders>
            <w:shd w:val="clear" w:color="000000" w:fill="FFC000"/>
            <w:noWrap/>
            <w:vAlign w:val="bottom"/>
            <w:hideMark/>
          </w:tcPr>
          <w:p w14:paraId="6508E344"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2,99,29,992 </w:t>
            </w:r>
          </w:p>
        </w:tc>
      </w:tr>
      <w:tr w:rsidR="00467225" w:rsidRPr="00467225" w14:paraId="1D1E62A3"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20AFAA99"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Inventory Days</w:t>
            </w:r>
          </w:p>
        </w:tc>
        <w:tc>
          <w:tcPr>
            <w:tcW w:w="955" w:type="pct"/>
            <w:vMerge/>
            <w:tcBorders>
              <w:top w:val="nil"/>
              <w:left w:val="single" w:sz="4" w:space="0" w:color="auto"/>
              <w:bottom w:val="single" w:sz="4" w:space="0" w:color="auto"/>
              <w:right w:val="single" w:sz="4" w:space="0" w:color="auto"/>
            </w:tcBorders>
            <w:vAlign w:val="center"/>
            <w:hideMark/>
          </w:tcPr>
          <w:p w14:paraId="0E30793D"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FF00"/>
            <w:noWrap/>
            <w:vAlign w:val="bottom"/>
            <w:hideMark/>
          </w:tcPr>
          <w:p w14:paraId="74A7E1D6"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37.28</w:t>
            </w:r>
          </w:p>
        </w:tc>
        <w:tc>
          <w:tcPr>
            <w:tcW w:w="522" w:type="pct"/>
            <w:tcBorders>
              <w:top w:val="nil"/>
              <w:left w:val="nil"/>
              <w:bottom w:val="single" w:sz="4" w:space="0" w:color="auto"/>
              <w:right w:val="single" w:sz="4" w:space="0" w:color="auto"/>
            </w:tcBorders>
            <w:shd w:val="clear" w:color="000000" w:fill="FFFF00"/>
            <w:noWrap/>
            <w:vAlign w:val="bottom"/>
            <w:hideMark/>
          </w:tcPr>
          <w:p w14:paraId="678FD649"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41.81</w:t>
            </w:r>
          </w:p>
        </w:tc>
        <w:tc>
          <w:tcPr>
            <w:tcW w:w="522" w:type="pct"/>
            <w:tcBorders>
              <w:top w:val="nil"/>
              <w:left w:val="nil"/>
              <w:bottom w:val="single" w:sz="4" w:space="0" w:color="auto"/>
              <w:right w:val="single" w:sz="4" w:space="0" w:color="auto"/>
            </w:tcBorders>
            <w:shd w:val="clear" w:color="000000" w:fill="FFFF00"/>
            <w:noWrap/>
            <w:vAlign w:val="bottom"/>
            <w:hideMark/>
          </w:tcPr>
          <w:p w14:paraId="141C9EFD"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44.45</w:t>
            </w:r>
          </w:p>
        </w:tc>
        <w:tc>
          <w:tcPr>
            <w:tcW w:w="522" w:type="pct"/>
            <w:tcBorders>
              <w:top w:val="nil"/>
              <w:left w:val="nil"/>
              <w:bottom w:val="single" w:sz="4" w:space="0" w:color="auto"/>
              <w:right w:val="single" w:sz="4" w:space="0" w:color="auto"/>
            </w:tcBorders>
            <w:shd w:val="clear" w:color="000000" w:fill="FFFF00"/>
            <w:noWrap/>
            <w:vAlign w:val="bottom"/>
            <w:hideMark/>
          </w:tcPr>
          <w:p w14:paraId="290C1C0A"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38.73</w:t>
            </w:r>
          </w:p>
        </w:tc>
        <w:tc>
          <w:tcPr>
            <w:tcW w:w="522" w:type="pct"/>
            <w:tcBorders>
              <w:top w:val="nil"/>
              <w:left w:val="nil"/>
              <w:bottom w:val="single" w:sz="4" w:space="0" w:color="auto"/>
              <w:right w:val="single" w:sz="4" w:space="0" w:color="auto"/>
            </w:tcBorders>
            <w:shd w:val="clear" w:color="000000" w:fill="FFFF00"/>
            <w:noWrap/>
            <w:vAlign w:val="bottom"/>
            <w:hideMark/>
          </w:tcPr>
          <w:p w14:paraId="509C7416"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29.69</w:t>
            </w:r>
          </w:p>
        </w:tc>
      </w:tr>
      <w:tr w:rsidR="00467225" w:rsidRPr="00467225" w14:paraId="44D9BFBB"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31BAB73F"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2. Receivable Days (Debtor Collection Period)</w:t>
            </w:r>
          </w:p>
        </w:tc>
        <w:tc>
          <w:tcPr>
            <w:tcW w:w="955" w:type="pct"/>
            <w:vMerge w:val="restart"/>
            <w:tcBorders>
              <w:top w:val="nil"/>
              <w:left w:val="single" w:sz="4" w:space="0" w:color="auto"/>
              <w:bottom w:val="single" w:sz="4" w:space="0" w:color="auto"/>
              <w:right w:val="single" w:sz="4" w:space="0" w:color="auto"/>
            </w:tcBorders>
            <w:shd w:val="clear" w:color="000000" w:fill="FFC000"/>
            <w:vAlign w:val="center"/>
            <w:hideMark/>
          </w:tcPr>
          <w:p w14:paraId="6314AFEB"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(Accounts Receivable​/</w:t>
            </w:r>
            <w:proofErr w:type="gramStart"/>
            <w:r w:rsidRPr="00467225">
              <w:rPr>
                <w:rFonts w:ascii="Arial" w:hAnsi="Arial" w:cs="Arial"/>
                <w:lang w:val="en-IN"/>
              </w:rPr>
              <w:t>Sales)*</w:t>
            </w:r>
            <w:proofErr w:type="gramEnd"/>
            <w:r w:rsidRPr="00467225">
              <w:rPr>
                <w:rFonts w:ascii="Arial" w:hAnsi="Arial" w:cs="Arial"/>
                <w:lang w:val="en-IN"/>
              </w:rPr>
              <w:t>365</w:t>
            </w:r>
          </w:p>
        </w:tc>
        <w:tc>
          <w:tcPr>
            <w:tcW w:w="2608" w:type="pct"/>
            <w:gridSpan w:val="5"/>
            <w:tcBorders>
              <w:top w:val="single" w:sz="4" w:space="0" w:color="auto"/>
              <w:left w:val="nil"/>
              <w:bottom w:val="single" w:sz="4" w:space="0" w:color="auto"/>
              <w:right w:val="single" w:sz="4" w:space="0" w:color="auto"/>
            </w:tcBorders>
            <w:shd w:val="clear" w:color="000000" w:fill="FFC000"/>
            <w:noWrap/>
            <w:vAlign w:val="bottom"/>
            <w:hideMark/>
          </w:tcPr>
          <w:p w14:paraId="2BADC7E1"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 </w:t>
            </w:r>
          </w:p>
        </w:tc>
      </w:tr>
      <w:tr w:rsidR="00467225" w:rsidRPr="00467225" w14:paraId="04E9C558"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709D3D3A"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Accounts Receivable​</w:t>
            </w:r>
          </w:p>
        </w:tc>
        <w:tc>
          <w:tcPr>
            <w:tcW w:w="955" w:type="pct"/>
            <w:vMerge/>
            <w:tcBorders>
              <w:top w:val="nil"/>
              <w:left w:val="single" w:sz="4" w:space="0" w:color="auto"/>
              <w:bottom w:val="single" w:sz="4" w:space="0" w:color="auto"/>
              <w:right w:val="single" w:sz="4" w:space="0" w:color="auto"/>
            </w:tcBorders>
            <w:vAlign w:val="center"/>
            <w:hideMark/>
          </w:tcPr>
          <w:p w14:paraId="5B42C12C"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2AF98C6D"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3,36,00,612 </w:t>
            </w:r>
          </w:p>
        </w:tc>
        <w:tc>
          <w:tcPr>
            <w:tcW w:w="522" w:type="pct"/>
            <w:tcBorders>
              <w:top w:val="nil"/>
              <w:left w:val="nil"/>
              <w:bottom w:val="single" w:sz="4" w:space="0" w:color="auto"/>
              <w:right w:val="single" w:sz="4" w:space="0" w:color="auto"/>
            </w:tcBorders>
            <w:shd w:val="clear" w:color="000000" w:fill="FFC000"/>
            <w:noWrap/>
            <w:vAlign w:val="bottom"/>
            <w:hideMark/>
          </w:tcPr>
          <w:p w14:paraId="428D0A76"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2,91,28,561 </w:t>
            </w:r>
          </w:p>
        </w:tc>
        <w:tc>
          <w:tcPr>
            <w:tcW w:w="522" w:type="pct"/>
            <w:tcBorders>
              <w:top w:val="nil"/>
              <w:left w:val="nil"/>
              <w:bottom w:val="single" w:sz="4" w:space="0" w:color="auto"/>
              <w:right w:val="single" w:sz="4" w:space="0" w:color="auto"/>
            </w:tcBorders>
            <w:shd w:val="clear" w:color="000000" w:fill="FFC000"/>
            <w:noWrap/>
            <w:vAlign w:val="bottom"/>
            <w:hideMark/>
          </w:tcPr>
          <w:p w14:paraId="37D73B0B"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2,42,50,784 </w:t>
            </w:r>
          </w:p>
        </w:tc>
        <w:tc>
          <w:tcPr>
            <w:tcW w:w="522" w:type="pct"/>
            <w:tcBorders>
              <w:top w:val="nil"/>
              <w:left w:val="nil"/>
              <w:bottom w:val="single" w:sz="4" w:space="0" w:color="auto"/>
              <w:right w:val="single" w:sz="4" w:space="0" w:color="auto"/>
            </w:tcBorders>
            <w:shd w:val="clear" w:color="000000" w:fill="FFC000"/>
            <w:noWrap/>
            <w:vAlign w:val="bottom"/>
            <w:hideMark/>
          </w:tcPr>
          <w:p w14:paraId="5700D73B"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2,11,99,890 </w:t>
            </w:r>
          </w:p>
        </w:tc>
        <w:tc>
          <w:tcPr>
            <w:tcW w:w="522" w:type="pct"/>
            <w:tcBorders>
              <w:top w:val="nil"/>
              <w:left w:val="nil"/>
              <w:bottom w:val="single" w:sz="4" w:space="0" w:color="auto"/>
              <w:right w:val="single" w:sz="4" w:space="0" w:color="auto"/>
            </w:tcBorders>
            <w:shd w:val="clear" w:color="000000" w:fill="FFC000"/>
            <w:noWrap/>
            <w:vAlign w:val="bottom"/>
            <w:hideMark/>
          </w:tcPr>
          <w:p w14:paraId="564DE227"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5,64,854 </w:t>
            </w:r>
          </w:p>
        </w:tc>
      </w:tr>
      <w:tr w:rsidR="00467225" w:rsidRPr="00467225" w14:paraId="7B9BDDAC"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174465E9"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lastRenderedPageBreak/>
              <w:t>(/): Sales</w:t>
            </w:r>
          </w:p>
        </w:tc>
        <w:tc>
          <w:tcPr>
            <w:tcW w:w="955" w:type="pct"/>
            <w:vMerge/>
            <w:tcBorders>
              <w:top w:val="nil"/>
              <w:left w:val="single" w:sz="4" w:space="0" w:color="auto"/>
              <w:bottom w:val="single" w:sz="4" w:space="0" w:color="auto"/>
              <w:right w:val="single" w:sz="4" w:space="0" w:color="auto"/>
            </w:tcBorders>
            <w:vAlign w:val="center"/>
            <w:hideMark/>
          </w:tcPr>
          <w:p w14:paraId="3606642D"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2E3DE598"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4,50,95,325 </w:t>
            </w:r>
          </w:p>
        </w:tc>
        <w:tc>
          <w:tcPr>
            <w:tcW w:w="522" w:type="pct"/>
            <w:tcBorders>
              <w:top w:val="nil"/>
              <w:left w:val="nil"/>
              <w:bottom w:val="single" w:sz="4" w:space="0" w:color="auto"/>
              <w:right w:val="single" w:sz="4" w:space="0" w:color="auto"/>
            </w:tcBorders>
            <w:shd w:val="clear" w:color="000000" w:fill="FFC000"/>
            <w:noWrap/>
            <w:vAlign w:val="bottom"/>
            <w:hideMark/>
          </w:tcPr>
          <w:p w14:paraId="179DCA7E"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3,71,54,298 </w:t>
            </w:r>
          </w:p>
        </w:tc>
        <w:tc>
          <w:tcPr>
            <w:tcW w:w="522" w:type="pct"/>
            <w:tcBorders>
              <w:top w:val="nil"/>
              <w:left w:val="nil"/>
              <w:bottom w:val="single" w:sz="4" w:space="0" w:color="auto"/>
              <w:right w:val="single" w:sz="4" w:space="0" w:color="auto"/>
            </w:tcBorders>
            <w:shd w:val="clear" w:color="000000" w:fill="FFC000"/>
            <w:noWrap/>
            <w:vAlign w:val="bottom"/>
            <w:hideMark/>
          </w:tcPr>
          <w:p w14:paraId="1B6E082F"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3,13,79,507 </w:t>
            </w:r>
          </w:p>
        </w:tc>
        <w:tc>
          <w:tcPr>
            <w:tcW w:w="522" w:type="pct"/>
            <w:tcBorders>
              <w:top w:val="nil"/>
              <w:left w:val="nil"/>
              <w:bottom w:val="single" w:sz="4" w:space="0" w:color="auto"/>
              <w:right w:val="single" w:sz="4" w:space="0" w:color="auto"/>
            </w:tcBorders>
            <w:shd w:val="clear" w:color="000000" w:fill="FFC000"/>
            <w:noWrap/>
            <w:vAlign w:val="bottom"/>
            <w:hideMark/>
          </w:tcPr>
          <w:p w14:paraId="673CC6B1"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2,72,14,594 </w:t>
            </w:r>
          </w:p>
        </w:tc>
        <w:tc>
          <w:tcPr>
            <w:tcW w:w="522" w:type="pct"/>
            <w:tcBorders>
              <w:top w:val="nil"/>
              <w:left w:val="nil"/>
              <w:bottom w:val="single" w:sz="4" w:space="0" w:color="auto"/>
              <w:right w:val="single" w:sz="4" w:space="0" w:color="auto"/>
            </w:tcBorders>
            <w:shd w:val="clear" w:color="000000" w:fill="FFC000"/>
            <w:noWrap/>
            <w:vAlign w:val="bottom"/>
            <w:hideMark/>
          </w:tcPr>
          <w:p w14:paraId="219F696A"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2,99,29,992 </w:t>
            </w:r>
          </w:p>
        </w:tc>
      </w:tr>
      <w:tr w:rsidR="00467225" w:rsidRPr="00467225" w14:paraId="21745976"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25940B58"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Receivable Days</w:t>
            </w:r>
          </w:p>
        </w:tc>
        <w:tc>
          <w:tcPr>
            <w:tcW w:w="955" w:type="pct"/>
            <w:vMerge/>
            <w:tcBorders>
              <w:top w:val="nil"/>
              <w:left w:val="single" w:sz="4" w:space="0" w:color="auto"/>
              <w:bottom w:val="single" w:sz="4" w:space="0" w:color="auto"/>
              <w:right w:val="single" w:sz="4" w:space="0" w:color="auto"/>
            </w:tcBorders>
            <w:vAlign w:val="center"/>
            <w:hideMark/>
          </w:tcPr>
          <w:p w14:paraId="3B83EC30"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FF00"/>
            <w:noWrap/>
            <w:vAlign w:val="bottom"/>
            <w:hideMark/>
          </w:tcPr>
          <w:p w14:paraId="4F08B046"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271.96</w:t>
            </w:r>
          </w:p>
        </w:tc>
        <w:tc>
          <w:tcPr>
            <w:tcW w:w="522" w:type="pct"/>
            <w:tcBorders>
              <w:top w:val="nil"/>
              <w:left w:val="nil"/>
              <w:bottom w:val="single" w:sz="4" w:space="0" w:color="auto"/>
              <w:right w:val="single" w:sz="4" w:space="0" w:color="auto"/>
            </w:tcBorders>
            <w:shd w:val="clear" w:color="000000" w:fill="FFFF00"/>
            <w:noWrap/>
            <w:vAlign w:val="bottom"/>
            <w:hideMark/>
          </w:tcPr>
          <w:p w14:paraId="1B5F482C"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286.16</w:t>
            </w:r>
          </w:p>
        </w:tc>
        <w:tc>
          <w:tcPr>
            <w:tcW w:w="522" w:type="pct"/>
            <w:tcBorders>
              <w:top w:val="nil"/>
              <w:left w:val="nil"/>
              <w:bottom w:val="single" w:sz="4" w:space="0" w:color="auto"/>
              <w:right w:val="single" w:sz="4" w:space="0" w:color="auto"/>
            </w:tcBorders>
            <w:shd w:val="clear" w:color="000000" w:fill="FFFF00"/>
            <w:noWrap/>
            <w:vAlign w:val="bottom"/>
            <w:hideMark/>
          </w:tcPr>
          <w:p w14:paraId="31607230"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282.08</w:t>
            </w:r>
          </w:p>
        </w:tc>
        <w:tc>
          <w:tcPr>
            <w:tcW w:w="522" w:type="pct"/>
            <w:tcBorders>
              <w:top w:val="nil"/>
              <w:left w:val="nil"/>
              <w:bottom w:val="single" w:sz="4" w:space="0" w:color="auto"/>
              <w:right w:val="single" w:sz="4" w:space="0" w:color="auto"/>
            </w:tcBorders>
            <w:shd w:val="clear" w:color="000000" w:fill="FFFF00"/>
            <w:noWrap/>
            <w:vAlign w:val="bottom"/>
            <w:hideMark/>
          </w:tcPr>
          <w:p w14:paraId="5C0969BC"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284.33</w:t>
            </w:r>
          </w:p>
        </w:tc>
        <w:tc>
          <w:tcPr>
            <w:tcW w:w="522" w:type="pct"/>
            <w:tcBorders>
              <w:top w:val="nil"/>
              <w:left w:val="nil"/>
              <w:bottom w:val="single" w:sz="4" w:space="0" w:color="auto"/>
              <w:right w:val="single" w:sz="4" w:space="0" w:color="auto"/>
            </w:tcBorders>
            <w:shd w:val="clear" w:color="000000" w:fill="FFFF00"/>
            <w:noWrap/>
            <w:vAlign w:val="bottom"/>
            <w:hideMark/>
          </w:tcPr>
          <w:p w14:paraId="702A4A61"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6.89</w:t>
            </w:r>
          </w:p>
        </w:tc>
      </w:tr>
      <w:tr w:rsidR="00467225" w:rsidRPr="00467225" w14:paraId="52BCE498"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0798BED7"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3. Payable Days (Creditor Payment Period)</w:t>
            </w:r>
          </w:p>
        </w:tc>
        <w:tc>
          <w:tcPr>
            <w:tcW w:w="955"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09DDEFB6"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(Accounts Payable​/</w:t>
            </w:r>
            <w:proofErr w:type="gramStart"/>
            <w:r w:rsidRPr="00467225">
              <w:rPr>
                <w:rFonts w:ascii="Arial" w:hAnsi="Arial" w:cs="Arial"/>
                <w:lang w:val="en-IN"/>
              </w:rPr>
              <w:t>Sales)*</w:t>
            </w:r>
            <w:proofErr w:type="gramEnd"/>
            <w:r w:rsidRPr="00467225">
              <w:rPr>
                <w:rFonts w:ascii="Arial" w:hAnsi="Arial" w:cs="Arial"/>
                <w:lang w:val="en-IN"/>
              </w:rPr>
              <w:t>365</w:t>
            </w:r>
          </w:p>
        </w:tc>
        <w:tc>
          <w:tcPr>
            <w:tcW w:w="2608" w:type="pct"/>
            <w:gridSpan w:val="5"/>
            <w:tcBorders>
              <w:top w:val="single" w:sz="4" w:space="0" w:color="auto"/>
              <w:left w:val="nil"/>
              <w:bottom w:val="single" w:sz="4" w:space="0" w:color="auto"/>
              <w:right w:val="single" w:sz="4" w:space="0" w:color="auto"/>
            </w:tcBorders>
            <w:shd w:val="clear" w:color="000000" w:fill="FFC000"/>
            <w:noWrap/>
            <w:vAlign w:val="bottom"/>
            <w:hideMark/>
          </w:tcPr>
          <w:p w14:paraId="2241D609"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 </w:t>
            </w:r>
          </w:p>
        </w:tc>
      </w:tr>
      <w:tr w:rsidR="00467225" w:rsidRPr="00467225" w14:paraId="3475DE8A"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339A8671"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Accounts Payable​</w:t>
            </w:r>
          </w:p>
        </w:tc>
        <w:tc>
          <w:tcPr>
            <w:tcW w:w="955" w:type="pct"/>
            <w:vMerge/>
            <w:tcBorders>
              <w:top w:val="nil"/>
              <w:left w:val="single" w:sz="4" w:space="0" w:color="auto"/>
              <w:bottom w:val="single" w:sz="4" w:space="0" w:color="auto"/>
              <w:right w:val="single" w:sz="4" w:space="0" w:color="auto"/>
            </w:tcBorders>
            <w:vAlign w:val="center"/>
            <w:hideMark/>
          </w:tcPr>
          <w:p w14:paraId="4A24741E"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73877F48"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52,51,357 </w:t>
            </w:r>
          </w:p>
        </w:tc>
        <w:tc>
          <w:tcPr>
            <w:tcW w:w="522" w:type="pct"/>
            <w:tcBorders>
              <w:top w:val="nil"/>
              <w:left w:val="nil"/>
              <w:bottom w:val="single" w:sz="4" w:space="0" w:color="auto"/>
              <w:right w:val="single" w:sz="4" w:space="0" w:color="auto"/>
            </w:tcBorders>
            <w:shd w:val="clear" w:color="000000" w:fill="FFC000"/>
            <w:noWrap/>
            <w:vAlign w:val="bottom"/>
            <w:hideMark/>
          </w:tcPr>
          <w:p w14:paraId="302AEBF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49,86,309 </w:t>
            </w:r>
          </w:p>
        </w:tc>
        <w:tc>
          <w:tcPr>
            <w:tcW w:w="522" w:type="pct"/>
            <w:tcBorders>
              <w:top w:val="nil"/>
              <w:left w:val="nil"/>
              <w:bottom w:val="single" w:sz="4" w:space="0" w:color="auto"/>
              <w:right w:val="single" w:sz="4" w:space="0" w:color="auto"/>
            </w:tcBorders>
            <w:shd w:val="clear" w:color="000000" w:fill="FFC000"/>
            <w:noWrap/>
            <w:vAlign w:val="bottom"/>
            <w:hideMark/>
          </w:tcPr>
          <w:p w14:paraId="79AA168C"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42,92,092 </w:t>
            </w:r>
          </w:p>
        </w:tc>
        <w:tc>
          <w:tcPr>
            <w:tcW w:w="522" w:type="pct"/>
            <w:tcBorders>
              <w:top w:val="nil"/>
              <w:left w:val="nil"/>
              <w:bottom w:val="single" w:sz="4" w:space="0" w:color="auto"/>
              <w:right w:val="single" w:sz="4" w:space="0" w:color="auto"/>
            </w:tcBorders>
            <w:shd w:val="clear" w:color="000000" w:fill="FFC000"/>
            <w:noWrap/>
            <w:vAlign w:val="bottom"/>
            <w:hideMark/>
          </w:tcPr>
          <w:p w14:paraId="0D2FFA3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40,45,939 </w:t>
            </w:r>
          </w:p>
        </w:tc>
        <w:tc>
          <w:tcPr>
            <w:tcW w:w="522" w:type="pct"/>
            <w:tcBorders>
              <w:top w:val="nil"/>
              <w:left w:val="nil"/>
              <w:bottom w:val="single" w:sz="4" w:space="0" w:color="auto"/>
              <w:right w:val="single" w:sz="4" w:space="0" w:color="auto"/>
            </w:tcBorders>
            <w:shd w:val="clear" w:color="000000" w:fill="FFC000"/>
            <w:noWrap/>
            <w:vAlign w:val="bottom"/>
            <w:hideMark/>
          </w:tcPr>
          <w:p w14:paraId="049DCAB3"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24,34,180 </w:t>
            </w:r>
          </w:p>
        </w:tc>
      </w:tr>
      <w:tr w:rsidR="00467225" w:rsidRPr="00467225" w14:paraId="3A8D12D9"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28E71FBD"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Sales</w:t>
            </w:r>
          </w:p>
        </w:tc>
        <w:tc>
          <w:tcPr>
            <w:tcW w:w="955" w:type="pct"/>
            <w:vMerge/>
            <w:tcBorders>
              <w:top w:val="nil"/>
              <w:left w:val="single" w:sz="4" w:space="0" w:color="auto"/>
              <w:bottom w:val="single" w:sz="4" w:space="0" w:color="auto"/>
              <w:right w:val="single" w:sz="4" w:space="0" w:color="auto"/>
            </w:tcBorders>
            <w:vAlign w:val="center"/>
            <w:hideMark/>
          </w:tcPr>
          <w:p w14:paraId="45B953B3"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C000"/>
            <w:noWrap/>
            <w:vAlign w:val="bottom"/>
            <w:hideMark/>
          </w:tcPr>
          <w:p w14:paraId="71CCE326"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4,50,95,325 </w:t>
            </w:r>
          </w:p>
        </w:tc>
        <w:tc>
          <w:tcPr>
            <w:tcW w:w="522" w:type="pct"/>
            <w:tcBorders>
              <w:top w:val="nil"/>
              <w:left w:val="nil"/>
              <w:bottom w:val="single" w:sz="4" w:space="0" w:color="auto"/>
              <w:right w:val="single" w:sz="4" w:space="0" w:color="auto"/>
            </w:tcBorders>
            <w:shd w:val="clear" w:color="000000" w:fill="FFC000"/>
            <w:noWrap/>
            <w:vAlign w:val="bottom"/>
            <w:hideMark/>
          </w:tcPr>
          <w:p w14:paraId="5C3322F0"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3,71,54,298 </w:t>
            </w:r>
          </w:p>
        </w:tc>
        <w:tc>
          <w:tcPr>
            <w:tcW w:w="522" w:type="pct"/>
            <w:tcBorders>
              <w:top w:val="nil"/>
              <w:left w:val="nil"/>
              <w:bottom w:val="single" w:sz="4" w:space="0" w:color="auto"/>
              <w:right w:val="single" w:sz="4" w:space="0" w:color="auto"/>
            </w:tcBorders>
            <w:shd w:val="clear" w:color="000000" w:fill="FFC000"/>
            <w:noWrap/>
            <w:vAlign w:val="bottom"/>
            <w:hideMark/>
          </w:tcPr>
          <w:p w14:paraId="30D02E06"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3,13,79,507 </w:t>
            </w:r>
          </w:p>
        </w:tc>
        <w:tc>
          <w:tcPr>
            <w:tcW w:w="522" w:type="pct"/>
            <w:tcBorders>
              <w:top w:val="nil"/>
              <w:left w:val="nil"/>
              <w:bottom w:val="single" w:sz="4" w:space="0" w:color="auto"/>
              <w:right w:val="single" w:sz="4" w:space="0" w:color="auto"/>
            </w:tcBorders>
            <w:shd w:val="clear" w:color="000000" w:fill="FFC000"/>
            <w:noWrap/>
            <w:vAlign w:val="bottom"/>
            <w:hideMark/>
          </w:tcPr>
          <w:p w14:paraId="3D82780B"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2,72,14,594 </w:t>
            </w:r>
          </w:p>
        </w:tc>
        <w:tc>
          <w:tcPr>
            <w:tcW w:w="522" w:type="pct"/>
            <w:tcBorders>
              <w:top w:val="nil"/>
              <w:left w:val="nil"/>
              <w:bottom w:val="single" w:sz="4" w:space="0" w:color="auto"/>
              <w:right w:val="single" w:sz="4" w:space="0" w:color="auto"/>
            </w:tcBorders>
            <w:shd w:val="clear" w:color="000000" w:fill="FFC000"/>
            <w:noWrap/>
            <w:vAlign w:val="bottom"/>
            <w:hideMark/>
          </w:tcPr>
          <w:p w14:paraId="51440BFF" w14:textId="77777777" w:rsidR="00467225" w:rsidRPr="00467225" w:rsidRDefault="00467225" w:rsidP="00467225">
            <w:pPr>
              <w:spacing w:before="0" w:after="0" w:line="240" w:lineRule="auto"/>
              <w:jc w:val="left"/>
              <w:rPr>
                <w:rFonts w:ascii="Arial" w:hAnsi="Arial" w:cs="Arial"/>
                <w:lang w:val="en-IN"/>
              </w:rPr>
            </w:pPr>
            <w:r w:rsidRPr="00467225">
              <w:rPr>
                <w:rFonts w:ascii="Arial" w:hAnsi="Arial" w:cs="Arial"/>
                <w:lang w:val="en-IN"/>
              </w:rPr>
              <w:t xml:space="preserve"> ¥      2,99,29,992 </w:t>
            </w:r>
          </w:p>
        </w:tc>
      </w:tr>
      <w:tr w:rsidR="00467225" w:rsidRPr="00467225" w14:paraId="23D53EF2" w14:textId="77777777" w:rsidTr="00467225">
        <w:trPr>
          <w:trHeight w:val="312"/>
          <w:jc w:val="center"/>
        </w:trPr>
        <w:tc>
          <w:tcPr>
            <w:tcW w:w="1437" w:type="pct"/>
            <w:tcBorders>
              <w:top w:val="nil"/>
              <w:left w:val="single" w:sz="4" w:space="0" w:color="auto"/>
              <w:bottom w:val="single" w:sz="4" w:space="0" w:color="auto"/>
              <w:right w:val="single" w:sz="4" w:space="0" w:color="auto"/>
            </w:tcBorders>
            <w:shd w:val="clear" w:color="000000" w:fill="FFC000"/>
            <w:noWrap/>
            <w:vAlign w:val="bottom"/>
            <w:hideMark/>
          </w:tcPr>
          <w:p w14:paraId="5118E72C"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Payable Days</w:t>
            </w:r>
          </w:p>
        </w:tc>
        <w:tc>
          <w:tcPr>
            <w:tcW w:w="955" w:type="pct"/>
            <w:vMerge/>
            <w:tcBorders>
              <w:top w:val="nil"/>
              <w:left w:val="single" w:sz="4" w:space="0" w:color="auto"/>
              <w:bottom w:val="single" w:sz="4" w:space="0" w:color="auto"/>
              <w:right w:val="single" w:sz="4" w:space="0" w:color="auto"/>
            </w:tcBorders>
            <w:vAlign w:val="center"/>
            <w:hideMark/>
          </w:tcPr>
          <w:p w14:paraId="436962BE" w14:textId="77777777" w:rsidR="00467225" w:rsidRPr="00467225" w:rsidRDefault="00467225" w:rsidP="00467225">
            <w:pPr>
              <w:spacing w:before="0" w:after="0" w:line="240" w:lineRule="auto"/>
              <w:jc w:val="left"/>
              <w:rPr>
                <w:rFonts w:ascii="Arial" w:hAnsi="Arial" w:cs="Arial"/>
                <w:lang w:val="en-IN"/>
              </w:rPr>
            </w:pPr>
          </w:p>
        </w:tc>
        <w:tc>
          <w:tcPr>
            <w:tcW w:w="522" w:type="pct"/>
            <w:tcBorders>
              <w:top w:val="nil"/>
              <w:left w:val="nil"/>
              <w:bottom w:val="single" w:sz="4" w:space="0" w:color="auto"/>
              <w:right w:val="single" w:sz="4" w:space="0" w:color="auto"/>
            </w:tcBorders>
            <w:shd w:val="clear" w:color="000000" w:fill="FFFF00"/>
            <w:noWrap/>
            <w:vAlign w:val="bottom"/>
            <w:hideMark/>
          </w:tcPr>
          <w:p w14:paraId="3CFDF21C"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42.50</w:t>
            </w:r>
          </w:p>
        </w:tc>
        <w:tc>
          <w:tcPr>
            <w:tcW w:w="522" w:type="pct"/>
            <w:tcBorders>
              <w:top w:val="nil"/>
              <w:left w:val="nil"/>
              <w:bottom w:val="single" w:sz="4" w:space="0" w:color="auto"/>
              <w:right w:val="single" w:sz="4" w:space="0" w:color="auto"/>
            </w:tcBorders>
            <w:shd w:val="clear" w:color="000000" w:fill="FFFF00"/>
            <w:noWrap/>
            <w:vAlign w:val="bottom"/>
            <w:hideMark/>
          </w:tcPr>
          <w:p w14:paraId="753DE2E7"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48.98</w:t>
            </w:r>
          </w:p>
        </w:tc>
        <w:tc>
          <w:tcPr>
            <w:tcW w:w="522" w:type="pct"/>
            <w:tcBorders>
              <w:top w:val="nil"/>
              <w:left w:val="nil"/>
              <w:bottom w:val="single" w:sz="4" w:space="0" w:color="auto"/>
              <w:right w:val="single" w:sz="4" w:space="0" w:color="auto"/>
            </w:tcBorders>
            <w:shd w:val="clear" w:color="000000" w:fill="FFFF00"/>
            <w:noWrap/>
            <w:vAlign w:val="bottom"/>
            <w:hideMark/>
          </w:tcPr>
          <w:p w14:paraId="6236A3BD"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49.92</w:t>
            </w:r>
          </w:p>
        </w:tc>
        <w:tc>
          <w:tcPr>
            <w:tcW w:w="522" w:type="pct"/>
            <w:tcBorders>
              <w:top w:val="nil"/>
              <w:left w:val="nil"/>
              <w:bottom w:val="single" w:sz="4" w:space="0" w:color="auto"/>
              <w:right w:val="single" w:sz="4" w:space="0" w:color="auto"/>
            </w:tcBorders>
            <w:shd w:val="clear" w:color="000000" w:fill="FFFF00"/>
            <w:noWrap/>
            <w:vAlign w:val="bottom"/>
            <w:hideMark/>
          </w:tcPr>
          <w:p w14:paraId="6534722F"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54.26</w:t>
            </w:r>
          </w:p>
        </w:tc>
        <w:tc>
          <w:tcPr>
            <w:tcW w:w="522" w:type="pct"/>
            <w:tcBorders>
              <w:top w:val="nil"/>
              <w:left w:val="nil"/>
              <w:bottom w:val="single" w:sz="4" w:space="0" w:color="auto"/>
              <w:right w:val="single" w:sz="4" w:space="0" w:color="auto"/>
            </w:tcBorders>
            <w:shd w:val="clear" w:color="000000" w:fill="FFFF00"/>
            <w:noWrap/>
            <w:vAlign w:val="bottom"/>
            <w:hideMark/>
          </w:tcPr>
          <w:p w14:paraId="280D5DD3"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29.69</w:t>
            </w:r>
          </w:p>
        </w:tc>
      </w:tr>
      <w:tr w:rsidR="00467225" w:rsidRPr="00467225" w14:paraId="30E2BF8B" w14:textId="77777777" w:rsidTr="00467225">
        <w:trPr>
          <w:trHeight w:val="600"/>
          <w:jc w:val="center"/>
        </w:trPr>
        <w:tc>
          <w:tcPr>
            <w:tcW w:w="1437" w:type="pct"/>
            <w:tcBorders>
              <w:top w:val="nil"/>
              <w:left w:val="single" w:sz="4" w:space="0" w:color="auto"/>
              <w:bottom w:val="single" w:sz="4" w:space="0" w:color="auto"/>
              <w:right w:val="single" w:sz="4" w:space="0" w:color="auto"/>
            </w:tcBorders>
            <w:shd w:val="clear" w:color="000000" w:fill="FFFF00"/>
            <w:noWrap/>
            <w:vAlign w:val="center"/>
            <w:hideMark/>
          </w:tcPr>
          <w:p w14:paraId="46DC94D8" w14:textId="77777777" w:rsidR="00467225" w:rsidRPr="00467225" w:rsidRDefault="00467225" w:rsidP="00467225">
            <w:pPr>
              <w:spacing w:before="0" w:after="0" w:line="240" w:lineRule="auto"/>
              <w:jc w:val="left"/>
              <w:rPr>
                <w:rFonts w:ascii="Arial" w:hAnsi="Arial" w:cs="Arial"/>
                <w:b/>
                <w:bCs/>
                <w:lang w:val="en-IN"/>
              </w:rPr>
            </w:pPr>
            <w:r w:rsidRPr="00467225">
              <w:rPr>
                <w:rFonts w:ascii="Arial" w:hAnsi="Arial" w:cs="Arial"/>
                <w:b/>
                <w:bCs/>
                <w:lang w:val="en-IN"/>
              </w:rPr>
              <w:t>Calculate Cash Operating Cycle (CCC)</w:t>
            </w:r>
          </w:p>
        </w:tc>
        <w:tc>
          <w:tcPr>
            <w:tcW w:w="955" w:type="pct"/>
            <w:tcBorders>
              <w:top w:val="nil"/>
              <w:left w:val="nil"/>
              <w:bottom w:val="single" w:sz="4" w:space="0" w:color="auto"/>
              <w:right w:val="single" w:sz="4" w:space="0" w:color="auto"/>
            </w:tcBorders>
            <w:shd w:val="clear" w:color="000000" w:fill="FFC000"/>
            <w:vAlign w:val="center"/>
            <w:hideMark/>
          </w:tcPr>
          <w:p w14:paraId="1746EE86" w14:textId="77777777" w:rsidR="00467225" w:rsidRPr="00467225" w:rsidRDefault="00467225" w:rsidP="00467225">
            <w:pPr>
              <w:spacing w:before="0" w:after="0" w:line="240" w:lineRule="auto"/>
              <w:jc w:val="center"/>
              <w:rPr>
                <w:rFonts w:ascii="Arial" w:hAnsi="Arial" w:cs="Arial"/>
                <w:lang w:val="en-IN"/>
              </w:rPr>
            </w:pPr>
            <w:r w:rsidRPr="00467225">
              <w:rPr>
                <w:rFonts w:ascii="Arial" w:hAnsi="Arial" w:cs="Arial"/>
                <w:lang w:val="en-IN"/>
              </w:rPr>
              <w:t xml:space="preserve">Inventory </w:t>
            </w:r>
            <w:proofErr w:type="spellStart"/>
            <w:r w:rsidRPr="00467225">
              <w:rPr>
                <w:rFonts w:ascii="Arial" w:hAnsi="Arial" w:cs="Arial"/>
                <w:lang w:val="en-IN"/>
              </w:rPr>
              <w:t>Days+Receivable</w:t>
            </w:r>
            <w:proofErr w:type="spellEnd"/>
            <w:r w:rsidRPr="00467225">
              <w:rPr>
                <w:rFonts w:ascii="Arial" w:hAnsi="Arial" w:cs="Arial"/>
                <w:lang w:val="en-IN"/>
              </w:rPr>
              <w:t xml:space="preserve"> Days−Payable Days</w:t>
            </w:r>
          </w:p>
        </w:tc>
        <w:tc>
          <w:tcPr>
            <w:tcW w:w="522" w:type="pct"/>
            <w:tcBorders>
              <w:top w:val="nil"/>
              <w:left w:val="nil"/>
              <w:bottom w:val="single" w:sz="4" w:space="0" w:color="auto"/>
              <w:right w:val="single" w:sz="4" w:space="0" w:color="auto"/>
            </w:tcBorders>
            <w:shd w:val="clear" w:color="000000" w:fill="FFFF00"/>
            <w:noWrap/>
            <w:vAlign w:val="center"/>
            <w:hideMark/>
          </w:tcPr>
          <w:p w14:paraId="17394C2B"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267</w:t>
            </w:r>
          </w:p>
        </w:tc>
        <w:tc>
          <w:tcPr>
            <w:tcW w:w="522" w:type="pct"/>
            <w:tcBorders>
              <w:top w:val="nil"/>
              <w:left w:val="nil"/>
              <w:bottom w:val="single" w:sz="4" w:space="0" w:color="auto"/>
              <w:right w:val="single" w:sz="4" w:space="0" w:color="auto"/>
            </w:tcBorders>
            <w:shd w:val="clear" w:color="000000" w:fill="FFFF00"/>
            <w:noWrap/>
            <w:vAlign w:val="center"/>
            <w:hideMark/>
          </w:tcPr>
          <w:p w14:paraId="0C2BDE06"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279</w:t>
            </w:r>
          </w:p>
        </w:tc>
        <w:tc>
          <w:tcPr>
            <w:tcW w:w="522" w:type="pct"/>
            <w:tcBorders>
              <w:top w:val="nil"/>
              <w:left w:val="nil"/>
              <w:bottom w:val="single" w:sz="4" w:space="0" w:color="auto"/>
              <w:right w:val="single" w:sz="4" w:space="0" w:color="auto"/>
            </w:tcBorders>
            <w:shd w:val="clear" w:color="000000" w:fill="FFFF00"/>
            <w:noWrap/>
            <w:vAlign w:val="center"/>
            <w:hideMark/>
          </w:tcPr>
          <w:p w14:paraId="09F13BD6"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277</w:t>
            </w:r>
          </w:p>
        </w:tc>
        <w:tc>
          <w:tcPr>
            <w:tcW w:w="522" w:type="pct"/>
            <w:tcBorders>
              <w:top w:val="nil"/>
              <w:left w:val="nil"/>
              <w:bottom w:val="single" w:sz="4" w:space="0" w:color="auto"/>
              <w:right w:val="single" w:sz="4" w:space="0" w:color="auto"/>
            </w:tcBorders>
            <w:shd w:val="clear" w:color="000000" w:fill="FFFF00"/>
            <w:noWrap/>
            <w:vAlign w:val="center"/>
            <w:hideMark/>
          </w:tcPr>
          <w:p w14:paraId="0691484D"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269</w:t>
            </w:r>
          </w:p>
        </w:tc>
        <w:tc>
          <w:tcPr>
            <w:tcW w:w="522" w:type="pct"/>
            <w:tcBorders>
              <w:top w:val="nil"/>
              <w:left w:val="nil"/>
              <w:bottom w:val="single" w:sz="4" w:space="0" w:color="auto"/>
              <w:right w:val="single" w:sz="4" w:space="0" w:color="auto"/>
            </w:tcBorders>
            <w:shd w:val="clear" w:color="000000" w:fill="FFFF00"/>
            <w:noWrap/>
            <w:vAlign w:val="center"/>
            <w:hideMark/>
          </w:tcPr>
          <w:p w14:paraId="0E8F775C" w14:textId="77777777" w:rsidR="00467225" w:rsidRPr="00467225" w:rsidRDefault="00467225" w:rsidP="00467225">
            <w:pPr>
              <w:spacing w:before="0" w:after="0" w:line="240" w:lineRule="auto"/>
              <w:jc w:val="right"/>
              <w:rPr>
                <w:rFonts w:ascii="Arial" w:hAnsi="Arial" w:cs="Arial"/>
                <w:b/>
                <w:bCs/>
                <w:lang w:val="en-IN"/>
              </w:rPr>
            </w:pPr>
            <w:r w:rsidRPr="00467225">
              <w:rPr>
                <w:rFonts w:ascii="Arial" w:hAnsi="Arial" w:cs="Arial"/>
                <w:b/>
                <w:bCs/>
                <w:lang w:val="en-IN"/>
              </w:rPr>
              <w:t>7</w:t>
            </w:r>
          </w:p>
        </w:tc>
      </w:tr>
    </w:tbl>
    <w:p w14:paraId="5C33CBF5" w14:textId="77777777" w:rsidR="00E0377B" w:rsidRDefault="00977F3B" w:rsidP="00467225">
      <w:pPr>
        <w:jc w:val="right"/>
        <w:rPr>
          <w:rFonts w:ascii="Arial" w:eastAsia="Arial" w:hAnsi="Arial" w:cs="Arial"/>
        </w:rPr>
      </w:pPr>
      <w:r>
        <w:rPr>
          <w:rFonts w:ascii="Arial" w:eastAsia="Arial" w:hAnsi="Arial" w:cs="Arial"/>
        </w:rPr>
        <w:t>(Source: Excel)</w:t>
      </w:r>
    </w:p>
    <w:p w14:paraId="4A245217" w14:textId="77777777" w:rsidR="00E0377B" w:rsidRDefault="00977F3B">
      <w:pPr>
        <w:pStyle w:val="Heading2"/>
      </w:pPr>
      <w:bookmarkStart w:id="27" w:name="_Toc227855509"/>
      <w:r>
        <w:t>Appendix 4: CCC Graph</w:t>
      </w:r>
      <w:bookmarkEnd w:id="27"/>
    </w:p>
    <w:p w14:paraId="6E6E1F42" w14:textId="77777777" w:rsidR="00E0377B" w:rsidRDefault="00977F3B">
      <w:pPr>
        <w:jc w:val="center"/>
        <w:rPr>
          <w:rFonts w:ascii="Arial" w:eastAsia="Arial" w:hAnsi="Arial" w:cs="Arial"/>
        </w:rPr>
      </w:pPr>
      <w:r>
        <w:rPr>
          <w:rFonts w:ascii="Arial" w:eastAsia="Arial" w:hAnsi="Arial" w:cs="Arial"/>
          <w:noProof/>
        </w:rPr>
        <w:drawing>
          <wp:inline distT="114300" distB="114300" distL="114300" distR="114300" wp14:anchorId="0A21CEB7" wp14:editId="4E03F7FB">
            <wp:extent cx="5731200" cy="2514600"/>
            <wp:effectExtent l="0" t="0" r="0" b="0"/>
            <wp:docPr id="2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6"/>
                    <a:srcRect/>
                    <a:stretch>
                      <a:fillRect/>
                    </a:stretch>
                  </pic:blipFill>
                  <pic:spPr>
                    <a:xfrm>
                      <a:off x="0" y="0"/>
                      <a:ext cx="5731200" cy="2514600"/>
                    </a:xfrm>
                    <a:prstGeom prst="rect">
                      <a:avLst/>
                    </a:prstGeom>
                    <a:ln/>
                  </pic:spPr>
                </pic:pic>
              </a:graphicData>
            </a:graphic>
          </wp:inline>
        </w:drawing>
      </w:r>
    </w:p>
    <w:p w14:paraId="11B21E31" w14:textId="77777777" w:rsidR="00E0377B" w:rsidRDefault="00977F3B">
      <w:pPr>
        <w:jc w:val="center"/>
        <w:rPr>
          <w:rFonts w:ascii="Arial" w:eastAsia="Arial" w:hAnsi="Arial" w:cs="Arial"/>
        </w:rPr>
      </w:pPr>
      <w:r>
        <w:rPr>
          <w:rFonts w:ascii="Arial" w:eastAsia="Arial" w:hAnsi="Arial" w:cs="Arial"/>
        </w:rPr>
        <w:t>(Source: Excel)</w:t>
      </w:r>
    </w:p>
    <w:p w14:paraId="793CF0F9" w14:textId="77777777" w:rsidR="00E0377B" w:rsidRDefault="00977F3B">
      <w:pPr>
        <w:pStyle w:val="Heading2"/>
      </w:pPr>
      <w:bookmarkStart w:id="28" w:name="_Toc227855510"/>
      <w:r>
        <w:t>Appendix 5: Projects Table</w:t>
      </w:r>
      <w:bookmarkEnd w:id="28"/>
    </w:p>
    <w:tbl>
      <w:tblPr>
        <w:tblW w:w="5000" w:type="pct"/>
        <w:jc w:val="center"/>
        <w:tblLook w:val="04A0" w:firstRow="1" w:lastRow="0" w:firstColumn="1" w:lastColumn="0" w:noHBand="0" w:noVBand="1"/>
      </w:tblPr>
      <w:tblGrid>
        <w:gridCol w:w="1921"/>
        <w:gridCol w:w="1126"/>
        <w:gridCol w:w="936"/>
        <w:gridCol w:w="2653"/>
        <w:gridCol w:w="1192"/>
        <w:gridCol w:w="1191"/>
      </w:tblGrid>
      <w:tr w:rsidR="00F50370" w:rsidRPr="00F50370" w14:paraId="20CE66C6" w14:textId="77777777" w:rsidTr="00F50370">
        <w:trPr>
          <w:trHeight w:val="312"/>
          <w:jc w:val="center"/>
        </w:trPr>
        <w:tc>
          <w:tcPr>
            <w:tcW w:w="1065" w:type="pct"/>
            <w:tcBorders>
              <w:top w:val="single" w:sz="4" w:space="0" w:color="000000"/>
              <w:left w:val="single" w:sz="4" w:space="0" w:color="000000"/>
              <w:bottom w:val="single" w:sz="4" w:space="0" w:color="000000"/>
              <w:right w:val="single" w:sz="4" w:space="0" w:color="000000"/>
            </w:tcBorders>
            <w:shd w:val="clear" w:color="000000" w:fill="FFFF00"/>
            <w:vAlign w:val="center"/>
            <w:hideMark/>
          </w:tcPr>
          <w:p w14:paraId="2CA48584"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Projects</w:t>
            </w:r>
          </w:p>
        </w:tc>
        <w:tc>
          <w:tcPr>
            <w:tcW w:w="624" w:type="pct"/>
            <w:tcBorders>
              <w:top w:val="single" w:sz="4" w:space="0" w:color="000000"/>
              <w:left w:val="nil"/>
              <w:bottom w:val="single" w:sz="4" w:space="0" w:color="000000"/>
              <w:right w:val="single" w:sz="4" w:space="0" w:color="000000"/>
            </w:tcBorders>
            <w:shd w:val="clear" w:color="000000" w:fill="FFFF00"/>
            <w:vAlign w:val="center"/>
            <w:hideMark/>
          </w:tcPr>
          <w:p w14:paraId="3EA2E2E8"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NPV</w:t>
            </w:r>
          </w:p>
        </w:tc>
        <w:tc>
          <w:tcPr>
            <w:tcW w:w="519" w:type="pct"/>
            <w:tcBorders>
              <w:top w:val="single" w:sz="4" w:space="0" w:color="000000"/>
              <w:left w:val="nil"/>
              <w:bottom w:val="single" w:sz="4" w:space="0" w:color="000000"/>
              <w:right w:val="single" w:sz="4" w:space="0" w:color="000000"/>
            </w:tcBorders>
            <w:shd w:val="clear" w:color="000000" w:fill="FFFF00"/>
            <w:vAlign w:val="center"/>
            <w:hideMark/>
          </w:tcPr>
          <w:p w14:paraId="09E7C2D7"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PI</w:t>
            </w:r>
          </w:p>
        </w:tc>
        <w:tc>
          <w:tcPr>
            <w:tcW w:w="1471" w:type="pct"/>
            <w:tcBorders>
              <w:top w:val="single" w:sz="4" w:space="0" w:color="000000"/>
              <w:left w:val="nil"/>
              <w:bottom w:val="single" w:sz="4" w:space="0" w:color="000000"/>
              <w:right w:val="single" w:sz="4" w:space="0" w:color="000000"/>
            </w:tcBorders>
            <w:shd w:val="clear" w:color="000000" w:fill="FFFF00"/>
            <w:vAlign w:val="center"/>
            <w:hideMark/>
          </w:tcPr>
          <w:p w14:paraId="1B2A5C71"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PBP</w:t>
            </w:r>
          </w:p>
        </w:tc>
        <w:tc>
          <w:tcPr>
            <w:tcW w:w="661" w:type="pct"/>
            <w:tcBorders>
              <w:top w:val="single" w:sz="4" w:space="0" w:color="000000"/>
              <w:left w:val="nil"/>
              <w:bottom w:val="single" w:sz="4" w:space="0" w:color="000000"/>
              <w:right w:val="single" w:sz="4" w:space="0" w:color="000000"/>
            </w:tcBorders>
            <w:shd w:val="clear" w:color="000000" w:fill="FFFF00"/>
            <w:vAlign w:val="center"/>
            <w:hideMark/>
          </w:tcPr>
          <w:p w14:paraId="43292694"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IRR</w:t>
            </w:r>
          </w:p>
        </w:tc>
        <w:tc>
          <w:tcPr>
            <w:tcW w:w="661" w:type="pct"/>
            <w:tcBorders>
              <w:top w:val="single" w:sz="4" w:space="0" w:color="000000"/>
              <w:left w:val="nil"/>
              <w:bottom w:val="single" w:sz="4" w:space="0" w:color="000000"/>
              <w:right w:val="single" w:sz="4" w:space="0" w:color="000000"/>
            </w:tcBorders>
            <w:shd w:val="clear" w:color="000000" w:fill="FFFF00"/>
            <w:vAlign w:val="center"/>
            <w:hideMark/>
          </w:tcPr>
          <w:p w14:paraId="1CB9D934" w14:textId="77777777" w:rsidR="00F50370" w:rsidRPr="00F50370" w:rsidRDefault="00F50370" w:rsidP="00F50370">
            <w:pPr>
              <w:spacing w:before="0" w:after="0" w:line="240" w:lineRule="auto"/>
              <w:jc w:val="center"/>
              <w:rPr>
                <w:rFonts w:ascii="Arial" w:hAnsi="Arial" w:cs="Arial"/>
                <w:b/>
                <w:bCs/>
                <w:color w:val="000000"/>
                <w:u w:val="single"/>
                <w:lang w:val="en-IN"/>
              </w:rPr>
            </w:pPr>
            <w:r w:rsidRPr="00F50370">
              <w:rPr>
                <w:rFonts w:ascii="Arial" w:hAnsi="Arial" w:cs="Arial"/>
                <w:b/>
                <w:bCs/>
                <w:color w:val="000000"/>
                <w:u w:val="single"/>
                <w:lang w:val="en-IN"/>
              </w:rPr>
              <w:t>ARR</w:t>
            </w:r>
          </w:p>
        </w:tc>
      </w:tr>
      <w:tr w:rsidR="00F50370" w:rsidRPr="00F50370" w14:paraId="6472F933" w14:textId="77777777" w:rsidTr="00F50370">
        <w:trPr>
          <w:trHeight w:val="312"/>
          <w:jc w:val="center"/>
        </w:trPr>
        <w:tc>
          <w:tcPr>
            <w:tcW w:w="1065" w:type="pct"/>
            <w:tcBorders>
              <w:top w:val="nil"/>
              <w:left w:val="single" w:sz="4" w:space="0" w:color="000000"/>
              <w:bottom w:val="single" w:sz="4" w:space="0" w:color="000000"/>
              <w:right w:val="single" w:sz="4" w:space="0" w:color="000000"/>
            </w:tcBorders>
            <w:shd w:val="clear" w:color="000000" w:fill="FFC000"/>
            <w:vAlign w:val="center"/>
            <w:hideMark/>
          </w:tcPr>
          <w:p w14:paraId="29498D54" w14:textId="77777777" w:rsidR="00F50370" w:rsidRPr="00F50370" w:rsidRDefault="00F50370" w:rsidP="00F50370">
            <w:pPr>
              <w:spacing w:before="0" w:after="0" w:line="240" w:lineRule="auto"/>
              <w:jc w:val="center"/>
              <w:rPr>
                <w:rFonts w:ascii="Arial" w:hAnsi="Arial" w:cs="Arial"/>
                <w:b/>
                <w:bCs/>
                <w:color w:val="000000"/>
                <w:lang w:val="en-IN"/>
              </w:rPr>
            </w:pPr>
            <w:r w:rsidRPr="00F50370">
              <w:rPr>
                <w:rFonts w:ascii="Arial" w:hAnsi="Arial" w:cs="Arial"/>
                <w:b/>
                <w:bCs/>
                <w:color w:val="000000"/>
                <w:lang w:val="en-IN"/>
              </w:rPr>
              <w:t>Project A</w:t>
            </w:r>
          </w:p>
        </w:tc>
        <w:tc>
          <w:tcPr>
            <w:tcW w:w="624" w:type="pct"/>
            <w:tcBorders>
              <w:top w:val="nil"/>
              <w:left w:val="nil"/>
              <w:bottom w:val="single" w:sz="4" w:space="0" w:color="000000"/>
              <w:right w:val="single" w:sz="4" w:space="0" w:color="000000"/>
            </w:tcBorders>
            <w:shd w:val="clear" w:color="000000" w:fill="FFC000"/>
            <w:vAlign w:val="center"/>
            <w:hideMark/>
          </w:tcPr>
          <w:p w14:paraId="05BF895D"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 xml:space="preserve">-£8.7 </w:t>
            </w:r>
          </w:p>
        </w:tc>
        <w:tc>
          <w:tcPr>
            <w:tcW w:w="519" w:type="pct"/>
            <w:tcBorders>
              <w:top w:val="nil"/>
              <w:left w:val="nil"/>
              <w:bottom w:val="single" w:sz="4" w:space="0" w:color="000000"/>
              <w:right w:val="single" w:sz="4" w:space="0" w:color="000000"/>
            </w:tcBorders>
            <w:shd w:val="clear" w:color="000000" w:fill="FFC000"/>
            <w:vAlign w:val="center"/>
            <w:hideMark/>
          </w:tcPr>
          <w:p w14:paraId="200570F4"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1.2</w:t>
            </w:r>
          </w:p>
        </w:tc>
        <w:tc>
          <w:tcPr>
            <w:tcW w:w="1471" w:type="pct"/>
            <w:tcBorders>
              <w:top w:val="nil"/>
              <w:left w:val="nil"/>
              <w:bottom w:val="single" w:sz="4" w:space="0" w:color="000000"/>
              <w:right w:val="single" w:sz="4" w:space="0" w:color="000000"/>
            </w:tcBorders>
            <w:shd w:val="clear" w:color="000000" w:fill="FFC000"/>
            <w:noWrap/>
            <w:vAlign w:val="center"/>
            <w:hideMark/>
          </w:tcPr>
          <w:p w14:paraId="0BCB1503"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Not Recovered</w:t>
            </w:r>
          </w:p>
        </w:tc>
        <w:tc>
          <w:tcPr>
            <w:tcW w:w="661" w:type="pct"/>
            <w:tcBorders>
              <w:top w:val="nil"/>
              <w:left w:val="nil"/>
              <w:bottom w:val="single" w:sz="4" w:space="0" w:color="000000"/>
              <w:right w:val="single" w:sz="4" w:space="0" w:color="000000"/>
            </w:tcBorders>
            <w:shd w:val="clear" w:color="000000" w:fill="FFC000"/>
            <w:noWrap/>
            <w:vAlign w:val="center"/>
            <w:hideMark/>
          </w:tcPr>
          <w:p w14:paraId="08F1DBCD"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2.7%</w:t>
            </w:r>
          </w:p>
        </w:tc>
        <w:tc>
          <w:tcPr>
            <w:tcW w:w="661" w:type="pct"/>
            <w:tcBorders>
              <w:top w:val="nil"/>
              <w:left w:val="nil"/>
              <w:bottom w:val="single" w:sz="4" w:space="0" w:color="000000"/>
              <w:right w:val="single" w:sz="4" w:space="0" w:color="000000"/>
            </w:tcBorders>
            <w:shd w:val="clear" w:color="000000" w:fill="FFC000"/>
            <w:noWrap/>
            <w:vAlign w:val="center"/>
            <w:hideMark/>
          </w:tcPr>
          <w:p w14:paraId="4189F46E"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1.6%</w:t>
            </w:r>
          </w:p>
        </w:tc>
      </w:tr>
      <w:tr w:rsidR="00F50370" w:rsidRPr="00F50370" w14:paraId="757786D6" w14:textId="77777777" w:rsidTr="00F50370">
        <w:trPr>
          <w:trHeight w:val="312"/>
          <w:jc w:val="center"/>
        </w:trPr>
        <w:tc>
          <w:tcPr>
            <w:tcW w:w="1065" w:type="pct"/>
            <w:tcBorders>
              <w:top w:val="nil"/>
              <w:left w:val="single" w:sz="4" w:space="0" w:color="000000"/>
              <w:bottom w:val="single" w:sz="4" w:space="0" w:color="000000"/>
              <w:right w:val="single" w:sz="4" w:space="0" w:color="000000"/>
            </w:tcBorders>
            <w:shd w:val="clear" w:color="000000" w:fill="FFC000"/>
            <w:vAlign w:val="center"/>
            <w:hideMark/>
          </w:tcPr>
          <w:p w14:paraId="29CF002E" w14:textId="77777777" w:rsidR="00F50370" w:rsidRPr="00F50370" w:rsidRDefault="00F50370" w:rsidP="00F50370">
            <w:pPr>
              <w:spacing w:before="0" w:after="0" w:line="240" w:lineRule="auto"/>
              <w:jc w:val="center"/>
              <w:rPr>
                <w:rFonts w:ascii="Arial" w:hAnsi="Arial" w:cs="Arial"/>
                <w:b/>
                <w:bCs/>
                <w:color w:val="000000"/>
                <w:lang w:val="en-IN"/>
              </w:rPr>
            </w:pPr>
            <w:r w:rsidRPr="00F50370">
              <w:rPr>
                <w:rFonts w:ascii="Arial" w:hAnsi="Arial" w:cs="Arial"/>
                <w:b/>
                <w:bCs/>
                <w:color w:val="000000"/>
                <w:lang w:val="en-IN"/>
              </w:rPr>
              <w:t>Project B</w:t>
            </w:r>
          </w:p>
        </w:tc>
        <w:tc>
          <w:tcPr>
            <w:tcW w:w="624" w:type="pct"/>
            <w:tcBorders>
              <w:top w:val="nil"/>
              <w:left w:val="nil"/>
              <w:bottom w:val="single" w:sz="4" w:space="0" w:color="000000"/>
              <w:right w:val="single" w:sz="4" w:space="0" w:color="000000"/>
            </w:tcBorders>
            <w:shd w:val="clear" w:color="000000" w:fill="FFC000"/>
            <w:vAlign w:val="center"/>
            <w:hideMark/>
          </w:tcPr>
          <w:p w14:paraId="0546B8B6"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 xml:space="preserve">-£8.3 </w:t>
            </w:r>
          </w:p>
        </w:tc>
        <w:tc>
          <w:tcPr>
            <w:tcW w:w="519" w:type="pct"/>
            <w:tcBorders>
              <w:top w:val="nil"/>
              <w:left w:val="nil"/>
              <w:bottom w:val="single" w:sz="4" w:space="0" w:color="000000"/>
              <w:right w:val="single" w:sz="4" w:space="0" w:color="000000"/>
            </w:tcBorders>
            <w:shd w:val="clear" w:color="000000" w:fill="FFC000"/>
            <w:vAlign w:val="center"/>
            <w:hideMark/>
          </w:tcPr>
          <w:p w14:paraId="0528C2FC"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1.2</w:t>
            </w:r>
          </w:p>
        </w:tc>
        <w:tc>
          <w:tcPr>
            <w:tcW w:w="1471" w:type="pct"/>
            <w:tcBorders>
              <w:top w:val="nil"/>
              <w:left w:val="nil"/>
              <w:bottom w:val="single" w:sz="4" w:space="0" w:color="000000"/>
              <w:right w:val="single" w:sz="4" w:space="0" w:color="000000"/>
            </w:tcBorders>
            <w:shd w:val="clear" w:color="000000" w:fill="FFC000"/>
            <w:noWrap/>
            <w:vAlign w:val="center"/>
            <w:hideMark/>
          </w:tcPr>
          <w:p w14:paraId="07CCFF1D"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Not Recovered</w:t>
            </w:r>
          </w:p>
        </w:tc>
        <w:tc>
          <w:tcPr>
            <w:tcW w:w="661" w:type="pct"/>
            <w:tcBorders>
              <w:top w:val="nil"/>
              <w:left w:val="nil"/>
              <w:bottom w:val="single" w:sz="4" w:space="0" w:color="000000"/>
              <w:right w:val="single" w:sz="4" w:space="0" w:color="000000"/>
            </w:tcBorders>
            <w:shd w:val="clear" w:color="000000" w:fill="FFC000"/>
            <w:noWrap/>
            <w:vAlign w:val="center"/>
            <w:hideMark/>
          </w:tcPr>
          <w:p w14:paraId="5E63AC89"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3.3%</w:t>
            </w:r>
          </w:p>
        </w:tc>
        <w:tc>
          <w:tcPr>
            <w:tcW w:w="661" w:type="pct"/>
            <w:tcBorders>
              <w:top w:val="nil"/>
              <w:left w:val="nil"/>
              <w:bottom w:val="single" w:sz="4" w:space="0" w:color="000000"/>
              <w:right w:val="single" w:sz="4" w:space="0" w:color="000000"/>
            </w:tcBorders>
            <w:shd w:val="clear" w:color="000000" w:fill="FFC000"/>
            <w:noWrap/>
            <w:vAlign w:val="center"/>
            <w:hideMark/>
          </w:tcPr>
          <w:p w14:paraId="30DEFC08"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2.0%</w:t>
            </w:r>
          </w:p>
        </w:tc>
      </w:tr>
      <w:tr w:rsidR="00F50370" w:rsidRPr="00F50370" w14:paraId="1026785D" w14:textId="77777777" w:rsidTr="00F50370">
        <w:trPr>
          <w:trHeight w:val="312"/>
          <w:jc w:val="center"/>
        </w:trPr>
        <w:tc>
          <w:tcPr>
            <w:tcW w:w="1065" w:type="pct"/>
            <w:tcBorders>
              <w:top w:val="nil"/>
              <w:left w:val="single" w:sz="4" w:space="0" w:color="000000"/>
              <w:bottom w:val="single" w:sz="4" w:space="0" w:color="000000"/>
              <w:right w:val="single" w:sz="4" w:space="0" w:color="000000"/>
            </w:tcBorders>
            <w:shd w:val="clear" w:color="000000" w:fill="FFC000"/>
            <w:vAlign w:val="center"/>
            <w:hideMark/>
          </w:tcPr>
          <w:p w14:paraId="057CA7F9" w14:textId="77777777" w:rsidR="00F50370" w:rsidRPr="00F50370" w:rsidRDefault="00F50370" w:rsidP="00F50370">
            <w:pPr>
              <w:spacing w:before="0" w:after="0" w:line="240" w:lineRule="auto"/>
              <w:jc w:val="center"/>
              <w:rPr>
                <w:rFonts w:ascii="Arial" w:hAnsi="Arial" w:cs="Arial"/>
                <w:b/>
                <w:bCs/>
                <w:color w:val="000000"/>
                <w:lang w:val="en-IN"/>
              </w:rPr>
            </w:pPr>
            <w:r w:rsidRPr="00F50370">
              <w:rPr>
                <w:rFonts w:ascii="Arial" w:hAnsi="Arial" w:cs="Arial"/>
                <w:b/>
                <w:bCs/>
                <w:color w:val="000000"/>
                <w:lang w:val="en-IN"/>
              </w:rPr>
              <w:lastRenderedPageBreak/>
              <w:t>Project C</w:t>
            </w:r>
          </w:p>
        </w:tc>
        <w:tc>
          <w:tcPr>
            <w:tcW w:w="624" w:type="pct"/>
            <w:tcBorders>
              <w:top w:val="nil"/>
              <w:left w:val="nil"/>
              <w:bottom w:val="single" w:sz="4" w:space="0" w:color="000000"/>
              <w:right w:val="single" w:sz="4" w:space="0" w:color="000000"/>
            </w:tcBorders>
            <w:shd w:val="clear" w:color="000000" w:fill="FFC000"/>
            <w:vAlign w:val="center"/>
            <w:hideMark/>
          </w:tcPr>
          <w:p w14:paraId="1A44A20C"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 xml:space="preserve">-£2.0 </w:t>
            </w:r>
          </w:p>
        </w:tc>
        <w:tc>
          <w:tcPr>
            <w:tcW w:w="519" w:type="pct"/>
            <w:tcBorders>
              <w:top w:val="nil"/>
              <w:left w:val="nil"/>
              <w:bottom w:val="single" w:sz="4" w:space="0" w:color="000000"/>
              <w:right w:val="single" w:sz="4" w:space="0" w:color="000000"/>
            </w:tcBorders>
            <w:shd w:val="clear" w:color="000000" w:fill="FFC000"/>
            <w:vAlign w:val="center"/>
            <w:hideMark/>
          </w:tcPr>
          <w:p w14:paraId="56096EBD"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1.0</w:t>
            </w:r>
          </w:p>
        </w:tc>
        <w:tc>
          <w:tcPr>
            <w:tcW w:w="1471" w:type="pct"/>
            <w:tcBorders>
              <w:top w:val="nil"/>
              <w:left w:val="nil"/>
              <w:bottom w:val="single" w:sz="4" w:space="0" w:color="000000"/>
              <w:right w:val="single" w:sz="4" w:space="0" w:color="000000"/>
            </w:tcBorders>
            <w:shd w:val="clear" w:color="000000" w:fill="FFC000"/>
            <w:noWrap/>
            <w:vAlign w:val="center"/>
            <w:hideMark/>
          </w:tcPr>
          <w:p w14:paraId="42EA3455"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Not Recovered</w:t>
            </w:r>
          </w:p>
        </w:tc>
        <w:tc>
          <w:tcPr>
            <w:tcW w:w="661" w:type="pct"/>
            <w:tcBorders>
              <w:top w:val="nil"/>
              <w:left w:val="nil"/>
              <w:bottom w:val="single" w:sz="4" w:space="0" w:color="000000"/>
              <w:right w:val="single" w:sz="4" w:space="0" w:color="000000"/>
            </w:tcBorders>
            <w:shd w:val="clear" w:color="000000" w:fill="FFC000"/>
            <w:noWrap/>
            <w:vAlign w:val="center"/>
            <w:hideMark/>
          </w:tcPr>
          <w:p w14:paraId="2DE67B65"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8.6%</w:t>
            </w:r>
          </w:p>
        </w:tc>
        <w:tc>
          <w:tcPr>
            <w:tcW w:w="661" w:type="pct"/>
            <w:tcBorders>
              <w:top w:val="nil"/>
              <w:left w:val="nil"/>
              <w:bottom w:val="single" w:sz="4" w:space="0" w:color="000000"/>
              <w:right w:val="single" w:sz="4" w:space="0" w:color="000000"/>
            </w:tcBorders>
            <w:shd w:val="clear" w:color="000000" w:fill="FFC000"/>
            <w:noWrap/>
            <w:vAlign w:val="center"/>
            <w:hideMark/>
          </w:tcPr>
          <w:p w14:paraId="7E189559" w14:textId="77777777" w:rsidR="00F50370" w:rsidRPr="00F50370" w:rsidRDefault="00F50370" w:rsidP="00F50370">
            <w:pPr>
              <w:spacing w:before="0" w:after="0" w:line="240" w:lineRule="auto"/>
              <w:jc w:val="center"/>
              <w:rPr>
                <w:rFonts w:ascii="Arial" w:hAnsi="Arial" w:cs="Arial"/>
                <w:color w:val="000000"/>
                <w:lang w:val="en-IN"/>
              </w:rPr>
            </w:pPr>
            <w:r w:rsidRPr="00F50370">
              <w:rPr>
                <w:rFonts w:ascii="Arial" w:hAnsi="Arial" w:cs="Arial"/>
                <w:color w:val="000000"/>
                <w:lang w:val="en-IN"/>
              </w:rPr>
              <w:t>6.0%</w:t>
            </w:r>
          </w:p>
        </w:tc>
      </w:tr>
    </w:tbl>
    <w:p w14:paraId="32AEC135" w14:textId="77777777" w:rsidR="00E0377B" w:rsidRDefault="00977F3B" w:rsidP="00F50370">
      <w:pPr>
        <w:jc w:val="center"/>
        <w:rPr>
          <w:rFonts w:ascii="Arial" w:eastAsia="Arial" w:hAnsi="Arial" w:cs="Arial"/>
        </w:rPr>
      </w:pPr>
      <w:r>
        <w:rPr>
          <w:rFonts w:ascii="Arial" w:eastAsia="Arial" w:hAnsi="Arial" w:cs="Arial"/>
        </w:rPr>
        <w:t>(Source: Excel)</w:t>
      </w:r>
    </w:p>
    <w:p w14:paraId="7536E8EA" w14:textId="77777777" w:rsidR="00E0377B" w:rsidRDefault="00977F3B">
      <w:pPr>
        <w:pStyle w:val="Heading2"/>
      </w:pPr>
      <w:bookmarkStart w:id="29" w:name="_Toc227855511"/>
      <w:r>
        <w:lastRenderedPageBreak/>
        <w:t>Appendix 6: Projects Graphs</w:t>
      </w:r>
      <w:bookmarkEnd w:id="29"/>
    </w:p>
    <w:p w14:paraId="569250F8" w14:textId="77777777" w:rsidR="00E0377B" w:rsidRDefault="00977F3B">
      <w:pPr>
        <w:jc w:val="center"/>
        <w:rPr>
          <w:rFonts w:ascii="Arial" w:eastAsia="Arial" w:hAnsi="Arial" w:cs="Arial"/>
        </w:rPr>
      </w:pPr>
      <w:r>
        <w:rPr>
          <w:rFonts w:ascii="Arial" w:eastAsia="Arial" w:hAnsi="Arial" w:cs="Arial"/>
          <w:noProof/>
        </w:rPr>
        <w:lastRenderedPageBreak/>
        <w:drawing>
          <wp:inline distT="114300" distB="114300" distL="114300" distR="114300" wp14:anchorId="094D2630" wp14:editId="6FBEB648">
            <wp:extent cx="5731200" cy="3441700"/>
            <wp:effectExtent l="0" t="0" r="0" b="0"/>
            <wp:docPr id="1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7"/>
                    <a:srcRect/>
                    <a:stretch>
                      <a:fillRect/>
                    </a:stretch>
                  </pic:blipFill>
                  <pic:spPr>
                    <a:xfrm>
                      <a:off x="0" y="0"/>
                      <a:ext cx="5731200" cy="3441700"/>
                    </a:xfrm>
                    <a:prstGeom prst="rect">
                      <a:avLst/>
                    </a:prstGeom>
                    <a:ln/>
                  </pic:spPr>
                </pic:pic>
              </a:graphicData>
            </a:graphic>
          </wp:inline>
        </w:drawing>
      </w:r>
      <w:r>
        <w:rPr>
          <w:rFonts w:ascii="Arial" w:eastAsia="Arial" w:hAnsi="Arial" w:cs="Arial"/>
          <w:noProof/>
        </w:rPr>
        <w:drawing>
          <wp:inline distT="114300" distB="114300" distL="114300" distR="114300" wp14:anchorId="0263E6DD" wp14:editId="4D9C65C1">
            <wp:extent cx="5731200" cy="3441700"/>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8"/>
                    <a:srcRect/>
                    <a:stretch>
                      <a:fillRect/>
                    </a:stretch>
                  </pic:blipFill>
                  <pic:spPr>
                    <a:xfrm>
                      <a:off x="0" y="0"/>
                      <a:ext cx="5731200" cy="3441700"/>
                    </a:xfrm>
                    <a:prstGeom prst="rect">
                      <a:avLst/>
                    </a:prstGeom>
                    <a:ln/>
                  </pic:spPr>
                </pic:pic>
              </a:graphicData>
            </a:graphic>
          </wp:inline>
        </w:drawing>
      </w:r>
      <w:r>
        <w:rPr>
          <w:rFonts w:ascii="Arial" w:eastAsia="Arial" w:hAnsi="Arial" w:cs="Arial"/>
          <w:noProof/>
        </w:rPr>
        <w:lastRenderedPageBreak/>
        <w:drawing>
          <wp:inline distT="114300" distB="114300" distL="114300" distR="114300" wp14:anchorId="03F8832C" wp14:editId="6FCCE23C">
            <wp:extent cx="5731200" cy="34417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9"/>
                    <a:srcRect/>
                    <a:stretch>
                      <a:fillRect/>
                    </a:stretch>
                  </pic:blipFill>
                  <pic:spPr>
                    <a:xfrm>
                      <a:off x="0" y="0"/>
                      <a:ext cx="5731200" cy="3441700"/>
                    </a:xfrm>
                    <a:prstGeom prst="rect">
                      <a:avLst/>
                    </a:prstGeom>
                    <a:ln/>
                  </pic:spPr>
                </pic:pic>
              </a:graphicData>
            </a:graphic>
          </wp:inline>
        </w:drawing>
      </w:r>
    </w:p>
    <w:p w14:paraId="46390C97" w14:textId="77777777" w:rsidR="00E0377B" w:rsidRDefault="00977F3B">
      <w:pPr>
        <w:jc w:val="center"/>
        <w:rPr>
          <w:rFonts w:ascii="Arial" w:eastAsia="Arial" w:hAnsi="Arial" w:cs="Arial"/>
        </w:rPr>
      </w:pPr>
      <w:r>
        <w:rPr>
          <w:rFonts w:ascii="Arial" w:eastAsia="Arial" w:hAnsi="Arial" w:cs="Arial"/>
        </w:rPr>
        <w:t>(Source: Excel)</w:t>
      </w:r>
    </w:p>
    <w:sectPr w:rsidR="00E0377B">
      <w:footerReference w:type="default" r:id="rId60"/>
      <w:footerReference w:type="first" r:id="rId6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22A8E" w14:textId="77777777" w:rsidR="00977F3B" w:rsidRDefault="00977F3B">
      <w:pPr>
        <w:spacing w:before="0" w:after="0" w:line="240" w:lineRule="auto"/>
      </w:pPr>
      <w:r>
        <w:separator/>
      </w:r>
    </w:p>
  </w:endnote>
  <w:endnote w:type="continuationSeparator" w:id="0">
    <w:p w14:paraId="0D951103" w14:textId="77777777" w:rsidR="00977F3B" w:rsidRDefault="00977F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embedRegular r:id="rId1" w:fontKey="{AF335081-C010-4C64-9ABD-23389ACCA427}"/>
  </w:font>
  <w:font w:name="Calibri">
    <w:panose1 w:val="020F0502020204030204"/>
    <w:charset w:val="00"/>
    <w:family w:val="swiss"/>
    <w:pitch w:val="variable"/>
    <w:sig w:usb0="E4002EFF" w:usb1="C200247B" w:usb2="00000009" w:usb3="00000000" w:csb0="000001FF" w:csb1="00000000"/>
    <w:embedRegular r:id="rId2" w:fontKey="{DF680AD9-DBB6-4AC4-8A6C-A337A8989D1C}"/>
  </w:font>
  <w:font w:name="Cambria">
    <w:panose1 w:val="02040503050406030204"/>
    <w:charset w:val="00"/>
    <w:family w:val="roman"/>
    <w:pitch w:val="variable"/>
    <w:sig w:usb0="E00006FF" w:usb1="420024FF" w:usb2="02000000" w:usb3="00000000" w:csb0="0000019F" w:csb1="00000000"/>
    <w:embedRegular r:id="rId3" w:fontKey="{3FE1551C-08CF-4C80-B7D3-907A34E15B9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0A04" w14:textId="77777777" w:rsidR="00E0377B" w:rsidRDefault="00977F3B">
    <w:pPr>
      <w:jc w:val="right"/>
    </w:pPr>
    <w:r>
      <w:fldChar w:fldCharType="begin"/>
    </w:r>
    <w:r>
      <w:instrText>PAGE</w:instrText>
    </w:r>
    <w:r>
      <w:fldChar w:fldCharType="separate"/>
    </w:r>
    <w:r w:rsidR="0046722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96542" w14:textId="77777777" w:rsidR="00E0377B" w:rsidRDefault="00E0377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DD7A9" w14:textId="77777777" w:rsidR="00977F3B" w:rsidRDefault="00977F3B">
      <w:pPr>
        <w:spacing w:before="0" w:after="0" w:line="240" w:lineRule="auto"/>
      </w:pPr>
      <w:r>
        <w:separator/>
      </w:r>
    </w:p>
  </w:footnote>
  <w:footnote w:type="continuationSeparator" w:id="0">
    <w:p w14:paraId="122B0807" w14:textId="77777777" w:rsidR="00977F3B" w:rsidRDefault="00977F3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BB405D"/>
    <w:multiLevelType w:val="hybridMultilevel"/>
    <w:tmpl w:val="D7BCF8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69200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77B"/>
    <w:rsid w:val="001236EE"/>
    <w:rsid w:val="00467225"/>
    <w:rsid w:val="005A45AB"/>
    <w:rsid w:val="006463E9"/>
    <w:rsid w:val="006C2540"/>
    <w:rsid w:val="007123CE"/>
    <w:rsid w:val="00864F1D"/>
    <w:rsid w:val="00977F3B"/>
    <w:rsid w:val="009E2C4B"/>
    <w:rsid w:val="00A155AC"/>
    <w:rsid w:val="00DD0DB3"/>
    <w:rsid w:val="00E0377B"/>
    <w:rsid w:val="00F17BA7"/>
    <w:rsid w:val="00F503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99FDF"/>
  <w15:docId w15:val="{A16B5AB9-8F17-4B2E-9BBB-AC1FB172F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outlineLvl w:val="1"/>
    </w:pPr>
    <w:rPr>
      <w:rFonts w:ascii="Arial" w:eastAsia="Arial" w:hAnsi="Arial" w:cs="Arial"/>
      <w:b/>
      <w:bCs/>
      <w:sz w:val="26"/>
      <w:szCs w:val="26"/>
    </w:rPr>
  </w:style>
  <w:style w:type="paragraph" w:styleId="Heading3">
    <w:name w:val="heading 3"/>
    <w:basedOn w:val="Normal"/>
    <w:next w:val="Normal"/>
    <w:uiPriority w:val="9"/>
    <w:semiHidden/>
    <w:unhideWhenUsed/>
    <w:qFormat/>
    <w:pPr>
      <w:keepNext/>
      <w:keepLines/>
      <w:spacing w:before="280" w:after="80"/>
      <w:outlineLvl w:val="2"/>
    </w:pPr>
    <w:rPr>
      <w:b/>
      <w:bCs/>
    </w:rPr>
  </w:style>
  <w:style w:type="paragraph" w:styleId="Heading4">
    <w:name w:val="heading 4"/>
    <w:basedOn w:val="Normal"/>
    <w:next w:val="Normal"/>
    <w:uiPriority w:val="9"/>
    <w:semiHidden/>
    <w:unhideWhenUsed/>
    <w:qFormat/>
    <w:pPr>
      <w:keepNext/>
      <w:keepLines/>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character" w:styleId="Hyperlink">
    <w:name w:val="Hyperlink"/>
    <w:basedOn w:val="DefaultParagraphFont"/>
    <w:uiPriority w:val="99"/>
    <w:unhideWhenUsed/>
    <w:rsid w:val="00467225"/>
    <w:rPr>
      <w:color w:val="467886"/>
      <w:u w:val="single"/>
    </w:rPr>
  </w:style>
  <w:style w:type="character" w:styleId="FollowedHyperlink">
    <w:name w:val="FollowedHyperlink"/>
    <w:basedOn w:val="DefaultParagraphFont"/>
    <w:uiPriority w:val="99"/>
    <w:semiHidden/>
    <w:unhideWhenUsed/>
    <w:rsid w:val="00467225"/>
    <w:rPr>
      <w:color w:val="96607D"/>
      <w:u w:val="single"/>
    </w:rPr>
  </w:style>
  <w:style w:type="paragraph" w:customStyle="1" w:styleId="msonormal0">
    <w:name w:val="msonormal"/>
    <w:basedOn w:val="Normal"/>
    <w:rsid w:val="00467225"/>
    <w:pPr>
      <w:spacing w:before="100" w:beforeAutospacing="1" w:after="100" w:afterAutospacing="1" w:line="240" w:lineRule="auto"/>
      <w:jc w:val="left"/>
    </w:pPr>
    <w:rPr>
      <w:lang w:val="en-IN"/>
    </w:rPr>
  </w:style>
  <w:style w:type="paragraph" w:customStyle="1" w:styleId="xl63">
    <w:name w:val="xl63"/>
    <w:basedOn w:val="Normal"/>
    <w:rsid w:val="00467225"/>
    <w:pPr>
      <w:shd w:val="clear" w:color="000000" w:fill="FFFFFF"/>
      <w:spacing w:before="100" w:beforeAutospacing="1" w:after="100" w:afterAutospacing="1" w:line="240" w:lineRule="auto"/>
      <w:jc w:val="left"/>
    </w:pPr>
    <w:rPr>
      <w:lang w:val="en-IN"/>
    </w:rPr>
  </w:style>
  <w:style w:type="paragraph" w:customStyle="1" w:styleId="xl64">
    <w:name w:val="xl64"/>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b/>
      <w:bCs/>
      <w:lang w:val="en-IN"/>
    </w:rPr>
  </w:style>
  <w:style w:type="paragraph" w:customStyle="1" w:styleId="xl65">
    <w:name w:val="xl65"/>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lang w:val="en-IN"/>
    </w:rPr>
  </w:style>
  <w:style w:type="paragraph" w:customStyle="1" w:styleId="xl66">
    <w:name w:val="xl66"/>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lang w:val="en-IN"/>
    </w:rPr>
  </w:style>
  <w:style w:type="paragraph" w:customStyle="1" w:styleId="xl67">
    <w:name w:val="xl67"/>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b/>
      <w:bCs/>
      <w:lang w:val="en-IN"/>
    </w:rPr>
  </w:style>
  <w:style w:type="paragraph" w:customStyle="1" w:styleId="xl68">
    <w:name w:val="xl68"/>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b/>
      <w:bCs/>
      <w:lang w:val="en-IN"/>
    </w:rPr>
  </w:style>
  <w:style w:type="paragraph" w:customStyle="1" w:styleId="xl69">
    <w:name w:val="xl69"/>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b/>
      <w:bCs/>
      <w:lang w:val="en-IN"/>
    </w:rPr>
  </w:style>
  <w:style w:type="paragraph" w:customStyle="1" w:styleId="xl70">
    <w:name w:val="xl70"/>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b/>
      <w:bCs/>
      <w:lang w:val="en-IN"/>
    </w:rPr>
  </w:style>
  <w:style w:type="paragraph" w:customStyle="1" w:styleId="xl71">
    <w:name w:val="xl71"/>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lang w:val="en-IN"/>
    </w:rPr>
  </w:style>
  <w:style w:type="paragraph" w:customStyle="1" w:styleId="xl72">
    <w:name w:val="xl72"/>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lang w:val="en-IN"/>
    </w:rPr>
  </w:style>
  <w:style w:type="paragraph" w:customStyle="1" w:styleId="xl73">
    <w:name w:val="xl73"/>
    <w:basedOn w:val="Normal"/>
    <w:rsid w:val="004672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hAnsi="Arial" w:cs="Arial"/>
      <w:lang w:val="en-IN"/>
    </w:rPr>
  </w:style>
  <w:style w:type="paragraph" w:customStyle="1" w:styleId="xl74">
    <w:name w:val="xl74"/>
    <w:basedOn w:val="Normal"/>
    <w:rsid w:val="004672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pPr>
    <w:rPr>
      <w:rFonts w:ascii="Arial" w:hAnsi="Arial" w:cs="Arial"/>
      <w:lang w:val="en-IN"/>
    </w:rPr>
  </w:style>
  <w:style w:type="paragraph" w:customStyle="1" w:styleId="xl75">
    <w:name w:val="xl75"/>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hAnsi="Arial" w:cs="Arial"/>
      <w:b/>
      <w:bCs/>
      <w:lang w:val="en-IN"/>
    </w:rPr>
  </w:style>
  <w:style w:type="paragraph" w:customStyle="1" w:styleId="xl76">
    <w:name w:val="xl76"/>
    <w:basedOn w:val="Normal"/>
    <w:rsid w:val="0046722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hAnsi="Arial" w:cs="Arial"/>
      <w:b/>
      <w:bCs/>
      <w:lang w:val="en-IN"/>
    </w:rPr>
  </w:style>
  <w:style w:type="paragraph" w:customStyle="1" w:styleId="xl77">
    <w:name w:val="xl77"/>
    <w:basedOn w:val="Normal"/>
    <w:rsid w:val="004672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lang w:val="en-IN"/>
    </w:rPr>
  </w:style>
  <w:style w:type="paragraph" w:styleId="TOC1">
    <w:name w:val="toc 1"/>
    <w:basedOn w:val="Normal"/>
    <w:next w:val="Normal"/>
    <w:autoRedefine/>
    <w:uiPriority w:val="39"/>
    <w:unhideWhenUsed/>
    <w:rsid w:val="00467225"/>
    <w:pPr>
      <w:spacing w:after="100"/>
    </w:pPr>
  </w:style>
  <w:style w:type="paragraph" w:styleId="TOC2">
    <w:name w:val="toc 2"/>
    <w:basedOn w:val="Normal"/>
    <w:next w:val="Normal"/>
    <w:autoRedefine/>
    <w:uiPriority w:val="39"/>
    <w:unhideWhenUsed/>
    <w:rsid w:val="00467225"/>
    <w:pPr>
      <w:spacing w:after="100"/>
      <w:ind w:left="240"/>
    </w:pPr>
  </w:style>
  <w:style w:type="paragraph" w:styleId="ListParagraph">
    <w:name w:val="List Paragraph"/>
    <w:basedOn w:val="Normal"/>
    <w:uiPriority w:val="34"/>
    <w:qFormat/>
    <w:rsid w:val="005A45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uowoajournals.org/aabfj/article/id/941/download/pdf/" TargetMode="External"/><Relationship Id="rId39" Type="http://schemas.openxmlformats.org/officeDocument/2006/relationships/hyperlink" Target="https://al-kindipublishers.org/index.php/jcsts/article/download/10748/9502" TargetMode="External"/><Relationship Id="rId21" Type="http://schemas.openxmlformats.org/officeDocument/2006/relationships/image" Target="media/image15.png"/><Relationship Id="rId34" Type="http://schemas.openxmlformats.org/officeDocument/2006/relationships/hyperlink" Target="https://unitesi.unive.it/bitstream/20.500.14247/4284/1/872666-1280209.pdf" TargetMode="External"/><Relationship Id="rId42" Type="http://schemas.openxmlformats.org/officeDocument/2006/relationships/hyperlink" Target="http://repository.uin-malang.ac.id/19404/1/19404.pdf" TargetMode="External"/><Relationship Id="rId47" Type="http://schemas.openxmlformats.org/officeDocument/2006/relationships/hyperlink" Target="https://global.toyota/pages/global_toyota/ir/financial-results/2023_4q_summary_en.pdf" TargetMode="External"/><Relationship Id="rId50" Type="http://schemas.openxmlformats.org/officeDocument/2006/relationships/image" Target="media/image17.png"/><Relationship Id="rId55" Type="http://schemas.openxmlformats.org/officeDocument/2006/relationships/image" Target="media/image22.png"/><Relationship Id="rId63" Type="http://schemas.openxmlformats.org/officeDocument/2006/relationships/theme" Target="theme/theme1.xml"/><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researchgate.net/profile/Onyinye-Ezeilo/publication/393453311_A_Framework_for_Managing_Currency_Risk_and_Exchange_Rate_Exposure_in_International_Energy_Investment_Portfolios/links/686af3d5b991270ef301dc5f/A-Framework-for-Managing-Currency-Risk-and-Exchange-Rate-Exposure-in-International-Energy-Investment-Portfolios.pdf" TargetMode="External"/><Relationship Id="rId11" Type="http://schemas.openxmlformats.org/officeDocument/2006/relationships/image" Target="media/image5.png"/><Relationship Id="rId24" Type="http://schemas.openxmlformats.org/officeDocument/2006/relationships/hyperlink" Target="https://www.academia.edu/download/115377930/Capital_Budgeting_and_Financial_Investme.pdf" TargetMode="External"/><Relationship Id="rId32" Type="http://schemas.openxmlformats.org/officeDocument/2006/relationships/hyperlink" Target="https://onlinelibrary.wiley.com/doi/abs/10.1111/acfi.13391" TargetMode="External"/><Relationship Id="rId37" Type="http://schemas.openxmlformats.org/officeDocument/2006/relationships/hyperlink" Target="https://www.sciencedirect.com/science/article/pii/S1057521925008567" TargetMode="External"/><Relationship Id="rId40" Type="http://schemas.openxmlformats.org/officeDocument/2006/relationships/hyperlink" Target="https://www.researchgate.net/profile/Suranjan-Bhattacheryay-2/publication/348843827_Multinational_working_capital_management_a_study_on_Toyota_Motor_Corporation/links/604d719a458515e529a7a20a/Multinational-working-capital-management-a-study-on-Toyota-Motor-Corporation.pdf" TargetMode="External"/><Relationship Id="rId45" Type="http://schemas.openxmlformats.org/officeDocument/2006/relationships/hyperlink" Target="https://www.researchgate.net/profile/Aminu-Olayinka/publication/361292771_Financial_statement_analysis_as_a_tool_for_investment_decisions_and_assessment_of_companies'_performance/links/62a90366a3fe3e3df8778ac8/Financial-statement-analysis-as-a-tool-for-investment-decisions-and-assessment-of-companies-performance.pdf" TargetMode="External"/><Relationship Id="rId53" Type="http://schemas.openxmlformats.org/officeDocument/2006/relationships/image" Target="media/image20.png"/><Relationship Id="rId58" Type="http://schemas.openxmlformats.org/officeDocument/2006/relationships/image" Target="media/image25.png"/><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link.springer.com/book/10.1007/978-3-030-92357-0?source=shoppingads&amp;locale=en-jp" TargetMode="External"/><Relationship Id="rId30" Type="http://schemas.openxmlformats.org/officeDocument/2006/relationships/hyperlink" Target="https://hrcak.srce.hr/file/435668" TargetMode="External"/><Relationship Id="rId35" Type="http://schemas.openxmlformats.org/officeDocument/2006/relationships/hyperlink" Target="https://previous.scientia.report/index.php/archive/article/view/3039/3071" TargetMode="External"/><Relationship Id="rId43" Type="http://schemas.openxmlformats.org/officeDocument/2006/relationships/hyperlink" Target="http://178.128.120.64/index.php/asset/article/download/1030/593" TargetMode="External"/><Relationship Id="rId48" Type="http://schemas.openxmlformats.org/officeDocument/2006/relationships/hyperlink" Target="https://global.toyota/pages/global_toyota/ir/financial-results/2022_4q_summary_en.pdf" TargetMode="External"/><Relationship Id="rId56" Type="http://schemas.openxmlformats.org/officeDocument/2006/relationships/image" Target="media/image23.png"/><Relationship Id="rId8" Type="http://schemas.openxmlformats.org/officeDocument/2006/relationships/image" Target="media/image2.png"/><Relationship Id="rId51" Type="http://schemas.openxmlformats.org/officeDocument/2006/relationships/image" Target="media/image18.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tlantis-press.com/article/125975449.pdf" TargetMode="External"/><Relationship Id="rId33" Type="http://schemas.openxmlformats.org/officeDocument/2006/relationships/hyperlink" Target="https://www.sciencedirect.com/science/article/pii/S2352484722025070" TargetMode="External"/><Relationship Id="rId38" Type="http://schemas.openxmlformats.org/officeDocument/2006/relationships/hyperlink" Target="https://etbrjournal.com/index.php/journal/article/download/46/46" TargetMode="External"/><Relationship Id="rId46" Type="http://schemas.openxmlformats.org/officeDocument/2006/relationships/hyperlink" Target="https://global.toyota/pages/global_toyota/ir/financial-results/2024_4q_summary_en.pdf" TargetMode="External"/><Relationship Id="rId59" Type="http://schemas.openxmlformats.org/officeDocument/2006/relationships/image" Target="media/image26.png"/><Relationship Id="rId20" Type="http://schemas.openxmlformats.org/officeDocument/2006/relationships/image" Target="media/image14.png"/><Relationship Id="rId41" Type="http://schemas.openxmlformats.org/officeDocument/2006/relationships/hyperlink" Target="https://www.researchgate.net/profile/Ooi-Kok-Loang/publication/370060687_FINANCIAL_AND_NON-FINANCIAL_ANALYSIS_OF_TOYOTA_AND_FORD_A_COMPARATIVE_STUDY/links/643d24d41b8d044c632d2f1d/FINANCIAL-AND-NON-FINANCIAL-ANALYSIS-OF-TOYOTA-AND-FORD-A-COMPARATIVE-STUDY.pdf" TargetMode="External"/><Relationship Id="rId54" Type="http://schemas.openxmlformats.org/officeDocument/2006/relationships/image" Target="media/image21.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tandfonline.com/doi/pdf/10.1080/23322039.2024.2404707" TargetMode="External"/><Relationship Id="rId28" Type="http://schemas.openxmlformats.org/officeDocument/2006/relationships/hyperlink" Target="https://books.google.com/books?hl=en&amp;lr=&amp;id=6pBkEQAAQBAJ&amp;oi=fnd&amp;pg=PP1&amp;dq=Inflation+and+Cost+Pressures:+Rising+global+inflation+presents+a+critical+challenge+for+Toyota,+particularly+in+terms+of+raw+material+costs,+labour+expenses,+and+supply+chain+disruptions&amp;ots=1rJOIy_GK7&amp;sig=7TkAztuPhcjcZcES0q8GDj81geA" TargetMode="External"/><Relationship Id="rId36" Type="http://schemas.openxmlformats.org/officeDocument/2006/relationships/hyperlink" Target="https://rku.ac.in/icostart2022/books/14-management-jenil-gandhi-(127-141).pdf" TargetMode="External"/><Relationship Id="rId49" Type="http://schemas.openxmlformats.org/officeDocument/2006/relationships/hyperlink" Target="https://global.toyota/pages/global_toyota/ir/financial-results/2020_4q_summary_en.pdf" TargetMode="External"/><Relationship Id="rId57" Type="http://schemas.openxmlformats.org/officeDocument/2006/relationships/image" Target="media/image24.png"/><Relationship Id="rId10" Type="http://schemas.openxmlformats.org/officeDocument/2006/relationships/image" Target="media/image4.png"/><Relationship Id="rId31" Type="http://schemas.openxmlformats.org/officeDocument/2006/relationships/hyperlink" Target="https://www.worldscientific.com/doi/abs/10.1142/S1094406024500173" TargetMode="External"/><Relationship Id="rId44" Type="http://schemas.openxmlformats.org/officeDocument/2006/relationships/hyperlink" Target="https://www.academia.edu/download/79702829/IJMRE_V2N1AI217_published_paper.pdf" TargetMode="External"/><Relationship Id="rId52" Type="http://schemas.openxmlformats.org/officeDocument/2006/relationships/image" Target="media/image19.png"/><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9144</Words>
  <Characters>52127</Characters>
  <Application>Microsoft Office Word</Application>
  <DocSecurity>0</DocSecurity>
  <Lines>434</Lines>
  <Paragraphs>122</Paragraphs>
  <ScaleCrop>false</ScaleCrop>
  <Company/>
  <LinksUpToDate>false</LinksUpToDate>
  <CharactersWithSpaces>61149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Ranjit Keahvala</cp:lastModifiedBy>
  <cp:revision>2</cp:revision>
  <dcterms:created xsi:type="dcterms:W3CDTF">2026-04-23T19:43:00Z</dcterms:created>
  <dcterms:modified xsi:type="dcterms:W3CDTF">2026-04-23T19:43:00Z</dcterms:modified>
</cp:coreProperties>
</file>