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0F971D" w14:textId="129C6BEF" w:rsidR="00473124" w:rsidRDefault="003015B7" w:rsidP="00DF0C8C">
      <w:pPr>
        <w:pStyle w:val="Title"/>
        <w:jc w:val="center"/>
        <w:rPr>
          <w:sz w:val="40"/>
          <w:szCs w:val="40"/>
        </w:rPr>
      </w:pPr>
      <w:r>
        <w:rPr>
          <w:sz w:val="40"/>
          <w:szCs w:val="40"/>
        </w:rPr>
        <w:t xml:space="preserve"> </w:t>
      </w:r>
      <w:r w:rsidR="00DF0C8C">
        <w:rPr>
          <w:sz w:val="40"/>
          <w:szCs w:val="40"/>
        </w:rPr>
        <w:t>Evaluate the challenges associated with the concept of Men’s Rea and the confirmation of criminal liability within law</w:t>
      </w:r>
    </w:p>
    <w:p w14:paraId="78BE30F6" w14:textId="77777777" w:rsidR="00DF0C8C" w:rsidRDefault="00DF0C8C" w:rsidP="00DF0C8C"/>
    <w:p w14:paraId="694D71BC" w14:textId="38840E58" w:rsidR="00DF0C8C" w:rsidRDefault="00DF0C8C" w:rsidP="00DF0C8C">
      <w:pPr>
        <w:pStyle w:val="Heading3"/>
        <w:rPr>
          <w:b/>
          <w:bCs/>
          <w:color w:val="0D0D0D" w:themeColor="text1" w:themeTint="F2"/>
        </w:rPr>
      </w:pPr>
      <w:r w:rsidRPr="00DF0C8C">
        <w:rPr>
          <w:b/>
          <w:bCs/>
          <w:color w:val="0D0D0D" w:themeColor="text1" w:themeTint="F2"/>
        </w:rPr>
        <w:t>Introduction</w:t>
      </w:r>
    </w:p>
    <w:p w14:paraId="3C3CCE3E" w14:textId="2937F545" w:rsidR="008E7C61" w:rsidRDefault="00DF0C8C" w:rsidP="00DF0C8C">
      <w:r>
        <w:t xml:space="preserve">Men’s rea, Latin for “guilty mind”, is central to the complex landscape of criminal law. </w:t>
      </w:r>
      <w:proofErr w:type="gramStart"/>
      <w:r>
        <w:t>Men’s</w:t>
      </w:r>
      <w:proofErr w:type="gramEnd"/>
      <w:r>
        <w:t xml:space="preserve"> refers to an individual’s mental state or intention while committing a criminal act, and it is a key factor in determining criminal liability. According to Ashworth and herder (2013), men’s rea encompasses a wide range of mental states, including intention, recklessness, and negligence, each with its own level of culpability. The men’s rea determination presents numerous legal challenges, with far-reaching cons</w:t>
      </w:r>
      <w:r w:rsidR="00C95511">
        <w:t>equences for justice administration. The subjective nature of men’s rea makes it difficult to prove the defendant’s mental state beyond a reasonable doubt (Hart &amp; Honor</w:t>
      </w:r>
      <w:r w:rsidR="00C95511" w:rsidRPr="00C95511">
        <w:t>é</w:t>
      </w:r>
      <w:r w:rsidR="00C95511">
        <w:t>, 2014). Proving the required mental element is heavily dependent on circumstantial evidence and inference, which frequently leads to ambiguity and misinterpretation. Furthermore, the wide range of mental states encompassed by men’s rea makes its assessment difficult, necessitating a nuanced understanding of human psychology and behaviour (Duff, 2011</w:t>
      </w:r>
      <w:r w:rsidR="008E7C61">
        <w:t>). These</w:t>
      </w:r>
      <w:r w:rsidR="00C95511">
        <w:t xml:space="preserve"> difficulties highlight the complexities involved in determining criminal liability based on men’s rea, reflecti</w:t>
      </w:r>
      <w:r w:rsidR="00146B62">
        <w:t>ng the intricate interplay between intentionality, culpability, and the pursuit of justice within the legal sphere.</w:t>
      </w:r>
    </w:p>
    <w:p w14:paraId="1C857CA4" w14:textId="147703BF" w:rsidR="008E7C61" w:rsidRPr="008E7C61" w:rsidRDefault="00146B62" w:rsidP="00DF0C8C">
      <w:pPr>
        <w:rPr>
          <w:b/>
          <w:bCs/>
          <w:sz w:val="28"/>
          <w:szCs w:val="28"/>
        </w:rPr>
      </w:pPr>
      <w:r>
        <w:t xml:space="preserve"> </w:t>
      </w:r>
      <w:r w:rsidRPr="008E7C61">
        <w:rPr>
          <w:b/>
          <w:bCs/>
          <w:sz w:val="28"/>
          <w:szCs w:val="28"/>
        </w:rPr>
        <w:t>Understanding men’s rea</w:t>
      </w:r>
    </w:p>
    <w:p w14:paraId="282F2038" w14:textId="2009CEA0" w:rsidR="008E7C61" w:rsidRDefault="008E7C61" w:rsidP="00DF0C8C">
      <w:r>
        <w:t>Men’s rea is</w:t>
      </w:r>
      <w:r w:rsidR="00146B62">
        <w:t xml:space="preserve"> a cornerstone principle in criminal law that expresses the fundamental idea that an individual’s mental state when committing a crime is critical in determining guilt. As Ashworth and herder (2013) point out, men’s rea encompasses a wide range of mental states, from intentional acts to recklessness or negligence. Intentional acts indicate a deliberate desire or intent to commit a specific offence, implying a high level of culpability. In contrast, recklessness is the deliberate disregard of known risks, whereas negligence is the failure to exercise reasonable care, which results in unintended harm. The determination on men’s rea is critical in distinguishing between lawful and unlawful conduct because it reflects the offender’s </w:t>
      </w:r>
      <w:r w:rsidR="003533D8">
        <w:t>moral</w:t>
      </w:r>
      <w:r w:rsidR="00146B62">
        <w:t xml:space="preserve"> culpability. However, the subjective</w:t>
      </w:r>
      <w:r w:rsidR="003533D8">
        <w:t xml:space="preserve"> nature of men’s rea presents inherent challenges in its application in the legal context. Proving the required mental element beyond a reasonable doubt frequently requires reliance on circumstantial evidence and inferences, which can result in interpretation discrepancies and evidentiary complexities (Hart &amp; Honor</w:t>
      </w:r>
      <w:r w:rsidR="003533D8" w:rsidRPr="003533D8">
        <w:t>é</w:t>
      </w:r>
      <w:r w:rsidR="003533D8">
        <w:t>, 2014). Thew complexities of men’s rea highlight the intricate interplay between intentionality, culpability, and seeking justice within the legal framework. As a result, a nuanced understanding of men’s rea is required to ensure equitable outcomes in criminal proceedings while upholding the principles of fairness and proportionality.</w:t>
      </w:r>
    </w:p>
    <w:p w14:paraId="4BDCB994" w14:textId="77777777" w:rsidR="008E7C61" w:rsidRPr="008E7C61" w:rsidRDefault="003533D8" w:rsidP="00DF0C8C">
      <w:pPr>
        <w:rPr>
          <w:b/>
          <w:bCs/>
          <w:sz w:val="28"/>
          <w:szCs w:val="28"/>
        </w:rPr>
      </w:pPr>
      <w:r>
        <w:t xml:space="preserve"> </w:t>
      </w:r>
      <w:r w:rsidRPr="008E7C61">
        <w:rPr>
          <w:b/>
          <w:bCs/>
          <w:sz w:val="28"/>
          <w:szCs w:val="28"/>
        </w:rPr>
        <w:t>Challenges in proving men’s rea</w:t>
      </w:r>
    </w:p>
    <w:p w14:paraId="79819090" w14:textId="7A36F7F5" w:rsidR="003533D8" w:rsidRDefault="003533D8" w:rsidP="00DF0C8C">
      <w:r>
        <w:t xml:space="preserve"> One of the primary challenges in proving men’s rea is the inherent subjectivity of the defendant’s mental state. According to Hart and Honor</w:t>
      </w:r>
      <w:r w:rsidR="00232352">
        <w:t>é (2014), men’s rea entails determining the defendant’s subjective intentions, which are not always easily discernible or provable through direct evidence. In many cases, prosecutors must use circumstantial evidence and inference to prove the required mental element beyond a reasonable doubt. Interpreting and</w:t>
      </w:r>
      <w:r w:rsidR="00EA1E6A">
        <w:t xml:space="preserve"> </w:t>
      </w:r>
      <w:r w:rsidR="00232352">
        <w:lastRenderedPageBreak/>
        <w:t xml:space="preserve">manipulating indirect evidence add uncertainty to legal proceedings. Furthermore, the wide range of mental states covered by men’s rea adds another layer of complexity to its evaluation. Duff (2011) emphasises the difficulties in distinguishing </w:t>
      </w:r>
      <w:r w:rsidR="001615A6">
        <w:t>between intent, recklessness, and negligence, each of which necessitates a different level of proof. For example, proving an individual’s intentional state of mind may require demonstrating a clear desire or purpose to commit a specific offence, whereas establishing recklessness entails demonstrating a conscious disregard for known risks. When the defendant does not explicitly state their intentions or when competing interpretations of the evidence emerge, these evidentiary difficulties can be exacerbated.</w:t>
      </w:r>
      <w:r w:rsidR="008E7C61">
        <w:t xml:space="preserve"> In order to make a result, courts must carefully weigh the available evidence and consider the broader context surrounding the alleged offence in order to make a fair and just determination of men’s rea and criminal liability.</w:t>
      </w:r>
    </w:p>
    <w:p w14:paraId="13EB23C4" w14:textId="0ABE4BE6" w:rsidR="008E7C61" w:rsidRDefault="008E7C61" w:rsidP="00DF0C8C">
      <w:pPr>
        <w:rPr>
          <w:b/>
          <w:bCs/>
          <w:sz w:val="28"/>
          <w:szCs w:val="28"/>
        </w:rPr>
      </w:pPr>
      <w:r w:rsidRPr="0069025D">
        <w:rPr>
          <w:b/>
          <w:bCs/>
          <w:sz w:val="28"/>
          <w:szCs w:val="28"/>
        </w:rPr>
        <w:t>Legal assumptions and inferences</w:t>
      </w:r>
    </w:p>
    <w:p w14:paraId="43C0427F" w14:textId="77777777" w:rsidR="0069025D" w:rsidRDefault="0069025D" w:rsidP="00DF0C8C"/>
    <w:p w14:paraId="47D14904" w14:textId="16FA7D93" w:rsidR="00573065" w:rsidRDefault="00573065" w:rsidP="00DF0C8C">
      <w:r>
        <w:t xml:space="preserve">For address the challenges of proving men’s rea, legal systems frequently rely on </w:t>
      </w:r>
      <w:r w:rsidR="004D22E9">
        <w:t xml:space="preserve">presumptions and inferences to establish the necessary </w:t>
      </w:r>
      <w:r w:rsidR="003F717C">
        <w:t>mental component.</w:t>
      </w:r>
      <w:r w:rsidR="002C6FC6">
        <w:t xml:space="preserve"> For </w:t>
      </w:r>
      <w:r w:rsidR="00CB7558">
        <w:t xml:space="preserve">example, the doctrine of transferred intent </w:t>
      </w:r>
      <w:r w:rsidR="006F3B43">
        <w:t>is a legal presumption that holds individuals li</w:t>
      </w:r>
      <w:r w:rsidR="00B02B07">
        <w:t>able for unintended consequences if their original intent was to harm ano</w:t>
      </w:r>
      <w:r w:rsidR="005665B2">
        <w:t>ther person (Ashworth &amp; herder, 2013). This principle enables</w:t>
      </w:r>
      <w:r w:rsidR="000A2C11">
        <w:t xml:space="preserve"> prosecutors to attribute the necessary mental state to the </w:t>
      </w:r>
      <w:r w:rsidR="00207DE4">
        <w:t xml:space="preserve">defendant based on their actions and intentions, even if the actual harm </w:t>
      </w:r>
      <w:r w:rsidR="009B5B9A">
        <w:t>caused differs from their original target. Similarly, the doc</w:t>
      </w:r>
      <w:r w:rsidR="00132078">
        <w:t xml:space="preserve">trine of wilful blindness draws an inference from a defendant’s </w:t>
      </w:r>
      <w:r w:rsidR="00EB4BFD">
        <w:t xml:space="preserve">deliberate ignorance or conscious avoidance of specific facts (Herring, 2016). </w:t>
      </w:r>
      <w:r w:rsidR="00E224CC">
        <w:t xml:space="preserve">Individuals who purposefully avoid learning </w:t>
      </w:r>
      <w:r w:rsidR="00B25DE0">
        <w:t>about the criminal nature of their actions may be considered to have the nece</w:t>
      </w:r>
      <w:r w:rsidR="001B0AE7">
        <w:t>ssary men’s rea, according to this principle. Courts hope that by impa</w:t>
      </w:r>
      <w:r w:rsidR="005A7DD6">
        <w:t>rting knowledge to the defendant, they will prevent individuals from escaping criminal l</w:t>
      </w:r>
      <w:r w:rsidR="00C92D02">
        <w:t>iability by claiming ignorance or turning a blind eye to the consequences of their actions.</w:t>
      </w:r>
      <w:r w:rsidR="00B435A6">
        <w:t xml:space="preserve"> Despite their usefulness in overco</w:t>
      </w:r>
      <w:r w:rsidR="00215937">
        <w:t xml:space="preserve">ming </w:t>
      </w:r>
      <w:r w:rsidR="00AD487F">
        <w:t>evidentiary cha</w:t>
      </w:r>
      <w:r w:rsidR="00220B41">
        <w:t>llenges, legal presumptions</w:t>
      </w:r>
      <w:r w:rsidR="002A447B">
        <w:t xml:space="preserve"> and infe</w:t>
      </w:r>
      <w:r w:rsidR="005662E2">
        <w:t xml:space="preserve">rences raise questions about fairness and individual responsibility. </w:t>
      </w:r>
      <w:r w:rsidR="00BE060C">
        <w:t>Applying these doctrines may lead to individuals</w:t>
      </w:r>
      <w:r w:rsidR="003E2AE9">
        <w:t xml:space="preserve"> facing criminal lia</w:t>
      </w:r>
      <w:r w:rsidR="002109FB">
        <w:t>bility even if they lacked genuine criminal intent or were un</w:t>
      </w:r>
      <w:r w:rsidR="00962646">
        <w:t>aware of the consequences of their actions. Furthermore, the reliance on presumptions and inferences to establish men’s rea hig</w:t>
      </w:r>
      <w:r w:rsidR="00E44BB4">
        <w:t>hlights the complexities of assessing subjective mental states within the legal context.</w:t>
      </w:r>
    </w:p>
    <w:p w14:paraId="5C1DAC3C" w14:textId="14FB13D5" w:rsidR="00E44BB4" w:rsidRDefault="00041CB7" w:rsidP="00DF0C8C">
      <w:pPr>
        <w:rPr>
          <w:b/>
          <w:bCs/>
          <w:sz w:val="28"/>
          <w:szCs w:val="28"/>
        </w:rPr>
      </w:pPr>
      <w:r w:rsidRPr="00041CB7">
        <w:rPr>
          <w:b/>
          <w:bCs/>
          <w:sz w:val="28"/>
          <w:szCs w:val="28"/>
        </w:rPr>
        <w:t>Men’s Rea’s Effects on Criminal Liability</w:t>
      </w:r>
    </w:p>
    <w:p w14:paraId="63C82C5B" w14:textId="77777777" w:rsidR="00012460" w:rsidRDefault="00012460" w:rsidP="00012460">
      <w:pPr>
        <w:rPr>
          <w:b/>
          <w:bCs/>
          <w:sz w:val="28"/>
          <w:szCs w:val="28"/>
        </w:rPr>
      </w:pPr>
    </w:p>
    <w:p w14:paraId="5C4F55D2" w14:textId="280CB99F" w:rsidR="00BE42E4" w:rsidRDefault="00634CC4" w:rsidP="00012460">
      <w:r>
        <w:t xml:space="preserve">The determination of men’s rea has a significant impact on criminal </w:t>
      </w:r>
      <w:r w:rsidR="00912AA9">
        <w:t xml:space="preserve">liability, serving as a key factor in distinguishing between lawful </w:t>
      </w:r>
      <w:r w:rsidR="000A4408">
        <w:t>and unlawful conduct (Hart &amp; Honor</w:t>
      </w:r>
      <w:r w:rsidR="008239B6">
        <w:t>é</w:t>
      </w:r>
      <w:r w:rsidR="00D03B10">
        <w:t>, 2014). Men’s rea reflects the defendant’s men</w:t>
      </w:r>
      <w:r w:rsidR="0090783A">
        <w:t>tal state at the time of the offence, re</w:t>
      </w:r>
      <w:r w:rsidR="004931A4">
        <w:t xml:space="preserve">vealing details about their intentions, awareness, and moral </w:t>
      </w:r>
      <w:r w:rsidR="00E66853">
        <w:t xml:space="preserve">culpability. The </w:t>
      </w:r>
      <w:r w:rsidR="00352DDD">
        <w:t>presence or absence of</w:t>
      </w:r>
      <w:r w:rsidR="00547497">
        <w:t xml:space="preserve"> </w:t>
      </w:r>
      <w:r w:rsidR="00C46BBB">
        <w:t xml:space="preserve">men’s rea has an impact on the legal </w:t>
      </w:r>
      <w:r w:rsidR="001512BB">
        <w:t>chara</w:t>
      </w:r>
      <w:r w:rsidR="001F416C">
        <w:t>c</w:t>
      </w:r>
      <w:r w:rsidR="00BC3FA3">
        <w:t>terization of the offense and the severity of punishment. In cases where the defen</w:t>
      </w:r>
      <w:r w:rsidR="007201D2">
        <w:t xml:space="preserve">dant demonstrates a deliberate intent to commit a crime, such </w:t>
      </w:r>
      <w:r w:rsidR="00413271">
        <w:t xml:space="preserve">as premeditated murder, the presence of men’s </w:t>
      </w:r>
      <w:r w:rsidR="00A31BD1">
        <w:t xml:space="preserve">rea may result in a finding of greater </w:t>
      </w:r>
      <w:r w:rsidR="000B3971">
        <w:t>culpability and</w:t>
      </w:r>
      <w:r w:rsidR="00C73A9C">
        <w:t xml:space="preserve"> the </w:t>
      </w:r>
      <w:r w:rsidR="00A72BA3">
        <w:t>imposition of harsher penalties (Ashworth &amp; herder, 2013)</w:t>
      </w:r>
      <w:r w:rsidR="0030793A">
        <w:t xml:space="preserve">. Offences committed without the necessary mental component, such as those resulting from </w:t>
      </w:r>
      <w:r w:rsidR="00455843">
        <w:t>negligence or recklessness, may wa</w:t>
      </w:r>
      <w:r w:rsidR="002776BB">
        <w:t>rrant lower levels of culpability and punishment. Furthermore, the</w:t>
      </w:r>
      <w:r w:rsidR="009E2CED">
        <w:t xml:space="preserve"> determination of men’s rea influences the jury’s deliberations and judicial decisions, directing the legal process </w:t>
      </w:r>
      <w:r w:rsidR="009E2CED">
        <w:lastRenderedPageBreak/>
        <w:t>towards</w:t>
      </w:r>
      <w:r w:rsidR="009176DE">
        <w:t xml:space="preserve"> equitable outcomes (Duff, 2011). However, the subje</w:t>
      </w:r>
      <w:r w:rsidR="007F6577">
        <w:t xml:space="preserve">ctive nature of men’s rea adds complexities and challenges to legal </w:t>
      </w:r>
      <w:r w:rsidR="00913E39">
        <w:t xml:space="preserve">proceedings, as determining the defendant’s state of mind </w:t>
      </w:r>
      <w:r w:rsidR="00272DA3">
        <w:t>frequently</w:t>
      </w:r>
      <w:r w:rsidR="00913E39">
        <w:t xml:space="preserve"> relies on circumstantial evidence and </w:t>
      </w:r>
      <w:r w:rsidR="00272DA3">
        <w:t>inference</w:t>
      </w:r>
      <w:r w:rsidR="00913E39">
        <w:t>. Despite th</w:t>
      </w:r>
      <w:r w:rsidR="00BE42E4">
        <w:t xml:space="preserve">ese challenges, men’s rea remains critical to ensuring the fairness </w:t>
      </w:r>
      <w:r w:rsidR="00B35991">
        <w:t xml:space="preserve">and proportionality of criminal liability determinations. Men’s rea </w:t>
      </w:r>
      <w:r w:rsidR="000A6DA2">
        <w:t>contri</w:t>
      </w:r>
      <w:r w:rsidR="006C3E1A">
        <w:t xml:space="preserve">butes to the administration of justice by accounting for the </w:t>
      </w:r>
      <w:r w:rsidR="00024E6B">
        <w:t xml:space="preserve">defendant’s intentions and moral blameworthiness, as well as upholding the legal system’s principles of individual responsibility and </w:t>
      </w:r>
      <w:r w:rsidR="001F4644">
        <w:t>accountability.</w:t>
      </w:r>
    </w:p>
    <w:p w14:paraId="439223D4" w14:textId="759FE36C" w:rsidR="001F4644" w:rsidRDefault="001F4644" w:rsidP="00012460">
      <w:pPr>
        <w:rPr>
          <w:b/>
          <w:bCs/>
          <w:sz w:val="28"/>
          <w:szCs w:val="28"/>
        </w:rPr>
      </w:pPr>
      <w:r>
        <w:rPr>
          <w:b/>
          <w:bCs/>
          <w:sz w:val="28"/>
          <w:szCs w:val="28"/>
        </w:rPr>
        <w:t xml:space="preserve">The Role of </w:t>
      </w:r>
      <w:r w:rsidR="000C3A2D">
        <w:rPr>
          <w:b/>
          <w:bCs/>
          <w:sz w:val="28"/>
          <w:szCs w:val="28"/>
        </w:rPr>
        <w:t>I</w:t>
      </w:r>
      <w:r>
        <w:rPr>
          <w:b/>
          <w:bCs/>
          <w:sz w:val="28"/>
          <w:szCs w:val="28"/>
        </w:rPr>
        <w:t xml:space="preserve">ntent in </w:t>
      </w:r>
      <w:r w:rsidR="000C3A2D">
        <w:rPr>
          <w:b/>
          <w:bCs/>
          <w:sz w:val="28"/>
          <w:szCs w:val="28"/>
        </w:rPr>
        <w:t>C</w:t>
      </w:r>
      <w:r>
        <w:rPr>
          <w:b/>
          <w:bCs/>
          <w:sz w:val="28"/>
          <w:szCs w:val="28"/>
        </w:rPr>
        <w:t xml:space="preserve">riminal </w:t>
      </w:r>
      <w:r w:rsidR="000C3A2D">
        <w:rPr>
          <w:b/>
          <w:bCs/>
          <w:sz w:val="28"/>
          <w:szCs w:val="28"/>
        </w:rPr>
        <w:t>L</w:t>
      </w:r>
      <w:r>
        <w:rPr>
          <w:b/>
          <w:bCs/>
          <w:sz w:val="28"/>
          <w:szCs w:val="28"/>
        </w:rPr>
        <w:t>aw</w:t>
      </w:r>
    </w:p>
    <w:p w14:paraId="07C43733" w14:textId="77777777" w:rsidR="000C3A2D" w:rsidRDefault="000C3A2D" w:rsidP="00012460">
      <w:pPr>
        <w:rPr>
          <w:b/>
          <w:bCs/>
          <w:sz w:val="28"/>
          <w:szCs w:val="28"/>
        </w:rPr>
      </w:pPr>
    </w:p>
    <w:p w14:paraId="75EBB65E" w14:textId="64D91307" w:rsidR="000C3A2D" w:rsidRDefault="007C4741" w:rsidP="00012460">
      <w:r>
        <w:t xml:space="preserve">In criminal law, law, intent is </w:t>
      </w:r>
      <w:r w:rsidR="007C6638">
        <w:t>critical in determining culpability and criminal liability because it disting</w:t>
      </w:r>
      <w:r w:rsidR="007100E7">
        <w:t>uishes between</w:t>
      </w:r>
      <w:r w:rsidR="0083634D">
        <w:t xml:space="preserve"> lawful and unlawful conduct (Semester &amp;</w:t>
      </w:r>
      <w:r w:rsidR="00776079">
        <w:t xml:space="preserve"> Sullivan, 2007). It de</w:t>
      </w:r>
      <w:r w:rsidR="0068474B">
        <w:t xml:space="preserve">scribes the defendant’s mental state at the time of the offence, which </w:t>
      </w:r>
      <w:r w:rsidR="005633BD">
        <w:t>encompasses a wide range if intentions, from deliberate actions to reckless behaviour or negli</w:t>
      </w:r>
      <w:r w:rsidR="00F468B0">
        <w:t xml:space="preserve">gence. In the legal context, intent is an important factor in determining men’s rea, or the </w:t>
      </w:r>
      <w:r w:rsidR="00EF0474">
        <w:t>guilty mind, which is required to prove criminal liability (Roberts, 2015). Crimes re</w:t>
      </w:r>
      <w:r w:rsidR="009C71CD">
        <w:t>quiring specific intent, such as f</w:t>
      </w:r>
      <w:r w:rsidR="00F61E5A">
        <w:t xml:space="preserve">irst-degree murder or theft, require evidence of the defendant’s deliberate intent to commit the offence. Offences involving general intent, such as battery or manslaughter, necessitate </w:t>
      </w:r>
      <w:r w:rsidR="00525122">
        <w:t>a demonstration of the defendant’s</w:t>
      </w:r>
      <w:r w:rsidR="00CF2D62">
        <w:t xml:space="preserve"> understanding of their action</w:t>
      </w:r>
      <w:r w:rsidR="003B6F71">
        <w:t xml:space="preserve">s and the potential consequences (Dressler, 2018). The determination of intent is central </w:t>
      </w:r>
      <w:r w:rsidR="00D10EC8">
        <w:t xml:space="preserve">to judicial proceedings, guiding jury deliberations </w:t>
      </w:r>
      <w:r w:rsidR="00213552">
        <w:t>and shaping judicial decisions (Dubber, 2002). However, determining intent can be difficult, often requiring circumstantial evidence, witness testimony, and fore</w:t>
      </w:r>
      <w:r w:rsidR="00BD0749">
        <w:t>nsic analysis (Stuart, 2013).</w:t>
      </w:r>
      <w:r w:rsidR="001A1B9F">
        <w:t xml:space="preserve"> Furthermore, the subjective nature of intent complicates the legal pr</w:t>
      </w:r>
      <w:r w:rsidR="008127A0">
        <w:t>ocess, as individuals may have varying levels of awareness or culpability. Intent continues to be central to crimi</w:t>
      </w:r>
      <w:r w:rsidR="001224D6">
        <w:t>nal law principles, ensuring accountability for individuals’ actions and intentions within the legal framework (Fletcher, 2000). The intent is to uphold the inte</w:t>
      </w:r>
      <w:r w:rsidR="00861656">
        <w:t xml:space="preserve">grity of the criminal justice system and protect societal </w:t>
      </w:r>
      <w:r w:rsidR="000B3C4C">
        <w:t>values by revealing the defendant’s mental state and moral culpability.</w:t>
      </w:r>
    </w:p>
    <w:p w14:paraId="0C4ACBE4" w14:textId="3F6FC4B1" w:rsidR="00C10E52" w:rsidRDefault="00C10E52" w:rsidP="00012460">
      <w:pPr>
        <w:rPr>
          <w:b/>
          <w:bCs/>
          <w:sz w:val="28"/>
          <w:szCs w:val="28"/>
        </w:rPr>
      </w:pPr>
      <w:r>
        <w:rPr>
          <w:b/>
          <w:bCs/>
          <w:sz w:val="28"/>
          <w:szCs w:val="28"/>
        </w:rPr>
        <w:t xml:space="preserve">Impact of Men’s Rea on Sentencing </w:t>
      </w:r>
    </w:p>
    <w:p w14:paraId="5FD2B236" w14:textId="77777777" w:rsidR="00C10E52" w:rsidRDefault="00C10E52" w:rsidP="00012460">
      <w:pPr>
        <w:rPr>
          <w:b/>
          <w:bCs/>
          <w:sz w:val="28"/>
          <w:szCs w:val="28"/>
        </w:rPr>
      </w:pPr>
    </w:p>
    <w:p w14:paraId="2071FB5E" w14:textId="67733412" w:rsidR="000B3C4C" w:rsidRDefault="00C10E52" w:rsidP="00012460">
      <w:r w:rsidRPr="00C10E52">
        <w:t>The assessment of men’s rea, or the defendant’s mental state, has a significant impact on sentencing decisions in criminal cases bec</w:t>
      </w:r>
      <w:r w:rsidR="00062D47">
        <w:t xml:space="preserve">ause it informs judges about </w:t>
      </w:r>
      <w:r w:rsidR="00071545">
        <w:t xml:space="preserve">the individual’s moral blameworthiness and culpability. Offenders with </w:t>
      </w:r>
      <w:r w:rsidR="001C6FCC">
        <w:t xml:space="preserve">malicious intent or deliberate wrongdoing frequently face harsher penalties than those whose action </w:t>
      </w:r>
      <w:r w:rsidR="00FD595C">
        <w:t>were unintentional or accidental. In cases w</w:t>
      </w:r>
      <w:r w:rsidR="00CF34F9">
        <w:t>here the defendant clearly intends to commit a crim, such as premeditated murder or fraud, the presence of men’s rea may result in harsher punish</w:t>
      </w:r>
      <w:r w:rsidR="00BD3C7C">
        <w:t xml:space="preserve">ments, such as lengthy prison sentences or substantial fines (Ashworth &amp; herder, 2013). Intent indicates a higher level </w:t>
      </w:r>
      <w:r w:rsidR="002F4738">
        <w:t>of culpability and moral blameworth</w:t>
      </w:r>
      <w:r w:rsidR="00291F23">
        <w:t>iness, req</w:t>
      </w:r>
      <w:r w:rsidR="005432CC">
        <w:t>uiring a more stringent response</w:t>
      </w:r>
      <w:r w:rsidR="00FD7E8F">
        <w:t xml:space="preserve"> from the justice system. Offences committed without the req</w:t>
      </w:r>
      <w:r w:rsidR="0009531E">
        <w:t xml:space="preserve">uired men’s rea, such as negligent acts or </w:t>
      </w:r>
      <w:r w:rsidR="003330C7">
        <w:t>unintentional harm, may result in a less severe sentence</w:t>
      </w:r>
      <w:r w:rsidR="006F5112">
        <w:t xml:space="preserve"> (Duff, 2007). When determining an app</w:t>
      </w:r>
      <w:r w:rsidR="003F4E1F">
        <w:t>ropriate sentence, courts co</w:t>
      </w:r>
      <w:r w:rsidR="008F251A">
        <w:t>nsider factors such as the defendant’s level of a</w:t>
      </w:r>
      <w:r w:rsidR="00DA22C9">
        <w:t xml:space="preserve">wareness, intentions, and </w:t>
      </w:r>
      <w:r w:rsidR="008D04E9">
        <w:t>predictab</w:t>
      </w:r>
      <w:r w:rsidR="00A95B94">
        <w:t>ility of the consequences. Offenders</w:t>
      </w:r>
      <w:r w:rsidR="004B3B61">
        <w:t xml:space="preserve"> who de</w:t>
      </w:r>
      <w:r w:rsidR="00CE44B5">
        <w:t>monstrate genuine remorse or a lack of criminal intent may rece</w:t>
      </w:r>
      <w:r w:rsidR="00C77D09">
        <w:t xml:space="preserve">ive reduced sentences or alternative forms of punishment that focus on rehabilitation rather than retribution. Judges uphold the principles of </w:t>
      </w:r>
      <w:r w:rsidR="00C77D09">
        <w:lastRenderedPageBreak/>
        <w:t>fair</w:t>
      </w:r>
      <w:r w:rsidR="003E1FA8">
        <w:t>ness and proportionality in sentencing by ensuring that individuals are held accountable for their actions in propo</w:t>
      </w:r>
      <w:r w:rsidR="007B5DC3">
        <w:t xml:space="preserve">rtion to their level of </w:t>
      </w:r>
      <w:r w:rsidR="003C23A7">
        <w:t>moral</w:t>
      </w:r>
      <w:r w:rsidR="007B5DC3">
        <w:t xml:space="preserve"> culpability (Roberts &amp; </w:t>
      </w:r>
      <w:r w:rsidR="003C23A7">
        <w:t>Zuckerman</w:t>
      </w:r>
      <w:r w:rsidR="00747AAC">
        <w:t xml:space="preserve">, 2002). Judges stive to </w:t>
      </w:r>
      <w:r w:rsidR="00A713EF">
        <w:t>achieve</w:t>
      </w:r>
      <w:r w:rsidR="00747AAC">
        <w:t xml:space="preserve"> equitable outcomes that reflect the </w:t>
      </w:r>
      <w:r w:rsidR="00666D84">
        <w:t>gravity of the offence as well as the defendant’s level of responsibility by considering the def</w:t>
      </w:r>
      <w:r w:rsidR="00A713EF">
        <w:t>endant’s mental state.</w:t>
      </w:r>
    </w:p>
    <w:p w14:paraId="73BE68E2" w14:textId="77777777" w:rsidR="007262C6" w:rsidRDefault="007262C6" w:rsidP="00012460"/>
    <w:p w14:paraId="79F6601E" w14:textId="6F8C2D8B" w:rsidR="007262C6" w:rsidRDefault="007262C6" w:rsidP="00012460">
      <w:pPr>
        <w:rPr>
          <w:b/>
          <w:bCs/>
          <w:sz w:val="28"/>
          <w:szCs w:val="28"/>
        </w:rPr>
      </w:pPr>
      <w:r>
        <w:rPr>
          <w:b/>
          <w:bCs/>
          <w:sz w:val="28"/>
          <w:szCs w:val="28"/>
        </w:rPr>
        <w:t>Con</w:t>
      </w:r>
      <w:r w:rsidR="006B381C">
        <w:rPr>
          <w:b/>
          <w:bCs/>
          <w:sz w:val="28"/>
          <w:szCs w:val="28"/>
        </w:rPr>
        <w:t xml:space="preserve">clusion </w:t>
      </w:r>
    </w:p>
    <w:p w14:paraId="1DB9C5D0" w14:textId="0C5F2AFE" w:rsidR="006B381C" w:rsidRDefault="006B381C" w:rsidP="00012460">
      <w:r>
        <w:t xml:space="preserve">The concept of men’s rea is a cornerstone of criminal </w:t>
      </w:r>
      <w:r w:rsidR="009D7E5B">
        <w:t>law, reflecting the principle that intention determines cu</w:t>
      </w:r>
      <w:r w:rsidR="000F38E9">
        <w:t>lpability. However, its assessment presen</w:t>
      </w:r>
      <w:r w:rsidR="00171892">
        <w:t xml:space="preserve">ts numerous challenges within </w:t>
      </w:r>
      <w:r w:rsidR="00B41B8A">
        <w:t>the legal system, such as the subjective nature of mental states, evide</w:t>
      </w:r>
      <w:r w:rsidR="00D93EE6">
        <w:t>ntiary issues, and the impact of legal presumptions. De</w:t>
      </w:r>
      <w:r w:rsidR="0022453B">
        <w:t>spite these challenges men’s rea remains critical to ensuring fairness and proportiona</w:t>
      </w:r>
      <w:r w:rsidR="009F7B71">
        <w:t>lity in the administration of justice. Moving forward, legal reforms and adv</w:t>
      </w:r>
      <w:r w:rsidR="00BE738C">
        <w:t xml:space="preserve">ances in forensic psychology may provide solutions to improve the accuracy and reliability of men’s rea determinations, thereby </w:t>
      </w:r>
      <w:r w:rsidR="00B6322F">
        <w:t>bolstering the criminal justice system.</w:t>
      </w:r>
    </w:p>
    <w:p w14:paraId="52917C14" w14:textId="5FB88DF4" w:rsidR="00B6322F" w:rsidRDefault="00B6322F" w:rsidP="00012460">
      <w:pPr>
        <w:rPr>
          <w:b/>
          <w:bCs/>
          <w:sz w:val="28"/>
          <w:szCs w:val="28"/>
        </w:rPr>
      </w:pPr>
      <w:r>
        <w:rPr>
          <w:b/>
          <w:bCs/>
          <w:sz w:val="28"/>
          <w:szCs w:val="28"/>
        </w:rPr>
        <w:t>References:</w:t>
      </w:r>
    </w:p>
    <w:p w14:paraId="1740E9E6" w14:textId="77777777" w:rsidR="0000236B" w:rsidRDefault="0000236B" w:rsidP="00012460"/>
    <w:p w14:paraId="1D704222" w14:textId="09286951" w:rsidR="000C32B1" w:rsidRDefault="00830DA2" w:rsidP="00012460">
      <w:r>
        <w:t>Ashworth, A., &amp; herder, J. (2013). Principles of criminal law</w:t>
      </w:r>
      <w:r w:rsidR="00ED0470">
        <w:t xml:space="preserve"> (8</w:t>
      </w:r>
      <w:r w:rsidR="00ED0470" w:rsidRPr="00ED0470">
        <w:rPr>
          <w:vertAlign w:val="superscript"/>
        </w:rPr>
        <w:t>th</w:t>
      </w:r>
      <w:r w:rsidR="00ED0470">
        <w:t xml:space="preserve"> ed.). Oxford University Press.</w:t>
      </w:r>
    </w:p>
    <w:p w14:paraId="000AA0AA" w14:textId="522A8098" w:rsidR="00ED0470" w:rsidRDefault="00ED0470" w:rsidP="00012460">
      <w:r>
        <w:t xml:space="preserve">Duff, </w:t>
      </w:r>
      <w:r w:rsidR="0086622C">
        <w:t>R. A. (2011). Intention, agency, and criminal liability: Philosophy of action and the criminal law. Wiley-Blackwell.</w:t>
      </w:r>
    </w:p>
    <w:p w14:paraId="23F6176F" w14:textId="026914CB" w:rsidR="0086622C" w:rsidRDefault="0086622C" w:rsidP="00012460">
      <w:r>
        <w:t>Hart, H</w:t>
      </w:r>
      <w:r w:rsidR="002E004E">
        <w:t>. L. A., &amp; Hono</w:t>
      </w:r>
      <w:r w:rsidR="00CE3FC8">
        <w:t>r</w:t>
      </w:r>
      <w:r w:rsidR="009C7897">
        <w:t xml:space="preserve">é, T. (2014). Causation </w:t>
      </w:r>
      <w:r w:rsidR="002F076B">
        <w:t>in the law (2</w:t>
      </w:r>
      <w:r w:rsidR="002F076B" w:rsidRPr="002F076B">
        <w:rPr>
          <w:vertAlign w:val="superscript"/>
        </w:rPr>
        <w:t>nd</w:t>
      </w:r>
      <w:r w:rsidR="002F076B">
        <w:t xml:space="preserve"> ed.). Oxford University Press. </w:t>
      </w:r>
    </w:p>
    <w:p w14:paraId="422E8F72" w14:textId="50F1221F" w:rsidR="002F076B" w:rsidRDefault="002F076B" w:rsidP="00012460">
      <w:r>
        <w:t>Herring, J. (2016). Criminal law:</w:t>
      </w:r>
      <w:r w:rsidR="00C97D49">
        <w:t xml:space="preserve"> Text, cases, and materials (8</w:t>
      </w:r>
      <w:r w:rsidR="00C97D49" w:rsidRPr="00C97D49">
        <w:rPr>
          <w:vertAlign w:val="superscript"/>
        </w:rPr>
        <w:t>th</w:t>
      </w:r>
      <w:r w:rsidR="00C97D49">
        <w:t xml:space="preserve"> ed.). Oxford </w:t>
      </w:r>
      <w:r w:rsidR="004C3A9B">
        <w:t>University Press.</w:t>
      </w:r>
    </w:p>
    <w:p w14:paraId="7940BCCC" w14:textId="18CAD1FD" w:rsidR="004C3A9B" w:rsidRDefault="004C3A9B" w:rsidP="00012460">
      <w:r>
        <w:t>Ashworth, A.,</w:t>
      </w:r>
      <w:r w:rsidR="002765BB">
        <w:t xml:space="preserve"> &amp; herder, J. (2013). Principles of criminal law </w:t>
      </w:r>
      <w:r w:rsidR="00304119">
        <w:t>(8</w:t>
      </w:r>
      <w:r w:rsidR="00304119" w:rsidRPr="00304119">
        <w:rPr>
          <w:vertAlign w:val="superscript"/>
        </w:rPr>
        <w:t>th</w:t>
      </w:r>
      <w:r w:rsidR="00304119">
        <w:t xml:space="preserve"> ed.). Oxford University Press. </w:t>
      </w:r>
    </w:p>
    <w:p w14:paraId="2576E5B0" w14:textId="1EB30B12" w:rsidR="00304119" w:rsidRDefault="00304119" w:rsidP="00012460">
      <w:r>
        <w:t>Berman, G., &amp; Feigenson</w:t>
      </w:r>
      <w:r w:rsidR="00C00EC7">
        <w:t>, N. (2006). Sentencing disparities: Exploring the link between implicit racial bias and sent</w:t>
      </w:r>
      <w:r w:rsidR="00DC651C">
        <w:t xml:space="preserve">encing outcomes. Retrieved from </w:t>
      </w:r>
      <w:hyperlink r:id="rId4" w:history="1">
        <w:r w:rsidR="0098725A" w:rsidRPr="001553B5">
          <w:rPr>
            <w:rStyle w:val="Hyperlink"/>
          </w:rPr>
          <w:t>https://scolarship.law.duke.edu/faculty_scholarship/2026/</w:t>
        </w:r>
      </w:hyperlink>
      <w:r w:rsidR="0098725A">
        <w:t xml:space="preserve"> </w:t>
      </w:r>
    </w:p>
    <w:p w14:paraId="536A0B54" w14:textId="54CCB7E9" w:rsidR="00EC6C2C" w:rsidRDefault="00EC6C2C" w:rsidP="00012460">
      <w:r>
        <w:t>Duff, R.A. (2007). Ans</w:t>
      </w:r>
      <w:r w:rsidR="00BE27C4">
        <w:t>wering for crime: Responsibility and liabili</w:t>
      </w:r>
      <w:r w:rsidR="00EF38AE">
        <w:t>ty in the criminal law. Hart P</w:t>
      </w:r>
      <w:r w:rsidR="002D28D1">
        <w:t>ublishing.</w:t>
      </w:r>
    </w:p>
    <w:p w14:paraId="56CF4288" w14:textId="5CD4160A" w:rsidR="002D28D1" w:rsidRDefault="002D28D1" w:rsidP="00012460">
      <w:r>
        <w:t>Roberts, J. V., &amp; Z</w:t>
      </w:r>
      <w:r w:rsidR="00E835C7">
        <w:t>uckerman, A. (2002). Criminal sentencing: A comp</w:t>
      </w:r>
      <w:r w:rsidR="00FB5847">
        <w:t>arative approach. Oxford University Press.</w:t>
      </w:r>
    </w:p>
    <w:p w14:paraId="3EA2F046" w14:textId="77777777" w:rsidR="00C61128" w:rsidRPr="00B6322F" w:rsidRDefault="00C61128" w:rsidP="00012460"/>
    <w:sectPr w:rsidR="00C61128" w:rsidRPr="00B6322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DF0C8C"/>
    <w:rsid w:val="0000236B"/>
    <w:rsid w:val="00012460"/>
    <w:rsid w:val="00024E6B"/>
    <w:rsid w:val="00041CB7"/>
    <w:rsid w:val="00062D47"/>
    <w:rsid w:val="00071545"/>
    <w:rsid w:val="0009531E"/>
    <w:rsid w:val="0009626D"/>
    <w:rsid w:val="000A2C11"/>
    <w:rsid w:val="000A4408"/>
    <w:rsid w:val="000A6DA2"/>
    <w:rsid w:val="000B3971"/>
    <w:rsid w:val="000B3C4C"/>
    <w:rsid w:val="000C32B1"/>
    <w:rsid w:val="000C3A2D"/>
    <w:rsid w:val="000E2CEC"/>
    <w:rsid w:val="000F38E9"/>
    <w:rsid w:val="001224D6"/>
    <w:rsid w:val="00132078"/>
    <w:rsid w:val="00146B62"/>
    <w:rsid w:val="001512BB"/>
    <w:rsid w:val="00154CBC"/>
    <w:rsid w:val="001615A6"/>
    <w:rsid w:val="00171892"/>
    <w:rsid w:val="001A1B9F"/>
    <w:rsid w:val="001B0AE7"/>
    <w:rsid w:val="001C6FCC"/>
    <w:rsid w:val="001F416C"/>
    <w:rsid w:val="001F4644"/>
    <w:rsid w:val="00207DE4"/>
    <w:rsid w:val="002109FB"/>
    <w:rsid w:val="00211F49"/>
    <w:rsid w:val="00213552"/>
    <w:rsid w:val="00215937"/>
    <w:rsid w:val="00220B41"/>
    <w:rsid w:val="0022453B"/>
    <w:rsid w:val="00232352"/>
    <w:rsid w:val="00272DA3"/>
    <w:rsid w:val="002765BB"/>
    <w:rsid w:val="002776BB"/>
    <w:rsid w:val="00291F23"/>
    <w:rsid w:val="002A447B"/>
    <w:rsid w:val="002C6FC6"/>
    <w:rsid w:val="002D28D1"/>
    <w:rsid w:val="002E004E"/>
    <w:rsid w:val="002E1764"/>
    <w:rsid w:val="002F076B"/>
    <w:rsid w:val="002F4738"/>
    <w:rsid w:val="003015B7"/>
    <w:rsid w:val="00304119"/>
    <w:rsid w:val="0030793A"/>
    <w:rsid w:val="00307FA8"/>
    <w:rsid w:val="003330C7"/>
    <w:rsid w:val="00352DDD"/>
    <w:rsid w:val="003533D8"/>
    <w:rsid w:val="003828C7"/>
    <w:rsid w:val="003B6F71"/>
    <w:rsid w:val="003C23A7"/>
    <w:rsid w:val="003E1FA8"/>
    <w:rsid w:val="003E2AE9"/>
    <w:rsid w:val="003F4E1F"/>
    <w:rsid w:val="003F717C"/>
    <w:rsid w:val="00413271"/>
    <w:rsid w:val="00455843"/>
    <w:rsid w:val="00473124"/>
    <w:rsid w:val="004931A4"/>
    <w:rsid w:val="004B3B61"/>
    <w:rsid w:val="004C3A9B"/>
    <w:rsid w:val="004D22E9"/>
    <w:rsid w:val="00525122"/>
    <w:rsid w:val="005432CC"/>
    <w:rsid w:val="00547497"/>
    <w:rsid w:val="005633BD"/>
    <w:rsid w:val="005662E2"/>
    <w:rsid w:val="005665B2"/>
    <w:rsid w:val="00573065"/>
    <w:rsid w:val="005A7DD6"/>
    <w:rsid w:val="00634CC4"/>
    <w:rsid w:val="00666D84"/>
    <w:rsid w:val="0068474B"/>
    <w:rsid w:val="0069025D"/>
    <w:rsid w:val="006B381C"/>
    <w:rsid w:val="006C3E1A"/>
    <w:rsid w:val="006F3B43"/>
    <w:rsid w:val="006F5112"/>
    <w:rsid w:val="007100E7"/>
    <w:rsid w:val="007201D2"/>
    <w:rsid w:val="00722EC2"/>
    <w:rsid w:val="007262C6"/>
    <w:rsid w:val="00747AAC"/>
    <w:rsid w:val="00767C3D"/>
    <w:rsid w:val="00776079"/>
    <w:rsid w:val="007B5DC3"/>
    <w:rsid w:val="007C4741"/>
    <w:rsid w:val="007C6638"/>
    <w:rsid w:val="007F6577"/>
    <w:rsid w:val="008127A0"/>
    <w:rsid w:val="008239B6"/>
    <w:rsid w:val="00830DA2"/>
    <w:rsid w:val="0083634D"/>
    <w:rsid w:val="00861656"/>
    <w:rsid w:val="0086622C"/>
    <w:rsid w:val="008D04E9"/>
    <w:rsid w:val="008E7C61"/>
    <w:rsid w:val="008F251A"/>
    <w:rsid w:val="0090783A"/>
    <w:rsid w:val="00912AA9"/>
    <w:rsid w:val="00913E39"/>
    <w:rsid w:val="009176DE"/>
    <w:rsid w:val="00962646"/>
    <w:rsid w:val="0098725A"/>
    <w:rsid w:val="009A3500"/>
    <w:rsid w:val="009B5B9A"/>
    <w:rsid w:val="009C71CD"/>
    <w:rsid w:val="009C7897"/>
    <w:rsid w:val="009D7E5B"/>
    <w:rsid w:val="009E2CED"/>
    <w:rsid w:val="009F7B71"/>
    <w:rsid w:val="00A2785D"/>
    <w:rsid w:val="00A31BD1"/>
    <w:rsid w:val="00A40AE6"/>
    <w:rsid w:val="00A713EF"/>
    <w:rsid w:val="00A72BA3"/>
    <w:rsid w:val="00A95B94"/>
    <w:rsid w:val="00AD487F"/>
    <w:rsid w:val="00B02B07"/>
    <w:rsid w:val="00B25DE0"/>
    <w:rsid w:val="00B35991"/>
    <w:rsid w:val="00B41B8A"/>
    <w:rsid w:val="00B435A6"/>
    <w:rsid w:val="00B6322F"/>
    <w:rsid w:val="00BC3FA3"/>
    <w:rsid w:val="00BD0749"/>
    <w:rsid w:val="00BD3C7C"/>
    <w:rsid w:val="00BE060C"/>
    <w:rsid w:val="00BE06B0"/>
    <w:rsid w:val="00BE27C4"/>
    <w:rsid w:val="00BE42E4"/>
    <w:rsid w:val="00BE738C"/>
    <w:rsid w:val="00C00EC7"/>
    <w:rsid w:val="00C10E52"/>
    <w:rsid w:val="00C46BBB"/>
    <w:rsid w:val="00C61128"/>
    <w:rsid w:val="00C70D94"/>
    <w:rsid w:val="00C73A9C"/>
    <w:rsid w:val="00C77D09"/>
    <w:rsid w:val="00C92D02"/>
    <w:rsid w:val="00C95511"/>
    <w:rsid w:val="00C97D49"/>
    <w:rsid w:val="00CB7558"/>
    <w:rsid w:val="00CE3FC8"/>
    <w:rsid w:val="00CE44B5"/>
    <w:rsid w:val="00CF2D62"/>
    <w:rsid w:val="00CF34F9"/>
    <w:rsid w:val="00D03B10"/>
    <w:rsid w:val="00D10EC8"/>
    <w:rsid w:val="00D93EE6"/>
    <w:rsid w:val="00DA22C9"/>
    <w:rsid w:val="00DC651C"/>
    <w:rsid w:val="00DF0C8C"/>
    <w:rsid w:val="00E224CC"/>
    <w:rsid w:val="00E44BB4"/>
    <w:rsid w:val="00E66853"/>
    <w:rsid w:val="00E835C7"/>
    <w:rsid w:val="00EA1E6A"/>
    <w:rsid w:val="00EB4BFD"/>
    <w:rsid w:val="00EC6C2C"/>
    <w:rsid w:val="00ED0470"/>
    <w:rsid w:val="00EF0474"/>
    <w:rsid w:val="00EF38AE"/>
    <w:rsid w:val="00F468B0"/>
    <w:rsid w:val="00F61E5A"/>
    <w:rsid w:val="00FB5847"/>
    <w:rsid w:val="00FD595C"/>
    <w:rsid w:val="00FD7E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FA6531"/>
  <w15:docId w15:val="{3509A8AD-79D3-48F9-A8DA-BA7711BCAC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F0C8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F0C8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DF0C8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F0C8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F0C8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F0C8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F0C8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F0C8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F0C8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F0C8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F0C8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DF0C8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F0C8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F0C8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F0C8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F0C8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F0C8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F0C8C"/>
    <w:rPr>
      <w:rFonts w:eastAsiaTheme="majorEastAsia" w:cstheme="majorBidi"/>
      <w:color w:val="272727" w:themeColor="text1" w:themeTint="D8"/>
    </w:rPr>
  </w:style>
  <w:style w:type="paragraph" w:styleId="Title">
    <w:name w:val="Title"/>
    <w:basedOn w:val="Normal"/>
    <w:next w:val="Normal"/>
    <w:link w:val="TitleChar"/>
    <w:uiPriority w:val="10"/>
    <w:qFormat/>
    <w:rsid w:val="00DF0C8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F0C8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F0C8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F0C8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F0C8C"/>
    <w:pPr>
      <w:spacing w:before="160"/>
      <w:jc w:val="center"/>
    </w:pPr>
    <w:rPr>
      <w:i/>
      <w:iCs/>
      <w:color w:val="404040" w:themeColor="text1" w:themeTint="BF"/>
    </w:rPr>
  </w:style>
  <w:style w:type="character" w:customStyle="1" w:styleId="QuoteChar">
    <w:name w:val="Quote Char"/>
    <w:basedOn w:val="DefaultParagraphFont"/>
    <w:link w:val="Quote"/>
    <w:uiPriority w:val="29"/>
    <w:rsid w:val="00DF0C8C"/>
    <w:rPr>
      <w:i/>
      <w:iCs/>
      <w:color w:val="404040" w:themeColor="text1" w:themeTint="BF"/>
    </w:rPr>
  </w:style>
  <w:style w:type="paragraph" w:styleId="ListParagraph">
    <w:name w:val="List Paragraph"/>
    <w:basedOn w:val="Normal"/>
    <w:uiPriority w:val="34"/>
    <w:qFormat/>
    <w:rsid w:val="00DF0C8C"/>
    <w:pPr>
      <w:ind w:left="720"/>
      <w:contextualSpacing/>
    </w:pPr>
  </w:style>
  <w:style w:type="character" w:styleId="IntenseEmphasis">
    <w:name w:val="Intense Emphasis"/>
    <w:basedOn w:val="DefaultParagraphFont"/>
    <w:uiPriority w:val="21"/>
    <w:qFormat/>
    <w:rsid w:val="00DF0C8C"/>
    <w:rPr>
      <w:i/>
      <w:iCs/>
      <w:color w:val="0F4761" w:themeColor="accent1" w:themeShade="BF"/>
    </w:rPr>
  </w:style>
  <w:style w:type="paragraph" w:styleId="IntenseQuote">
    <w:name w:val="Intense Quote"/>
    <w:basedOn w:val="Normal"/>
    <w:next w:val="Normal"/>
    <w:link w:val="IntenseQuoteChar"/>
    <w:uiPriority w:val="30"/>
    <w:qFormat/>
    <w:rsid w:val="00DF0C8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F0C8C"/>
    <w:rPr>
      <w:i/>
      <w:iCs/>
      <w:color w:val="0F4761" w:themeColor="accent1" w:themeShade="BF"/>
    </w:rPr>
  </w:style>
  <w:style w:type="character" w:styleId="IntenseReference">
    <w:name w:val="Intense Reference"/>
    <w:basedOn w:val="DefaultParagraphFont"/>
    <w:uiPriority w:val="32"/>
    <w:qFormat/>
    <w:rsid w:val="00DF0C8C"/>
    <w:rPr>
      <w:b/>
      <w:bCs/>
      <w:smallCaps/>
      <w:color w:val="0F4761" w:themeColor="accent1" w:themeShade="BF"/>
      <w:spacing w:val="5"/>
    </w:rPr>
  </w:style>
  <w:style w:type="character" w:styleId="Hyperlink">
    <w:name w:val="Hyperlink"/>
    <w:basedOn w:val="DefaultParagraphFont"/>
    <w:uiPriority w:val="99"/>
    <w:unhideWhenUsed/>
    <w:rsid w:val="0098725A"/>
    <w:rPr>
      <w:color w:val="467886" w:themeColor="hyperlink"/>
      <w:u w:val="single"/>
    </w:rPr>
  </w:style>
  <w:style w:type="character" w:styleId="UnresolvedMention">
    <w:name w:val="Unresolved Mention"/>
    <w:basedOn w:val="DefaultParagraphFont"/>
    <w:uiPriority w:val="99"/>
    <w:semiHidden/>
    <w:unhideWhenUsed/>
    <w:rsid w:val="0098725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scolarship.law.duke.edu/faculty_scholarship/202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285</TotalTime>
  <Pages>4</Pages>
  <Words>1887</Words>
  <Characters>10762</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Bianca Moldoveanu</dc:creator>
  <cp:keywords/>
  <dc:description/>
  <cp:lastModifiedBy>Bianca Moldoveanu</cp:lastModifiedBy>
  <cp:revision>164</cp:revision>
  <dcterms:created xsi:type="dcterms:W3CDTF">2024-03-10T14:26:00Z</dcterms:created>
  <dcterms:modified xsi:type="dcterms:W3CDTF">2024-03-15T13:34:00Z</dcterms:modified>
</cp:coreProperties>
</file>