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5D640" w14:textId="25DFC444" w:rsidR="00346FA8" w:rsidRDefault="00346FA8" w:rsidP="00346FA8">
      <w:pPr>
        <w:spacing w:line="360" w:lineRule="auto"/>
        <w:rPr>
          <w:rFonts w:ascii="Arial" w:hAnsi="Arial"/>
          <w:sz w:val="22"/>
        </w:rPr>
      </w:pPr>
      <w:r>
        <w:rPr>
          <w:rFonts w:ascii="Arial" w:hAnsi="Arial"/>
          <w:noProof/>
          <w:sz w:val="22"/>
        </w:rPr>
        <w:drawing>
          <wp:anchor distT="0" distB="0" distL="114300" distR="114300" simplePos="0" relativeHeight="251659264" behindDoc="0" locked="0" layoutInCell="1" allowOverlap="1" wp14:anchorId="7AD60668" wp14:editId="7FC0BA17">
            <wp:simplePos x="0" y="0"/>
            <wp:positionH relativeFrom="column">
              <wp:posOffset>0</wp:posOffset>
            </wp:positionH>
            <wp:positionV relativeFrom="paragraph">
              <wp:posOffset>292095</wp:posOffset>
            </wp:positionV>
            <wp:extent cx="1809753" cy="723903"/>
            <wp:effectExtent l="0" t="0" r="0" b="0"/>
            <wp:wrapSquare wrapText="bothSides"/>
            <wp:docPr id="31108636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09753" cy="723903"/>
                    </a:xfrm>
                    <a:prstGeom prst="rect">
                      <a:avLst/>
                    </a:prstGeom>
                    <a:noFill/>
                    <a:ln>
                      <a:noFill/>
                      <a:prstDash/>
                    </a:ln>
                  </pic:spPr>
                </pic:pic>
              </a:graphicData>
            </a:graphic>
          </wp:anchor>
        </w:drawing>
      </w:r>
    </w:p>
    <w:p w14:paraId="43892785" w14:textId="77777777" w:rsidR="00346FA8" w:rsidRDefault="00346FA8" w:rsidP="00346FA8">
      <w:pPr>
        <w:spacing w:line="360" w:lineRule="auto"/>
        <w:rPr>
          <w:rFonts w:ascii="Arial" w:hAnsi="Arial"/>
          <w:sz w:val="22"/>
        </w:rPr>
      </w:pPr>
    </w:p>
    <w:p w14:paraId="7FBE0416" w14:textId="77777777" w:rsidR="00346FA8" w:rsidRDefault="00346FA8" w:rsidP="00346FA8">
      <w:pPr>
        <w:spacing w:line="360" w:lineRule="auto"/>
        <w:rPr>
          <w:rFonts w:ascii="Arial" w:hAnsi="Arial"/>
          <w:sz w:val="22"/>
        </w:rPr>
      </w:pPr>
    </w:p>
    <w:p w14:paraId="37AFB9FA" w14:textId="77777777" w:rsidR="00346FA8" w:rsidRDefault="00346FA8" w:rsidP="00346FA8">
      <w:pPr>
        <w:tabs>
          <w:tab w:val="left" w:pos="6540"/>
        </w:tabs>
        <w:spacing w:line="360" w:lineRule="auto"/>
        <w:rPr>
          <w:rFonts w:ascii="Arial" w:hAnsi="Arial"/>
          <w:sz w:val="22"/>
        </w:rPr>
      </w:pPr>
    </w:p>
    <w:p w14:paraId="6B7E7A91" w14:textId="77777777" w:rsidR="00346FA8" w:rsidRDefault="00346FA8" w:rsidP="00346FA8">
      <w:pPr>
        <w:spacing w:line="276" w:lineRule="auto"/>
      </w:pPr>
      <w:r>
        <w:rPr>
          <w:rFonts w:ascii="Aptos" w:eastAsia="Aptos" w:hAnsi="Aptos" w:cs="Times New Roman"/>
          <w:b/>
          <w:bCs/>
          <w:kern w:val="3"/>
          <w:sz w:val="36"/>
          <w:szCs w:val="36"/>
        </w:rPr>
        <w:t>Student name</w:t>
      </w:r>
      <w:r>
        <w:rPr>
          <w:rFonts w:ascii="Aptos" w:eastAsia="Aptos" w:hAnsi="Aptos" w:cs="Times New Roman"/>
          <w:kern w:val="3"/>
          <w:sz w:val="36"/>
          <w:szCs w:val="36"/>
        </w:rPr>
        <w:t xml:space="preserve">: Tonye Emma Tikili  </w:t>
      </w:r>
    </w:p>
    <w:p w14:paraId="6E310934" w14:textId="77777777" w:rsidR="00346FA8" w:rsidRDefault="00346FA8" w:rsidP="00346FA8">
      <w:pPr>
        <w:spacing w:line="276" w:lineRule="auto"/>
        <w:rPr>
          <w:rFonts w:ascii="Aptos" w:eastAsia="Aptos" w:hAnsi="Aptos" w:cs="Times New Roman"/>
          <w:b/>
          <w:bCs/>
          <w:kern w:val="3"/>
          <w:sz w:val="36"/>
          <w:szCs w:val="36"/>
        </w:rPr>
      </w:pPr>
    </w:p>
    <w:p w14:paraId="6A3B0BE5" w14:textId="77777777" w:rsidR="00346FA8" w:rsidRDefault="00346FA8" w:rsidP="00346FA8">
      <w:pPr>
        <w:spacing w:line="276" w:lineRule="auto"/>
      </w:pPr>
      <w:r>
        <w:rPr>
          <w:rFonts w:ascii="Aptos" w:eastAsia="Aptos" w:hAnsi="Aptos" w:cs="Times New Roman"/>
          <w:b/>
          <w:bCs/>
          <w:kern w:val="3"/>
          <w:sz w:val="36"/>
          <w:szCs w:val="36"/>
        </w:rPr>
        <w:t>Student ID</w:t>
      </w:r>
      <w:r>
        <w:rPr>
          <w:rFonts w:ascii="Aptos" w:eastAsia="Aptos" w:hAnsi="Aptos" w:cs="Times New Roman"/>
          <w:kern w:val="3"/>
          <w:sz w:val="36"/>
          <w:szCs w:val="36"/>
        </w:rPr>
        <w:t>: 2335476</w:t>
      </w:r>
    </w:p>
    <w:p w14:paraId="764441B4" w14:textId="77777777" w:rsidR="00346FA8" w:rsidRDefault="00346FA8" w:rsidP="00346FA8">
      <w:pPr>
        <w:spacing w:line="276" w:lineRule="auto"/>
        <w:rPr>
          <w:rFonts w:ascii="Aptos" w:eastAsia="Aptos" w:hAnsi="Aptos" w:cs="Times New Roman"/>
          <w:kern w:val="3"/>
          <w:sz w:val="36"/>
          <w:szCs w:val="36"/>
        </w:rPr>
      </w:pPr>
    </w:p>
    <w:p w14:paraId="33999DB6" w14:textId="6674B20F" w:rsidR="00346FA8" w:rsidRDefault="00346FA8" w:rsidP="00346FA8">
      <w:pPr>
        <w:spacing w:line="276" w:lineRule="auto"/>
        <w:rPr>
          <w:rFonts w:ascii="Aptos" w:eastAsia="Aptos" w:hAnsi="Aptos" w:cs="Times New Roman"/>
          <w:b/>
          <w:bCs/>
          <w:kern w:val="3"/>
          <w:sz w:val="36"/>
          <w:szCs w:val="36"/>
          <w:lang w:val="en-US"/>
        </w:rPr>
      </w:pPr>
      <w:r>
        <w:rPr>
          <w:rFonts w:ascii="Aptos" w:eastAsia="Aptos" w:hAnsi="Aptos" w:cs="Times New Roman"/>
          <w:b/>
          <w:bCs/>
          <w:kern w:val="3"/>
          <w:sz w:val="36"/>
          <w:szCs w:val="36"/>
        </w:rPr>
        <w:t>Module name</w:t>
      </w:r>
      <w:r>
        <w:rPr>
          <w:rFonts w:ascii="Aptos" w:eastAsia="Aptos" w:hAnsi="Aptos" w:cs="Times New Roman"/>
          <w:kern w:val="3"/>
          <w:sz w:val="36"/>
          <w:szCs w:val="36"/>
        </w:rPr>
        <w:t xml:space="preserve">: </w:t>
      </w:r>
      <w:r w:rsidR="001F6EC5" w:rsidRPr="001F6EC5">
        <w:rPr>
          <w:rFonts w:ascii="Aptos" w:eastAsia="Aptos" w:hAnsi="Aptos" w:cs="Times New Roman"/>
          <w:kern w:val="3"/>
          <w:sz w:val="36"/>
          <w:szCs w:val="36"/>
        </w:rPr>
        <w:t>Digital Transformation in the Health and Care Professions</w:t>
      </w:r>
    </w:p>
    <w:p w14:paraId="19428C6C" w14:textId="77777777" w:rsidR="00346FA8" w:rsidRDefault="00346FA8" w:rsidP="00346FA8">
      <w:pPr>
        <w:spacing w:line="276" w:lineRule="auto"/>
        <w:rPr>
          <w:rFonts w:ascii="Aptos" w:eastAsia="Aptos" w:hAnsi="Aptos" w:cs="Times New Roman"/>
          <w:b/>
          <w:bCs/>
          <w:kern w:val="3"/>
          <w:sz w:val="36"/>
          <w:szCs w:val="36"/>
          <w:lang w:val="en-US"/>
        </w:rPr>
      </w:pPr>
    </w:p>
    <w:p w14:paraId="27442AC2" w14:textId="3449914D" w:rsidR="00346FA8" w:rsidRDefault="00346FA8" w:rsidP="00346FA8">
      <w:pPr>
        <w:spacing w:line="276" w:lineRule="auto"/>
      </w:pPr>
      <w:r>
        <w:rPr>
          <w:rFonts w:ascii="Aptos" w:eastAsia="Aptos" w:hAnsi="Aptos" w:cs="Times New Roman"/>
          <w:b/>
          <w:bCs/>
          <w:kern w:val="3"/>
          <w:sz w:val="36"/>
          <w:szCs w:val="36"/>
          <w:lang w:val="en-US"/>
        </w:rPr>
        <w:t>Module code</w:t>
      </w:r>
      <w:r>
        <w:rPr>
          <w:rFonts w:ascii="Aptos" w:eastAsia="Aptos" w:hAnsi="Aptos" w:cs="Times New Roman"/>
          <w:kern w:val="3"/>
          <w:sz w:val="36"/>
          <w:szCs w:val="36"/>
          <w:lang w:val="en-US"/>
        </w:rPr>
        <w:t>:</w:t>
      </w:r>
      <w:r>
        <w:rPr>
          <w:rFonts w:ascii="Aptos" w:eastAsia="Aptos" w:hAnsi="Aptos" w:cs="Times New Roman"/>
          <w:kern w:val="3"/>
          <w:sz w:val="36"/>
          <w:szCs w:val="36"/>
        </w:rPr>
        <w:t xml:space="preserve"> </w:t>
      </w:r>
      <w:r w:rsidR="001F6EC5" w:rsidRPr="001F6EC5">
        <w:rPr>
          <w:rFonts w:ascii="Aptos" w:eastAsia="Aptos" w:hAnsi="Aptos" w:cs="Times New Roman"/>
          <w:kern w:val="3"/>
          <w:sz w:val="36"/>
          <w:szCs w:val="36"/>
        </w:rPr>
        <w:t>BMHP6026</w:t>
      </w:r>
    </w:p>
    <w:p w14:paraId="7D290D92" w14:textId="77777777" w:rsidR="00346FA8" w:rsidRDefault="00346FA8" w:rsidP="00346FA8">
      <w:pPr>
        <w:spacing w:line="276" w:lineRule="auto"/>
        <w:rPr>
          <w:rFonts w:ascii="Aptos" w:eastAsia="Aptos" w:hAnsi="Aptos" w:cs="Times New Roman"/>
          <w:b/>
          <w:bCs/>
          <w:kern w:val="3"/>
          <w:sz w:val="36"/>
          <w:szCs w:val="36"/>
          <w:lang w:val="en-US"/>
        </w:rPr>
      </w:pPr>
    </w:p>
    <w:p w14:paraId="2AFA839D" w14:textId="089D77C6" w:rsidR="00346FA8" w:rsidRDefault="00346FA8" w:rsidP="00346FA8">
      <w:pPr>
        <w:spacing w:line="276" w:lineRule="auto"/>
        <w:rPr>
          <w:rFonts w:ascii="Aptos" w:eastAsia="Aptos" w:hAnsi="Aptos" w:cs="Times New Roman"/>
          <w:kern w:val="3"/>
          <w:sz w:val="36"/>
          <w:szCs w:val="36"/>
          <w:lang w:val="en-US"/>
        </w:rPr>
      </w:pPr>
      <w:r>
        <w:rPr>
          <w:rFonts w:ascii="Aptos" w:eastAsia="Aptos" w:hAnsi="Aptos" w:cs="Times New Roman"/>
          <w:b/>
          <w:bCs/>
          <w:kern w:val="3"/>
          <w:sz w:val="36"/>
          <w:szCs w:val="36"/>
          <w:lang w:val="en-US"/>
        </w:rPr>
        <w:t>Lecturer’s name</w:t>
      </w:r>
      <w:r>
        <w:rPr>
          <w:rFonts w:ascii="Aptos" w:eastAsia="Aptos" w:hAnsi="Aptos" w:cs="Times New Roman"/>
          <w:kern w:val="3"/>
          <w:sz w:val="36"/>
          <w:szCs w:val="36"/>
          <w:lang w:val="en-US"/>
        </w:rPr>
        <w:t xml:space="preserve">: </w:t>
      </w:r>
      <w:r w:rsidR="00E17E64">
        <w:rPr>
          <w:rFonts w:ascii="Aptos" w:eastAsia="Aptos" w:hAnsi="Aptos" w:cs="Times New Roman"/>
          <w:kern w:val="3"/>
          <w:sz w:val="36"/>
          <w:szCs w:val="36"/>
          <w:lang w:val="en-US"/>
        </w:rPr>
        <w:t>Ping Wu</w:t>
      </w:r>
    </w:p>
    <w:p w14:paraId="6797F553" w14:textId="77777777" w:rsidR="00346FA8" w:rsidRDefault="00346FA8" w:rsidP="00346FA8">
      <w:pPr>
        <w:spacing w:line="276" w:lineRule="auto"/>
      </w:pPr>
    </w:p>
    <w:p w14:paraId="4BAB6272" w14:textId="77777777" w:rsidR="00346FA8" w:rsidRDefault="00346FA8" w:rsidP="00346FA8">
      <w:pPr>
        <w:spacing w:line="276" w:lineRule="auto"/>
        <w:rPr>
          <w:rFonts w:ascii="Aptos" w:eastAsia="Aptos" w:hAnsi="Aptos" w:cs="Times New Roman"/>
          <w:kern w:val="3"/>
        </w:rPr>
      </w:pPr>
    </w:p>
    <w:p w14:paraId="08EC7B78" w14:textId="77777777" w:rsidR="00346FA8" w:rsidRDefault="00346FA8" w:rsidP="00346FA8">
      <w:pPr>
        <w:tabs>
          <w:tab w:val="left" w:pos="6540"/>
        </w:tabs>
        <w:spacing w:line="360" w:lineRule="auto"/>
        <w:rPr>
          <w:rFonts w:ascii="Arial" w:hAnsi="Arial"/>
          <w:sz w:val="22"/>
        </w:rPr>
      </w:pPr>
    </w:p>
    <w:p w14:paraId="73496C14"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62C43206"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1BC00CA3"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31B197BE"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0517154A"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61987360"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308F0C42" w14:textId="77777777" w:rsidR="00346FA8" w:rsidRDefault="00346FA8" w:rsidP="00346FA8">
      <w:pPr>
        <w:spacing w:after="150" w:line="276" w:lineRule="auto"/>
        <w:jc w:val="both"/>
        <w:rPr>
          <w:rFonts w:ascii="Arial" w:eastAsia="Times New Roman" w:hAnsi="Arial" w:cs="Arial"/>
          <w:b/>
          <w:bCs/>
          <w:color w:val="1F1F1F"/>
          <w:kern w:val="0"/>
          <w:sz w:val="22"/>
          <w:szCs w:val="22"/>
          <w:lang w:eastAsia="en-GB"/>
          <w14:ligatures w14:val="none"/>
        </w:rPr>
      </w:pPr>
    </w:p>
    <w:p w14:paraId="7E91A90E" w14:textId="45E27324" w:rsidR="00E642D9" w:rsidRPr="00345849" w:rsidRDefault="00345849" w:rsidP="00E642D9">
      <w:r w:rsidRPr="00345849">
        <w:t xml:space="preserve">                                    I acknowledge that I did not use AI to do my work</w:t>
      </w:r>
      <w:r>
        <w:t>.</w:t>
      </w:r>
    </w:p>
    <w:sdt>
      <w:sdtPr>
        <w:rPr>
          <w:rFonts w:asciiTheme="minorHAnsi" w:eastAsiaTheme="minorHAnsi" w:hAnsiTheme="minorHAnsi" w:cstheme="minorBidi"/>
          <w:color w:val="auto"/>
          <w:kern w:val="2"/>
          <w:sz w:val="24"/>
          <w:szCs w:val="24"/>
          <w:lang w:val="en-GB"/>
          <w14:ligatures w14:val="standardContextual"/>
        </w:rPr>
        <w:id w:val="1713147773"/>
        <w:docPartObj>
          <w:docPartGallery w:val="Table of Contents"/>
          <w:docPartUnique/>
        </w:docPartObj>
      </w:sdtPr>
      <w:sdtEndPr>
        <w:rPr>
          <w:b/>
          <w:bCs/>
          <w:noProof/>
        </w:rPr>
      </w:sdtEndPr>
      <w:sdtContent>
        <w:p w14:paraId="16B40C5F" w14:textId="4D2B0BDE" w:rsidR="001D6EB1" w:rsidRDefault="001D6EB1">
          <w:pPr>
            <w:pStyle w:val="TOCHeading"/>
          </w:pPr>
          <w:r>
            <w:t>Contents</w:t>
          </w:r>
        </w:p>
        <w:p w14:paraId="0CAECA35" w14:textId="701A5770" w:rsidR="00E656A9" w:rsidRDefault="001D6EB1">
          <w:pPr>
            <w:pStyle w:val="TOC1"/>
            <w:tabs>
              <w:tab w:val="right" w:leader="dot" w:pos="9016"/>
            </w:tabs>
            <w:rPr>
              <w:noProof/>
            </w:rPr>
          </w:pPr>
          <w:r>
            <w:fldChar w:fldCharType="begin"/>
          </w:r>
          <w:r>
            <w:instrText xml:space="preserve"> TOC \o "1-3" \h \z \u </w:instrText>
          </w:r>
          <w:r>
            <w:fldChar w:fldCharType="separate"/>
          </w:r>
          <w:hyperlink w:anchor="_Toc234191541" w:history="1">
            <w:r w:rsidR="00E656A9" w:rsidRPr="006B32E8">
              <w:rPr>
                <w:rStyle w:val="Hyperlink"/>
                <w:noProof/>
              </w:rPr>
              <w:t>INTRODUCTION</w:t>
            </w:r>
            <w:r w:rsidR="00E656A9">
              <w:rPr>
                <w:noProof/>
                <w:webHidden/>
              </w:rPr>
              <w:tab/>
            </w:r>
            <w:r w:rsidR="00E656A9">
              <w:rPr>
                <w:noProof/>
                <w:webHidden/>
              </w:rPr>
              <w:fldChar w:fldCharType="begin"/>
            </w:r>
            <w:r w:rsidR="00E656A9">
              <w:rPr>
                <w:noProof/>
                <w:webHidden/>
              </w:rPr>
              <w:instrText xml:space="preserve"> PAGEREF _Toc234191541 \h </w:instrText>
            </w:r>
            <w:r w:rsidR="00E656A9">
              <w:rPr>
                <w:noProof/>
                <w:webHidden/>
              </w:rPr>
            </w:r>
            <w:r w:rsidR="00E656A9">
              <w:rPr>
                <w:noProof/>
                <w:webHidden/>
              </w:rPr>
              <w:fldChar w:fldCharType="separate"/>
            </w:r>
            <w:r w:rsidR="00E656A9">
              <w:rPr>
                <w:noProof/>
                <w:webHidden/>
              </w:rPr>
              <w:t>3</w:t>
            </w:r>
            <w:r w:rsidR="00E656A9">
              <w:rPr>
                <w:noProof/>
                <w:webHidden/>
              </w:rPr>
              <w:fldChar w:fldCharType="end"/>
            </w:r>
          </w:hyperlink>
        </w:p>
        <w:p w14:paraId="289011E5" w14:textId="3F2FC3DF" w:rsidR="00E656A9" w:rsidRDefault="00E656A9">
          <w:pPr>
            <w:pStyle w:val="TOC1"/>
            <w:tabs>
              <w:tab w:val="right" w:leader="dot" w:pos="9016"/>
            </w:tabs>
            <w:rPr>
              <w:noProof/>
            </w:rPr>
          </w:pPr>
          <w:hyperlink w:anchor="_Toc234191542" w:history="1">
            <w:r w:rsidRPr="006B32E8">
              <w:rPr>
                <w:rStyle w:val="Hyperlink"/>
                <w:noProof/>
              </w:rPr>
              <w:t>IMPACT ON WORKFORCE</w:t>
            </w:r>
            <w:r>
              <w:rPr>
                <w:noProof/>
                <w:webHidden/>
              </w:rPr>
              <w:tab/>
            </w:r>
            <w:r>
              <w:rPr>
                <w:noProof/>
                <w:webHidden/>
              </w:rPr>
              <w:fldChar w:fldCharType="begin"/>
            </w:r>
            <w:r>
              <w:rPr>
                <w:noProof/>
                <w:webHidden/>
              </w:rPr>
              <w:instrText xml:space="preserve"> PAGEREF _Toc234191542 \h </w:instrText>
            </w:r>
            <w:r>
              <w:rPr>
                <w:noProof/>
                <w:webHidden/>
              </w:rPr>
            </w:r>
            <w:r>
              <w:rPr>
                <w:noProof/>
                <w:webHidden/>
              </w:rPr>
              <w:fldChar w:fldCharType="separate"/>
            </w:r>
            <w:r>
              <w:rPr>
                <w:noProof/>
                <w:webHidden/>
              </w:rPr>
              <w:t>4</w:t>
            </w:r>
            <w:r>
              <w:rPr>
                <w:noProof/>
                <w:webHidden/>
              </w:rPr>
              <w:fldChar w:fldCharType="end"/>
            </w:r>
          </w:hyperlink>
        </w:p>
        <w:p w14:paraId="3A0B5256" w14:textId="33D93F65" w:rsidR="00E656A9" w:rsidRDefault="00E656A9">
          <w:pPr>
            <w:pStyle w:val="TOC2"/>
            <w:tabs>
              <w:tab w:val="right" w:leader="dot" w:pos="9016"/>
            </w:tabs>
            <w:rPr>
              <w:rFonts w:eastAsiaTheme="minorEastAsia"/>
              <w:noProof/>
              <w:lang w:eastAsia="en-GB"/>
            </w:rPr>
          </w:pPr>
          <w:hyperlink w:anchor="_Toc234191543" w:history="1">
            <w:r w:rsidRPr="006B32E8">
              <w:rPr>
                <w:rStyle w:val="Hyperlink"/>
                <w:noProof/>
              </w:rPr>
              <w:t>Reconfiguration of Roles and Work Activity</w:t>
            </w:r>
            <w:r>
              <w:rPr>
                <w:noProof/>
                <w:webHidden/>
              </w:rPr>
              <w:tab/>
            </w:r>
            <w:r>
              <w:rPr>
                <w:noProof/>
                <w:webHidden/>
              </w:rPr>
              <w:fldChar w:fldCharType="begin"/>
            </w:r>
            <w:r>
              <w:rPr>
                <w:noProof/>
                <w:webHidden/>
              </w:rPr>
              <w:instrText xml:space="preserve"> PAGEREF _Toc234191543 \h </w:instrText>
            </w:r>
            <w:r>
              <w:rPr>
                <w:noProof/>
                <w:webHidden/>
              </w:rPr>
            </w:r>
            <w:r>
              <w:rPr>
                <w:noProof/>
                <w:webHidden/>
              </w:rPr>
              <w:fldChar w:fldCharType="separate"/>
            </w:r>
            <w:r>
              <w:rPr>
                <w:noProof/>
                <w:webHidden/>
              </w:rPr>
              <w:t>4</w:t>
            </w:r>
            <w:r>
              <w:rPr>
                <w:noProof/>
                <w:webHidden/>
              </w:rPr>
              <w:fldChar w:fldCharType="end"/>
            </w:r>
          </w:hyperlink>
        </w:p>
        <w:p w14:paraId="5F628668" w14:textId="36FCC83E" w:rsidR="00E656A9" w:rsidRDefault="00E656A9">
          <w:pPr>
            <w:pStyle w:val="TOC2"/>
            <w:tabs>
              <w:tab w:val="right" w:leader="dot" w:pos="9016"/>
            </w:tabs>
            <w:rPr>
              <w:rFonts w:eastAsiaTheme="minorEastAsia"/>
              <w:noProof/>
              <w:lang w:eastAsia="en-GB"/>
            </w:rPr>
          </w:pPr>
          <w:hyperlink w:anchor="_Toc234191544" w:history="1">
            <w:r w:rsidRPr="006B32E8">
              <w:rPr>
                <w:rStyle w:val="Hyperlink"/>
                <w:noProof/>
              </w:rPr>
              <w:t>A Shift in Clinical Competence and the Digital Gaze</w:t>
            </w:r>
            <w:r>
              <w:rPr>
                <w:noProof/>
                <w:webHidden/>
              </w:rPr>
              <w:tab/>
            </w:r>
            <w:r>
              <w:rPr>
                <w:noProof/>
                <w:webHidden/>
              </w:rPr>
              <w:fldChar w:fldCharType="begin"/>
            </w:r>
            <w:r>
              <w:rPr>
                <w:noProof/>
                <w:webHidden/>
              </w:rPr>
              <w:instrText xml:space="preserve"> PAGEREF _Toc234191544 \h </w:instrText>
            </w:r>
            <w:r>
              <w:rPr>
                <w:noProof/>
                <w:webHidden/>
              </w:rPr>
            </w:r>
            <w:r>
              <w:rPr>
                <w:noProof/>
                <w:webHidden/>
              </w:rPr>
              <w:fldChar w:fldCharType="separate"/>
            </w:r>
            <w:r>
              <w:rPr>
                <w:noProof/>
                <w:webHidden/>
              </w:rPr>
              <w:t>4</w:t>
            </w:r>
            <w:r>
              <w:rPr>
                <w:noProof/>
                <w:webHidden/>
              </w:rPr>
              <w:fldChar w:fldCharType="end"/>
            </w:r>
          </w:hyperlink>
        </w:p>
        <w:p w14:paraId="61CB2377" w14:textId="3CB65EF4" w:rsidR="00E656A9" w:rsidRDefault="00E656A9">
          <w:pPr>
            <w:pStyle w:val="TOC2"/>
            <w:tabs>
              <w:tab w:val="right" w:leader="dot" w:pos="9016"/>
            </w:tabs>
            <w:rPr>
              <w:rFonts w:eastAsiaTheme="minorEastAsia"/>
              <w:noProof/>
              <w:lang w:eastAsia="en-GB"/>
            </w:rPr>
          </w:pPr>
          <w:hyperlink w:anchor="_Toc234191545" w:history="1">
            <w:r w:rsidRPr="006B32E8">
              <w:rPr>
                <w:rStyle w:val="Hyperlink"/>
                <w:noProof/>
              </w:rPr>
              <w:t>Cognitive Load, Isolation and Work-Related Stress</w:t>
            </w:r>
            <w:r>
              <w:rPr>
                <w:noProof/>
                <w:webHidden/>
              </w:rPr>
              <w:tab/>
            </w:r>
            <w:r>
              <w:rPr>
                <w:noProof/>
                <w:webHidden/>
              </w:rPr>
              <w:fldChar w:fldCharType="begin"/>
            </w:r>
            <w:r>
              <w:rPr>
                <w:noProof/>
                <w:webHidden/>
              </w:rPr>
              <w:instrText xml:space="preserve"> PAGEREF _Toc234191545 \h </w:instrText>
            </w:r>
            <w:r>
              <w:rPr>
                <w:noProof/>
                <w:webHidden/>
              </w:rPr>
            </w:r>
            <w:r>
              <w:rPr>
                <w:noProof/>
                <w:webHidden/>
              </w:rPr>
              <w:fldChar w:fldCharType="separate"/>
            </w:r>
            <w:r>
              <w:rPr>
                <w:noProof/>
                <w:webHidden/>
              </w:rPr>
              <w:t>5</w:t>
            </w:r>
            <w:r>
              <w:rPr>
                <w:noProof/>
                <w:webHidden/>
              </w:rPr>
              <w:fldChar w:fldCharType="end"/>
            </w:r>
          </w:hyperlink>
        </w:p>
        <w:p w14:paraId="491C6459" w14:textId="414DBCE6" w:rsidR="00E656A9" w:rsidRDefault="00E656A9">
          <w:pPr>
            <w:pStyle w:val="TOC1"/>
            <w:tabs>
              <w:tab w:val="right" w:leader="dot" w:pos="9016"/>
            </w:tabs>
            <w:rPr>
              <w:noProof/>
            </w:rPr>
          </w:pPr>
          <w:hyperlink w:anchor="_Toc234191546" w:history="1">
            <w:r w:rsidRPr="006B32E8">
              <w:rPr>
                <w:rStyle w:val="Hyperlink"/>
                <w:noProof/>
              </w:rPr>
              <w:t>IMPACT ON SERVICE DELIVERY</w:t>
            </w:r>
            <w:r>
              <w:rPr>
                <w:noProof/>
                <w:webHidden/>
              </w:rPr>
              <w:tab/>
            </w:r>
            <w:r>
              <w:rPr>
                <w:noProof/>
                <w:webHidden/>
              </w:rPr>
              <w:fldChar w:fldCharType="begin"/>
            </w:r>
            <w:r>
              <w:rPr>
                <w:noProof/>
                <w:webHidden/>
              </w:rPr>
              <w:instrText xml:space="preserve"> PAGEREF _Toc234191546 \h </w:instrText>
            </w:r>
            <w:r>
              <w:rPr>
                <w:noProof/>
                <w:webHidden/>
              </w:rPr>
            </w:r>
            <w:r>
              <w:rPr>
                <w:noProof/>
                <w:webHidden/>
              </w:rPr>
              <w:fldChar w:fldCharType="separate"/>
            </w:r>
            <w:r>
              <w:rPr>
                <w:noProof/>
                <w:webHidden/>
              </w:rPr>
              <w:t>5</w:t>
            </w:r>
            <w:r>
              <w:rPr>
                <w:noProof/>
                <w:webHidden/>
              </w:rPr>
              <w:fldChar w:fldCharType="end"/>
            </w:r>
          </w:hyperlink>
        </w:p>
        <w:p w14:paraId="6142752F" w14:textId="717FC255" w:rsidR="00E656A9" w:rsidRDefault="00E656A9">
          <w:pPr>
            <w:pStyle w:val="TOC3"/>
            <w:tabs>
              <w:tab w:val="right" w:leader="dot" w:pos="9016"/>
            </w:tabs>
            <w:rPr>
              <w:rFonts w:eastAsiaTheme="minorEastAsia"/>
              <w:noProof/>
              <w:lang w:eastAsia="en-GB"/>
            </w:rPr>
          </w:pPr>
          <w:hyperlink w:anchor="_Toc234191547" w:history="1">
            <w:r w:rsidRPr="006B32E8">
              <w:rPr>
                <w:rStyle w:val="Hyperlink"/>
                <w:rFonts w:eastAsia="Times New Roman"/>
                <w:noProof/>
                <w:lang w:eastAsia="en-GB"/>
              </w:rPr>
              <w:t>Table 1:</w:t>
            </w:r>
            <w:r>
              <w:rPr>
                <w:noProof/>
                <w:webHidden/>
              </w:rPr>
              <w:tab/>
            </w:r>
            <w:r>
              <w:rPr>
                <w:noProof/>
                <w:webHidden/>
              </w:rPr>
              <w:fldChar w:fldCharType="begin"/>
            </w:r>
            <w:r>
              <w:rPr>
                <w:noProof/>
                <w:webHidden/>
              </w:rPr>
              <w:instrText xml:space="preserve"> PAGEREF _Toc234191547 \h </w:instrText>
            </w:r>
            <w:r>
              <w:rPr>
                <w:noProof/>
                <w:webHidden/>
              </w:rPr>
            </w:r>
            <w:r>
              <w:rPr>
                <w:noProof/>
                <w:webHidden/>
              </w:rPr>
              <w:fldChar w:fldCharType="separate"/>
            </w:r>
            <w:r>
              <w:rPr>
                <w:noProof/>
                <w:webHidden/>
              </w:rPr>
              <w:t>5</w:t>
            </w:r>
            <w:r>
              <w:rPr>
                <w:noProof/>
                <w:webHidden/>
              </w:rPr>
              <w:fldChar w:fldCharType="end"/>
            </w:r>
          </w:hyperlink>
        </w:p>
        <w:p w14:paraId="4D967785" w14:textId="7057B119" w:rsidR="00E656A9" w:rsidRDefault="00E656A9">
          <w:pPr>
            <w:pStyle w:val="TOC3"/>
            <w:tabs>
              <w:tab w:val="right" w:leader="dot" w:pos="9016"/>
            </w:tabs>
            <w:rPr>
              <w:rFonts w:eastAsiaTheme="minorEastAsia"/>
              <w:noProof/>
              <w:lang w:eastAsia="en-GB"/>
            </w:rPr>
          </w:pPr>
          <w:hyperlink w:anchor="_Toc234191548" w:history="1">
            <w:r w:rsidRPr="006B32E8">
              <w:rPr>
                <w:rStyle w:val="Hyperlink"/>
                <w:rFonts w:ascii="Arial" w:eastAsia="Times New Roman" w:hAnsi="Arial" w:cs="Arial"/>
                <w:noProof/>
                <w:kern w:val="0"/>
                <w:lang w:eastAsia="en-GB"/>
                <w14:ligatures w14:val="none"/>
              </w:rPr>
              <w:t>Table 1: Showing the comparative difference between the Traditional Model and the Telemedicine / Virtual First Model.</w:t>
            </w:r>
            <w:r>
              <w:rPr>
                <w:noProof/>
                <w:webHidden/>
              </w:rPr>
              <w:tab/>
            </w:r>
            <w:r>
              <w:rPr>
                <w:noProof/>
                <w:webHidden/>
              </w:rPr>
              <w:fldChar w:fldCharType="begin"/>
            </w:r>
            <w:r>
              <w:rPr>
                <w:noProof/>
                <w:webHidden/>
              </w:rPr>
              <w:instrText xml:space="preserve"> PAGEREF _Toc234191548 \h </w:instrText>
            </w:r>
            <w:r>
              <w:rPr>
                <w:noProof/>
                <w:webHidden/>
              </w:rPr>
            </w:r>
            <w:r>
              <w:rPr>
                <w:noProof/>
                <w:webHidden/>
              </w:rPr>
              <w:fldChar w:fldCharType="separate"/>
            </w:r>
            <w:r>
              <w:rPr>
                <w:noProof/>
                <w:webHidden/>
              </w:rPr>
              <w:t>6</w:t>
            </w:r>
            <w:r>
              <w:rPr>
                <w:noProof/>
                <w:webHidden/>
              </w:rPr>
              <w:fldChar w:fldCharType="end"/>
            </w:r>
          </w:hyperlink>
        </w:p>
        <w:p w14:paraId="2074154A" w14:textId="399DAB1A" w:rsidR="00E656A9" w:rsidRDefault="00E656A9">
          <w:pPr>
            <w:pStyle w:val="TOC2"/>
            <w:tabs>
              <w:tab w:val="right" w:leader="dot" w:pos="9016"/>
            </w:tabs>
            <w:rPr>
              <w:rFonts w:eastAsiaTheme="minorEastAsia"/>
              <w:noProof/>
              <w:lang w:eastAsia="en-GB"/>
            </w:rPr>
          </w:pPr>
          <w:hyperlink w:anchor="_Toc234191549" w:history="1">
            <w:r w:rsidR="00327858">
              <w:rPr>
                <w:rStyle w:val="Hyperlink"/>
                <w:noProof/>
              </w:rPr>
              <w:t>Operational Efficiencies and Capacity Optimisation</w:t>
            </w:r>
            <w:r w:rsidR="00327858">
              <w:rPr>
                <w:rStyle w:val="Hyperlink"/>
                <w:noProof/>
              </w:rPr>
              <w:tab/>
              <w:t>6</w:t>
            </w:r>
          </w:hyperlink>
        </w:p>
        <w:p w14:paraId="206187E9" w14:textId="4490D116" w:rsidR="00E656A9" w:rsidRDefault="00E656A9">
          <w:pPr>
            <w:pStyle w:val="TOC2"/>
            <w:tabs>
              <w:tab w:val="right" w:leader="dot" w:pos="9016"/>
            </w:tabs>
            <w:rPr>
              <w:rFonts w:eastAsiaTheme="minorEastAsia"/>
              <w:noProof/>
              <w:lang w:eastAsia="en-GB"/>
            </w:rPr>
          </w:pPr>
          <w:hyperlink w:anchor="_Toc234191550" w:history="1">
            <w:r w:rsidRPr="006B32E8">
              <w:rPr>
                <w:rStyle w:val="Hyperlink"/>
                <w:noProof/>
              </w:rPr>
              <w:t>Digital Demand &amp; System Friction</w:t>
            </w:r>
            <w:r>
              <w:rPr>
                <w:noProof/>
                <w:webHidden/>
              </w:rPr>
              <w:tab/>
            </w:r>
            <w:r>
              <w:rPr>
                <w:noProof/>
                <w:webHidden/>
              </w:rPr>
              <w:fldChar w:fldCharType="begin"/>
            </w:r>
            <w:r>
              <w:rPr>
                <w:noProof/>
                <w:webHidden/>
              </w:rPr>
              <w:instrText xml:space="preserve"> PAGEREF _Toc234191550 \h </w:instrText>
            </w:r>
            <w:r>
              <w:rPr>
                <w:noProof/>
                <w:webHidden/>
              </w:rPr>
            </w:r>
            <w:r>
              <w:rPr>
                <w:noProof/>
                <w:webHidden/>
              </w:rPr>
              <w:fldChar w:fldCharType="separate"/>
            </w:r>
            <w:r>
              <w:rPr>
                <w:noProof/>
                <w:webHidden/>
              </w:rPr>
              <w:t>6</w:t>
            </w:r>
            <w:r>
              <w:rPr>
                <w:noProof/>
                <w:webHidden/>
              </w:rPr>
              <w:fldChar w:fldCharType="end"/>
            </w:r>
          </w:hyperlink>
        </w:p>
        <w:p w14:paraId="58A7A8D2" w14:textId="0269FF7F" w:rsidR="00E656A9" w:rsidRDefault="00E656A9">
          <w:pPr>
            <w:pStyle w:val="TOC1"/>
            <w:tabs>
              <w:tab w:val="right" w:leader="dot" w:pos="9016"/>
            </w:tabs>
            <w:rPr>
              <w:noProof/>
            </w:rPr>
          </w:pPr>
          <w:hyperlink w:anchor="_Toc234191551" w:history="1">
            <w:r w:rsidRPr="006B32E8">
              <w:rPr>
                <w:rStyle w:val="Hyperlink"/>
                <w:noProof/>
              </w:rPr>
              <w:t>EFFECTS ON PATIENTS AND SERVICE USERS</w:t>
            </w:r>
            <w:r>
              <w:rPr>
                <w:noProof/>
                <w:webHidden/>
              </w:rPr>
              <w:tab/>
            </w:r>
            <w:r>
              <w:rPr>
                <w:noProof/>
                <w:webHidden/>
              </w:rPr>
              <w:fldChar w:fldCharType="begin"/>
            </w:r>
            <w:r>
              <w:rPr>
                <w:noProof/>
                <w:webHidden/>
              </w:rPr>
              <w:instrText xml:space="preserve"> PAGEREF _Toc234191551 \h </w:instrText>
            </w:r>
            <w:r>
              <w:rPr>
                <w:noProof/>
                <w:webHidden/>
              </w:rPr>
            </w:r>
            <w:r>
              <w:rPr>
                <w:noProof/>
                <w:webHidden/>
              </w:rPr>
              <w:fldChar w:fldCharType="separate"/>
            </w:r>
            <w:r>
              <w:rPr>
                <w:noProof/>
                <w:webHidden/>
              </w:rPr>
              <w:t>7</w:t>
            </w:r>
            <w:r>
              <w:rPr>
                <w:noProof/>
                <w:webHidden/>
              </w:rPr>
              <w:fldChar w:fldCharType="end"/>
            </w:r>
          </w:hyperlink>
        </w:p>
        <w:p w14:paraId="33045C74" w14:textId="1495E270" w:rsidR="00E656A9" w:rsidRDefault="00E656A9">
          <w:pPr>
            <w:pStyle w:val="TOC2"/>
            <w:tabs>
              <w:tab w:val="right" w:leader="dot" w:pos="9016"/>
            </w:tabs>
            <w:rPr>
              <w:rFonts w:eastAsiaTheme="minorEastAsia"/>
              <w:noProof/>
              <w:lang w:eastAsia="en-GB"/>
            </w:rPr>
          </w:pPr>
          <w:hyperlink w:anchor="_Toc234191552" w:history="1">
            <w:r w:rsidRPr="006B32E8">
              <w:rPr>
                <w:rStyle w:val="Hyperlink"/>
                <w:noProof/>
              </w:rPr>
              <w:t>Convenience, Autonomy, and Patient Satisfaction</w:t>
            </w:r>
            <w:r>
              <w:rPr>
                <w:noProof/>
                <w:webHidden/>
              </w:rPr>
              <w:tab/>
            </w:r>
            <w:r>
              <w:rPr>
                <w:noProof/>
                <w:webHidden/>
              </w:rPr>
              <w:fldChar w:fldCharType="begin"/>
            </w:r>
            <w:r>
              <w:rPr>
                <w:noProof/>
                <w:webHidden/>
              </w:rPr>
              <w:instrText xml:space="preserve"> PAGEREF _Toc234191552 \h </w:instrText>
            </w:r>
            <w:r>
              <w:rPr>
                <w:noProof/>
                <w:webHidden/>
              </w:rPr>
            </w:r>
            <w:r>
              <w:rPr>
                <w:noProof/>
                <w:webHidden/>
              </w:rPr>
              <w:fldChar w:fldCharType="separate"/>
            </w:r>
            <w:r>
              <w:rPr>
                <w:noProof/>
                <w:webHidden/>
              </w:rPr>
              <w:t>7</w:t>
            </w:r>
            <w:r>
              <w:rPr>
                <w:noProof/>
                <w:webHidden/>
              </w:rPr>
              <w:fldChar w:fldCharType="end"/>
            </w:r>
          </w:hyperlink>
        </w:p>
        <w:p w14:paraId="495B91A7" w14:textId="47DE76B8" w:rsidR="00E656A9" w:rsidRDefault="00E656A9">
          <w:pPr>
            <w:pStyle w:val="TOC2"/>
            <w:tabs>
              <w:tab w:val="right" w:leader="dot" w:pos="9016"/>
            </w:tabs>
            <w:rPr>
              <w:rFonts w:eastAsiaTheme="minorEastAsia"/>
              <w:noProof/>
              <w:lang w:eastAsia="en-GB"/>
            </w:rPr>
          </w:pPr>
          <w:hyperlink w:anchor="_Toc234191553" w:history="1">
            <w:r w:rsidRPr="006B32E8">
              <w:rPr>
                <w:rStyle w:val="Hyperlink"/>
                <w:noProof/>
              </w:rPr>
              <w:t>Decline of the Healing Presence and The Transactional Shift</w:t>
            </w:r>
            <w:r>
              <w:rPr>
                <w:noProof/>
                <w:webHidden/>
              </w:rPr>
              <w:tab/>
            </w:r>
            <w:r>
              <w:rPr>
                <w:noProof/>
                <w:webHidden/>
              </w:rPr>
              <w:fldChar w:fldCharType="begin"/>
            </w:r>
            <w:r>
              <w:rPr>
                <w:noProof/>
                <w:webHidden/>
              </w:rPr>
              <w:instrText xml:space="preserve"> PAGEREF _Toc234191553 \h </w:instrText>
            </w:r>
            <w:r>
              <w:rPr>
                <w:noProof/>
                <w:webHidden/>
              </w:rPr>
            </w:r>
            <w:r>
              <w:rPr>
                <w:noProof/>
                <w:webHidden/>
              </w:rPr>
              <w:fldChar w:fldCharType="separate"/>
            </w:r>
            <w:r>
              <w:rPr>
                <w:noProof/>
                <w:webHidden/>
              </w:rPr>
              <w:t>7</w:t>
            </w:r>
            <w:r>
              <w:rPr>
                <w:noProof/>
                <w:webHidden/>
              </w:rPr>
              <w:fldChar w:fldCharType="end"/>
            </w:r>
          </w:hyperlink>
        </w:p>
        <w:p w14:paraId="58EF8065" w14:textId="2D22B332" w:rsidR="00E656A9" w:rsidRDefault="00E656A9">
          <w:pPr>
            <w:pStyle w:val="TOC1"/>
            <w:tabs>
              <w:tab w:val="right" w:leader="dot" w:pos="9016"/>
            </w:tabs>
            <w:rPr>
              <w:noProof/>
            </w:rPr>
          </w:pPr>
          <w:hyperlink w:anchor="_Toc234191554" w:history="1">
            <w:r w:rsidRPr="006B32E8">
              <w:rPr>
                <w:rStyle w:val="Hyperlink"/>
                <w:noProof/>
              </w:rPr>
              <w:t>IMPACT ON COMMUNITY</w:t>
            </w:r>
            <w:r>
              <w:rPr>
                <w:noProof/>
                <w:webHidden/>
              </w:rPr>
              <w:tab/>
            </w:r>
            <w:r>
              <w:rPr>
                <w:noProof/>
                <w:webHidden/>
              </w:rPr>
              <w:fldChar w:fldCharType="begin"/>
            </w:r>
            <w:r>
              <w:rPr>
                <w:noProof/>
                <w:webHidden/>
              </w:rPr>
              <w:instrText xml:space="preserve"> PAGEREF _Toc234191554 \h </w:instrText>
            </w:r>
            <w:r>
              <w:rPr>
                <w:noProof/>
                <w:webHidden/>
              </w:rPr>
            </w:r>
            <w:r>
              <w:rPr>
                <w:noProof/>
                <w:webHidden/>
              </w:rPr>
              <w:fldChar w:fldCharType="separate"/>
            </w:r>
            <w:r>
              <w:rPr>
                <w:noProof/>
                <w:webHidden/>
              </w:rPr>
              <w:t>8</w:t>
            </w:r>
            <w:r>
              <w:rPr>
                <w:noProof/>
                <w:webHidden/>
              </w:rPr>
              <w:fldChar w:fldCharType="end"/>
            </w:r>
          </w:hyperlink>
        </w:p>
        <w:p w14:paraId="771D7C87" w14:textId="117EFFB2" w:rsidR="00E656A9" w:rsidRDefault="00E656A9">
          <w:pPr>
            <w:pStyle w:val="TOC2"/>
            <w:tabs>
              <w:tab w:val="right" w:leader="dot" w:pos="9016"/>
            </w:tabs>
            <w:rPr>
              <w:rFonts w:eastAsiaTheme="minorEastAsia"/>
              <w:noProof/>
              <w:lang w:eastAsia="en-GB"/>
            </w:rPr>
          </w:pPr>
          <w:hyperlink w:anchor="_Toc234191555" w:history="1">
            <w:r w:rsidRPr="006B32E8">
              <w:rPr>
                <w:rStyle w:val="Hyperlink"/>
                <w:noProof/>
              </w:rPr>
              <w:t>Health Inequalities and the Digital Divide</w:t>
            </w:r>
            <w:r>
              <w:rPr>
                <w:noProof/>
                <w:webHidden/>
              </w:rPr>
              <w:tab/>
            </w:r>
            <w:r>
              <w:rPr>
                <w:noProof/>
                <w:webHidden/>
              </w:rPr>
              <w:fldChar w:fldCharType="begin"/>
            </w:r>
            <w:r>
              <w:rPr>
                <w:noProof/>
                <w:webHidden/>
              </w:rPr>
              <w:instrText xml:space="preserve"> PAGEREF _Toc234191555 \h </w:instrText>
            </w:r>
            <w:r>
              <w:rPr>
                <w:noProof/>
                <w:webHidden/>
              </w:rPr>
            </w:r>
            <w:r>
              <w:rPr>
                <w:noProof/>
                <w:webHidden/>
              </w:rPr>
              <w:fldChar w:fldCharType="separate"/>
            </w:r>
            <w:r>
              <w:rPr>
                <w:noProof/>
                <w:webHidden/>
              </w:rPr>
              <w:t>8</w:t>
            </w:r>
            <w:r>
              <w:rPr>
                <w:noProof/>
                <w:webHidden/>
              </w:rPr>
              <w:fldChar w:fldCharType="end"/>
            </w:r>
          </w:hyperlink>
        </w:p>
        <w:p w14:paraId="413F3F14" w14:textId="0FC49753" w:rsidR="00E656A9" w:rsidRDefault="00E656A9">
          <w:pPr>
            <w:pStyle w:val="TOC2"/>
            <w:tabs>
              <w:tab w:val="right" w:leader="dot" w:pos="9016"/>
            </w:tabs>
            <w:rPr>
              <w:rFonts w:eastAsiaTheme="minorEastAsia"/>
              <w:noProof/>
              <w:lang w:eastAsia="en-GB"/>
            </w:rPr>
          </w:pPr>
          <w:hyperlink w:anchor="_Toc234191556" w:history="1">
            <w:r w:rsidRPr="006B32E8">
              <w:rPr>
                <w:rStyle w:val="Hyperlink"/>
                <w:noProof/>
              </w:rPr>
              <w:t>Family Burden, Co-Production and Public Health Focus</w:t>
            </w:r>
            <w:r>
              <w:rPr>
                <w:noProof/>
                <w:webHidden/>
              </w:rPr>
              <w:tab/>
            </w:r>
            <w:r>
              <w:rPr>
                <w:noProof/>
                <w:webHidden/>
              </w:rPr>
              <w:fldChar w:fldCharType="begin"/>
            </w:r>
            <w:r>
              <w:rPr>
                <w:noProof/>
                <w:webHidden/>
              </w:rPr>
              <w:instrText xml:space="preserve"> PAGEREF _Toc234191556 \h </w:instrText>
            </w:r>
            <w:r>
              <w:rPr>
                <w:noProof/>
                <w:webHidden/>
              </w:rPr>
            </w:r>
            <w:r>
              <w:rPr>
                <w:noProof/>
                <w:webHidden/>
              </w:rPr>
              <w:fldChar w:fldCharType="separate"/>
            </w:r>
            <w:r>
              <w:rPr>
                <w:noProof/>
                <w:webHidden/>
              </w:rPr>
              <w:t>8</w:t>
            </w:r>
            <w:r>
              <w:rPr>
                <w:noProof/>
                <w:webHidden/>
              </w:rPr>
              <w:fldChar w:fldCharType="end"/>
            </w:r>
          </w:hyperlink>
        </w:p>
        <w:p w14:paraId="3263BBCE" w14:textId="5BF23C4C" w:rsidR="00E656A9" w:rsidRDefault="00E656A9">
          <w:pPr>
            <w:pStyle w:val="TOC2"/>
            <w:tabs>
              <w:tab w:val="right" w:leader="dot" w:pos="9016"/>
            </w:tabs>
            <w:rPr>
              <w:rFonts w:eastAsiaTheme="minorEastAsia"/>
              <w:noProof/>
              <w:lang w:eastAsia="en-GB"/>
            </w:rPr>
          </w:pPr>
          <w:hyperlink w:anchor="_Toc234191557" w:history="1">
            <w:r w:rsidRPr="006B32E8">
              <w:rPr>
                <w:rStyle w:val="Hyperlink"/>
                <w:rFonts w:ascii="Arial" w:eastAsia="Times New Roman" w:hAnsi="Arial" w:cs="Arial"/>
                <w:b/>
                <w:bCs/>
                <w:noProof/>
                <w:kern w:val="0"/>
                <w:lang w:eastAsia="en-GB"/>
                <w14:ligatures w14:val="none"/>
              </w:rPr>
              <w:t>REFERENCES LIST</w:t>
            </w:r>
            <w:r>
              <w:rPr>
                <w:noProof/>
                <w:webHidden/>
              </w:rPr>
              <w:tab/>
            </w:r>
            <w:r>
              <w:rPr>
                <w:noProof/>
                <w:webHidden/>
              </w:rPr>
              <w:fldChar w:fldCharType="begin"/>
            </w:r>
            <w:r>
              <w:rPr>
                <w:noProof/>
                <w:webHidden/>
              </w:rPr>
              <w:instrText xml:space="preserve"> PAGEREF _Toc234191557 \h </w:instrText>
            </w:r>
            <w:r>
              <w:rPr>
                <w:noProof/>
                <w:webHidden/>
              </w:rPr>
            </w:r>
            <w:r>
              <w:rPr>
                <w:noProof/>
                <w:webHidden/>
              </w:rPr>
              <w:fldChar w:fldCharType="separate"/>
            </w:r>
            <w:r>
              <w:rPr>
                <w:noProof/>
                <w:webHidden/>
              </w:rPr>
              <w:t>9</w:t>
            </w:r>
            <w:r>
              <w:rPr>
                <w:noProof/>
                <w:webHidden/>
              </w:rPr>
              <w:fldChar w:fldCharType="end"/>
            </w:r>
          </w:hyperlink>
        </w:p>
        <w:p w14:paraId="144B4792" w14:textId="3728AA00" w:rsidR="001D6EB1" w:rsidRDefault="001D6EB1">
          <w:r>
            <w:rPr>
              <w:b/>
              <w:bCs/>
              <w:noProof/>
            </w:rPr>
            <w:fldChar w:fldCharType="end"/>
          </w:r>
        </w:p>
      </w:sdtContent>
    </w:sdt>
    <w:p w14:paraId="590CBFCC" w14:textId="77777777" w:rsidR="001D6EB1" w:rsidRDefault="001D6EB1" w:rsidP="00693790">
      <w:pPr>
        <w:pStyle w:val="NormalWeb"/>
        <w:spacing w:line="276" w:lineRule="auto"/>
        <w:jc w:val="both"/>
        <w:rPr>
          <w:rFonts w:ascii="Arial" w:hAnsi="Arial" w:cs="Arial"/>
          <w:b/>
          <w:bCs/>
        </w:rPr>
      </w:pPr>
    </w:p>
    <w:p w14:paraId="44398B48" w14:textId="77777777" w:rsidR="001D6EB1" w:rsidRDefault="001D6EB1" w:rsidP="00693790">
      <w:pPr>
        <w:pStyle w:val="NormalWeb"/>
        <w:spacing w:line="276" w:lineRule="auto"/>
        <w:jc w:val="both"/>
        <w:rPr>
          <w:rFonts w:ascii="Arial" w:hAnsi="Arial" w:cs="Arial"/>
          <w:b/>
          <w:bCs/>
        </w:rPr>
      </w:pPr>
    </w:p>
    <w:p w14:paraId="3607CAF9" w14:textId="77777777" w:rsidR="001D6EB1" w:rsidRDefault="001D6EB1" w:rsidP="00693790">
      <w:pPr>
        <w:pStyle w:val="NormalWeb"/>
        <w:spacing w:line="276" w:lineRule="auto"/>
        <w:jc w:val="both"/>
        <w:rPr>
          <w:rFonts w:ascii="Arial" w:hAnsi="Arial" w:cs="Arial"/>
          <w:b/>
          <w:bCs/>
        </w:rPr>
      </w:pPr>
    </w:p>
    <w:p w14:paraId="51E104DD" w14:textId="77777777" w:rsidR="001D6EB1" w:rsidRDefault="001D6EB1" w:rsidP="00693790">
      <w:pPr>
        <w:pStyle w:val="NormalWeb"/>
        <w:spacing w:line="276" w:lineRule="auto"/>
        <w:jc w:val="both"/>
        <w:rPr>
          <w:rFonts w:ascii="Arial" w:hAnsi="Arial" w:cs="Arial"/>
          <w:b/>
          <w:bCs/>
        </w:rPr>
      </w:pPr>
    </w:p>
    <w:p w14:paraId="37176C8D" w14:textId="77777777" w:rsidR="001D6EB1" w:rsidRDefault="001D6EB1" w:rsidP="00693790">
      <w:pPr>
        <w:pStyle w:val="NormalWeb"/>
        <w:spacing w:line="276" w:lineRule="auto"/>
        <w:jc w:val="both"/>
        <w:rPr>
          <w:rFonts w:ascii="Arial" w:hAnsi="Arial" w:cs="Arial"/>
          <w:b/>
          <w:bCs/>
        </w:rPr>
      </w:pPr>
    </w:p>
    <w:p w14:paraId="20C0BE62" w14:textId="77777777" w:rsidR="001D6EB1" w:rsidRDefault="001D6EB1" w:rsidP="00693790">
      <w:pPr>
        <w:pStyle w:val="NormalWeb"/>
        <w:spacing w:line="276" w:lineRule="auto"/>
        <w:jc w:val="both"/>
        <w:rPr>
          <w:rFonts w:ascii="Arial" w:hAnsi="Arial" w:cs="Arial"/>
          <w:b/>
          <w:bCs/>
        </w:rPr>
      </w:pPr>
    </w:p>
    <w:p w14:paraId="4F51FC42" w14:textId="77777777" w:rsidR="001D6EB1" w:rsidRDefault="001D6EB1" w:rsidP="00693790">
      <w:pPr>
        <w:pStyle w:val="NormalWeb"/>
        <w:spacing w:line="276" w:lineRule="auto"/>
        <w:jc w:val="both"/>
        <w:rPr>
          <w:rFonts w:ascii="Arial" w:hAnsi="Arial" w:cs="Arial"/>
          <w:b/>
          <w:bCs/>
        </w:rPr>
      </w:pPr>
    </w:p>
    <w:p w14:paraId="255AA36D" w14:textId="77777777" w:rsidR="001D6EB1" w:rsidRDefault="001D6EB1" w:rsidP="00693790">
      <w:pPr>
        <w:pStyle w:val="NormalWeb"/>
        <w:spacing w:line="276" w:lineRule="auto"/>
        <w:jc w:val="both"/>
        <w:rPr>
          <w:rFonts w:ascii="Arial" w:hAnsi="Arial" w:cs="Arial"/>
          <w:b/>
          <w:bCs/>
        </w:rPr>
      </w:pPr>
    </w:p>
    <w:p w14:paraId="42664031" w14:textId="438BCB0C" w:rsidR="00BA214C" w:rsidRPr="00693790" w:rsidRDefault="00346FA8" w:rsidP="006F20B9">
      <w:pPr>
        <w:pStyle w:val="Heading1"/>
      </w:pPr>
      <w:bookmarkStart w:id="0" w:name="_Toc234191541"/>
      <w:r w:rsidRPr="00693790">
        <w:lastRenderedPageBreak/>
        <w:t>INTRODUCTION</w:t>
      </w:r>
      <w:bookmarkEnd w:id="0"/>
    </w:p>
    <w:p w14:paraId="67B97B87" w14:textId="03F9A54B" w:rsidR="00BA214C" w:rsidRPr="00693790" w:rsidRDefault="00BA214C" w:rsidP="00693790">
      <w:pPr>
        <w:pStyle w:val="NormalWeb"/>
        <w:spacing w:line="276" w:lineRule="auto"/>
        <w:jc w:val="both"/>
        <w:rPr>
          <w:rFonts w:ascii="Arial" w:hAnsi="Arial" w:cs="Arial"/>
        </w:rPr>
      </w:pPr>
      <w:r w:rsidRPr="00693790">
        <w:rPr>
          <w:rFonts w:ascii="Arial" w:hAnsi="Arial" w:cs="Arial"/>
        </w:rPr>
        <w:t>Over the last 10 years, the National Health Service (NHS) and integrated social care services in the UK have experienced unprecedented digital transformation. Digital-first models have transitioned from fringe and localised pilots into core operational architectures across systems in response to systemic pressures, an increasingly expanding population of patients with multi-morbidities and structural shifts galvanised, more recently by the COVID-19 pandemic (Greenhalgh et al., 2022).</w:t>
      </w:r>
    </w:p>
    <w:p w14:paraId="51C4E12E" w14:textId="77777777" w:rsidR="00BA214C" w:rsidRPr="00693790" w:rsidRDefault="00BA214C" w:rsidP="00693790">
      <w:pPr>
        <w:pStyle w:val="NormalWeb"/>
        <w:spacing w:line="276" w:lineRule="auto"/>
        <w:jc w:val="both"/>
        <w:rPr>
          <w:rFonts w:ascii="Arial" w:hAnsi="Arial" w:cs="Arial"/>
        </w:rPr>
      </w:pPr>
      <w:r w:rsidRPr="00693790">
        <w:rPr>
          <w:rFonts w:ascii="Arial" w:hAnsi="Arial" w:cs="Arial"/>
        </w:rPr>
        <w:t>This report critically examines the delivery and impact of telemedicine and virtual consultations, defined in a broad manner as synchronous video and phone interactions occurring between healthcare clinicians and service users physically outside clinical facilities.</w:t>
      </w:r>
    </w:p>
    <w:p w14:paraId="08FF7436" w14:textId="7C8227C9" w:rsidR="00BA214C" w:rsidRPr="00693790" w:rsidRDefault="00BA214C" w:rsidP="00693790">
      <w:pPr>
        <w:pStyle w:val="NormalWeb"/>
        <w:spacing w:line="276" w:lineRule="auto"/>
        <w:jc w:val="both"/>
        <w:rPr>
          <w:rFonts w:ascii="Arial" w:hAnsi="Arial" w:cs="Arial"/>
        </w:rPr>
      </w:pPr>
      <w:r w:rsidRPr="00693790">
        <w:rPr>
          <w:rFonts w:ascii="Arial" w:hAnsi="Arial" w:cs="Arial"/>
        </w:rPr>
        <w:t>Rooted in the NHS Long Term Plan (NHS England, 2019)</w:t>
      </w:r>
      <w:r w:rsidR="00E17E64">
        <w:rPr>
          <w:rFonts w:ascii="Arial" w:hAnsi="Arial" w:cs="Arial"/>
        </w:rPr>
        <w:t>,</w:t>
      </w:r>
      <w:r w:rsidRPr="00693790">
        <w:rPr>
          <w:rFonts w:ascii="Arial" w:hAnsi="Arial" w:cs="Arial"/>
        </w:rPr>
        <w:t xml:space="preserve"> which stated that by April 2021 every patient in England should be able to access digital-first primary care, the deployment of platforms like Attend Anywhere, </w:t>
      </w:r>
      <w:r w:rsidR="004A7D30" w:rsidRPr="00693790">
        <w:rPr>
          <w:rFonts w:ascii="Arial" w:hAnsi="Arial" w:cs="Arial"/>
        </w:rPr>
        <w:t>Acox</w:t>
      </w:r>
      <w:r w:rsidRPr="00693790">
        <w:rPr>
          <w:rFonts w:ascii="Arial" w:hAnsi="Arial" w:cs="Arial"/>
        </w:rPr>
        <w:t xml:space="preserve"> and eConsult has fundamentally aimed at increasing system capacity, relieving pressure on physical estate &amp; effecting more streamlined patient pathways. This pivot to technology meets two driving imperatives of contemporary health informatics by replacing physical infrastructure with digital analogues.</w:t>
      </w:r>
    </w:p>
    <w:p w14:paraId="4B19EE91" w14:textId="089A48F3" w:rsidR="00BA214C" w:rsidRPr="00693790" w:rsidRDefault="00BA214C" w:rsidP="00693790">
      <w:pPr>
        <w:pStyle w:val="NormalWeb"/>
        <w:spacing w:line="276" w:lineRule="auto"/>
        <w:jc w:val="both"/>
        <w:rPr>
          <w:rFonts w:ascii="Arial" w:hAnsi="Arial" w:cs="Arial"/>
        </w:rPr>
      </w:pPr>
      <w:r w:rsidRPr="00693790">
        <w:rPr>
          <w:rFonts w:ascii="Arial" w:hAnsi="Arial" w:cs="Arial"/>
        </w:rPr>
        <w:t xml:space="preserve">Nevertheless, ensuring this digital transition should follow </w:t>
      </w:r>
      <w:r w:rsidR="0009700C">
        <w:rPr>
          <w:rFonts w:ascii="Arial" w:hAnsi="Arial" w:cs="Arial"/>
        </w:rPr>
        <w:t>a</w:t>
      </w:r>
      <w:r w:rsidRPr="00693790">
        <w:rPr>
          <w:rFonts w:ascii="Arial" w:hAnsi="Arial" w:cs="Arial"/>
        </w:rPr>
        <w:t xml:space="preserve"> structure which could not be </w:t>
      </w:r>
      <w:r w:rsidR="0009700C">
        <w:rPr>
          <w:rFonts w:ascii="Arial" w:hAnsi="Arial" w:cs="Arial"/>
        </w:rPr>
        <w:t>based only on technological</w:t>
      </w:r>
      <w:r w:rsidRPr="00693790">
        <w:rPr>
          <w:rFonts w:ascii="Arial" w:hAnsi="Arial" w:cs="Arial"/>
        </w:rPr>
        <w:t xml:space="preserve"> enthusiasm. This paper explores how virtual consultations are reshaping four domains of practice aligned with the core modules in health sociology, digital pedagogy and clinical safety, by conducting an evaluation across these domains.</w:t>
      </w:r>
    </w:p>
    <w:p w14:paraId="3CE21E4C" w14:textId="77777777" w:rsidR="00BA214C" w:rsidRPr="00693790" w:rsidRDefault="00BA214C" w:rsidP="00693790">
      <w:pPr>
        <w:pStyle w:val="NormalWeb"/>
        <w:spacing w:line="276" w:lineRule="auto"/>
        <w:jc w:val="both"/>
        <w:rPr>
          <w:rFonts w:ascii="Arial" w:hAnsi="Arial" w:cs="Arial"/>
        </w:rPr>
      </w:pPr>
      <w:r w:rsidRPr="00693790">
        <w:rPr>
          <w:rFonts w:ascii="Arial" w:hAnsi="Arial" w:cs="Arial"/>
        </w:rPr>
        <w:t>• The professional workforce</w:t>
      </w:r>
    </w:p>
    <w:p w14:paraId="49B1197C" w14:textId="77777777" w:rsidR="00BA214C" w:rsidRPr="00693790" w:rsidRDefault="00BA214C" w:rsidP="00693790">
      <w:pPr>
        <w:pStyle w:val="NormalWeb"/>
        <w:spacing w:line="276" w:lineRule="auto"/>
        <w:jc w:val="both"/>
        <w:rPr>
          <w:rFonts w:ascii="Arial" w:hAnsi="Arial" w:cs="Arial"/>
        </w:rPr>
      </w:pPr>
      <w:r w:rsidRPr="00693790">
        <w:rPr>
          <w:rFonts w:ascii="Arial" w:hAnsi="Arial" w:cs="Arial"/>
        </w:rPr>
        <w:t>• Day-to-day service delivery mechanisms</w:t>
      </w:r>
    </w:p>
    <w:p w14:paraId="2A2B75A7" w14:textId="77777777" w:rsidR="00BA214C" w:rsidRPr="00693790" w:rsidRDefault="00BA214C" w:rsidP="00693790">
      <w:pPr>
        <w:pStyle w:val="NormalWeb"/>
        <w:spacing w:line="276" w:lineRule="auto"/>
        <w:jc w:val="both"/>
        <w:rPr>
          <w:rFonts w:ascii="Arial" w:hAnsi="Arial" w:cs="Arial"/>
        </w:rPr>
      </w:pPr>
      <w:r w:rsidRPr="00693790">
        <w:rPr>
          <w:rFonts w:ascii="Arial" w:hAnsi="Arial" w:cs="Arial"/>
        </w:rPr>
        <w:t>• Service users and patients with any experience</w:t>
      </w:r>
    </w:p>
    <w:p w14:paraId="604D45B5" w14:textId="77777777" w:rsidR="00BA214C" w:rsidRPr="00693790" w:rsidRDefault="00BA214C" w:rsidP="00693790">
      <w:pPr>
        <w:pStyle w:val="NormalWeb"/>
        <w:spacing w:line="276" w:lineRule="auto"/>
        <w:jc w:val="both"/>
        <w:rPr>
          <w:rFonts w:ascii="Arial" w:hAnsi="Arial" w:cs="Arial"/>
        </w:rPr>
      </w:pPr>
      <w:r w:rsidRPr="00693790">
        <w:rPr>
          <w:rFonts w:ascii="Arial" w:hAnsi="Arial" w:cs="Arial"/>
        </w:rPr>
        <w:t>• The broader community and public health systems</w:t>
      </w:r>
    </w:p>
    <w:p w14:paraId="0F7819E2" w14:textId="77777777" w:rsidR="00BA214C" w:rsidRPr="00693790" w:rsidRDefault="00BA214C" w:rsidP="00693790">
      <w:pPr>
        <w:pStyle w:val="NormalWeb"/>
        <w:spacing w:line="276" w:lineRule="auto"/>
        <w:jc w:val="both"/>
        <w:rPr>
          <w:rFonts w:ascii="Arial" w:hAnsi="Arial" w:cs="Arial"/>
        </w:rPr>
      </w:pPr>
      <w:r w:rsidRPr="00693790">
        <w:rPr>
          <w:rFonts w:ascii="Arial" w:hAnsi="Arial" w:cs="Arial"/>
        </w:rPr>
        <w:t>This report addresses these important questions by calling out both the discrete structural efficiencies gained and the unintended systemic inequalities afforded through this digital intervention.</w:t>
      </w:r>
    </w:p>
    <w:p w14:paraId="42997AE3" w14:textId="3D2508F4" w:rsidR="00CB0812" w:rsidRPr="00693790" w:rsidRDefault="00346FA8" w:rsidP="006F20B9">
      <w:pPr>
        <w:pStyle w:val="Heading1"/>
      </w:pPr>
      <w:bookmarkStart w:id="1" w:name="_Toc234191542"/>
      <w:r w:rsidRPr="00693790">
        <w:lastRenderedPageBreak/>
        <w:t>IMPACT ON WORKFORCE</w:t>
      </w:r>
      <w:bookmarkEnd w:id="1"/>
    </w:p>
    <w:p w14:paraId="150C1F86" w14:textId="10E2956D" w:rsidR="00CB0812" w:rsidRPr="00693790" w:rsidRDefault="00CB0812" w:rsidP="00693790">
      <w:pPr>
        <w:pStyle w:val="NormalWeb"/>
        <w:spacing w:line="276" w:lineRule="auto"/>
        <w:jc w:val="both"/>
        <w:rPr>
          <w:rFonts w:ascii="Arial" w:hAnsi="Arial" w:cs="Arial"/>
        </w:rPr>
      </w:pPr>
      <w:r w:rsidRPr="00693790">
        <w:rPr>
          <w:rFonts w:ascii="Arial" w:hAnsi="Arial" w:cs="Arial"/>
        </w:rPr>
        <w:t xml:space="preserve">However, refusing to consider how the institutional scaling up of virtual consultations across NHS trusts and primary care networks </w:t>
      </w:r>
      <w:r w:rsidR="004A7D30">
        <w:rPr>
          <w:rFonts w:ascii="Arial" w:hAnsi="Arial" w:cs="Arial"/>
        </w:rPr>
        <w:t>has</w:t>
      </w:r>
      <w:r w:rsidRPr="00693790">
        <w:rPr>
          <w:rFonts w:ascii="Arial" w:hAnsi="Arial" w:cs="Arial"/>
        </w:rPr>
        <w:t xml:space="preserve"> structurally renegotiated what it means to be a professional as well as day-to-day work responsibilities and core competency frameworks demanded of the workforce. Telemedicine did not function just as a passive implement, changing job role besides broadening the understanding of professional capability (Hughes et al., 2022).</w:t>
      </w:r>
    </w:p>
    <w:p w14:paraId="0D220EFB" w14:textId="77777777" w:rsidR="00CB0812" w:rsidRPr="00693790" w:rsidRDefault="00CB0812" w:rsidP="006F20B9">
      <w:pPr>
        <w:pStyle w:val="Heading2"/>
      </w:pPr>
      <w:bookmarkStart w:id="2" w:name="_Toc234191543"/>
      <w:r w:rsidRPr="00693790">
        <w:t>Reconfiguration of Roles and Work Activity</w:t>
      </w:r>
      <w:bookmarkEnd w:id="2"/>
    </w:p>
    <w:p w14:paraId="6EA5689B" w14:textId="77777777" w:rsidR="00CB0812" w:rsidRPr="00693790" w:rsidRDefault="00CB0812" w:rsidP="00693790">
      <w:pPr>
        <w:pStyle w:val="NormalWeb"/>
        <w:spacing w:line="276" w:lineRule="auto"/>
        <w:jc w:val="both"/>
        <w:rPr>
          <w:rFonts w:ascii="Arial" w:hAnsi="Arial" w:cs="Arial"/>
        </w:rPr>
      </w:pPr>
      <w:r w:rsidRPr="00693790">
        <w:rPr>
          <w:rFonts w:ascii="Arial" w:hAnsi="Arial" w:cs="Arial"/>
        </w:rPr>
        <w:t>The use of virtual consultations has divided traditional clinical processes into hybrid approaches. General Practitioners (GPs), advanced nurse practitioners (ANPs) and AHPs have had their usual admin and face-to-face booking systems disrupted by fast-paced, digital triage and screen-based consultation timetables.</w:t>
      </w:r>
    </w:p>
    <w:p w14:paraId="5AAAEFB4" w14:textId="58230EC3" w:rsidR="00CB0812" w:rsidRPr="00693790" w:rsidRDefault="00CB0812" w:rsidP="00693790">
      <w:pPr>
        <w:pStyle w:val="NormalWeb"/>
        <w:spacing w:line="276" w:lineRule="auto"/>
        <w:jc w:val="both"/>
        <w:rPr>
          <w:rFonts w:ascii="Arial" w:hAnsi="Arial" w:cs="Arial"/>
        </w:rPr>
      </w:pPr>
      <w:r w:rsidRPr="00693790">
        <w:rPr>
          <w:rFonts w:ascii="Arial" w:hAnsi="Arial" w:cs="Arial"/>
        </w:rPr>
        <w:t>Efforts of administrative staff and medical receptionists have moved to becoming digital navigators, troubleshooting connectivity barriers, managing asynchronous digital workflows and routing outputs of the digital triage (Turner et al.,2021). This transition calls for clerical workforces equipped with higher-tech skills to ensure confidentiality of data but still allowing patient access.</w:t>
      </w:r>
    </w:p>
    <w:p w14:paraId="6ABAADB8" w14:textId="77777777" w:rsidR="00CB0812" w:rsidRPr="00693790" w:rsidRDefault="00CB0812" w:rsidP="006F20B9">
      <w:pPr>
        <w:pStyle w:val="Heading2"/>
      </w:pPr>
      <w:bookmarkStart w:id="3" w:name="_Toc234191544"/>
      <w:r w:rsidRPr="00693790">
        <w:t>A Shift in Clinical Competence and the Digital Gaze</w:t>
      </w:r>
      <w:bookmarkEnd w:id="3"/>
    </w:p>
    <w:p w14:paraId="16A76A2D" w14:textId="77777777" w:rsidR="00CB0812" w:rsidRPr="00693790" w:rsidRDefault="00CB0812" w:rsidP="00693790">
      <w:pPr>
        <w:pStyle w:val="NormalWeb"/>
        <w:spacing w:line="276" w:lineRule="auto"/>
        <w:jc w:val="both"/>
        <w:rPr>
          <w:rFonts w:ascii="Arial" w:hAnsi="Arial" w:cs="Arial"/>
        </w:rPr>
      </w:pPr>
      <w:r w:rsidRPr="00693790">
        <w:rPr>
          <w:rFonts w:ascii="Arial" w:hAnsi="Arial" w:cs="Arial"/>
        </w:rPr>
        <w:t>This transition has changed the nature of clinical assessment for clinical practitioners that also redirects some amount from physical consultations. Due to the structured nature of teleconsultations under a "digital gaze," practitioners will now primarily rely on visual information through screen interfaces or (audiological) assessments over telephone links without the opportunity for tactile, physical examination (Vas et al., 2022).</w:t>
      </w:r>
    </w:p>
    <w:p w14:paraId="2FA0FD44" w14:textId="7E378DAB" w:rsidR="00CB0812" w:rsidRPr="00693790" w:rsidRDefault="00CB0812" w:rsidP="00693790">
      <w:pPr>
        <w:pStyle w:val="NormalWeb"/>
        <w:spacing w:line="276" w:lineRule="auto"/>
        <w:jc w:val="both"/>
        <w:rPr>
          <w:rFonts w:ascii="Arial" w:hAnsi="Arial" w:cs="Arial"/>
        </w:rPr>
      </w:pPr>
      <w:r w:rsidRPr="00693790">
        <w:rPr>
          <w:rFonts w:ascii="Arial" w:hAnsi="Arial" w:cs="Arial"/>
        </w:rPr>
        <w:t>And this shift has a competence gap. Clinicians need more specialized digital communication skills to establish a therapeutic relationship at a distance, cope with clinical uncertainty safely and pick up on safeguarding warning signs through a screen (Mold et al., 2021).</w:t>
      </w:r>
    </w:p>
    <w:p w14:paraId="4E20E707" w14:textId="0F18B07A" w:rsidR="00CB0812" w:rsidRPr="00693790" w:rsidRDefault="00CB0812" w:rsidP="00693790">
      <w:pPr>
        <w:pStyle w:val="NormalWeb"/>
        <w:spacing w:line="276" w:lineRule="auto"/>
        <w:jc w:val="both"/>
        <w:rPr>
          <w:rFonts w:ascii="Arial" w:hAnsi="Arial" w:cs="Arial"/>
        </w:rPr>
      </w:pPr>
      <w:r w:rsidRPr="00693790">
        <w:rPr>
          <w:rFonts w:ascii="Arial" w:hAnsi="Arial" w:cs="Arial"/>
        </w:rPr>
        <w:t xml:space="preserve">From the initial assessments of Vas et al. (2022) rheumatology, orthopaedics and midwifery are distinctive examples of highly visual and physical medical </w:t>
      </w:r>
      <w:r w:rsidR="00E17E64" w:rsidRPr="00693790">
        <w:rPr>
          <w:rFonts w:ascii="Arial" w:hAnsi="Arial" w:cs="Arial"/>
        </w:rPr>
        <w:t>specialists</w:t>
      </w:r>
      <w:r w:rsidRPr="00693790">
        <w:rPr>
          <w:rFonts w:ascii="Arial" w:hAnsi="Arial" w:cs="Arial"/>
        </w:rPr>
        <w:t xml:space="preserve"> that may be limited. They miss out on vital diagnostic information gleaned through palpating joints/assessing fundal height/or assessing non-verbal signs of distress.</w:t>
      </w:r>
    </w:p>
    <w:p w14:paraId="5F4BE2C4" w14:textId="5E952EAF" w:rsidR="00CB0812" w:rsidRPr="00693790" w:rsidRDefault="00CB0812" w:rsidP="006F20B9">
      <w:pPr>
        <w:pStyle w:val="Heading2"/>
      </w:pPr>
      <w:bookmarkStart w:id="4" w:name="_Toc234191545"/>
      <w:r w:rsidRPr="00693790">
        <w:lastRenderedPageBreak/>
        <w:t>Cognitive Load, Isolation and Work-Related Stress</w:t>
      </w:r>
      <w:bookmarkEnd w:id="4"/>
    </w:p>
    <w:p w14:paraId="7D475044" w14:textId="2AD5A864" w:rsidR="00CB0812" w:rsidRPr="00693790" w:rsidRDefault="00CB0812" w:rsidP="00693790">
      <w:pPr>
        <w:pStyle w:val="NormalWeb"/>
        <w:spacing w:line="276" w:lineRule="auto"/>
        <w:jc w:val="both"/>
        <w:rPr>
          <w:rFonts w:ascii="Arial" w:hAnsi="Arial" w:cs="Arial"/>
        </w:rPr>
      </w:pPr>
      <w:r w:rsidRPr="00693790">
        <w:rPr>
          <w:rFonts w:ascii="Arial" w:hAnsi="Arial" w:cs="Arial"/>
        </w:rPr>
        <w:t>Although the virtual format starts with more structural flexibility, as to remote working and flexible scheduling for staff, the adverse impacts on workforce well-being are considerable. Digital consulting at scale increases the cognitive burden on clinicians</w:t>
      </w:r>
      <w:r w:rsidR="00A85C81" w:rsidRPr="00A85C81">
        <w:t xml:space="preserve"> </w:t>
      </w:r>
      <w:r w:rsidR="00A85C81">
        <w:t>(</w:t>
      </w:r>
      <w:r w:rsidR="00A85C81" w:rsidRPr="00A85C81">
        <w:rPr>
          <w:rFonts w:ascii="Arial" w:hAnsi="Arial" w:cs="Arial"/>
        </w:rPr>
        <w:t>Kyratsis</w:t>
      </w:r>
      <w:r w:rsidR="00A85C81">
        <w:rPr>
          <w:rFonts w:ascii="Arial" w:hAnsi="Arial" w:cs="Arial"/>
        </w:rPr>
        <w:t xml:space="preserve">, </w:t>
      </w:r>
      <w:r w:rsidR="00A85C81" w:rsidRPr="00A85C81">
        <w:rPr>
          <w:rFonts w:ascii="Arial" w:hAnsi="Arial" w:cs="Arial"/>
        </w:rPr>
        <w:t>2026)</w:t>
      </w:r>
      <w:r w:rsidRPr="00693790">
        <w:rPr>
          <w:rFonts w:ascii="Arial" w:hAnsi="Arial" w:cs="Arial"/>
        </w:rPr>
        <w:t>.</w:t>
      </w:r>
    </w:p>
    <w:p w14:paraId="33DF4374" w14:textId="77777777" w:rsidR="00CB0812" w:rsidRPr="00693790" w:rsidRDefault="00CB0812" w:rsidP="00693790">
      <w:pPr>
        <w:pStyle w:val="NormalWeb"/>
        <w:spacing w:line="276" w:lineRule="auto"/>
        <w:jc w:val="both"/>
        <w:rPr>
          <w:rFonts w:ascii="Arial" w:hAnsi="Arial" w:cs="Arial"/>
        </w:rPr>
      </w:pPr>
      <w:r w:rsidRPr="00693790">
        <w:rPr>
          <w:rFonts w:ascii="Arial" w:hAnsi="Arial" w:cs="Arial"/>
        </w:rPr>
        <w:t>The compression of the consultation windows combined with persistent screen time and less social interaction in workplace peer support between colleagues has accelerated burnout and professional isolation across primary care workforces (Turner et al., 2021).</w:t>
      </w:r>
    </w:p>
    <w:p w14:paraId="615B9263" w14:textId="675E81C1" w:rsidR="00075E92" w:rsidRPr="00693790" w:rsidRDefault="00CB0812" w:rsidP="00693790">
      <w:pPr>
        <w:pStyle w:val="NormalWeb"/>
        <w:spacing w:line="276" w:lineRule="auto"/>
        <w:jc w:val="both"/>
        <w:rPr>
          <w:rFonts w:ascii="Arial" w:hAnsi="Arial" w:cs="Arial"/>
        </w:rPr>
      </w:pPr>
      <w:r w:rsidRPr="00693790">
        <w:rPr>
          <w:rFonts w:ascii="Arial" w:hAnsi="Arial" w:cs="Arial"/>
        </w:rPr>
        <w:t>Additionally, clinicians are often anxious about the medicolegal implications of diagnosis based purely on formalising things in writing without physically verifying the work. This underscores the important need for contemporary and harmonised professional indemnity regimes and bespoke undergraduate curricular throughout the health professions</w:t>
      </w:r>
      <w:r w:rsidR="00F64008" w:rsidRPr="00F64008">
        <w:t xml:space="preserve"> </w:t>
      </w:r>
      <w:r w:rsidR="00F64008">
        <w:t>(</w:t>
      </w:r>
      <w:r w:rsidR="00F64008" w:rsidRPr="00F64008">
        <w:rPr>
          <w:rFonts w:ascii="Arial" w:hAnsi="Arial" w:cs="Arial"/>
        </w:rPr>
        <w:t>McGinnis</w:t>
      </w:r>
      <w:r w:rsidR="00F64008">
        <w:rPr>
          <w:rFonts w:ascii="Arial" w:hAnsi="Arial" w:cs="Arial"/>
        </w:rPr>
        <w:t>,</w:t>
      </w:r>
      <w:r w:rsidR="00F64008" w:rsidRPr="00F64008">
        <w:rPr>
          <w:rFonts w:ascii="Arial" w:hAnsi="Arial" w:cs="Arial"/>
        </w:rPr>
        <w:t xml:space="preserve"> 2026)</w:t>
      </w:r>
      <w:r w:rsidRPr="00693790">
        <w:rPr>
          <w:rFonts w:ascii="Arial" w:hAnsi="Arial" w:cs="Arial"/>
        </w:rPr>
        <w:t>.</w:t>
      </w:r>
    </w:p>
    <w:p w14:paraId="04C4F51B" w14:textId="77777777" w:rsidR="00346FA8" w:rsidRPr="00693790" w:rsidRDefault="00346FA8" w:rsidP="00693790">
      <w:pPr>
        <w:pStyle w:val="NormalWeb"/>
        <w:spacing w:line="276" w:lineRule="auto"/>
        <w:jc w:val="both"/>
        <w:rPr>
          <w:rFonts w:ascii="Arial" w:hAnsi="Arial" w:cs="Arial"/>
          <w:b/>
          <w:bCs/>
        </w:rPr>
      </w:pPr>
    </w:p>
    <w:p w14:paraId="6A551D31" w14:textId="31159450" w:rsidR="00075E92" w:rsidRPr="00693790" w:rsidRDefault="00346FA8" w:rsidP="006F20B9">
      <w:pPr>
        <w:pStyle w:val="Heading1"/>
      </w:pPr>
      <w:bookmarkStart w:id="5" w:name="_Toc234191546"/>
      <w:r w:rsidRPr="00693790">
        <w:t>IMPACT ON SERVICE DELIVERY</w:t>
      </w:r>
      <w:bookmarkEnd w:id="5"/>
    </w:p>
    <w:p w14:paraId="5E4DDC35" w14:textId="10E5D1A6" w:rsidR="00075E92" w:rsidRPr="00693790" w:rsidRDefault="00075E92" w:rsidP="00693790">
      <w:pPr>
        <w:pStyle w:val="NormalWeb"/>
        <w:spacing w:line="276" w:lineRule="auto"/>
        <w:jc w:val="both"/>
        <w:rPr>
          <w:rFonts w:ascii="Arial" w:hAnsi="Arial" w:cs="Arial"/>
        </w:rPr>
      </w:pPr>
      <w:r w:rsidRPr="00693790">
        <w:rPr>
          <w:rFonts w:ascii="Arial" w:hAnsi="Arial" w:cs="Arial"/>
        </w:rPr>
        <w:t>NHS service delivery has adopted a day-to-day operational reality that is far removed from the waiting room model, with algorithmic, digital-first interfaces. This shift will alter the approaches taken by services to manage demand, distribute resources, and coordinate multi-disciplinary care teams.</w:t>
      </w:r>
      <w:r w:rsidR="00D80F3F" w:rsidRPr="00693790">
        <w:rPr>
          <w:rFonts w:ascii="Arial" w:hAnsi="Arial" w:cs="Arial"/>
        </w:rPr>
        <w:t xml:space="preserve"> </w:t>
      </w:r>
    </w:p>
    <w:p w14:paraId="30788733" w14:textId="34C6C7AC" w:rsidR="00075E92" w:rsidRPr="00693790" w:rsidRDefault="0097036A" w:rsidP="006F20B9">
      <w:pPr>
        <w:pStyle w:val="Heading3"/>
        <w:rPr>
          <w:rFonts w:eastAsia="Times New Roman"/>
          <w:lang w:eastAsia="en-GB"/>
        </w:rPr>
      </w:pPr>
      <w:bookmarkStart w:id="6" w:name="_Toc234191547"/>
      <w:r w:rsidRPr="00693790">
        <w:rPr>
          <w:rFonts w:eastAsia="Times New Roman"/>
          <w:lang w:eastAsia="en-GB"/>
        </w:rPr>
        <w:t xml:space="preserve">Table </w:t>
      </w:r>
      <w:r w:rsidR="00D80F3F" w:rsidRPr="00693790">
        <w:rPr>
          <w:rFonts w:eastAsia="Times New Roman"/>
          <w:lang w:eastAsia="en-GB"/>
        </w:rPr>
        <w:t>1:</w:t>
      </w:r>
      <w:bookmarkEnd w:id="6"/>
      <w:r w:rsidR="00D80F3F" w:rsidRPr="00693790">
        <w:rPr>
          <w:rFonts w:eastAsia="Times New Roman"/>
          <w:lang w:eastAsia="en-GB"/>
        </w:rPr>
        <w:t xml:space="preserve"> </w:t>
      </w:r>
    </w:p>
    <w:tbl>
      <w:tblPr>
        <w:tblStyle w:val="PlainTable5"/>
        <w:tblW w:w="0" w:type="auto"/>
        <w:tblLook w:val="04A0" w:firstRow="1" w:lastRow="0" w:firstColumn="1" w:lastColumn="0" w:noHBand="0" w:noVBand="1"/>
      </w:tblPr>
      <w:tblGrid>
        <w:gridCol w:w="1622"/>
        <w:gridCol w:w="3123"/>
        <w:gridCol w:w="4281"/>
      </w:tblGrid>
      <w:tr w:rsidR="0097036A" w:rsidRPr="00693790" w14:paraId="2453CFE9" w14:textId="77777777" w:rsidTr="0097036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B9E311C" w14:textId="45E63E1F" w:rsidR="0097036A" w:rsidRPr="00693790" w:rsidRDefault="0097036A" w:rsidP="00693790">
            <w:pPr>
              <w:spacing w:line="276" w:lineRule="auto"/>
              <w:jc w:val="both"/>
              <w:rPr>
                <w:rFonts w:ascii="Arial" w:eastAsia="Times New Roman" w:hAnsi="Arial" w:cs="Arial"/>
                <w:b/>
                <w:bCs/>
                <w:kern w:val="0"/>
                <w:sz w:val="24"/>
                <w:highlight w:val="yellow"/>
                <w:lang w:eastAsia="en-GB"/>
                <w14:ligatures w14:val="none"/>
              </w:rPr>
            </w:pPr>
            <w:r w:rsidRPr="00693790">
              <w:rPr>
                <w:rFonts w:ascii="Arial" w:hAnsi="Arial" w:cs="Arial"/>
                <w:b/>
                <w:bCs/>
                <w:sz w:val="24"/>
              </w:rPr>
              <w:t>Service Delivery Attribute</w:t>
            </w:r>
          </w:p>
        </w:tc>
        <w:tc>
          <w:tcPr>
            <w:tcW w:w="0" w:type="auto"/>
            <w:hideMark/>
          </w:tcPr>
          <w:p w14:paraId="0ECEE7A0" w14:textId="1C158EB6" w:rsidR="0097036A" w:rsidRPr="00693790" w:rsidRDefault="0097036A" w:rsidP="0069379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kern w:val="0"/>
                <w:sz w:val="24"/>
                <w:highlight w:val="yellow"/>
                <w:lang w:eastAsia="en-GB"/>
                <w14:ligatures w14:val="none"/>
              </w:rPr>
            </w:pPr>
            <w:r w:rsidRPr="00693790">
              <w:rPr>
                <w:rFonts w:ascii="Arial" w:hAnsi="Arial" w:cs="Arial"/>
                <w:b/>
                <w:bCs/>
                <w:sz w:val="24"/>
              </w:rPr>
              <w:t>Traditional Model</w:t>
            </w:r>
          </w:p>
        </w:tc>
        <w:tc>
          <w:tcPr>
            <w:tcW w:w="0" w:type="auto"/>
            <w:hideMark/>
          </w:tcPr>
          <w:p w14:paraId="3298A08B" w14:textId="76659572" w:rsidR="0097036A" w:rsidRPr="00693790" w:rsidRDefault="0097036A" w:rsidP="00693790">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kern w:val="0"/>
                <w:sz w:val="24"/>
                <w:highlight w:val="yellow"/>
                <w:lang w:eastAsia="en-GB"/>
                <w14:ligatures w14:val="none"/>
              </w:rPr>
            </w:pPr>
            <w:r w:rsidRPr="00693790">
              <w:rPr>
                <w:rFonts w:ascii="Arial" w:hAnsi="Arial" w:cs="Arial"/>
                <w:b/>
                <w:bCs/>
                <w:sz w:val="24"/>
              </w:rPr>
              <w:t>Telemedicine / Virtual First Model</w:t>
            </w:r>
          </w:p>
        </w:tc>
      </w:tr>
      <w:tr w:rsidR="0097036A" w:rsidRPr="00693790" w14:paraId="11B607A9" w14:textId="77777777" w:rsidTr="00970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5BE833" w14:textId="2B846915" w:rsidR="0097036A" w:rsidRPr="00693790" w:rsidRDefault="0097036A" w:rsidP="00693790">
            <w:pPr>
              <w:spacing w:line="276" w:lineRule="auto"/>
              <w:jc w:val="both"/>
              <w:rPr>
                <w:rFonts w:ascii="Arial" w:eastAsia="Times New Roman" w:hAnsi="Arial" w:cs="Arial"/>
                <w:b/>
                <w:bCs/>
                <w:kern w:val="0"/>
                <w:sz w:val="24"/>
                <w:highlight w:val="yellow"/>
                <w:lang w:eastAsia="en-GB"/>
                <w14:ligatures w14:val="none"/>
              </w:rPr>
            </w:pPr>
            <w:r w:rsidRPr="00693790">
              <w:rPr>
                <w:rFonts w:ascii="Arial" w:hAnsi="Arial" w:cs="Arial"/>
                <w:b/>
                <w:bCs/>
                <w:sz w:val="24"/>
              </w:rPr>
              <w:t>Triage &amp; Routing</w:t>
            </w:r>
          </w:p>
        </w:tc>
        <w:tc>
          <w:tcPr>
            <w:tcW w:w="0" w:type="auto"/>
            <w:hideMark/>
          </w:tcPr>
          <w:p w14:paraId="66E7BC19" w14:textId="51E87A4D" w:rsidR="0097036A" w:rsidRPr="00693790" w:rsidRDefault="0097036A" w:rsidP="0069379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Human receptionists- triage by calling or coming through queue systems.</w:t>
            </w:r>
          </w:p>
        </w:tc>
        <w:tc>
          <w:tcPr>
            <w:tcW w:w="0" w:type="auto"/>
            <w:hideMark/>
          </w:tcPr>
          <w:p w14:paraId="63280789" w14:textId="0BE79DAA" w:rsidR="0097036A" w:rsidRPr="00693790" w:rsidRDefault="0097036A" w:rsidP="0069379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Asynchronously routed cases can be touched by electronic consulting (eConsult) through automated algorithmic questionnaires.</w:t>
            </w:r>
          </w:p>
        </w:tc>
      </w:tr>
      <w:tr w:rsidR="0097036A" w:rsidRPr="00693790" w14:paraId="225CF244" w14:textId="77777777" w:rsidTr="0097036A">
        <w:tc>
          <w:tcPr>
            <w:cnfStyle w:val="001000000000" w:firstRow="0" w:lastRow="0" w:firstColumn="1" w:lastColumn="0" w:oddVBand="0" w:evenVBand="0" w:oddHBand="0" w:evenHBand="0" w:firstRowFirstColumn="0" w:firstRowLastColumn="0" w:lastRowFirstColumn="0" w:lastRowLastColumn="0"/>
            <w:tcW w:w="0" w:type="auto"/>
            <w:hideMark/>
          </w:tcPr>
          <w:p w14:paraId="0F509FA9" w14:textId="0EB4D5C6" w:rsidR="0097036A" w:rsidRPr="00693790" w:rsidRDefault="0097036A" w:rsidP="00693790">
            <w:pPr>
              <w:spacing w:line="276" w:lineRule="auto"/>
              <w:jc w:val="both"/>
              <w:rPr>
                <w:rFonts w:ascii="Arial" w:eastAsia="Times New Roman" w:hAnsi="Arial" w:cs="Arial"/>
                <w:b/>
                <w:bCs/>
                <w:kern w:val="0"/>
                <w:sz w:val="24"/>
                <w:highlight w:val="yellow"/>
                <w:lang w:eastAsia="en-GB"/>
                <w14:ligatures w14:val="none"/>
              </w:rPr>
            </w:pPr>
            <w:r w:rsidRPr="00693790">
              <w:rPr>
                <w:rFonts w:ascii="Arial" w:hAnsi="Arial" w:cs="Arial"/>
                <w:b/>
                <w:bCs/>
                <w:sz w:val="24"/>
              </w:rPr>
              <w:t>Estate &amp; Space Utilization</w:t>
            </w:r>
          </w:p>
        </w:tc>
        <w:tc>
          <w:tcPr>
            <w:tcW w:w="0" w:type="auto"/>
            <w:hideMark/>
          </w:tcPr>
          <w:p w14:paraId="2309D1E4" w14:textId="0B817C27" w:rsidR="0097036A" w:rsidRPr="00693790" w:rsidRDefault="0097036A" w:rsidP="0069379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Considerable physical foot traffic needing large waiting rooms and clinical space.</w:t>
            </w:r>
          </w:p>
        </w:tc>
        <w:tc>
          <w:tcPr>
            <w:tcW w:w="0" w:type="auto"/>
            <w:hideMark/>
          </w:tcPr>
          <w:p w14:paraId="4AC5D3D8" w14:textId="20D7E5C5" w:rsidR="0097036A" w:rsidRPr="00693790" w:rsidRDefault="0097036A" w:rsidP="0069379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Very few patients are attending clinics; outpatient room/consultation facilities are being converted for another purpose or clinicians are working from distant hubs.</w:t>
            </w:r>
          </w:p>
        </w:tc>
      </w:tr>
      <w:tr w:rsidR="0097036A" w:rsidRPr="00693790" w14:paraId="12543F8E" w14:textId="77777777" w:rsidTr="009703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6EAA6" w14:textId="3F4C7F9F" w:rsidR="0097036A" w:rsidRPr="00693790" w:rsidRDefault="0097036A" w:rsidP="00693790">
            <w:pPr>
              <w:spacing w:line="276" w:lineRule="auto"/>
              <w:jc w:val="both"/>
              <w:rPr>
                <w:rFonts w:ascii="Arial" w:eastAsia="Times New Roman" w:hAnsi="Arial" w:cs="Arial"/>
                <w:b/>
                <w:bCs/>
                <w:kern w:val="0"/>
                <w:sz w:val="24"/>
                <w:highlight w:val="yellow"/>
                <w:lang w:eastAsia="en-GB"/>
                <w14:ligatures w14:val="none"/>
              </w:rPr>
            </w:pPr>
            <w:r w:rsidRPr="00693790">
              <w:rPr>
                <w:rFonts w:ascii="Arial" w:hAnsi="Arial" w:cs="Arial"/>
                <w:b/>
                <w:bCs/>
                <w:sz w:val="24"/>
              </w:rPr>
              <w:lastRenderedPageBreak/>
              <w:t>Resource Efficiency</w:t>
            </w:r>
          </w:p>
        </w:tc>
        <w:tc>
          <w:tcPr>
            <w:tcW w:w="0" w:type="auto"/>
            <w:hideMark/>
          </w:tcPr>
          <w:p w14:paraId="0424DB3E" w14:textId="56390C6F" w:rsidR="0097036A" w:rsidRPr="00693790" w:rsidRDefault="0097036A" w:rsidP="0069379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The scheduling of the clinic is impacted by rigid 10-minute blocks and high rates of "Did Not Attend" (DNA)</w:t>
            </w:r>
          </w:p>
        </w:tc>
        <w:tc>
          <w:tcPr>
            <w:tcW w:w="0" w:type="auto"/>
            <w:hideMark/>
          </w:tcPr>
          <w:p w14:paraId="14FB9372" w14:textId="467D5905" w:rsidR="0097036A" w:rsidRPr="00693790" w:rsidRDefault="0097036A" w:rsidP="0069379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Fluid scheduling; simple reviews with low DNA rates, but high follow up complexity.</w:t>
            </w:r>
          </w:p>
        </w:tc>
      </w:tr>
      <w:tr w:rsidR="0097036A" w:rsidRPr="00693790" w14:paraId="2E23F7F6" w14:textId="77777777" w:rsidTr="0097036A">
        <w:tc>
          <w:tcPr>
            <w:cnfStyle w:val="001000000000" w:firstRow="0" w:lastRow="0" w:firstColumn="1" w:lastColumn="0" w:oddVBand="0" w:evenVBand="0" w:oddHBand="0" w:evenHBand="0" w:firstRowFirstColumn="0" w:firstRowLastColumn="0" w:lastRowFirstColumn="0" w:lastRowLastColumn="0"/>
            <w:tcW w:w="0" w:type="auto"/>
            <w:hideMark/>
          </w:tcPr>
          <w:p w14:paraId="4516D479" w14:textId="5667BC15" w:rsidR="0097036A" w:rsidRPr="00693790" w:rsidRDefault="0097036A" w:rsidP="00693790">
            <w:pPr>
              <w:spacing w:line="276" w:lineRule="auto"/>
              <w:jc w:val="both"/>
              <w:rPr>
                <w:rFonts w:ascii="Arial" w:eastAsia="Times New Roman" w:hAnsi="Arial" w:cs="Arial"/>
                <w:b/>
                <w:bCs/>
                <w:kern w:val="0"/>
                <w:sz w:val="24"/>
                <w:highlight w:val="yellow"/>
                <w:lang w:eastAsia="en-GB"/>
                <w14:ligatures w14:val="none"/>
              </w:rPr>
            </w:pPr>
            <w:r w:rsidRPr="00693790">
              <w:rPr>
                <w:rFonts w:ascii="Arial" w:hAnsi="Arial" w:cs="Arial"/>
                <w:b/>
                <w:bCs/>
                <w:sz w:val="24"/>
              </w:rPr>
              <w:t>Clinical Boundary</w:t>
            </w:r>
          </w:p>
        </w:tc>
        <w:tc>
          <w:tcPr>
            <w:tcW w:w="0" w:type="auto"/>
            <w:hideMark/>
          </w:tcPr>
          <w:p w14:paraId="17E1EE0A" w14:textId="17F583B9" w:rsidR="0097036A" w:rsidRPr="00693790" w:rsidRDefault="0097036A" w:rsidP="0069379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Time segregations and spatial segmentation between the clinic environment and external environments.</w:t>
            </w:r>
          </w:p>
        </w:tc>
        <w:tc>
          <w:tcPr>
            <w:tcW w:w="0" w:type="auto"/>
            <w:hideMark/>
          </w:tcPr>
          <w:p w14:paraId="5175C56E" w14:textId="408476D4" w:rsidR="0097036A" w:rsidRPr="00693790" w:rsidRDefault="0097036A" w:rsidP="00693790">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highlight w:val="yellow"/>
                <w:lang w:eastAsia="en-GB"/>
                <w14:ligatures w14:val="none"/>
              </w:rPr>
            </w:pPr>
            <w:r w:rsidRPr="00693790">
              <w:rPr>
                <w:rFonts w:ascii="Arial" w:hAnsi="Arial" w:cs="Arial"/>
              </w:rPr>
              <w:t>One contaminates the other; clinical consultations leak literally into home soil</w:t>
            </w:r>
          </w:p>
        </w:tc>
      </w:tr>
    </w:tbl>
    <w:p w14:paraId="75BF1088" w14:textId="77777777" w:rsidR="00075E92" w:rsidRPr="00693790" w:rsidRDefault="00075E92" w:rsidP="00693790">
      <w:pPr>
        <w:spacing w:after="100" w:afterAutospacing="1" w:line="276" w:lineRule="auto"/>
        <w:jc w:val="both"/>
        <w:outlineLvl w:val="2"/>
        <w:rPr>
          <w:rFonts w:ascii="Arial" w:eastAsia="Times New Roman" w:hAnsi="Arial" w:cs="Arial"/>
          <w:b/>
          <w:bCs/>
          <w:kern w:val="0"/>
          <w:highlight w:val="yellow"/>
          <w:lang w:eastAsia="en-GB"/>
          <w14:ligatures w14:val="none"/>
        </w:rPr>
      </w:pPr>
    </w:p>
    <w:p w14:paraId="597BA214" w14:textId="37A5F315" w:rsidR="00075E92" w:rsidRPr="00693790" w:rsidRDefault="00D80F3F" w:rsidP="00693790">
      <w:pPr>
        <w:spacing w:after="100" w:afterAutospacing="1" w:line="276" w:lineRule="auto"/>
        <w:jc w:val="both"/>
        <w:outlineLvl w:val="2"/>
        <w:rPr>
          <w:rFonts w:ascii="Arial" w:eastAsia="Times New Roman" w:hAnsi="Arial" w:cs="Arial"/>
          <w:kern w:val="0"/>
          <w:lang w:eastAsia="en-GB"/>
          <w14:ligatures w14:val="none"/>
        </w:rPr>
      </w:pPr>
      <w:bookmarkStart w:id="7" w:name="_Toc234191548"/>
      <w:r w:rsidRPr="00693790">
        <w:rPr>
          <w:rFonts w:ascii="Arial" w:eastAsia="Times New Roman" w:hAnsi="Arial" w:cs="Arial"/>
          <w:kern w:val="0"/>
          <w:u w:val="single"/>
          <w:lang w:eastAsia="en-GB"/>
          <w14:ligatures w14:val="none"/>
        </w:rPr>
        <w:t>Table 1:</w:t>
      </w:r>
      <w:r w:rsidRPr="00693790">
        <w:rPr>
          <w:rFonts w:ascii="Arial" w:eastAsia="Times New Roman" w:hAnsi="Arial" w:cs="Arial"/>
          <w:kern w:val="0"/>
          <w:lang w:eastAsia="en-GB"/>
          <w14:ligatures w14:val="none"/>
        </w:rPr>
        <w:t xml:space="preserve"> Showing the comparative difference between the Traditional Model and the Telemedicine / Virtual First Model.</w:t>
      </w:r>
      <w:bookmarkEnd w:id="7"/>
    </w:p>
    <w:p w14:paraId="5252FD13" w14:textId="77777777" w:rsidR="00D80F3F" w:rsidRPr="00693790" w:rsidRDefault="00D80F3F" w:rsidP="00693790">
      <w:pPr>
        <w:spacing w:after="100" w:afterAutospacing="1" w:line="276" w:lineRule="auto"/>
        <w:jc w:val="both"/>
        <w:outlineLvl w:val="2"/>
        <w:rPr>
          <w:rFonts w:ascii="Arial" w:eastAsia="Times New Roman" w:hAnsi="Arial" w:cs="Arial"/>
          <w:kern w:val="0"/>
          <w:highlight w:val="yellow"/>
          <w:lang w:eastAsia="en-GB"/>
          <w14:ligatures w14:val="none"/>
        </w:rPr>
      </w:pPr>
    </w:p>
    <w:p w14:paraId="7F0C14CF" w14:textId="77777777" w:rsidR="0057483B" w:rsidRPr="00693790" w:rsidRDefault="0057483B" w:rsidP="006F20B9">
      <w:pPr>
        <w:pStyle w:val="Heading2"/>
      </w:pPr>
      <w:bookmarkStart w:id="8" w:name="_Toc234191549"/>
      <w:r w:rsidRPr="00693790">
        <w:t>Operational Efficiencies and Capacity Optimization</w:t>
      </w:r>
      <w:bookmarkEnd w:id="8"/>
    </w:p>
    <w:p w14:paraId="0D8755FE" w14:textId="5CDE46C9" w:rsidR="0057483B" w:rsidRPr="00693790" w:rsidRDefault="0057483B" w:rsidP="00693790">
      <w:pPr>
        <w:pStyle w:val="NormalWeb"/>
        <w:spacing w:line="276" w:lineRule="auto"/>
        <w:jc w:val="both"/>
        <w:rPr>
          <w:rFonts w:ascii="Arial" w:hAnsi="Arial" w:cs="Arial"/>
        </w:rPr>
      </w:pPr>
      <w:r w:rsidRPr="00693790">
        <w:rPr>
          <w:rFonts w:ascii="Arial" w:hAnsi="Arial" w:cs="Arial"/>
        </w:rPr>
        <w:t>Virtual consultations have some obvious advantages in terms of operational efficiency for managing routine, admin and long-term condition monitoring pathways</w:t>
      </w:r>
      <w:r w:rsidR="00EA6594">
        <w:rPr>
          <w:rFonts w:ascii="Arial" w:hAnsi="Arial" w:cs="Arial"/>
        </w:rPr>
        <w:t xml:space="preserve"> </w:t>
      </w:r>
      <w:r w:rsidR="00EA6594" w:rsidRPr="00EA6594">
        <w:rPr>
          <w:rFonts w:ascii="Arial" w:hAnsi="Arial" w:cs="Arial"/>
        </w:rPr>
        <w:t>(Karibdzhanov, 2026)</w:t>
      </w:r>
      <w:r w:rsidRPr="00693790">
        <w:rPr>
          <w:rFonts w:ascii="Arial" w:hAnsi="Arial" w:cs="Arial"/>
        </w:rPr>
        <w:t>. Studies seem to suggest that a wide range of clinical conditions namely post-operative surgical follow-ups, medication reviews and routine diabetic management clinics demonstrate a high level of suitability for virtual models as well (Greenhalgh et al., 2016).</w:t>
      </w:r>
    </w:p>
    <w:p w14:paraId="1BFAB071" w14:textId="77777777" w:rsidR="0057483B" w:rsidRPr="00693790" w:rsidRDefault="0057483B" w:rsidP="00693790">
      <w:pPr>
        <w:pStyle w:val="NormalWeb"/>
        <w:spacing w:line="276" w:lineRule="auto"/>
        <w:jc w:val="both"/>
        <w:rPr>
          <w:rFonts w:ascii="Arial" w:hAnsi="Arial" w:cs="Arial"/>
        </w:rPr>
      </w:pPr>
      <w:r w:rsidRPr="00693790">
        <w:rPr>
          <w:rFonts w:ascii="Arial" w:hAnsi="Arial" w:cs="Arial"/>
        </w:rPr>
        <w:t>Secondary care outpatient departments have systematically reduced 'Did-Not-Attend' (DNA) rates and optimised space allocation by eliminating the need for physical space. This is most apparent in working-age populations and people with long-term stable chronic conditions who need continual ongoing specialist input (Mold et al., 2021).</w:t>
      </w:r>
    </w:p>
    <w:p w14:paraId="7B4F973E" w14:textId="7D0BCAEF" w:rsidR="0057483B" w:rsidRPr="00693790" w:rsidRDefault="0057483B" w:rsidP="006F20B9">
      <w:pPr>
        <w:pStyle w:val="Heading2"/>
      </w:pPr>
      <w:bookmarkStart w:id="9" w:name="_Toc234191550"/>
      <w:r w:rsidRPr="00693790">
        <w:t>Digital Demand &amp; System Friction</w:t>
      </w:r>
      <w:bookmarkEnd w:id="9"/>
    </w:p>
    <w:p w14:paraId="376A2E91" w14:textId="2C7E36B8" w:rsidR="0057483B" w:rsidRPr="00693790" w:rsidRDefault="0057483B" w:rsidP="00693790">
      <w:pPr>
        <w:pStyle w:val="NormalWeb"/>
        <w:spacing w:line="276" w:lineRule="auto"/>
        <w:jc w:val="both"/>
        <w:rPr>
          <w:rFonts w:ascii="Arial" w:hAnsi="Arial" w:cs="Arial"/>
        </w:rPr>
      </w:pPr>
      <w:r w:rsidRPr="00693790">
        <w:rPr>
          <w:rFonts w:ascii="Arial" w:hAnsi="Arial" w:cs="Arial"/>
        </w:rPr>
        <w:t>Even with these efficiencies, it is still an open question as to whether the digital transformation really helps</w:t>
      </w:r>
      <w:r w:rsidR="00EA6594">
        <w:rPr>
          <w:rFonts w:ascii="Arial" w:hAnsi="Arial" w:cs="Arial"/>
        </w:rPr>
        <w:t xml:space="preserve"> </w:t>
      </w:r>
      <w:r w:rsidR="00EA6594" w:rsidRPr="00EA6594">
        <w:rPr>
          <w:rFonts w:ascii="Arial" w:hAnsi="Arial" w:cs="Arial"/>
        </w:rPr>
        <w:t>(Kyratsis, 2026)</w:t>
      </w:r>
      <w:r w:rsidRPr="00693790">
        <w:rPr>
          <w:rFonts w:ascii="Arial" w:hAnsi="Arial" w:cs="Arial"/>
        </w:rPr>
        <w:t>. To compound this, low-barrier online triage tools connected to virtual consultations have paradoxically revealed unmet need leading to a surge in low-acuity contacts that challenge the capability of primary care systems (Turner et al., 2021).</w:t>
      </w:r>
    </w:p>
    <w:p w14:paraId="7F89530E" w14:textId="77777777" w:rsidR="0057483B" w:rsidRPr="00693790" w:rsidRDefault="0057483B" w:rsidP="00693790">
      <w:pPr>
        <w:pStyle w:val="NormalWeb"/>
        <w:spacing w:line="276" w:lineRule="auto"/>
        <w:jc w:val="both"/>
        <w:rPr>
          <w:rFonts w:ascii="Arial" w:hAnsi="Arial" w:cs="Arial"/>
        </w:rPr>
      </w:pPr>
      <w:r w:rsidRPr="00693790">
        <w:rPr>
          <w:rFonts w:ascii="Arial" w:hAnsi="Arial" w:cs="Arial"/>
        </w:rPr>
        <w:t xml:space="preserve">In addition, asynchronous communication loops often falsely integrate additional steps into clinical workflows. However, when clinical uncertainty this is evident by phone or video consult, a follow-up face-to-face visit must be booked for the safety of practitioners. Within each of these categories, there is a risk that providers </w:t>
      </w:r>
      <w:r w:rsidRPr="00693790">
        <w:rPr>
          <w:rFonts w:ascii="Arial" w:hAnsi="Arial" w:cs="Arial"/>
        </w:rPr>
        <w:lastRenderedPageBreak/>
        <w:t>inadvertently duplicate effort which leads to increased administrative and clinical time per episode (Greenhalgh et al., 2022).</w:t>
      </w:r>
    </w:p>
    <w:p w14:paraId="52442CE2" w14:textId="1AC4173A" w:rsidR="0057483B" w:rsidRPr="00693790" w:rsidRDefault="0057483B" w:rsidP="00693790">
      <w:pPr>
        <w:pStyle w:val="NormalWeb"/>
        <w:spacing w:line="276" w:lineRule="auto"/>
        <w:jc w:val="both"/>
        <w:rPr>
          <w:rFonts w:ascii="Arial" w:hAnsi="Arial" w:cs="Arial"/>
        </w:rPr>
      </w:pPr>
      <w:r w:rsidRPr="00693790">
        <w:rPr>
          <w:rFonts w:ascii="Arial" w:hAnsi="Arial" w:cs="Arial"/>
        </w:rPr>
        <w:t>Instead of simplifications, virtual consultations may involve an element of structural friction</w:t>
      </w:r>
      <w:r w:rsidR="00EA6594">
        <w:rPr>
          <w:rFonts w:ascii="Arial" w:hAnsi="Arial" w:cs="Arial"/>
        </w:rPr>
        <w:t xml:space="preserve"> - </w:t>
      </w:r>
      <w:r w:rsidRPr="00693790">
        <w:rPr>
          <w:rFonts w:ascii="Arial" w:hAnsi="Arial" w:cs="Arial"/>
        </w:rPr>
        <w:t>turning definitive single-contact care into gradual bite-sized multi-step encounters</w:t>
      </w:r>
      <w:r w:rsidR="00EA6594">
        <w:rPr>
          <w:rFonts w:ascii="Arial" w:hAnsi="Arial" w:cs="Arial"/>
        </w:rPr>
        <w:t xml:space="preserve"> </w:t>
      </w:r>
      <w:r w:rsidR="00EA6594" w:rsidRPr="00EA6594">
        <w:rPr>
          <w:rFonts w:ascii="Arial" w:hAnsi="Arial" w:cs="Arial"/>
        </w:rPr>
        <w:t>(Karibdzhanov, 2026).</w:t>
      </w:r>
    </w:p>
    <w:p w14:paraId="499668E8" w14:textId="77777777" w:rsidR="0057483B" w:rsidRPr="00693790" w:rsidRDefault="0057483B" w:rsidP="00693790">
      <w:pPr>
        <w:spacing w:after="100" w:afterAutospacing="1" w:line="276" w:lineRule="auto"/>
        <w:jc w:val="both"/>
        <w:rPr>
          <w:rFonts w:ascii="Arial" w:eastAsia="Times New Roman" w:hAnsi="Arial" w:cs="Arial"/>
          <w:kern w:val="0"/>
          <w:highlight w:val="yellow"/>
          <w:lang w:eastAsia="en-GB"/>
          <w14:ligatures w14:val="none"/>
        </w:rPr>
      </w:pPr>
    </w:p>
    <w:p w14:paraId="4F556567" w14:textId="12FBC3CF" w:rsidR="008F4536" w:rsidRPr="00693790" w:rsidRDefault="008F4536" w:rsidP="00693790">
      <w:pPr>
        <w:spacing w:after="100" w:afterAutospacing="1" w:line="276" w:lineRule="auto"/>
        <w:jc w:val="both"/>
        <w:rPr>
          <w:rFonts w:ascii="Arial" w:eastAsia="Times New Roman" w:hAnsi="Arial" w:cs="Arial"/>
          <w:kern w:val="0"/>
          <w:highlight w:val="yellow"/>
          <w:lang w:eastAsia="en-GB"/>
          <w14:ligatures w14:val="none"/>
        </w:rPr>
      </w:pPr>
    </w:p>
    <w:p w14:paraId="7D352C45" w14:textId="6673DFF2" w:rsidR="00644CD2" w:rsidRPr="00693790" w:rsidRDefault="00346FA8" w:rsidP="006F20B9">
      <w:pPr>
        <w:pStyle w:val="Heading1"/>
      </w:pPr>
      <w:bookmarkStart w:id="10" w:name="_Toc234191551"/>
      <w:r w:rsidRPr="00693790">
        <w:t>EFFECTS ON PATIENTS AND SERVICE USERS</w:t>
      </w:r>
      <w:bookmarkEnd w:id="10"/>
    </w:p>
    <w:p w14:paraId="7BF06147" w14:textId="77777777" w:rsidR="00644CD2" w:rsidRPr="00693790" w:rsidRDefault="00644CD2" w:rsidP="00693790">
      <w:pPr>
        <w:pStyle w:val="NormalWeb"/>
        <w:spacing w:line="276" w:lineRule="auto"/>
        <w:jc w:val="both"/>
        <w:rPr>
          <w:rFonts w:ascii="Arial" w:hAnsi="Arial" w:cs="Arial"/>
        </w:rPr>
      </w:pPr>
      <w:r w:rsidRPr="00693790">
        <w:rPr>
          <w:rFonts w:ascii="Arial" w:hAnsi="Arial" w:cs="Arial"/>
        </w:rPr>
        <w:t>Virtual care has changed how people experience, understand and engage in their own healthcare journeys. These findings can be contextualised within a broader debate about positive and negative service user responses to telemedicine that highlights different views of care as transactional convenience or relational therapeutic.</w:t>
      </w:r>
    </w:p>
    <w:p w14:paraId="4FD0D7B4" w14:textId="77777777" w:rsidR="00644CD2" w:rsidRPr="00693790" w:rsidRDefault="00644CD2" w:rsidP="006F20B9">
      <w:pPr>
        <w:pStyle w:val="Heading2"/>
      </w:pPr>
      <w:bookmarkStart w:id="11" w:name="_Toc234191552"/>
      <w:r w:rsidRPr="00693790">
        <w:t>Convenience, Autonomy, and Patient Satisfaction</w:t>
      </w:r>
      <w:bookmarkEnd w:id="11"/>
    </w:p>
    <w:p w14:paraId="19EFF86C" w14:textId="77777777" w:rsidR="00644CD2" w:rsidRPr="00693790" w:rsidRDefault="00644CD2" w:rsidP="00693790">
      <w:pPr>
        <w:pStyle w:val="NormalWeb"/>
        <w:spacing w:line="276" w:lineRule="auto"/>
        <w:jc w:val="both"/>
        <w:rPr>
          <w:rFonts w:ascii="Arial" w:hAnsi="Arial" w:cs="Arial"/>
        </w:rPr>
      </w:pPr>
      <w:r w:rsidRPr="00693790">
        <w:rPr>
          <w:rFonts w:ascii="Arial" w:hAnsi="Arial" w:cs="Arial"/>
        </w:rPr>
        <w:t>Virtual consultations are extremely beneficial to a large segment of the population, especially those who are digitally literate, economically active and/or in remote areas. Patients do not have to incur the financial costs, travel time and logistics of attending physical clinics (Greenhalgh et al., 2016).</w:t>
      </w:r>
    </w:p>
    <w:p w14:paraId="261A0D85" w14:textId="7E4B2699" w:rsidR="00644CD2" w:rsidRPr="00693790" w:rsidRDefault="00644CD2" w:rsidP="00693790">
      <w:pPr>
        <w:pStyle w:val="NormalWeb"/>
        <w:spacing w:line="276" w:lineRule="auto"/>
        <w:jc w:val="both"/>
        <w:rPr>
          <w:rFonts w:ascii="Arial" w:hAnsi="Arial" w:cs="Arial"/>
        </w:rPr>
      </w:pPr>
      <w:r w:rsidRPr="00693790">
        <w:rPr>
          <w:rFonts w:ascii="Arial" w:hAnsi="Arial" w:cs="Arial"/>
        </w:rPr>
        <w:t>Remote consultations can provide security and control within mental health and psychiatric services. Service users may be able to interact with therapists from their own, familiar home environment</w:t>
      </w:r>
      <w:r w:rsidR="00E17E64">
        <w:rPr>
          <w:rFonts w:ascii="Arial" w:hAnsi="Arial" w:cs="Arial"/>
        </w:rPr>
        <w:t>,</w:t>
      </w:r>
      <w:r w:rsidRPr="00693790">
        <w:rPr>
          <w:rFonts w:ascii="Arial" w:hAnsi="Arial" w:cs="Arial"/>
        </w:rPr>
        <w:t xml:space="preserve"> </w:t>
      </w:r>
      <w:r w:rsidR="00E17E64">
        <w:rPr>
          <w:rFonts w:ascii="Arial" w:hAnsi="Arial" w:cs="Arial"/>
        </w:rPr>
        <w:t>allowing</w:t>
      </w:r>
      <w:r w:rsidRPr="00693790">
        <w:rPr>
          <w:rFonts w:ascii="Arial" w:hAnsi="Arial" w:cs="Arial"/>
        </w:rPr>
        <w:t xml:space="preserve"> some reduction of stigma and anxiety sometimes created from physical waiting rooms (Greenhalgh et al., 2016).</w:t>
      </w:r>
    </w:p>
    <w:p w14:paraId="50856954" w14:textId="77777777" w:rsidR="00644CD2" w:rsidRPr="00693790" w:rsidRDefault="00644CD2" w:rsidP="006F20B9">
      <w:pPr>
        <w:pStyle w:val="Heading2"/>
      </w:pPr>
      <w:bookmarkStart w:id="12" w:name="_Toc234191553"/>
      <w:r w:rsidRPr="00693790">
        <w:t>Decline of the Healing Presence and The Transactional Shift</w:t>
      </w:r>
      <w:bookmarkEnd w:id="12"/>
    </w:p>
    <w:p w14:paraId="29269655" w14:textId="77777777" w:rsidR="00644CD2" w:rsidRPr="00693790" w:rsidRDefault="00644CD2" w:rsidP="00693790">
      <w:pPr>
        <w:pStyle w:val="NormalWeb"/>
        <w:spacing w:line="276" w:lineRule="auto"/>
        <w:jc w:val="both"/>
        <w:rPr>
          <w:rFonts w:ascii="Arial" w:hAnsi="Arial" w:cs="Arial"/>
        </w:rPr>
      </w:pPr>
      <w:r w:rsidRPr="00693790">
        <w:rPr>
          <w:rFonts w:ascii="Arial" w:hAnsi="Arial" w:cs="Arial"/>
        </w:rPr>
        <w:t>By contrast, many service users feel profoundly alienated in digital healthcare environments. Without physical presence, the consultation is stripped down to an economic transaction, allowing difficulty for patients to build rapport, feel listened to or articulate complicated fears (Turner et al., 2021).</w:t>
      </w:r>
    </w:p>
    <w:p w14:paraId="4861F40D" w14:textId="617A4DBF" w:rsidR="00644CD2" w:rsidRPr="00693790" w:rsidRDefault="00644CD2" w:rsidP="00693790">
      <w:pPr>
        <w:pStyle w:val="NormalWeb"/>
        <w:spacing w:line="276" w:lineRule="auto"/>
        <w:jc w:val="both"/>
        <w:rPr>
          <w:rFonts w:ascii="Arial" w:hAnsi="Arial" w:cs="Arial"/>
        </w:rPr>
      </w:pPr>
      <w:r w:rsidRPr="00693790">
        <w:rPr>
          <w:rFonts w:ascii="Arial" w:hAnsi="Arial" w:cs="Arial"/>
        </w:rPr>
        <w:t xml:space="preserve">Importantly, the virtual model turns safety into a patient-led enterprise. Many service users </w:t>
      </w:r>
      <w:r w:rsidR="00E17E64">
        <w:rPr>
          <w:rFonts w:ascii="Arial" w:hAnsi="Arial" w:cs="Arial"/>
        </w:rPr>
        <w:t>who</w:t>
      </w:r>
      <w:r w:rsidRPr="00693790">
        <w:rPr>
          <w:rFonts w:ascii="Arial" w:hAnsi="Arial" w:cs="Arial"/>
        </w:rPr>
        <w:t xml:space="preserve"> live in overcrowded, shared or unstable housing have difficulty accessing </w:t>
      </w:r>
      <w:r w:rsidR="00E17E64">
        <w:rPr>
          <w:rFonts w:ascii="Arial" w:hAnsi="Arial" w:cs="Arial"/>
        </w:rPr>
        <w:t xml:space="preserve">a </w:t>
      </w:r>
      <w:r w:rsidRPr="00693790">
        <w:rPr>
          <w:rFonts w:ascii="Arial" w:hAnsi="Arial" w:cs="Arial"/>
        </w:rPr>
        <w:t xml:space="preserve">private, </w:t>
      </w:r>
      <w:r w:rsidR="00E17E64">
        <w:rPr>
          <w:rFonts w:ascii="Arial" w:hAnsi="Arial" w:cs="Arial"/>
        </w:rPr>
        <w:t>quiet</w:t>
      </w:r>
      <w:r w:rsidRPr="00693790">
        <w:rPr>
          <w:rFonts w:ascii="Arial" w:hAnsi="Arial" w:cs="Arial"/>
        </w:rPr>
        <w:t xml:space="preserve"> environment to discuss any sensitive medical/psychiatric history. This limitation threatens confidentiality and may inhibit complete clinical disclosure.</w:t>
      </w:r>
    </w:p>
    <w:p w14:paraId="79F34A0F" w14:textId="357548D7" w:rsidR="00DE1C45" w:rsidRPr="0009700C" w:rsidRDefault="00346FA8" w:rsidP="006F20B9">
      <w:pPr>
        <w:pStyle w:val="Heading1"/>
        <w:rPr>
          <w:color w:val="153D63" w:themeColor="text2" w:themeTint="E6"/>
        </w:rPr>
      </w:pPr>
      <w:bookmarkStart w:id="13" w:name="_Toc234191554"/>
      <w:r w:rsidRPr="0009700C">
        <w:rPr>
          <w:color w:val="153D63" w:themeColor="text2" w:themeTint="E6"/>
        </w:rPr>
        <w:lastRenderedPageBreak/>
        <w:t>IMPACT ON COMMUNITY</w:t>
      </w:r>
      <w:bookmarkEnd w:id="13"/>
    </w:p>
    <w:p w14:paraId="056D0795"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Interpreting telemedicine via a public health lens holds strong importance for community structures, family dynamics and health equity.</w:t>
      </w:r>
    </w:p>
    <w:p w14:paraId="42C8826C" w14:textId="77777777" w:rsidR="00DE1C45" w:rsidRPr="00693790" w:rsidRDefault="00DE1C45" w:rsidP="006F20B9">
      <w:pPr>
        <w:pStyle w:val="Heading2"/>
      </w:pPr>
      <w:bookmarkStart w:id="14" w:name="_Toc234191555"/>
      <w:r w:rsidRPr="00693790">
        <w:t>Health Inequalities and the Digital Divide</w:t>
      </w:r>
      <w:bookmarkEnd w:id="14"/>
    </w:p>
    <w:p w14:paraId="214031EB"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Notably, the most consequential adverse effect of the transition to remote consultations is likely to be perpetuating the "digital divide" across populations. Digital exclusion is a structural determinant of health that is highly patterned, often by socio-economic status, age and geography (Mold et al., 2021).</w:t>
      </w:r>
    </w:p>
    <w:p w14:paraId="36C7BF31"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Digitally first delivery models are systematically at a disadvantage for communities that have a high level of deprivation, limited broadband infrastructure or those whose language literacy is low. Older adults with cognitive or sensory disabilities and people who do not read social types of smart devices and data packages have access barriers (Mold et al., 2021).</w:t>
      </w:r>
    </w:p>
    <w:p w14:paraId="27FE84D5" w14:textId="13D93C07" w:rsidR="00DE1C45" w:rsidRPr="00693790" w:rsidRDefault="00DE1C45" w:rsidP="00693790">
      <w:pPr>
        <w:pStyle w:val="NormalWeb"/>
        <w:spacing w:line="276" w:lineRule="auto"/>
        <w:jc w:val="both"/>
        <w:rPr>
          <w:rFonts w:ascii="Arial" w:hAnsi="Arial" w:cs="Arial"/>
        </w:rPr>
      </w:pPr>
      <w:r w:rsidRPr="00693790">
        <w:rPr>
          <w:rFonts w:ascii="Arial" w:hAnsi="Arial" w:cs="Arial"/>
        </w:rPr>
        <w:t>Therefore, defaulting to virtual consultations is an opportunity for further entrenchment of existing health inequalities, shifting access from those individuals who may be vulnerable towards wealthier, younger and digitally literate cohorts</w:t>
      </w:r>
      <w:r w:rsidR="00611093" w:rsidRPr="00611093">
        <w:t xml:space="preserve"> </w:t>
      </w:r>
      <w:r w:rsidR="00611093">
        <w:t>(</w:t>
      </w:r>
      <w:r w:rsidR="00611093" w:rsidRPr="00611093">
        <w:rPr>
          <w:rFonts w:ascii="Arial" w:hAnsi="Arial" w:cs="Arial"/>
        </w:rPr>
        <w:t xml:space="preserve">Bangla, Kapoor </w:t>
      </w:r>
      <w:r w:rsidR="00611093">
        <w:rPr>
          <w:rFonts w:ascii="Arial" w:hAnsi="Arial" w:cs="Arial"/>
        </w:rPr>
        <w:t>and</w:t>
      </w:r>
      <w:r w:rsidR="00611093" w:rsidRPr="00611093">
        <w:rPr>
          <w:rFonts w:ascii="Arial" w:hAnsi="Arial" w:cs="Arial"/>
        </w:rPr>
        <w:t xml:space="preserve"> Jeer,</w:t>
      </w:r>
      <w:r w:rsidR="00611093">
        <w:rPr>
          <w:rFonts w:ascii="Arial" w:hAnsi="Arial" w:cs="Arial"/>
        </w:rPr>
        <w:t xml:space="preserve"> </w:t>
      </w:r>
      <w:r w:rsidR="00611093" w:rsidRPr="00611093">
        <w:rPr>
          <w:rFonts w:ascii="Arial" w:hAnsi="Arial" w:cs="Arial"/>
        </w:rPr>
        <w:t>2026).</w:t>
      </w:r>
    </w:p>
    <w:p w14:paraId="6A3AA489" w14:textId="77777777" w:rsidR="00DE1C45" w:rsidRPr="00693790" w:rsidRDefault="00DE1C45" w:rsidP="006F20B9">
      <w:pPr>
        <w:pStyle w:val="Heading2"/>
      </w:pPr>
      <w:bookmarkStart w:id="15" w:name="_Toc234191556"/>
      <w:r w:rsidRPr="00693790">
        <w:t>Family Burden, Co-Production and Public Health Focus</w:t>
      </w:r>
      <w:bookmarkEnd w:id="15"/>
    </w:p>
    <w:p w14:paraId="66C70EB5" w14:textId="4C4DD938" w:rsidR="00DE1C45" w:rsidRPr="00693790" w:rsidRDefault="006F20B9" w:rsidP="00693790">
      <w:pPr>
        <w:pStyle w:val="NormalWeb"/>
        <w:spacing w:line="276" w:lineRule="auto"/>
        <w:jc w:val="both"/>
        <w:rPr>
          <w:rFonts w:ascii="Arial" w:hAnsi="Arial" w:cs="Arial"/>
        </w:rPr>
      </w:pPr>
      <w:r w:rsidRPr="00693790">
        <w:rPr>
          <w:rFonts w:ascii="Arial" w:hAnsi="Arial" w:cs="Arial"/>
        </w:rPr>
        <w:t>Often</w:t>
      </w:r>
      <w:r w:rsidR="00DE1C45" w:rsidRPr="00693790">
        <w:rPr>
          <w:rFonts w:ascii="Arial" w:hAnsi="Arial" w:cs="Arial"/>
        </w:rPr>
        <w:t xml:space="preserve"> at the household level, virtual care pushes this logistical and supportive burden straight onto family members and informal carers. With repeated phases of intervention, tasks have emerged with carers regularly intervening as technical facilitators to set up hardware, interact with digital interfaces and translate clinical direction during remote consultations (Mold et al., 2021).</w:t>
      </w:r>
    </w:p>
    <w:p w14:paraId="7D8C2804"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This transformation, while creating some components of family-centred co-production, also represents an additional and uncompensated burden on increasingly stretched support networks.</w:t>
      </w:r>
    </w:p>
    <w:p w14:paraId="04E821BC" w14:textId="44C3E018" w:rsidR="00DE1C45" w:rsidRPr="00693790" w:rsidRDefault="00DE1C45" w:rsidP="00693790">
      <w:pPr>
        <w:pStyle w:val="NormalWeb"/>
        <w:spacing w:line="276" w:lineRule="auto"/>
        <w:jc w:val="both"/>
        <w:rPr>
          <w:rFonts w:ascii="Arial" w:hAnsi="Arial" w:cs="Arial"/>
        </w:rPr>
      </w:pPr>
      <w:r w:rsidRPr="00693790">
        <w:rPr>
          <w:rFonts w:ascii="Arial" w:hAnsi="Arial" w:cs="Arial"/>
        </w:rPr>
        <w:t xml:space="preserve">The formality and clinical focus of virtual consultations limit the opportunity for opportunistic healthcare, something that's especially important from a public health perspective. Clinicians can identify physiological changes, observe mobility while </w:t>
      </w:r>
      <w:r w:rsidR="00E17E64" w:rsidRPr="00693790">
        <w:rPr>
          <w:rFonts w:ascii="Arial" w:hAnsi="Arial" w:cs="Arial"/>
        </w:rPr>
        <w:t>and hypertension</w:t>
      </w:r>
      <w:r w:rsidRPr="00693790">
        <w:rPr>
          <w:rFonts w:ascii="Arial" w:hAnsi="Arial" w:cs="Arial"/>
        </w:rPr>
        <w:t xml:space="preserve"> or experience safeguarding risks </w:t>
      </w:r>
      <w:r w:rsidR="00E656A9">
        <w:rPr>
          <w:rFonts w:ascii="Arial" w:hAnsi="Arial" w:cs="Arial"/>
        </w:rPr>
        <w:t xml:space="preserve">is </w:t>
      </w:r>
      <w:r w:rsidRPr="00693790">
        <w:rPr>
          <w:rFonts w:ascii="Arial" w:hAnsi="Arial" w:cs="Arial"/>
        </w:rPr>
        <w:t xml:space="preserve">not visible by </w:t>
      </w:r>
      <w:r w:rsidR="00E656A9" w:rsidRPr="00693790">
        <w:rPr>
          <w:rFonts w:ascii="Arial" w:hAnsi="Arial" w:cs="Arial"/>
        </w:rPr>
        <w:t xml:space="preserve">webcam </w:t>
      </w:r>
      <w:r w:rsidR="003F20D2">
        <w:t>(</w:t>
      </w:r>
      <w:r w:rsidR="003F20D2" w:rsidRPr="003F20D2">
        <w:rPr>
          <w:rFonts w:ascii="Arial" w:hAnsi="Arial" w:cs="Arial"/>
        </w:rPr>
        <w:t>Karibdzhanov</w:t>
      </w:r>
      <w:r w:rsidR="003F20D2">
        <w:rPr>
          <w:rFonts w:ascii="Arial" w:hAnsi="Arial" w:cs="Arial"/>
        </w:rPr>
        <w:t xml:space="preserve">, </w:t>
      </w:r>
      <w:r w:rsidR="003F20D2" w:rsidRPr="003F20D2">
        <w:rPr>
          <w:rFonts w:ascii="Arial" w:hAnsi="Arial" w:cs="Arial"/>
        </w:rPr>
        <w:t>2026)</w:t>
      </w:r>
      <w:r w:rsidRPr="00693790">
        <w:rPr>
          <w:rFonts w:ascii="Arial" w:hAnsi="Arial" w:cs="Arial"/>
        </w:rPr>
        <w:t>.</w:t>
      </w:r>
    </w:p>
    <w:p w14:paraId="5862DB93"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The loss of this incidental information decreases the community's ability to address clinical issues early and provide proactive preventative care.</w:t>
      </w:r>
    </w:p>
    <w:p w14:paraId="2B6D98A3" w14:textId="77777777" w:rsidR="00B847B4" w:rsidRDefault="00B847B4" w:rsidP="00693790">
      <w:pPr>
        <w:pStyle w:val="NormalWeb"/>
        <w:spacing w:line="276" w:lineRule="auto"/>
        <w:jc w:val="both"/>
        <w:rPr>
          <w:rFonts w:ascii="Arial" w:hAnsi="Arial" w:cs="Arial"/>
          <w:b/>
          <w:bCs/>
        </w:rPr>
      </w:pPr>
    </w:p>
    <w:p w14:paraId="29545E35" w14:textId="00E6A5A7" w:rsidR="00DE1C45" w:rsidRPr="00693790" w:rsidRDefault="00346FA8" w:rsidP="009129D4">
      <w:pPr>
        <w:pStyle w:val="Heading1"/>
      </w:pPr>
      <w:r w:rsidRPr="00693790">
        <w:t>CONCLUSION</w:t>
      </w:r>
    </w:p>
    <w:p w14:paraId="24AEEA47" w14:textId="73A1BB89" w:rsidR="00DE1C45" w:rsidRPr="00693790" w:rsidRDefault="00DE1C45" w:rsidP="00693790">
      <w:pPr>
        <w:pStyle w:val="NormalWeb"/>
        <w:spacing w:line="276" w:lineRule="auto"/>
        <w:jc w:val="both"/>
        <w:rPr>
          <w:rFonts w:ascii="Arial" w:hAnsi="Arial" w:cs="Arial"/>
        </w:rPr>
      </w:pPr>
      <w:r w:rsidRPr="00693790">
        <w:rPr>
          <w:rFonts w:ascii="Arial" w:hAnsi="Arial" w:cs="Arial"/>
        </w:rPr>
        <w:t xml:space="preserve">The unprecedented digital change that has occurred </w:t>
      </w:r>
      <w:r w:rsidR="00E17E64" w:rsidRPr="00693790">
        <w:rPr>
          <w:rFonts w:ascii="Arial" w:hAnsi="Arial" w:cs="Arial"/>
        </w:rPr>
        <w:t>because of</w:t>
      </w:r>
      <w:r w:rsidRPr="00693790">
        <w:rPr>
          <w:rFonts w:ascii="Arial" w:hAnsi="Arial" w:cs="Arial"/>
        </w:rPr>
        <w:t xml:space="preserve"> the use of telemedicine/virtual consultations among health and social care services in the UK for nearly ten years is both highly complex and significant. It has proven talent in planning resources, reducing service DNA rates and bringing added comfort for a significant portion of the UK population as an innovation.</w:t>
      </w:r>
    </w:p>
    <w:p w14:paraId="655E6328" w14:textId="7D09D231" w:rsidR="00DE1C45" w:rsidRPr="00693790" w:rsidRDefault="00DE1C45" w:rsidP="00693790">
      <w:pPr>
        <w:pStyle w:val="NormalWeb"/>
        <w:spacing w:line="276" w:lineRule="auto"/>
        <w:jc w:val="both"/>
        <w:rPr>
          <w:rFonts w:ascii="Arial" w:hAnsi="Arial" w:cs="Arial"/>
        </w:rPr>
      </w:pPr>
      <w:r w:rsidRPr="00693790">
        <w:rPr>
          <w:rFonts w:ascii="Arial" w:hAnsi="Arial" w:cs="Arial"/>
        </w:rPr>
        <w:t>But a dispassionate assessment shows that this efficiency has come at the price of workforce health, clinical certainty and good equity of access. It has amplified cognitive demand on professionals, turned holistic care into an even more transactional exchange and perpetuated a new structural digital divide that will isolate vulnerable communities.</w:t>
      </w:r>
    </w:p>
    <w:p w14:paraId="710EECAA"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For an equitable, digital-first healthcare system to emerge, policy frameworks must be released from "remote by default" mandates. Instead, services must adopt flexible hybrid care paths that align method of consultation to clinical need and personal preference.</w:t>
      </w:r>
    </w:p>
    <w:p w14:paraId="649A2E9E" w14:textId="77777777" w:rsidR="00DE1C45" w:rsidRPr="00693790" w:rsidRDefault="00DE1C45" w:rsidP="00693790">
      <w:pPr>
        <w:pStyle w:val="NormalWeb"/>
        <w:spacing w:line="276" w:lineRule="auto"/>
        <w:jc w:val="both"/>
        <w:rPr>
          <w:rFonts w:ascii="Arial" w:hAnsi="Arial" w:cs="Arial"/>
        </w:rPr>
      </w:pPr>
      <w:r w:rsidRPr="00693790">
        <w:rPr>
          <w:rFonts w:ascii="Arial" w:hAnsi="Arial" w:cs="Arial"/>
        </w:rPr>
        <w:t>At the end of the day something with digital innovations needs to be an extension of care that is inclusive and never divide, as soon as it replaces that important human element in therapeutic practice.</w:t>
      </w:r>
    </w:p>
    <w:p w14:paraId="38EFC4D2" w14:textId="77777777" w:rsidR="00DE1C45" w:rsidRDefault="00DE1C45" w:rsidP="00693790">
      <w:pPr>
        <w:spacing w:after="100" w:afterAutospacing="1" w:line="276" w:lineRule="auto"/>
        <w:rPr>
          <w:rFonts w:ascii="Arial" w:eastAsia="Times New Roman" w:hAnsi="Arial" w:cs="Arial"/>
          <w:kern w:val="0"/>
          <w:lang w:eastAsia="en-GB"/>
          <w14:ligatures w14:val="none"/>
        </w:rPr>
      </w:pPr>
    </w:p>
    <w:p w14:paraId="3935DC6A" w14:textId="77777777" w:rsidR="00E656A9" w:rsidRDefault="00E656A9" w:rsidP="00693790">
      <w:pPr>
        <w:spacing w:after="100" w:afterAutospacing="1" w:line="276" w:lineRule="auto"/>
        <w:rPr>
          <w:rFonts w:ascii="Arial" w:eastAsia="Times New Roman" w:hAnsi="Arial" w:cs="Arial"/>
          <w:kern w:val="0"/>
          <w:lang w:eastAsia="en-GB"/>
          <w14:ligatures w14:val="none"/>
        </w:rPr>
      </w:pPr>
    </w:p>
    <w:p w14:paraId="0C28047F" w14:textId="77777777" w:rsidR="00E656A9" w:rsidRDefault="00E656A9" w:rsidP="00693790">
      <w:pPr>
        <w:spacing w:after="100" w:afterAutospacing="1" w:line="276" w:lineRule="auto"/>
        <w:rPr>
          <w:rFonts w:ascii="Arial" w:eastAsia="Times New Roman" w:hAnsi="Arial" w:cs="Arial"/>
          <w:kern w:val="0"/>
          <w:lang w:eastAsia="en-GB"/>
          <w14:ligatures w14:val="none"/>
        </w:rPr>
      </w:pPr>
    </w:p>
    <w:p w14:paraId="58BB8CF2" w14:textId="77777777" w:rsidR="00E656A9" w:rsidRDefault="00E656A9" w:rsidP="00693790">
      <w:pPr>
        <w:spacing w:after="100" w:afterAutospacing="1" w:line="276" w:lineRule="auto"/>
        <w:rPr>
          <w:rFonts w:ascii="Arial" w:eastAsia="Times New Roman" w:hAnsi="Arial" w:cs="Arial"/>
          <w:kern w:val="0"/>
          <w:lang w:eastAsia="en-GB"/>
          <w14:ligatures w14:val="none"/>
        </w:rPr>
      </w:pPr>
    </w:p>
    <w:p w14:paraId="512CBD8F" w14:textId="77777777" w:rsidR="009129D4" w:rsidRDefault="009129D4" w:rsidP="00693790">
      <w:pPr>
        <w:spacing w:after="100" w:afterAutospacing="1" w:line="276" w:lineRule="auto"/>
        <w:rPr>
          <w:rFonts w:ascii="Arial" w:eastAsia="Times New Roman" w:hAnsi="Arial" w:cs="Arial"/>
          <w:kern w:val="0"/>
          <w:lang w:eastAsia="en-GB"/>
          <w14:ligatures w14:val="none"/>
        </w:rPr>
      </w:pPr>
    </w:p>
    <w:p w14:paraId="56A6A677" w14:textId="77777777" w:rsidR="009129D4" w:rsidRDefault="009129D4" w:rsidP="00693790">
      <w:pPr>
        <w:spacing w:after="100" w:afterAutospacing="1" w:line="276" w:lineRule="auto"/>
        <w:rPr>
          <w:rFonts w:ascii="Arial" w:eastAsia="Times New Roman" w:hAnsi="Arial" w:cs="Arial"/>
          <w:kern w:val="0"/>
          <w:lang w:eastAsia="en-GB"/>
          <w14:ligatures w14:val="none"/>
        </w:rPr>
      </w:pPr>
    </w:p>
    <w:p w14:paraId="69857963" w14:textId="77777777" w:rsidR="009129D4" w:rsidRDefault="009129D4" w:rsidP="00693790">
      <w:pPr>
        <w:spacing w:after="100" w:afterAutospacing="1" w:line="276" w:lineRule="auto"/>
        <w:rPr>
          <w:rFonts w:ascii="Arial" w:eastAsia="Times New Roman" w:hAnsi="Arial" w:cs="Arial"/>
          <w:kern w:val="0"/>
          <w:lang w:eastAsia="en-GB"/>
          <w14:ligatures w14:val="none"/>
        </w:rPr>
      </w:pPr>
    </w:p>
    <w:p w14:paraId="394B04E0" w14:textId="77777777" w:rsidR="009129D4" w:rsidRDefault="009129D4" w:rsidP="00693790">
      <w:pPr>
        <w:spacing w:after="100" w:afterAutospacing="1" w:line="276" w:lineRule="auto"/>
        <w:rPr>
          <w:rFonts w:ascii="Arial" w:eastAsia="Times New Roman" w:hAnsi="Arial" w:cs="Arial"/>
          <w:kern w:val="0"/>
          <w:lang w:eastAsia="en-GB"/>
          <w14:ligatures w14:val="none"/>
        </w:rPr>
      </w:pPr>
    </w:p>
    <w:p w14:paraId="2999A5BF" w14:textId="77777777" w:rsidR="009129D4" w:rsidRDefault="009129D4" w:rsidP="00693790">
      <w:pPr>
        <w:spacing w:after="100" w:afterAutospacing="1" w:line="276" w:lineRule="auto"/>
        <w:rPr>
          <w:rFonts w:ascii="Arial" w:eastAsia="Times New Roman" w:hAnsi="Arial" w:cs="Arial"/>
          <w:kern w:val="0"/>
          <w:lang w:eastAsia="en-GB"/>
          <w14:ligatures w14:val="none"/>
        </w:rPr>
      </w:pPr>
    </w:p>
    <w:p w14:paraId="3E892E3E" w14:textId="77777777" w:rsidR="009129D4" w:rsidRPr="00693790" w:rsidRDefault="009129D4" w:rsidP="00693790">
      <w:pPr>
        <w:spacing w:after="100" w:afterAutospacing="1" w:line="276" w:lineRule="auto"/>
        <w:rPr>
          <w:rFonts w:ascii="Arial" w:eastAsia="Times New Roman" w:hAnsi="Arial" w:cs="Arial"/>
          <w:kern w:val="0"/>
          <w:lang w:eastAsia="en-GB"/>
          <w14:ligatures w14:val="none"/>
        </w:rPr>
      </w:pPr>
    </w:p>
    <w:p w14:paraId="2AAEE1C5" w14:textId="47DF12A2" w:rsidR="008F4536" w:rsidRPr="00693790" w:rsidRDefault="00346FA8" w:rsidP="00693790">
      <w:pPr>
        <w:spacing w:after="100" w:afterAutospacing="1" w:line="276" w:lineRule="auto"/>
        <w:outlineLvl w:val="1"/>
        <w:rPr>
          <w:rFonts w:ascii="Arial" w:eastAsia="Times New Roman" w:hAnsi="Arial" w:cs="Arial"/>
          <w:b/>
          <w:bCs/>
          <w:kern w:val="0"/>
          <w:lang w:eastAsia="en-GB"/>
          <w14:ligatures w14:val="none"/>
        </w:rPr>
      </w:pPr>
      <w:bookmarkStart w:id="16" w:name="_Toc234191557"/>
      <w:r w:rsidRPr="00693790">
        <w:rPr>
          <w:rFonts w:ascii="Arial" w:eastAsia="Times New Roman" w:hAnsi="Arial" w:cs="Arial"/>
          <w:b/>
          <w:bCs/>
          <w:kern w:val="0"/>
          <w:lang w:eastAsia="en-GB"/>
          <w14:ligatures w14:val="none"/>
        </w:rPr>
        <w:lastRenderedPageBreak/>
        <w:t>REFERENCES LIST</w:t>
      </w:r>
      <w:bookmarkEnd w:id="16"/>
    </w:p>
    <w:p w14:paraId="77B78151" w14:textId="657D46EF" w:rsidR="00F64008" w:rsidRDefault="00F64008" w:rsidP="00693790">
      <w:pPr>
        <w:spacing w:after="100" w:afterAutospacing="1" w:line="276" w:lineRule="auto"/>
        <w:ind w:left="360"/>
        <w:rPr>
          <w:rFonts w:ascii="Arial" w:eastAsia="Times New Roman" w:hAnsi="Arial" w:cs="Arial"/>
          <w:kern w:val="0"/>
          <w:lang w:eastAsia="en-GB"/>
          <w14:ligatures w14:val="none"/>
        </w:rPr>
      </w:pPr>
      <w:r w:rsidRPr="003F20D2">
        <w:rPr>
          <w:rFonts w:ascii="Arial" w:eastAsia="Times New Roman" w:hAnsi="Arial" w:cs="Arial"/>
          <w:kern w:val="0"/>
          <w:lang w:val="nl-NL" w:eastAsia="en-GB"/>
          <w14:ligatures w14:val="none"/>
        </w:rPr>
        <w:t xml:space="preserve">Bangla, S., Kapoor, A., &amp; Jeer, G. (2026). </w:t>
      </w:r>
      <w:r w:rsidRPr="003F20D2">
        <w:rPr>
          <w:rFonts w:ascii="Arial" w:eastAsia="Times New Roman" w:hAnsi="Arial" w:cs="Arial"/>
          <w:kern w:val="0"/>
          <w:lang w:eastAsia="en-GB"/>
          <w14:ligatures w14:val="none"/>
        </w:rPr>
        <w:t>Toward equitable digital health: an integrated framework addressing exclusion, ethics, and implementation across healthcare systems. </w:t>
      </w:r>
      <w:r w:rsidRPr="003F20D2">
        <w:rPr>
          <w:rFonts w:ascii="Arial" w:eastAsia="Times New Roman" w:hAnsi="Arial" w:cs="Arial"/>
          <w:i/>
          <w:iCs/>
          <w:kern w:val="0"/>
          <w:lang w:eastAsia="en-GB"/>
          <w14:ligatures w14:val="none"/>
        </w:rPr>
        <w:t>International journal for equity in health</w:t>
      </w:r>
      <w:r w:rsidRPr="003F20D2">
        <w:rPr>
          <w:rFonts w:ascii="Arial" w:eastAsia="Times New Roman" w:hAnsi="Arial" w:cs="Arial"/>
          <w:kern w:val="0"/>
          <w:lang w:eastAsia="en-GB"/>
          <w14:ligatures w14:val="none"/>
        </w:rPr>
        <w:t>, 10.1186/s12939-026-02903-1. Advance online publication. https://doi.org/10.1186/s12939-026-02903-1</w:t>
      </w:r>
    </w:p>
    <w:p w14:paraId="1217FC6A" w14:textId="571AEEC0"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t xml:space="preserve">Greenhalgh, T., Ladds, E., Hughes, G., Moore, L., Wherton, J., Shaw, S.E., Papoutsi, C., Wieringa, S., Rosen, E., Rushforth, A. and Rybczynska-Bunt, S.,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2022</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Why do GPs rarely do video consultations? Qualitative study in UK general practice. </w:t>
      </w:r>
      <w:r w:rsidRPr="00693790">
        <w:rPr>
          <w:rFonts w:ascii="Arial" w:eastAsia="Times New Roman" w:hAnsi="Arial" w:cs="Arial"/>
          <w:i/>
          <w:iCs/>
          <w:kern w:val="0"/>
          <w:lang w:eastAsia="en-GB"/>
          <w14:ligatures w14:val="none"/>
        </w:rPr>
        <w:t>British Journal of General Practice</w:t>
      </w:r>
      <w:r w:rsidRPr="00693790">
        <w:rPr>
          <w:rFonts w:ascii="Arial" w:eastAsia="Times New Roman" w:hAnsi="Arial" w:cs="Arial"/>
          <w:kern w:val="0"/>
          <w:lang w:eastAsia="en-GB"/>
          <w14:ligatures w14:val="none"/>
        </w:rPr>
        <w:t xml:space="preserve">, 72(718), </w:t>
      </w:r>
      <w:r w:rsidR="004A7D30" w:rsidRPr="00693790">
        <w:rPr>
          <w:rFonts w:ascii="Arial" w:eastAsia="Times New Roman" w:hAnsi="Arial" w:cs="Arial"/>
          <w:kern w:val="0"/>
          <w:lang w:eastAsia="en-GB"/>
          <w14:ligatures w14:val="none"/>
        </w:rPr>
        <w:t>pp. e</w:t>
      </w:r>
      <w:r w:rsidRPr="00693790">
        <w:rPr>
          <w:rFonts w:ascii="Arial" w:eastAsia="Times New Roman" w:hAnsi="Arial" w:cs="Arial"/>
          <w:kern w:val="0"/>
          <w:lang w:eastAsia="en-GB"/>
          <w14:ligatures w14:val="none"/>
        </w:rPr>
        <w:t xml:space="preserve">351-e360. </w:t>
      </w:r>
      <w:hyperlink r:id="rId7" w:tgtFrame="_blank" w:history="1">
        <w:r w:rsidRPr="00693790">
          <w:rPr>
            <w:rFonts w:ascii="Arial" w:eastAsia="Times New Roman" w:hAnsi="Arial" w:cs="Arial"/>
            <w:color w:val="0000FF"/>
            <w:kern w:val="0"/>
            <w:u w:val="single"/>
            <w:lang w:eastAsia="en-GB"/>
            <w14:ligatures w14:val="none"/>
          </w:rPr>
          <w:t>https://doi.org/10.3399/bjgp.2021.0658</w:t>
        </w:r>
      </w:hyperlink>
    </w:p>
    <w:p w14:paraId="3D3B2AAD" w14:textId="28795872"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t xml:space="preserve">Greenhalgh, T., Vijayaraghavan, S., Wherton, J., Shaw, S., Byrne, E., Campbell-Richards, D., Bhattacharya, S., Hanson, P., Ramoutar, S., Gutteridge, C. and Hodkinson, I.,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2016</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Virtual online consultations: advantages and limitations (VOCAL) study. </w:t>
      </w:r>
      <w:r w:rsidRPr="00693790">
        <w:rPr>
          <w:rFonts w:ascii="Arial" w:eastAsia="Times New Roman" w:hAnsi="Arial" w:cs="Arial"/>
          <w:i/>
          <w:iCs/>
          <w:kern w:val="0"/>
          <w:lang w:eastAsia="en-GB"/>
          <w14:ligatures w14:val="none"/>
        </w:rPr>
        <w:t>BMJ Open</w:t>
      </w:r>
      <w:r w:rsidRPr="00693790">
        <w:rPr>
          <w:rFonts w:ascii="Arial" w:eastAsia="Times New Roman" w:hAnsi="Arial" w:cs="Arial"/>
          <w:kern w:val="0"/>
          <w:lang w:eastAsia="en-GB"/>
          <w14:ligatures w14:val="none"/>
        </w:rPr>
        <w:t xml:space="preserve">, 6(1), </w:t>
      </w:r>
      <w:r w:rsidR="004A7D30" w:rsidRPr="00693790">
        <w:rPr>
          <w:rFonts w:ascii="Arial" w:eastAsia="Times New Roman" w:hAnsi="Arial" w:cs="Arial"/>
          <w:kern w:val="0"/>
          <w:lang w:eastAsia="en-GB"/>
          <w14:ligatures w14:val="none"/>
        </w:rPr>
        <w:t>pp. e</w:t>
      </w:r>
      <w:r w:rsidRPr="00693790">
        <w:rPr>
          <w:rFonts w:ascii="Arial" w:eastAsia="Times New Roman" w:hAnsi="Arial" w:cs="Arial"/>
          <w:kern w:val="0"/>
          <w:lang w:eastAsia="en-GB"/>
          <w14:ligatures w14:val="none"/>
        </w:rPr>
        <w:t xml:space="preserve">009388. </w:t>
      </w:r>
      <w:hyperlink r:id="rId8" w:tgtFrame="_blank" w:history="1">
        <w:r w:rsidRPr="00693790">
          <w:rPr>
            <w:rFonts w:ascii="Arial" w:eastAsia="Times New Roman" w:hAnsi="Arial" w:cs="Arial"/>
            <w:color w:val="0000FF"/>
            <w:kern w:val="0"/>
            <w:u w:val="single"/>
            <w:lang w:eastAsia="en-GB"/>
            <w14:ligatures w14:val="none"/>
          </w:rPr>
          <w:t>https://doi.org/10.1136/bmjopen-2015-009388</w:t>
        </w:r>
      </w:hyperlink>
    </w:p>
    <w:p w14:paraId="21E10338" w14:textId="76930292"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t xml:space="preserve">Hughes, G., Moore, L., Maniatopoulos, G., Wherton, J., Wood, G.W., Greenhalgh, T. and Shaw, S.,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2022</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Theorising the shift to video consulting in the UK during the COVID-19 pandemic: Analysis of a mixed methods study using practice theory. </w:t>
      </w:r>
      <w:r w:rsidRPr="00693790">
        <w:rPr>
          <w:rFonts w:ascii="Arial" w:eastAsia="Times New Roman" w:hAnsi="Arial" w:cs="Arial"/>
          <w:i/>
          <w:iCs/>
          <w:kern w:val="0"/>
          <w:lang w:eastAsia="en-GB"/>
          <w14:ligatures w14:val="none"/>
        </w:rPr>
        <w:t>Social Science &amp; Medicine</w:t>
      </w:r>
      <w:r w:rsidRPr="00693790">
        <w:rPr>
          <w:rFonts w:ascii="Arial" w:eastAsia="Times New Roman" w:hAnsi="Arial" w:cs="Arial"/>
          <w:kern w:val="0"/>
          <w:lang w:eastAsia="en-GB"/>
          <w14:ligatures w14:val="none"/>
        </w:rPr>
        <w:t xml:space="preserve">, 311, p.115368. </w:t>
      </w:r>
      <w:hyperlink r:id="rId9" w:tgtFrame="_blank" w:history="1">
        <w:r w:rsidRPr="00693790">
          <w:rPr>
            <w:rFonts w:ascii="Arial" w:eastAsia="Times New Roman" w:hAnsi="Arial" w:cs="Arial"/>
            <w:color w:val="0000FF"/>
            <w:kern w:val="0"/>
            <w:u w:val="single"/>
            <w:lang w:eastAsia="en-GB"/>
            <w14:ligatures w14:val="none"/>
          </w:rPr>
          <w:t>https://doi.org/10.1016/j.socscimed.2022.115368</w:t>
        </w:r>
      </w:hyperlink>
    </w:p>
    <w:p w14:paraId="550CC1F4" w14:textId="5ECFBE79" w:rsidR="00F64008" w:rsidRPr="003F20D2" w:rsidRDefault="00F64008" w:rsidP="00693790">
      <w:pPr>
        <w:spacing w:after="100" w:afterAutospacing="1" w:line="276" w:lineRule="auto"/>
        <w:ind w:left="360"/>
        <w:rPr>
          <w:rFonts w:ascii="Arial" w:eastAsia="Times New Roman" w:hAnsi="Arial" w:cs="Arial"/>
          <w:kern w:val="0"/>
          <w:lang w:eastAsia="en-GB"/>
          <w14:ligatures w14:val="none"/>
        </w:rPr>
      </w:pPr>
      <w:r w:rsidRPr="003F20D2">
        <w:rPr>
          <w:rFonts w:ascii="Arial" w:eastAsia="Times New Roman" w:hAnsi="Arial" w:cs="Arial"/>
          <w:kern w:val="0"/>
          <w:lang w:eastAsia="en-GB"/>
          <w14:ligatures w14:val="none"/>
        </w:rPr>
        <w:t>Karibdzhanov C. (2026). The strategy implementation fidelity gap in transitional healthcare systems. </w:t>
      </w:r>
      <w:r w:rsidRPr="003F20D2">
        <w:rPr>
          <w:rFonts w:ascii="Arial" w:eastAsia="Times New Roman" w:hAnsi="Arial" w:cs="Arial"/>
          <w:i/>
          <w:iCs/>
          <w:kern w:val="0"/>
          <w:lang w:eastAsia="en-GB"/>
          <w14:ligatures w14:val="none"/>
        </w:rPr>
        <w:t>International journal of health care quality assurance</w:t>
      </w:r>
      <w:r w:rsidRPr="003F20D2">
        <w:rPr>
          <w:rFonts w:ascii="Arial" w:eastAsia="Times New Roman" w:hAnsi="Arial" w:cs="Arial"/>
          <w:kern w:val="0"/>
          <w:lang w:eastAsia="en-GB"/>
          <w14:ligatures w14:val="none"/>
        </w:rPr>
        <w:t>, 1–10. Advance online publication. https://doi.org/10.1108/IJHCQA-11-2025-0205</w:t>
      </w:r>
    </w:p>
    <w:p w14:paraId="559809EB" w14:textId="05241A2C" w:rsidR="008F2AD7" w:rsidRDefault="008F2AD7" w:rsidP="00693790">
      <w:pPr>
        <w:spacing w:after="100" w:afterAutospacing="1" w:line="276" w:lineRule="auto"/>
        <w:ind w:left="360"/>
        <w:rPr>
          <w:rFonts w:ascii="Arial" w:eastAsia="Times New Roman" w:hAnsi="Arial" w:cs="Arial"/>
          <w:kern w:val="0"/>
          <w:lang w:eastAsia="en-GB"/>
          <w14:ligatures w14:val="none"/>
        </w:rPr>
      </w:pPr>
      <w:r w:rsidRPr="003F20D2">
        <w:rPr>
          <w:rFonts w:ascii="Arial" w:eastAsia="Times New Roman" w:hAnsi="Arial" w:cs="Arial"/>
          <w:kern w:val="0"/>
          <w:lang w:eastAsia="en-GB"/>
          <w14:ligatures w14:val="none"/>
        </w:rPr>
        <w:t>Kyratsis Y. (2026). From bedside to bytes: the digital transformation of the healthcare workforce. </w:t>
      </w:r>
      <w:r w:rsidRPr="003F20D2">
        <w:rPr>
          <w:rFonts w:ascii="Arial" w:eastAsia="Times New Roman" w:hAnsi="Arial" w:cs="Arial"/>
          <w:i/>
          <w:iCs/>
          <w:kern w:val="0"/>
          <w:lang w:eastAsia="en-GB"/>
          <w14:ligatures w14:val="none"/>
        </w:rPr>
        <w:t>Frontiers in digital health</w:t>
      </w:r>
      <w:r w:rsidRPr="003F20D2">
        <w:rPr>
          <w:rFonts w:ascii="Arial" w:eastAsia="Times New Roman" w:hAnsi="Arial" w:cs="Arial"/>
          <w:kern w:val="0"/>
          <w:lang w:eastAsia="en-GB"/>
          <w14:ligatures w14:val="none"/>
        </w:rPr>
        <w:t>, </w:t>
      </w:r>
      <w:r w:rsidRPr="003F20D2">
        <w:rPr>
          <w:rFonts w:ascii="Arial" w:eastAsia="Times New Roman" w:hAnsi="Arial" w:cs="Arial"/>
          <w:i/>
          <w:iCs/>
          <w:kern w:val="0"/>
          <w:lang w:eastAsia="en-GB"/>
          <w14:ligatures w14:val="none"/>
        </w:rPr>
        <w:t>8</w:t>
      </w:r>
      <w:r w:rsidRPr="003F20D2">
        <w:rPr>
          <w:rFonts w:ascii="Arial" w:eastAsia="Times New Roman" w:hAnsi="Arial" w:cs="Arial"/>
          <w:kern w:val="0"/>
          <w:lang w:eastAsia="en-GB"/>
          <w14:ligatures w14:val="none"/>
        </w:rPr>
        <w:t>, 1777607. https://doi.org/10.3389/fdgth.2026.1777607</w:t>
      </w:r>
    </w:p>
    <w:p w14:paraId="1CAA8D9B" w14:textId="1C7A0D70" w:rsidR="00F64008" w:rsidRDefault="00F64008" w:rsidP="00693790">
      <w:pPr>
        <w:spacing w:after="100" w:afterAutospacing="1" w:line="276" w:lineRule="auto"/>
        <w:ind w:left="360"/>
        <w:rPr>
          <w:rFonts w:ascii="Arial" w:eastAsia="Times New Roman" w:hAnsi="Arial" w:cs="Arial"/>
          <w:kern w:val="0"/>
          <w:lang w:eastAsia="en-GB"/>
          <w14:ligatures w14:val="none"/>
        </w:rPr>
      </w:pPr>
      <w:r w:rsidRPr="00A85C81">
        <w:rPr>
          <w:rFonts w:ascii="Arial" w:eastAsia="Times New Roman" w:hAnsi="Arial" w:cs="Arial"/>
          <w:kern w:val="0"/>
          <w:lang w:eastAsia="en-GB"/>
          <w14:ligatures w14:val="none"/>
        </w:rPr>
        <w:t>McGinnis J. P. (2026). Resilience-Centred Leadership: reframing resilience as a leadership and system outcome in US healthcare. </w:t>
      </w:r>
      <w:r w:rsidRPr="00A85C81">
        <w:rPr>
          <w:rFonts w:ascii="Arial" w:eastAsia="Times New Roman" w:hAnsi="Arial" w:cs="Arial"/>
          <w:i/>
          <w:iCs/>
          <w:kern w:val="0"/>
          <w:lang w:eastAsia="en-GB"/>
          <w14:ligatures w14:val="none"/>
        </w:rPr>
        <w:t>Journal of health organization and management</w:t>
      </w:r>
      <w:r w:rsidRPr="00A85C81">
        <w:rPr>
          <w:rFonts w:ascii="Arial" w:eastAsia="Times New Roman" w:hAnsi="Arial" w:cs="Arial"/>
          <w:kern w:val="0"/>
          <w:lang w:eastAsia="en-GB"/>
          <w14:ligatures w14:val="none"/>
        </w:rPr>
        <w:t>, 1–12. Advance online publication. https://doi.org/10.1108/JHOM-12-2025-0878</w:t>
      </w:r>
    </w:p>
    <w:p w14:paraId="5045430D" w14:textId="7000F027"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t xml:space="preserve">Mold, F., Cooke, D., Ip, A., Roy, P., Denton, S. and Armes, J.,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2021</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COVID-19 and beyond: virtual consultations in primary care—reflecting on the evidence base for implementation and ensuring reach: commentary article. </w:t>
      </w:r>
      <w:r w:rsidRPr="00693790">
        <w:rPr>
          <w:rFonts w:ascii="Arial" w:eastAsia="Times New Roman" w:hAnsi="Arial" w:cs="Arial"/>
          <w:i/>
          <w:iCs/>
          <w:kern w:val="0"/>
          <w:lang w:eastAsia="en-GB"/>
          <w14:ligatures w14:val="none"/>
        </w:rPr>
        <w:t>BMJ Health &amp; Care Informatics</w:t>
      </w:r>
      <w:r w:rsidRPr="00693790">
        <w:rPr>
          <w:rFonts w:ascii="Arial" w:eastAsia="Times New Roman" w:hAnsi="Arial" w:cs="Arial"/>
          <w:kern w:val="0"/>
          <w:lang w:eastAsia="en-GB"/>
          <w14:ligatures w14:val="none"/>
        </w:rPr>
        <w:t xml:space="preserve">, 28(1), </w:t>
      </w:r>
      <w:r w:rsidR="004A7D30" w:rsidRPr="00693790">
        <w:rPr>
          <w:rFonts w:ascii="Arial" w:eastAsia="Times New Roman" w:hAnsi="Arial" w:cs="Arial"/>
          <w:kern w:val="0"/>
          <w:lang w:eastAsia="en-GB"/>
          <w14:ligatures w14:val="none"/>
        </w:rPr>
        <w:t>pp. e</w:t>
      </w:r>
      <w:r w:rsidRPr="00693790">
        <w:rPr>
          <w:rFonts w:ascii="Arial" w:eastAsia="Times New Roman" w:hAnsi="Arial" w:cs="Arial"/>
          <w:kern w:val="0"/>
          <w:lang w:eastAsia="en-GB"/>
          <w14:ligatures w14:val="none"/>
        </w:rPr>
        <w:t xml:space="preserve">100256. </w:t>
      </w:r>
      <w:hyperlink r:id="rId10" w:tgtFrame="_blank" w:history="1">
        <w:r w:rsidRPr="00693790">
          <w:rPr>
            <w:rFonts w:ascii="Arial" w:eastAsia="Times New Roman" w:hAnsi="Arial" w:cs="Arial"/>
            <w:color w:val="0000FF"/>
            <w:kern w:val="0"/>
            <w:u w:val="single"/>
            <w:lang w:eastAsia="en-GB"/>
            <w14:ligatures w14:val="none"/>
          </w:rPr>
          <w:t>https://doi.org/10.1136/bmjhci-2020-100256</w:t>
        </w:r>
      </w:hyperlink>
    </w:p>
    <w:p w14:paraId="0C2A1D0C" w14:textId="4602E048"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lastRenderedPageBreak/>
        <w:t xml:space="preserve">NHS England,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2019</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w:t>
      </w:r>
      <w:r w:rsidRPr="00693790">
        <w:rPr>
          <w:rFonts w:ascii="Arial" w:eastAsia="Times New Roman" w:hAnsi="Arial" w:cs="Arial"/>
          <w:i/>
          <w:iCs/>
          <w:kern w:val="0"/>
          <w:lang w:eastAsia="en-GB"/>
          <w14:ligatures w14:val="none"/>
        </w:rPr>
        <w:t>The NHS Long Term Plan</w:t>
      </w:r>
      <w:r w:rsidRPr="00693790">
        <w:rPr>
          <w:rFonts w:ascii="Arial" w:eastAsia="Times New Roman" w:hAnsi="Arial" w:cs="Arial"/>
          <w:kern w:val="0"/>
          <w:lang w:eastAsia="en-GB"/>
          <w14:ligatures w14:val="none"/>
        </w:rPr>
        <w:t>. London: NHS England.</w:t>
      </w:r>
    </w:p>
    <w:p w14:paraId="46A9083C" w14:textId="0CD6460E"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t xml:space="preserve">Turner, A., Morris, R., Rakhra, D., Stevenson, F., McDonagh, L., Hamilton, F., Atherton, H., Farr, M., Blake, S., Banks, J. and Lasseter, G.,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2021</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Unintended consequences of online consultations: a qualitative study in UK primary care. </w:t>
      </w:r>
      <w:r w:rsidRPr="00693790">
        <w:rPr>
          <w:rFonts w:ascii="Arial" w:eastAsia="Times New Roman" w:hAnsi="Arial" w:cs="Arial"/>
          <w:i/>
          <w:iCs/>
          <w:kern w:val="0"/>
          <w:lang w:eastAsia="en-GB"/>
          <w14:ligatures w14:val="none"/>
        </w:rPr>
        <w:t>British Journal of General Practice</w:t>
      </w:r>
      <w:r w:rsidRPr="00693790">
        <w:rPr>
          <w:rFonts w:ascii="Arial" w:eastAsia="Times New Roman" w:hAnsi="Arial" w:cs="Arial"/>
          <w:kern w:val="0"/>
          <w:lang w:eastAsia="en-GB"/>
          <w14:ligatures w14:val="none"/>
        </w:rPr>
        <w:t xml:space="preserve">, 72(715), </w:t>
      </w:r>
      <w:r w:rsidR="004A7D30" w:rsidRPr="00693790">
        <w:rPr>
          <w:rFonts w:ascii="Arial" w:eastAsia="Times New Roman" w:hAnsi="Arial" w:cs="Arial"/>
          <w:kern w:val="0"/>
          <w:lang w:eastAsia="en-GB"/>
          <w14:ligatures w14:val="none"/>
        </w:rPr>
        <w:t>pp. e</w:t>
      </w:r>
      <w:r w:rsidRPr="00693790">
        <w:rPr>
          <w:rFonts w:ascii="Arial" w:eastAsia="Times New Roman" w:hAnsi="Arial" w:cs="Arial"/>
          <w:kern w:val="0"/>
          <w:lang w:eastAsia="en-GB"/>
          <w14:ligatures w14:val="none"/>
        </w:rPr>
        <w:t xml:space="preserve">128-e137. </w:t>
      </w:r>
      <w:hyperlink r:id="rId11" w:tgtFrame="_blank" w:history="1">
        <w:r w:rsidRPr="00693790">
          <w:rPr>
            <w:rFonts w:ascii="Arial" w:eastAsia="Times New Roman" w:hAnsi="Arial" w:cs="Arial"/>
            <w:color w:val="0000FF"/>
            <w:kern w:val="0"/>
            <w:u w:val="single"/>
            <w:lang w:eastAsia="en-GB"/>
            <w14:ligatures w14:val="none"/>
          </w:rPr>
          <w:t>https://doi.org/10.3399/bjgp.2021.0426</w:t>
        </w:r>
      </w:hyperlink>
    </w:p>
    <w:p w14:paraId="5DADCC72" w14:textId="2E2F7630" w:rsidR="008F4536" w:rsidRPr="00693790" w:rsidRDefault="008F4536" w:rsidP="00693790">
      <w:pPr>
        <w:spacing w:after="100" w:afterAutospacing="1" w:line="276" w:lineRule="auto"/>
        <w:ind w:left="360"/>
        <w:rPr>
          <w:rFonts w:ascii="Arial" w:eastAsia="Times New Roman" w:hAnsi="Arial" w:cs="Arial"/>
          <w:kern w:val="0"/>
          <w:lang w:eastAsia="en-GB"/>
          <w14:ligatures w14:val="none"/>
        </w:rPr>
      </w:pPr>
      <w:r w:rsidRPr="00693790">
        <w:rPr>
          <w:rFonts w:ascii="Arial" w:eastAsia="Times New Roman" w:hAnsi="Arial" w:cs="Arial"/>
          <w:kern w:val="0"/>
          <w:lang w:eastAsia="en-GB"/>
          <w14:ligatures w14:val="none"/>
        </w:rPr>
        <w:t xml:space="preserve">Vas, V., North, Shirley., Rua, T., Chilton, D., Cashman, M., Malhotra, B. and Garrood, T., </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2022</w:t>
      </w:r>
      <w:r w:rsidR="00F53386">
        <w:rPr>
          <w:rFonts w:ascii="Arial" w:eastAsia="Times New Roman" w:hAnsi="Arial" w:cs="Arial"/>
          <w:kern w:val="0"/>
          <w:lang w:eastAsia="en-GB"/>
          <w14:ligatures w14:val="none"/>
        </w:rPr>
        <w:t>)</w:t>
      </w:r>
      <w:r w:rsidRPr="00693790">
        <w:rPr>
          <w:rFonts w:ascii="Arial" w:eastAsia="Times New Roman" w:hAnsi="Arial" w:cs="Arial"/>
          <w:kern w:val="0"/>
          <w:lang w:eastAsia="en-GB"/>
          <w14:ligatures w14:val="none"/>
        </w:rPr>
        <w:t xml:space="preserve">. Delivering outpatient virtual clinics during the COVID-19 pandemic: early evaluation of clinicians’ experiences. </w:t>
      </w:r>
      <w:r w:rsidRPr="00693790">
        <w:rPr>
          <w:rFonts w:ascii="Arial" w:eastAsia="Times New Roman" w:hAnsi="Arial" w:cs="Arial"/>
          <w:i/>
          <w:iCs/>
          <w:kern w:val="0"/>
          <w:lang w:eastAsia="en-GB"/>
          <w14:ligatures w14:val="none"/>
        </w:rPr>
        <w:t>BMJ Open Quality</w:t>
      </w:r>
      <w:r w:rsidRPr="00693790">
        <w:rPr>
          <w:rFonts w:ascii="Arial" w:eastAsia="Times New Roman" w:hAnsi="Arial" w:cs="Arial"/>
          <w:kern w:val="0"/>
          <w:lang w:eastAsia="en-GB"/>
          <w14:ligatures w14:val="none"/>
        </w:rPr>
        <w:t xml:space="preserve">, 11(1), </w:t>
      </w:r>
      <w:r w:rsidR="004A7D30" w:rsidRPr="00693790">
        <w:rPr>
          <w:rFonts w:ascii="Arial" w:eastAsia="Times New Roman" w:hAnsi="Arial" w:cs="Arial"/>
          <w:kern w:val="0"/>
          <w:lang w:eastAsia="en-GB"/>
          <w14:ligatures w14:val="none"/>
        </w:rPr>
        <w:t>pp. e</w:t>
      </w:r>
      <w:r w:rsidRPr="00693790">
        <w:rPr>
          <w:rFonts w:ascii="Arial" w:eastAsia="Times New Roman" w:hAnsi="Arial" w:cs="Arial"/>
          <w:kern w:val="0"/>
          <w:lang w:eastAsia="en-GB"/>
          <w14:ligatures w14:val="none"/>
        </w:rPr>
        <w:t xml:space="preserve">001313. </w:t>
      </w:r>
      <w:hyperlink r:id="rId12" w:tgtFrame="_blank" w:history="1">
        <w:r w:rsidRPr="00693790">
          <w:rPr>
            <w:rFonts w:ascii="Arial" w:eastAsia="Times New Roman" w:hAnsi="Arial" w:cs="Arial"/>
            <w:color w:val="0000FF"/>
            <w:kern w:val="0"/>
            <w:u w:val="single"/>
            <w:lang w:eastAsia="en-GB"/>
            <w14:ligatures w14:val="none"/>
          </w:rPr>
          <w:t>https://doi.org/10.1136/bmjoq-2020-001313</w:t>
        </w:r>
      </w:hyperlink>
    </w:p>
    <w:p w14:paraId="2BF72AE1" w14:textId="77777777" w:rsidR="00E642D9" w:rsidRPr="00693790" w:rsidRDefault="00E642D9" w:rsidP="00693790">
      <w:pPr>
        <w:spacing w:line="276" w:lineRule="auto"/>
        <w:rPr>
          <w:rFonts w:ascii="Arial" w:hAnsi="Arial" w:cs="Arial"/>
          <w:b/>
          <w:bCs/>
          <w:color w:val="EE0000"/>
        </w:rPr>
      </w:pPr>
    </w:p>
    <w:sectPr w:rsidR="00E642D9" w:rsidRPr="006937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2CA20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BE96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80DD3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B4B1DD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B4FD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96D568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B841D5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1F3A39"/>
    <w:multiLevelType w:val="multilevel"/>
    <w:tmpl w:val="B9825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6F6FD4"/>
    <w:multiLevelType w:val="multilevel"/>
    <w:tmpl w:val="CEB4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274ABB"/>
    <w:multiLevelType w:val="multilevel"/>
    <w:tmpl w:val="3538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7618E"/>
    <w:multiLevelType w:val="multilevel"/>
    <w:tmpl w:val="7DBE6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757ED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6A82710"/>
    <w:multiLevelType w:val="hybridMultilevel"/>
    <w:tmpl w:val="A2808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75650CD"/>
    <w:multiLevelType w:val="multilevel"/>
    <w:tmpl w:val="15FA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963EF3"/>
    <w:multiLevelType w:val="multilevel"/>
    <w:tmpl w:val="7488F8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E0ED1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A550087"/>
    <w:multiLevelType w:val="multilevel"/>
    <w:tmpl w:val="B78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786CBD"/>
    <w:multiLevelType w:val="multilevel"/>
    <w:tmpl w:val="9B96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552ABC"/>
    <w:multiLevelType w:val="hybridMultilevel"/>
    <w:tmpl w:val="76C26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A5605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BE01FC8"/>
    <w:multiLevelType w:val="multilevel"/>
    <w:tmpl w:val="E59E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045F2"/>
    <w:multiLevelType w:val="hybridMultilevel"/>
    <w:tmpl w:val="3198E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8F14E76"/>
    <w:multiLevelType w:val="multilevel"/>
    <w:tmpl w:val="ABDC9D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B6725E"/>
    <w:multiLevelType w:val="multilevel"/>
    <w:tmpl w:val="A2B2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634E56"/>
    <w:multiLevelType w:val="multilevel"/>
    <w:tmpl w:val="EFA4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2C28C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7A608A9"/>
    <w:multiLevelType w:val="multilevel"/>
    <w:tmpl w:val="F24E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9974CC"/>
    <w:multiLevelType w:val="multilevel"/>
    <w:tmpl w:val="EE6E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207074"/>
    <w:multiLevelType w:val="hybridMultilevel"/>
    <w:tmpl w:val="D940F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5807A6D"/>
    <w:multiLevelType w:val="multilevel"/>
    <w:tmpl w:val="192A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D1307E"/>
    <w:multiLevelType w:val="multilevel"/>
    <w:tmpl w:val="3C68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60B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60066772">
    <w:abstractNumId w:val="12"/>
  </w:num>
  <w:num w:numId="2" w16cid:durableId="888221364">
    <w:abstractNumId w:val="28"/>
  </w:num>
  <w:num w:numId="3" w16cid:durableId="1534031692">
    <w:abstractNumId w:val="18"/>
  </w:num>
  <w:num w:numId="4" w16cid:durableId="52509871">
    <w:abstractNumId w:val="21"/>
  </w:num>
  <w:num w:numId="5" w16cid:durableId="1823541915">
    <w:abstractNumId w:val="1"/>
  </w:num>
  <w:num w:numId="6" w16cid:durableId="528572178">
    <w:abstractNumId w:val="19"/>
  </w:num>
  <w:num w:numId="7" w16cid:durableId="2042122833">
    <w:abstractNumId w:val="31"/>
  </w:num>
  <w:num w:numId="8" w16cid:durableId="608509750">
    <w:abstractNumId w:val="2"/>
  </w:num>
  <w:num w:numId="9" w16cid:durableId="487672314">
    <w:abstractNumId w:val="4"/>
  </w:num>
  <w:num w:numId="10" w16cid:durableId="1675448784">
    <w:abstractNumId w:val="9"/>
  </w:num>
  <w:num w:numId="11" w16cid:durableId="463161705">
    <w:abstractNumId w:val="22"/>
  </w:num>
  <w:num w:numId="12" w16cid:durableId="1386176361">
    <w:abstractNumId w:val="30"/>
  </w:num>
  <w:num w:numId="13" w16cid:durableId="1191995142">
    <w:abstractNumId w:val="8"/>
  </w:num>
  <w:num w:numId="14" w16cid:durableId="287128265">
    <w:abstractNumId w:val="10"/>
  </w:num>
  <w:num w:numId="15" w16cid:durableId="1943218565">
    <w:abstractNumId w:val="29"/>
  </w:num>
  <w:num w:numId="16" w16cid:durableId="940187591">
    <w:abstractNumId w:val="0"/>
  </w:num>
  <w:num w:numId="17" w16cid:durableId="1076128703">
    <w:abstractNumId w:val="25"/>
  </w:num>
  <w:num w:numId="18" w16cid:durableId="1054431569">
    <w:abstractNumId w:val="5"/>
  </w:num>
  <w:num w:numId="19" w16cid:durableId="1254632731">
    <w:abstractNumId w:val="3"/>
  </w:num>
  <w:num w:numId="20" w16cid:durableId="1717467743">
    <w:abstractNumId w:val="13"/>
  </w:num>
  <w:num w:numId="21" w16cid:durableId="751971362">
    <w:abstractNumId w:val="23"/>
  </w:num>
  <w:num w:numId="22" w16cid:durableId="1736120829">
    <w:abstractNumId w:val="17"/>
  </w:num>
  <w:num w:numId="23" w16cid:durableId="1163398866">
    <w:abstractNumId w:val="16"/>
  </w:num>
  <w:num w:numId="24" w16cid:durableId="1205673511">
    <w:abstractNumId w:val="20"/>
  </w:num>
  <w:num w:numId="25" w16cid:durableId="840436440">
    <w:abstractNumId w:val="27"/>
  </w:num>
  <w:num w:numId="26" w16cid:durableId="910582639">
    <w:abstractNumId w:val="7"/>
  </w:num>
  <w:num w:numId="27" w16cid:durableId="425468640">
    <w:abstractNumId w:val="14"/>
  </w:num>
  <w:num w:numId="28" w16cid:durableId="408115729">
    <w:abstractNumId w:val="15"/>
  </w:num>
  <w:num w:numId="29" w16cid:durableId="1927228982">
    <w:abstractNumId w:val="6"/>
  </w:num>
  <w:num w:numId="30" w16cid:durableId="60451551">
    <w:abstractNumId w:val="11"/>
  </w:num>
  <w:num w:numId="31" w16cid:durableId="891623583">
    <w:abstractNumId w:val="24"/>
  </w:num>
  <w:num w:numId="32" w16cid:durableId="14628467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025"/>
    <w:rsid w:val="00020087"/>
    <w:rsid w:val="000516FA"/>
    <w:rsid w:val="00075E92"/>
    <w:rsid w:val="0009700C"/>
    <w:rsid w:val="000D4933"/>
    <w:rsid w:val="000E7ECE"/>
    <w:rsid w:val="00147FD0"/>
    <w:rsid w:val="001A5B9E"/>
    <w:rsid w:val="001D0E8D"/>
    <w:rsid w:val="001D6EB1"/>
    <w:rsid w:val="001F6EC5"/>
    <w:rsid w:val="0023022F"/>
    <w:rsid w:val="00241E4D"/>
    <w:rsid w:val="002C0724"/>
    <w:rsid w:val="002F7ED1"/>
    <w:rsid w:val="00327858"/>
    <w:rsid w:val="00345849"/>
    <w:rsid w:val="00346FA8"/>
    <w:rsid w:val="003E6FA0"/>
    <w:rsid w:val="003F20D2"/>
    <w:rsid w:val="004703A5"/>
    <w:rsid w:val="00480BFA"/>
    <w:rsid w:val="004A242A"/>
    <w:rsid w:val="004A49C6"/>
    <w:rsid w:val="004A7D30"/>
    <w:rsid w:val="004C459A"/>
    <w:rsid w:val="004E6902"/>
    <w:rsid w:val="004F1972"/>
    <w:rsid w:val="005127EF"/>
    <w:rsid w:val="00557F2A"/>
    <w:rsid w:val="0057483B"/>
    <w:rsid w:val="005C3152"/>
    <w:rsid w:val="005C6975"/>
    <w:rsid w:val="00611093"/>
    <w:rsid w:val="00611740"/>
    <w:rsid w:val="00644CD2"/>
    <w:rsid w:val="006551FF"/>
    <w:rsid w:val="00693790"/>
    <w:rsid w:val="006C7AC3"/>
    <w:rsid w:val="006E2D3B"/>
    <w:rsid w:val="006F20B9"/>
    <w:rsid w:val="00786506"/>
    <w:rsid w:val="007D79CE"/>
    <w:rsid w:val="00855FB5"/>
    <w:rsid w:val="008F2AD7"/>
    <w:rsid w:val="008F4536"/>
    <w:rsid w:val="008F5C33"/>
    <w:rsid w:val="009129D4"/>
    <w:rsid w:val="00960025"/>
    <w:rsid w:val="0097036A"/>
    <w:rsid w:val="00973C5E"/>
    <w:rsid w:val="009A319D"/>
    <w:rsid w:val="00A16432"/>
    <w:rsid w:val="00A31668"/>
    <w:rsid w:val="00A32C36"/>
    <w:rsid w:val="00A3422F"/>
    <w:rsid w:val="00A670D7"/>
    <w:rsid w:val="00A85C81"/>
    <w:rsid w:val="00AA15BF"/>
    <w:rsid w:val="00AB1A56"/>
    <w:rsid w:val="00AD240A"/>
    <w:rsid w:val="00AE7E89"/>
    <w:rsid w:val="00AF16F6"/>
    <w:rsid w:val="00B202A2"/>
    <w:rsid w:val="00B56160"/>
    <w:rsid w:val="00B847B4"/>
    <w:rsid w:val="00BA214C"/>
    <w:rsid w:val="00BA53F4"/>
    <w:rsid w:val="00BE0827"/>
    <w:rsid w:val="00BF079E"/>
    <w:rsid w:val="00C34FF7"/>
    <w:rsid w:val="00C35C5C"/>
    <w:rsid w:val="00C426A2"/>
    <w:rsid w:val="00C43EC5"/>
    <w:rsid w:val="00C52006"/>
    <w:rsid w:val="00C56094"/>
    <w:rsid w:val="00CB00B4"/>
    <w:rsid w:val="00CB0812"/>
    <w:rsid w:val="00CF6F89"/>
    <w:rsid w:val="00D10CDC"/>
    <w:rsid w:val="00D16115"/>
    <w:rsid w:val="00D64104"/>
    <w:rsid w:val="00D80F3F"/>
    <w:rsid w:val="00DA19A7"/>
    <w:rsid w:val="00DE1C45"/>
    <w:rsid w:val="00E0078A"/>
    <w:rsid w:val="00E17E64"/>
    <w:rsid w:val="00E642D9"/>
    <w:rsid w:val="00E656A9"/>
    <w:rsid w:val="00EA6594"/>
    <w:rsid w:val="00EC3C06"/>
    <w:rsid w:val="00EC6EF6"/>
    <w:rsid w:val="00F13A3A"/>
    <w:rsid w:val="00F4476F"/>
    <w:rsid w:val="00F53386"/>
    <w:rsid w:val="00F64008"/>
    <w:rsid w:val="00F84D71"/>
    <w:rsid w:val="00F934CB"/>
    <w:rsid w:val="00FB26DB"/>
    <w:rsid w:val="00FC0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B458"/>
  <w15:chartTrackingRefBased/>
  <w15:docId w15:val="{A13D3499-F7E3-402C-B0D4-2D340232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0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00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0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0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0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0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025"/>
    <w:rPr>
      <w:rFonts w:eastAsiaTheme="majorEastAsia" w:cstheme="majorBidi"/>
      <w:color w:val="272727" w:themeColor="text1" w:themeTint="D8"/>
    </w:rPr>
  </w:style>
  <w:style w:type="paragraph" w:styleId="Title">
    <w:name w:val="Title"/>
    <w:basedOn w:val="Normal"/>
    <w:next w:val="Normal"/>
    <w:link w:val="TitleChar"/>
    <w:uiPriority w:val="10"/>
    <w:qFormat/>
    <w:rsid w:val="00960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025"/>
    <w:pPr>
      <w:spacing w:before="160"/>
      <w:jc w:val="center"/>
    </w:pPr>
    <w:rPr>
      <w:i/>
      <w:iCs/>
      <w:color w:val="404040" w:themeColor="text1" w:themeTint="BF"/>
    </w:rPr>
  </w:style>
  <w:style w:type="character" w:customStyle="1" w:styleId="QuoteChar">
    <w:name w:val="Quote Char"/>
    <w:basedOn w:val="DefaultParagraphFont"/>
    <w:link w:val="Quote"/>
    <w:uiPriority w:val="29"/>
    <w:rsid w:val="00960025"/>
    <w:rPr>
      <w:i/>
      <w:iCs/>
      <w:color w:val="404040" w:themeColor="text1" w:themeTint="BF"/>
    </w:rPr>
  </w:style>
  <w:style w:type="paragraph" w:styleId="ListParagraph">
    <w:name w:val="List Paragraph"/>
    <w:basedOn w:val="Normal"/>
    <w:uiPriority w:val="34"/>
    <w:qFormat/>
    <w:rsid w:val="00960025"/>
    <w:pPr>
      <w:ind w:left="720"/>
      <w:contextualSpacing/>
    </w:pPr>
  </w:style>
  <w:style w:type="character" w:styleId="IntenseEmphasis">
    <w:name w:val="Intense Emphasis"/>
    <w:basedOn w:val="DefaultParagraphFont"/>
    <w:uiPriority w:val="21"/>
    <w:qFormat/>
    <w:rsid w:val="00960025"/>
    <w:rPr>
      <w:i/>
      <w:iCs/>
      <w:color w:val="0F4761" w:themeColor="accent1" w:themeShade="BF"/>
    </w:rPr>
  </w:style>
  <w:style w:type="paragraph" w:styleId="IntenseQuote">
    <w:name w:val="Intense Quote"/>
    <w:basedOn w:val="Normal"/>
    <w:next w:val="Normal"/>
    <w:link w:val="IntenseQuoteChar"/>
    <w:uiPriority w:val="30"/>
    <w:qFormat/>
    <w:rsid w:val="00960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025"/>
    <w:rPr>
      <w:i/>
      <w:iCs/>
      <w:color w:val="0F4761" w:themeColor="accent1" w:themeShade="BF"/>
    </w:rPr>
  </w:style>
  <w:style w:type="character" w:styleId="IntenseReference">
    <w:name w:val="Intense Reference"/>
    <w:basedOn w:val="DefaultParagraphFont"/>
    <w:uiPriority w:val="32"/>
    <w:qFormat/>
    <w:rsid w:val="00960025"/>
    <w:rPr>
      <w:b/>
      <w:bCs/>
      <w:smallCaps/>
      <w:color w:val="0F4761" w:themeColor="accent1" w:themeShade="BF"/>
      <w:spacing w:val="5"/>
    </w:rPr>
  </w:style>
  <w:style w:type="paragraph" w:customStyle="1" w:styleId="Default">
    <w:name w:val="Default"/>
    <w:rsid w:val="00147FD0"/>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AE7E89"/>
    <w:rPr>
      <w:color w:val="467886" w:themeColor="hyperlink"/>
      <w:u w:val="single"/>
    </w:rPr>
  </w:style>
  <w:style w:type="character" w:styleId="UnresolvedMention">
    <w:name w:val="Unresolved Mention"/>
    <w:basedOn w:val="DefaultParagraphFont"/>
    <w:uiPriority w:val="99"/>
    <w:semiHidden/>
    <w:unhideWhenUsed/>
    <w:rsid w:val="00AE7E89"/>
    <w:rPr>
      <w:color w:val="605E5C"/>
      <w:shd w:val="clear" w:color="auto" w:fill="E1DFDD"/>
    </w:rPr>
  </w:style>
  <w:style w:type="paragraph" w:styleId="NormalWeb">
    <w:name w:val="Normal (Web)"/>
    <w:basedOn w:val="Normal"/>
    <w:uiPriority w:val="99"/>
    <w:unhideWhenUsed/>
    <w:rsid w:val="005127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PlainTable5">
    <w:name w:val="Plain Table 5"/>
    <w:basedOn w:val="TableNormal"/>
    <w:uiPriority w:val="45"/>
    <w:rsid w:val="0097036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1D6EB1"/>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1D6EB1"/>
    <w:pPr>
      <w:spacing w:after="100"/>
      <w:ind w:left="480"/>
    </w:pPr>
  </w:style>
  <w:style w:type="paragraph" w:styleId="TOC2">
    <w:name w:val="toc 2"/>
    <w:basedOn w:val="Normal"/>
    <w:next w:val="Normal"/>
    <w:autoRedefine/>
    <w:uiPriority w:val="39"/>
    <w:unhideWhenUsed/>
    <w:rsid w:val="001D6EB1"/>
    <w:pPr>
      <w:spacing w:after="100"/>
      <w:ind w:left="240"/>
    </w:pPr>
  </w:style>
  <w:style w:type="paragraph" w:styleId="TOC1">
    <w:name w:val="toc 1"/>
    <w:basedOn w:val="Normal"/>
    <w:next w:val="Normal"/>
    <w:autoRedefine/>
    <w:uiPriority w:val="39"/>
    <w:unhideWhenUsed/>
    <w:rsid w:val="00E656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15-00938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3399/bjgp.2021.0658" TargetMode="External"/><Relationship Id="rId12" Type="http://schemas.openxmlformats.org/officeDocument/2006/relationships/hyperlink" Target="https://doi.org/10.1136/bmjoq-2020-0013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3399/bjgp.2021.0426" TargetMode="External"/><Relationship Id="rId5" Type="http://schemas.openxmlformats.org/officeDocument/2006/relationships/webSettings" Target="webSettings.xml"/><Relationship Id="rId10" Type="http://schemas.openxmlformats.org/officeDocument/2006/relationships/hyperlink" Target="https://doi.org/10.1136/bmjhci-2020-100256" TargetMode="External"/><Relationship Id="rId4" Type="http://schemas.openxmlformats.org/officeDocument/2006/relationships/settings" Target="settings.xml"/><Relationship Id="rId9" Type="http://schemas.openxmlformats.org/officeDocument/2006/relationships/hyperlink" Target="https://doi.org/10.1016/j.socscimed.2022.11536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119A6-08A6-44CA-BB70-025265D3F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Tonye</dc:creator>
  <cp:keywords/>
  <dc:description/>
  <cp:lastModifiedBy>TONYE TIKILI</cp:lastModifiedBy>
  <cp:revision>2</cp:revision>
  <dcterms:created xsi:type="dcterms:W3CDTF">2026-07-20T06:59:00Z</dcterms:created>
  <dcterms:modified xsi:type="dcterms:W3CDTF">2026-07-20T06:59:00Z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e150ff-4790-4db0-9801-e1a2cb83509c_Enabled">
    <vt:lpwstr>true</vt:lpwstr>
  </property>
  <property fmtid="{D5CDD505-2E9C-101B-9397-08002B2CF9AE}" pid="3" name="MSIP_Label_32e150ff-4790-4db0-9801-e1a2cb83509c_SetDate">
    <vt:lpwstr>2026-07-05T16:07:55Z</vt:lpwstr>
  </property>
  <property fmtid="{D5CDD505-2E9C-101B-9397-08002B2CF9AE}" pid="4" name="MSIP_Label_32e150ff-4790-4db0-9801-e1a2cb83509c_Method">
    <vt:lpwstr>Standard</vt:lpwstr>
  </property>
  <property fmtid="{D5CDD505-2E9C-101B-9397-08002B2CF9AE}" pid="5" name="MSIP_Label_32e150ff-4790-4db0-9801-e1a2cb83509c_Name">
    <vt:lpwstr>defa4170-0d19-0005-0004-bc88714345d2</vt:lpwstr>
  </property>
  <property fmtid="{D5CDD505-2E9C-101B-9397-08002B2CF9AE}" pid="6" name="MSIP_Label_32e150ff-4790-4db0-9801-e1a2cb83509c_SiteId">
    <vt:lpwstr>31b813f2-6514-42e9-b2f4-5d69ef68118b</vt:lpwstr>
  </property>
  <property fmtid="{D5CDD505-2E9C-101B-9397-08002B2CF9AE}" pid="7" name="MSIP_Label_32e150ff-4790-4db0-9801-e1a2cb83509c_ActionId">
    <vt:lpwstr>65585903-baa3-4696-843e-33cf9094fcbb</vt:lpwstr>
  </property>
  <property fmtid="{D5CDD505-2E9C-101B-9397-08002B2CF9AE}" pid="8" name="MSIP_Label_32e150ff-4790-4db0-9801-e1a2cb83509c_ContentBits">
    <vt:lpwstr>0</vt:lpwstr>
  </property>
  <property fmtid="{D5CDD505-2E9C-101B-9397-08002B2CF9AE}" pid="9" name="MSIP_Label_32e150ff-4790-4db0-9801-e1a2cb83509c_Tag">
    <vt:lpwstr>10, 3, 0, 1</vt:lpwstr>
  </property>
  <property fmtid="{D5CDD505-2E9C-101B-9397-08002B2CF9AE}" pid="10" name="GrammarlyDocumentId">
    <vt:lpwstr>727aebd9-4ba0-4027-8346-9e3a56f096b9</vt:lpwstr>
  </property>
</Properties>
</file>