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A"/>
      </w:pPr>
      <w:r>
        <w:rPr>
          <w:rtl w:val="0"/>
        </w:rPr>
        <w:t>Alex Langley - 2005660 - Adventure Filmmaking BA (level 4)</w:t>
      </w:r>
    </w:p>
    <w:p>
      <w:pPr>
        <w:pStyle w:val="Body A"/>
      </w:pPr>
    </w:p>
    <w:p>
      <w:pPr>
        <w:pStyle w:val="Body A"/>
        <w:rPr>
          <w:rFonts w:ascii="Arial" w:cs="Arial" w:hAnsi="Arial" w:eastAsia="Arial"/>
          <w:b w:val="1"/>
          <w:bCs w:val="1"/>
          <w:sz w:val="20"/>
          <w:szCs w:val="20"/>
          <w:u w:color="000000"/>
        </w:rPr>
      </w:pPr>
      <w:r>
        <w:rPr>
          <w:rFonts w:ascii="Arial" w:hAnsi="Arial"/>
          <w:b w:val="1"/>
          <w:bCs w:val="1"/>
          <w:sz w:val="20"/>
          <w:szCs w:val="20"/>
          <w:u w:color="000000"/>
          <w:rtl w:val="0"/>
          <w:lang w:val="en-US"/>
        </w:rPr>
        <w:t>With reference to Experiential Learning Theory (Kolb, 1984), discuss how your own experience of environmental conditions has developed your understanding of preparing to safely participate in outdoor adventures. [1500 words]</w:t>
      </w:r>
    </w:p>
    <w:p>
      <w:pPr>
        <w:pStyle w:val="Body A"/>
        <w:rPr>
          <w:rFonts w:ascii="Arial" w:cs="Arial" w:hAnsi="Arial" w:eastAsia="Arial"/>
          <w:b w:val="1"/>
          <w:bCs w:val="1"/>
          <w:sz w:val="20"/>
          <w:szCs w:val="20"/>
          <w:u w:color="000000"/>
        </w:rPr>
      </w:pPr>
    </w:p>
    <w:p>
      <w:pPr>
        <w:pStyle w:val="Body A"/>
        <w:rPr>
          <w:rFonts w:ascii="Arial" w:cs="Arial" w:hAnsi="Arial" w:eastAsia="Arial"/>
          <w:b w:val="1"/>
          <w:bCs w:val="1"/>
          <w:sz w:val="20"/>
          <w:szCs w:val="20"/>
          <w:u w:color="000000"/>
        </w:rPr>
      </w:pPr>
    </w:p>
    <w:p>
      <w:pPr>
        <w:pStyle w:val="Body A"/>
        <w:rPr>
          <w:rFonts w:ascii="Arial" w:cs="Arial" w:hAnsi="Arial" w:eastAsia="Arial"/>
          <w:sz w:val="20"/>
          <w:szCs w:val="20"/>
          <w:u w:color="000000"/>
        </w:rPr>
      </w:pPr>
      <w:r>
        <w:rPr>
          <w:rFonts w:ascii="Arial" w:hAnsi="Arial"/>
          <w:sz w:val="20"/>
          <w:szCs w:val="20"/>
          <w:u w:color="000000"/>
          <w:rtl w:val="0"/>
          <w:lang w:val="en-US"/>
        </w:rPr>
        <w:t xml:space="preserve">Adventure to me, is defined as a process of learning and developing - from learning how to adapt to unexpected circumstances to the development of new skills, and through my experience often has an overarching theme of self discovery. </w:t>
      </w:r>
    </w:p>
    <w:p>
      <w:pPr>
        <w:pStyle w:val="Body A"/>
        <w:rPr>
          <w:rFonts w:ascii="Arial" w:cs="Arial" w:hAnsi="Arial" w:eastAsia="Arial"/>
          <w:sz w:val="20"/>
          <w:szCs w:val="20"/>
          <w:u w:color="000000"/>
        </w:rPr>
      </w:pPr>
    </w:p>
    <w:p>
      <w:pPr>
        <w:pStyle w:val="Body A"/>
        <w:rPr>
          <w:rFonts w:ascii="Arial" w:cs="Arial" w:hAnsi="Arial" w:eastAsia="Arial"/>
          <w:sz w:val="20"/>
          <w:szCs w:val="20"/>
          <w:u w:color="000000"/>
        </w:rPr>
      </w:pPr>
      <w:r>
        <w:rPr>
          <w:rFonts w:ascii="Arial" w:hAnsi="Arial"/>
          <w:sz w:val="20"/>
          <w:szCs w:val="20"/>
          <w:u w:color="000000"/>
          <w:rtl w:val="0"/>
          <w:lang w:val="en-US"/>
        </w:rPr>
        <w:t xml:space="preserve">Learning, in itself, is defined as </w:t>
      </w:r>
      <w:r>
        <w:rPr>
          <w:rFonts w:ascii="Arial" w:hAnsi="Arial" w:hint="default"/>
          <w:sz w:val="20"/>
          <w:szCs w:val="20"/>
          <w:u w:color="000000"/>
          <w:rtl w:val="0"/>
          <w:lang w:val="en-US"/>
        </w:rPr>
        <w:t>“</w:t>
      </w:r>
      <w:r>
        <w:rPr>
          <w:rFonts w:ascii="Arial" w:hAnsi="Arial"/>
          <w:sz w:val="20"/>
          <w:szCs w:val="20"/>
          <w:u w:color="000000"/>
          <w:rtl w:val="0"/>
          <w:lang w:val="en-US"/>
        </w:rPr>
        <w:t>the acquisition of knowledge or skills through experience, study or teaching</w:t>
      </w:r>
      <w:r>
        <w:rPr>
          <w:rFonts w:ascii="Arial" w:hAnsi="Arial" w:hint="default"/>
          <w:sz w:val="20"/>
          <w:szCs w:val="20"/>
          <w:u w:color="000000"/>
          <w:rtl w:val="0"/>
          <w:lang w:val="en-US"/>
        </w:rPr>
        <w:t xml:space="preserve">” </w:t>
      </w:r>
      <w:r>
        <w:rPr>
          <w:rFonts w:ascii="Arial" w:hAnsi="Arial"/>
          <w:sz w:val="20"/>
          <w:szCs w:val="20"/>
          <w:u w:color="000000"/>
          <w:rtl w:val="0"/>
          <w:lang w:val="en-US"/>
        </w:rPr>
        <w:t xml:space="preserve">(Oxford English Dictionary) which correlates with my own experience of learning - both in the outdoors and as a creative student and freelancer. Many of the skills I have now have been developed through nothing more than making mistakes and learning from them for future adventures. </w:t>
      </w:r>
    </w:p>
    <w:p>
      <w:pPr>
        <w:pStyle w:val="Body A"/>
        <w:rPr>
          <w:rFonts w:ascii="Arial" w:cs="Arial" w:hAnsi="Arial" w:eastAsia="Arial"/>
          <w:sz w:val="20"/>
          <w:szCs w:val="20"/>
          <w:u w:color="000000"/>
        </w:rPr>
      </w:pPr>
    </w:p>
    <w:p>
      <w:pPr>
        <w:pStyle w:val="Body A"/>
        <w:rPr>
          <w:rFonts w:ascii="Arial" w:cs="Arial" w:hAnsi="Arial" w:eastAsia="Arial"/>
          <w:sz w:val="20"/>
          <w:szCs w:val="20"/>
          <w:u w:color="000000"/>
        </w:rPr>
      </w:pPr>
      <w:r>
        <w:rPr>
          <w:rFonts w:ascii="Arial" w:hAnsi="Arial"/>
          <w:sz w:val="20"/>
          <w:szCs w:val="20"/>
          <w:u w:color="000000"/>
          <w:rtl w:val="0"/>
          <w:lang w:val="en-US"/>
        </w:rPr>
        <w:t>However, until studying Ecology of adventure as a part of my degree, I had not put much conscious thought in to the environmental conditions when exploring the outdoors, something which, upon reflection, has been a mistake which negatively impact my previous outdoor activities.</w:t>
      </w:r>
    </w:p>
    <w:p>
      <w:pPr>
        <w:pStyle w:val="Body A"/>
        <w:rPr>
          <w:rFonts w:ascii="Arial" w:cs="Arial" w:hAnsi="Arial" w:eastAsia="Arial"/>
          <w:sz w:val="20"/>
          <w:szCs w:val="20"/>
          <w:u w:color="000000"/>
        </w:rPr>
      </w:pPr>
    </w:p>
    <w:p>
      <w:pPr>
        <w:pStyle w:val="Body A"/>
        <w:rPr>
          <w:rFonts w:ascii="Arial" w:cs="Arial" w:hAnsi="Arial" w:eastAsia="Arial"/>
          <w:sz w:val="20"/>
          <w:szCs w:val="20"/>
          <w:u w:color="000000"/>
        </w:rPr>
      </w:pPr>
      <w:r>
        <w:rPr>
          <w:rFonts w:ascii="Arial" w:hAnsi="Arial"/>
          <w:sz w:val="20"/>
          <w:szCs w:val="20"/>
          <w:u w:color="000000"/>
          <w:rtl w:val="0"/>
          <w:lang w:val="en-US"/>
        </w:rPr>
        <w:t>The ways in which new knowledge is obtained can be analysed further through experimental learning theories, such as Kolb</w:t>
      </w:r>
      <w:r>
        <w:rPr>
          <w:rFonts w:ascii="Arial" w:hAnsi="Arial" w:hint="default"/>
          <w:sz w:val="20"/>
          <w:szCs w:val="20"/>
          <w:u w:color="000000"/>
          <w:rtl w:val="0"/>
          <w:lang w:val="en-US"/>
        </w:rPr>
        <w:t>’</w:t>
      </w:r>
      <w:r>
        <w:rPr>
          <w:rFonts w:ascii="Arial" w:hAnsi="Arial"/>
          <w:sz w:val="20"/>
          <w:szCs w:val="20"/>
          <w:u w:color="000000"/>
          <w:rtl w:val="0"/>
          <w:lang w:val="en-US"/>
        </w:rPr>
        <w:t xml:space="preserve">s </w:t>
      </w:r>
      <w:r>
        <w:rPr>
          <w:rFonts w:ascii="Arial" w:hAnsi="Arial" w:hint="default"/>
          <w:sz w:val="20"/>
          <w:szCs w:val="20"/>
          <w:u w:color="000000"/>
          <w:rtl w:val="0"/>
          <w:lang w:val="en-US"/>
        </w:rPr>
        <w:t>“</w:t>
      </w:r>
      <w:r>
        <w:rPr>
          <w:rFonts w:ascii="Arial" w:hAnsi="Arial"/>
          <w:sz w:val="20"/>
          <w:szCs w:val="20"/>
          <w:u w:color="000000"/>
          <w:rtl w:val="0"/>
          <w:lang w:val="en-US"/>
        </w:rPr>
        <w:t>Experimental Learning Theory</w:t>
      </w:r>
      <w:r>
        <w:rPr>
          <w:rFonts w:ascii="Arial" w:hAnsi="Arial" w:hint="default"/>
          <w:sz w:val="20"/>
          <w:szCs w:val="20"/>
          <w:u w:color="000000"/>
          <w:rtl w:val="0"/>
          <w:lang w:val="en-US"/>
        </w:rPr>
        <w:t xml:space="preserve">” </w:t>
      </w:r>
      <w:r>
        <w:rPr>
          <w:rFonts w:ascii="Arial" w:hAnsi="Arial"/>
          <w:sz w:val="20"/>
          <w:szCs w:val="20"/>
          <w:u w:color="000000"/>
          <w:rtl w:val="0"/>
          <w:lang w:val="en-US"/>
        </w:rPr>
        <w:t>This theory defines four stages of learning from experience, each of which can provide an insight to the ways in which I can learn from experiences and become a more safely prepared participant within nature. Kolb</w:t>
      </w:r>
      <w:r>
        <w:rPr>
          <w:rFonts w:ascii="Arial" w:hAnsi="Arial" w:hint="default"/>
          <w:sz w:val="20"/>
          <w:szCs w:val="20"/>
          <w:u w:color="000000"/>
          <w:rtl w:val="0"/>
          <w:lang w:val="en-US"/>
        </w:rPr>
        <w:t>’</w:t>
      </w:r>
      <w:r>
        <w:rPr>
          <w:rFonts w:ascii="Arial" w:hAnsi="Arial"/>
          <w:sz w:val="20"/>
          <w:szCs w:val="20"/>
          <w:u w:color="000000"/>
          <w:rtl w:val="0"/>
          <w:lang w:val="en-US"/>
        </w:rPr>
        <w:t>s theory has four separate stages, each of which define a specific methodic approach that I must take in order to learn from my experiences in the outdoors</w:t>
      </w:r>
    </w:p>
    <w:p>
      <w:pPr>
        <w:pStyle w:val="Body A"/>
        <w:rPr>
          <w:rFonts w:ascii="Arial" w:cs="Arial" w:hAnsi="Arial" w:eastAsia="Arial"/>
          <w:sz w:val="20"/>
          <w:szCs w:val="20"/>
          <w:u w:color="000000"/>
        </w:rPr>
      </w:pPr>
      <w:r>
        <w:rPr>
          <w:rFonts w:ascii="Arial" w:cs="Arial" w:hAnsi="Arial" w:eastAsia="Arial"/>
          <w:sz w:val="20"/>
          <w:szCs w:val="20"/>
          <w:u w:color="000000"/>
        </w:rPr>
        <w:drawing xmlns:a="http://schemas.openxmlformats.org/drawingml/2006/main">
          <wp:anchor distT="152400" distB="152400" distL="152400" distR="152400" simplePos="0" relativeHeight="251659264" behindDoc="0" locked="0" layoutInCell="1" allowOverlap="1">
            <wp:simplePos x="0" y="0"/>
            <wp:positionH relativeFrom="page">
              <wp:posOffset>2039491</wp:posOffset>
            </wp:positionH>
            <wp:positionV relativeFrom="line">
              <wp:posOffset>262466</wp:posOffset>
            </wp:positionV>
            <wp:extent cx="3468554" cy="2657499"/>
            <wp:effectExtent l="0" t="0" r="0" b="0"/>
            <wp:wrapTopAndBottom distT="152400" distB="152400"/>
            <wp:docPr id="1073741826" name="officeArt object" descr="pasted-image.tiff"/>
            <wp:cNvGraphicFramePr/>
            <a:graphic xmlns:a="http://schemas.openxmlformats.org/drawingml/2006/main">
              <a:graphicData uri="http://schemas.openxmlformats.org/drawingml/2006/picture">
                <pic:pic xmlns:pic="http://schemas.openxmlformats.org/drawingml/2006/picture">
                  <pic:nvPicPr>
                    <pic:cNvPr id="1073741826" name="pasted-image.tiff" descr="pasted-image.tiff"/>
                    <pic:cNvPicPr>
                      <a:picLocks noChangeAspect="1"/>
                    </pic:cNvPicPr>
                  </pic:nvPicPr>
                  <pic:blipFill>
                    <a:blip r:embed="rId4">
                      <a:extLst/>
                    </a:blip>
                    <a:stretch>
                      <a:fillRect/>
                    </a:stretch>
                  </pic:blipFill>
                  <pic:spPr>
                    <a:xfrm>
                      <a:off x="0" y="0"/>
                      <a:ext cx="3468554" cy="2657499"/>
                    </a:xfrm>
                    <a:prstGeom prst="rect">
                      <a:avLst/>
                    </a:prstGeom>
                    <a:ln w="12700" cap="flat">
                      <a:noFill/>
                      <a:miter lim="400000"/>
                    </a:ln>
                    <a:effectLst/>
                  </pic:spPr>
                </pic:pic>
              </a:graphicData>
            </a:graphic>
          </wp:anchor>
        </w:drawing>
      </w:r>
    </w:p>
    <w:p>
      <w:pPr>
        <w:pStyle w:val="Body A"/>
        <w:rPr>
          <w:rFonts w:ascii="Arial" w:cs="Arial" w:hAnsi="Arial" w:eastAsia="Arial"/>
          <w:sz w:val="20"/>
          <w:szCs w:val="20"/>
          <w:u w:color="000000"/>
        </w:rPr>
      </w:pPr>
    </w:p>
    <w:p>
      <w:pPr>
        <w:pStyle w:val="Body A"/>
        <w:rPr>
          <w:rStyle w:val="None"/>
          <w:rFonts w:ascii="Arial" w:cs="Arial" w:hAnsi="Arial" w:eastAsia="Arial"/>
          <w:i w:val="1"/>
          <w:iCs w:val="1"/>
          <w:sz w:val="20"/>
          <w:szCs w:val="20"/>
          <w:u w:color="000000"/>
        </w:rPr>
      </w:pPr>
      <w:r>
        <w:rPr>
          <w:rFonts w:ascii="Arial" w:hAnsi="Arial"/>
          <w:i w:val="1"/>
          <w:iCs w:val="1"/>
          <w:sz w:val="20"/>
          <w:szCs w:val="20"/>
          <w:u w:color="000000"/>
          <w:rtl w:val="0"/>
          <w:lang w:val="en-US"/>
        </w:rPr>
        <w:t xml:space="preserve">(Image - Kolb's Learning Styles and Experiential Learning Cycle, 2017 - </w:t>
      </w:r>
      <w:r>
        <w:rPr>
          <w:rStyle w:val="Hyperlink.0"/>
        </w:rPr>
        <w:fldChar w:fldCharType="begin" w:fldLock="0"/>
      </w:r>
      <w:r>
        <w:rPr>
          <w:rStyle w:val="Hyperlink.0"/>
        </w:rPr>
        <w:instrText xml:space="preserve"> HYPERLINK "http://SimplyPsychology.org"</w:instrText>
      </w:r>
      <w:r>
        <w:rPr>
          <w:rStyle w:val="Hyperlink.0"/>
        </w:rPr>
        <w:fldChar w:fldCharType="separate" w:fldLock="0"/>
      </w:r>
      <w:r>
        <w:rPr>
          <w:rStyle w:val="Hyperlink.0"/>
          <w:rtl w:val="0"/>
        </w:rPr>
        <w:t>SimplyPsychology.org</w:t>
      </w:r>
      <w:r>
        <w:rPr/>
        <w:fldChar w:fldCharType="end" w:fldLock="0"/>
      </w:r>
      <w:r>
        <w:rPr>
          <w:rStyle w:val="None"/>
          <w:rFonts w:ascii="Arial" w:hAnsi="Arial"/>
          <w:i w:val="1"/>
          <w:iCs w:val="1"/>
          <w:sz w:val="20"/>
          <w:szCs w:val="20"/>
          <w:u w:color="000000"/>
          <w:rtl w:val="0"/>
          <w:lang w:val="en-US"/>
        </w:rPr>
        <w:t>)</w:t>
      </w:r>
    </w:p>
    <w:p>
      <w:pPr>
        <w:pStyle w:val="Body A"/>
        <w:rPr>
          <w:rStyle w:val="None"/>
          <w:rFonts w:ascii="Arial" w:cs="Arial" w:hAnsi="Arial" w:eastAsia="Arial"/>
          <w:sz w:val="20"/>
          <w:szCs w:val="20"/>
          <w:u w:color="000000"/>
        </w:rPr>
      </w:pPr>
    </w:p>
    <w:p>
      <w:pPr>
        <w:pStyle w:val="Body A"/>
        <w:rPr>
          <w:rStyle w:val="None"/>
          <w:rFonts w:ascii="Arial" w:cs="Arial" w:hAnsi="Arial" w:eastAsia="Arial"/>
          <w:sz w:val="20"/>
          <w:szCs w:val="20"/>
          <w:u w:color="000000"/>
        </w:rPr>
      </w:pPr>
      <w:r>
        <w:rPr>
          <w:rStyle w:val="None"/>
          <w:rFonts w:ascii="Arial" w:hAnsi="Arial"/>
          <w:sz w:val="20"/>
          <w:szCs w:val="20"/>
          <w:u w:color="000000"/>
          <w:rtl w:val="0"/>
          <w:lang w:val="en-US"/>
        </w:rPr>
        <w:t>As Kolb</w:t>
      </w:r>
      <w:r>
        <w:rPr>
          <w:rStyle w:val="None"/>
          <w:rFonts w:ascii="Arial" w:hAnsi="Arial" w:hint="default"/>
          <w:sz w:val="20"/>
          <w:szCs w:val="20"/>
          <w:u w:color="000000"/>
          <w:rtl w:val="0"/>
          <w:lang w:val="en-US"/>
        </w:rPr>
        <w:t>’</w:t>
      </w:r>
      <w:r>
        <w:rPr>
          <w:rStyle w:val="None"/>
          <w:rFonts w:ascii="Arial" w:hAnsi="Arial"/>
          <w:sz w:val="20"/>
          <w:szCs w:val="20"/>
          <w:u w:color="000000"/>
          <w:rtl w:val="0"/>
          <w:lang w:val="en-US"/>
        </w:rPr>
        <w:t>s learning cycle features four stages, I will divide my own experiences in to the stages and illustrate how my own experience of environmental conditions has developed my understanding to safety participate in outdoor adventures.</w:t>
      </w:r>
    </w:p>
    <w:p>
      <w:pPr>
        <w:pStyle w:val="Body A"/>
        <w:rPr>
          <w:rStyle w:val="None"/>
          <w:rFonts w:ascii="Arial" w:cs="Arial" w:hAnsi="Arial" w:eastAsia="Arial"/>
          <w:sz w:val="20"/>
          <w:szCs w:val="20"/>
          <w:u w:color="000000"/>
        </w:rPr>
      </w:pPr>
    </w:p>
    <w:p>
      <w:pPr>
        <w:pStyle w:val="Body A"/>
        <w:rPr>
          <w:rStyle w:val="None"/>
          <w:rFonts w:ascii="Arial" w:cs="Arial" w:hAnsi="Arial" w:eastAsia="Arial"/>
          <w:sz w:val="20"/>
          <w:szCs w:val="20"/>
          <w:u w:val="single" w:color="000000"/>
        </w:rPr>
      </w:pPr>
      <w:r>
        <w:rPr>
          <w:rStyle w:val="None"/>
          <w:rFonts w:ascii="Arial" w:hAnsi="Arial"/>
          <w:sz w:val="20"/>
          <w:szCs w:val="20"/>
          <w:u w:val="single" w:color="000000"/>
          <w:rtl w:val="0"/>
          <w:lang w:val="en-US"/>
        </w:rPr>
        <w:t>Concrete Experience:</w:t>
      </w:r>
    </w:p>
    <w:p>
      <w:pPr>
        <w:pStyle w:val="Body A"/>
        <w:rPr>
          <w:rStyle w:val="None"/>
          <w:rFonts w:ascii="Arial" w:cs="Arial" w:hAnsi="Arial" w:eastAsia="Arial"/>
          <w:sz w:val="20"/>
          <w:szCs w:val="20"/>
          <w:u w:val="single" w:color="000000"/>
        </w:rPr>
      </w:pPr>
    </w:p>
    <w:p>
      <w:pPr>
        <w:pStyle w:val="Body A"/>
        <w:rPr>
          <w:rStyle w:val="None"/>
          <w:rFonts w:ascii="Arial" w:cs="Arial" w:hAnsi="Arial" w:eastAsia="Arial"/>
          <w:sz w:val="20"/>
          <w:szCs w:val="20"/>
          <w:u w:color="000000"/>
        </w:rPr>
      </w:pPr>
      <w:r>
        <w:rPr>
          <w:rStyle w:val="None"/>
          <w:rFonts w:ascii="Arial" w:hAnsi="Arial"/>
          <w:sz w:val="20"/>
          <w:szCs w:val="20"/>
          <w:u w:color="000000"/>
          <w:rtl w:val="0"/>
          <w:lang w:val="en-US"/>
        </w:rPr>
        <w:t>The first stage of Kolb</w:t>
      </w:r>
      <w:r>
        <w:rPr>
          <w:rStyle w:val="None"/>
          <w:rFonts w:ascii="Arial" w:hAnsi="Arial" w:hint="default"/>
          <w:sz w:val="20"/>
          <w:szCs w:val="20"/>
          <w:u w:color="000000"/>
          <w:rtl w:val="0"/>
          <w:lang w:val="en-US"/>
        </w:rPr>
        <w:t>’</w:t>
      </w:r>
      <w:r>
        <w:rPr>
          <w:rStyle w:val="None"/>
          <w:rFonts w:ascii="Arial" w:hAnsi="Arial"/>
          <w:sz w:val="20"/>
          <w:szCs w:val="20"/>
          <w:u w:color="000000"/>
          <w:rtl w:val="0"/>
          <w:lang w:val="en-US"/>
        </w:rPr>
        <w:t>s cycle is a concrete experience. This is a situation in which I, as a learner, am exposed to a new task or a new way of carrying out a project that I haven</w:t>
      </w:r>
      <w:r>
        <w:rPr>
          <w:rStyle w:val="None"/>
          <w:rFonts w:ascii="Arial" w:hAnsi="Arial" w:hint="default"/>
          <w:sz w:val="20"/>
          <w:szCs w:val="20"/>
          <w:u w:color="000000"/>
          <w:rtl w:val="0"/>
          <w:lang w:val="en-US"/>
        </w:rPr>
        <w:t>’</w:t>
      </w:r>
      <w:r>
        <w:rPr>
          <w:rStyle w:val="None"/>
          <w:rFonts w:ascii="Arial" w:hAnsi="Arial"/>
          <w:sz w:val="20"/>
          <w:szCs w:val="20"/>
          <w:u w:color="000000"/>
          <w:rtl w:val="0"/>
          <w:lang w:val="en-US"/>
        </w:rPr>
        <w:t xml:space="preserve">t experienced before (Skills Hub, 2020.) Concrete experiences can range from completely new activities to familiar experiences with varying circumstances. The latter of these two options applies to my own experiences more than the other ways in which a concrete experience can be undertaken. I have had many experiences in the past that I could consider to be </w:t>
      </w:r>
      <w:r>
        <w:rPr>
          <w:rStyle w:val="None"/>
          <w:rFonts w:ascii="Arial" w:hAnsi="Arial" w:hint="default"/>
          <w:sz w:val="20"/>
          <w:szCs w:val="20"/>
          <w:u w:color="000000"/>
          <w:rtl w:val="0"/>
          <w:lang w:val="en-US"/>
        </w:rPr>
        <w:t>‘</w:t>
      </w:r>
      <w:r>
        <w:rPr>
          <w:rStyle w:val="None"/>
          <w:rFonts w:ascii="Arial" w:hAnsi="Arial"/>
          <w:sz w:val="20"/>
          <w:szCs w:val="20"/>
          <w:u w:color="000000"/>
          <w:rtl w:val="0"/>
          <w:lang w:val="en-US"/>
        </w:rPr>
        <w:t>concrete experiences</w:t>
      </w:r>
      <w:r>
        <w:rPr>
          <w:rStyle w:val="None"/>
          <w:rFonts w:ascii="Arial" w:hAnsi="Arial" w:hint="default"/>
          <w:sz w:val="20"/>
          <w:szCs w:val="20"/>
          <w:u w:color="000000"/>
          <w:rtl w:val="0"/>
          <w:lang w:val="en-US"/>
        </w:rPr>
        <w:t xml:space="preserve">’ </w:t>
      </w:r>
      <w:r>
        <w:rPr>
          <w:rStyle w:val="None"/>
          <w:rFonts w:ascii="Arial" w:hAnsi="Arial"/>
          <w:sz w:val="20"/>
          <w:szCs w:val="20"/>
          <w:u w:color="000000"/>
          <w:rtl w:val="0"/>
          <w:lang w:val="en-US"/>
        </w:rPr>
        <w:t>in the context of Kolb</w:t>
      </w:r>
      <w:r>
        <w:rPr>
          <w:rStyle w:val="None"/>
          <w:rFonts w:ascii="Arial" w:hAnsi="Arial" w:hint="default"/>
          <w:sz w:val="20"/>
          <w:szCs w:val="20"/>
          <w:u w:color="000000"/>
          <w:rtl w:val="0"/>
          <w:lang w:val="en-US"/>
        </w:rPr>
        <w:t>’</w:t>
      </w:r>
      <w:r>
        <w:rPr>
          <w:rStyle w:val="None"/>
          <w:rFonts w:ascii="Arial" w:hAnsi="Arial"/>
          <w:sz w:val="20"/>
          <w:szCs w:val="20"/>
          <w:u w:color="000000"/>
          <w:rtl w:val="0"/>
          <w:lang w:val="en-US"/>
        </w:rPr>
        <w:t>s cycle, such as a recent expedition I undertook to summit the Sugar Loaf in Abergavenny, in which I made what I now believe to be a concrete experience through my poor planning on the day of the climb. Beginning at 9:00 AM, I was aware of the weather forecast for the day, and had almost all the equipment necessary for every weather event, even those which were not forecast. Assuming I had planned to perfection for the climb, my backpack contained the vast selection of clothes, enough food for the day and my camera equipment packed inside. However I made a mistake in my planning by forgetting to bring my water backpack, and underestimating how much water would be necessary for the climb throughout the day. As a result, less than two hours in to the climb I ran out of water, by assuming I had packed more than was the case and not rationing it effectively. As a result of this, the experience I had in finishing the climb and return deteriorated drastically over time. My motivation for the climb had been lost, and I was not committed to capturing the experience as best I could.</w:t>
      </w:r>
    </w:p>
    <w:p>
      <w:pPr>
        <w:pStyle w:val="Body A"/>
        <w:rPr>
          <w:rStyle w:val="None"/>
          <w:rFonts w:ascii="Arial" w:cs="Arial" w:hAnsi="Arial" w:eastAsia="Arial"/>
          <w:sz w:val="20"/>
          <w:szCs w:val="20"/>
          <w:u w:color="000000"/>
        </w:rPr>
      </w:pPr>
    </w:p>
    <w:p>
      <w:pPr>
        <w:pStyle w:val="Body A"/>
        <w:rPr>
          <w:rStyle w:val="None"/>
          <w:rFonts w:ascii="Arial" w:cs="Arial" w:hAnsi="Arial" w:eastAsia="Arial"/>
          <w:sz w:val="20"/>
          <w:szCs w:val="20"/>
          <w:u w:color="000000"/>
        </w:rPr>
      </w:pPr>
    </w:p>
    <w:p>
      <w:pPr>
        <w:pStyle w:val="Body A"/>
        <w:rPr>
          <w:rStyle w:val="None"/>
          <w:rFonts w:ascii="Arial" w:cs="Arial" w:hAnsi="Arial" w:eastAsia="Arial"/>
          <w:sz w:val="20"/>
          <w:szCs w:val="20"/>
          <w:u w:val="single" w:color="000000"/>
        </w:rPr>
      </w:pPr>
      <w:r>
        <w:rPr>
          <w:rStyle w:val="None"/>
          <w:rFonts w:ascii="Arial" w:hAnsi="Arial"/>
          <w:sz w:val="20"/>
          <w:szCs w:val="20"/>
          <w:u w:val="single" w:color="000000"/>
          <w:rtl w:val="0"/>
          <w:lang w:val="en-US"/>
        </w:rPr>
        <w:t>Reflective Observation:</w:t>
      </w:r>
    </w:p>
    <w:p>
      <w:pPr>
        <w:pStyle w:val="Body A"/>
        <w:rPr>
          <w:rStyle w:val="None"/>
          <w:rFonts w:ascii="Arial" w:cs="Arial" w:hAnsi="Arial" w:eastAsia="Arial"/>
          <w:sz w:val="20"/>
          <w:szCs w:val="20"/>
          <w:u w:val="single" w:color="000000"/>
        </w:rPr>
      </w:pPr>
    </w:p>
    <w:p>
      <w:pPr>
        <w:pStyle w:val="Body A"/>
        <w:rPr>
          <w:rStyle w:val="None"/>
          <w:rFonts w:ascii="Arial" w:cs="Arial" w:hAnsi="Arial" w:eastAsia="Arial"/>
          <w:sz w:val="20"/>
          <w:szCs w:val="20"/>
          <w:u w:color="000000"/>
        </w:rPr>
      </w:pPr>
      <w:r>
        <w:rPr>
          <w:rStyle w:val="None"/>
          <w:rFonts w:ascii="Arial" w:hAnsi="Arial"/>
          <w:sz w:val="20"/>
          <w:szCs w:val="20"/>
          <w:u w:color="000000"/>
          <w:rtl w:val="0"/>
          <w:lang w:val="en-US"/>
        </w:rPr>
        <w:t>Reflective observation occurs after having a new experience, and involves thought on previous approaches to develop a strategy for easier success the next time an activity is undertaken (Norwich University, 2017.) Looking back at the expedition a few days after I completed it, I was able to undertake effective reflective observation on my decision making and draw a few conclusions from the experience. My lapse in judgement in regard to the quantity of water I needed to take had developed in to an issue that negatively impacted my enjoyment of the entire experience. It was an issue that was compounded by my apprehensive packing of clothing and camera gear, which led to my bag being heavier than it should have been, which led to me requiring more effort to climb, making me more thirsty throughout the day, and leading to a minor state of exhaustion by the end. If I had checked exactly how much water I had with me, I could have limited my consumption of it at the beginning, allowing me to enjoy the climb and appreciate the scenery to a better extent. Thankfully, my planning for the weather meant I was more than prepared for any changes in the environmental conditions, which is something that didn</w:t>
      </w:r>
      <w:r>
        <w:rPr>
          <w:rStyle w:val="None"/>
          <w:rFonts w:ascii="Arial" w:hAnsi="Arial" w:hint="default"/>
          <w:sz w:val="20"/>
          <w:szCs w:val="20"/>
          <w:u w:color="000000"/>
          <w:rtl w:val="0"/>
          <w:lang w:val="en-US"/>
        </w:rPr>
        <w:t>’</w:t>
      </w:r>
      <w:r>
        <w:rPr>
          <w:rStyle w:val="None"/>
          <w:rFonts w:ascii="Arial" w:hAnsi="Arial"/>
          <w:sz w:val="20"/>
          <w:szCs w:val="20"/>
          <w:u w:color="000000"/>
          <w:rtl w:val="0"/>
          <w:lang w:val="en-US"/>
        </w:rPr>
        <w:t>t worsen the issues caused by my lack of water, and my preparation of other areas was without fault.</w:t>
      </w:r>
    </w:p>
    <w:p>
      <w:pPr>
        <w:pStyle w:val="Body A"/>
        <w:rPr>
          <w:rStyle w:val="None"/>
          <w:rFonts w:ascii="Arial" w:cs="Arial" w:hAnsi="Arial" w:eastAsia="Arial"/>
          <w:sz w:val="20"/>
          <w:szCs w:val="20"/>
          <w:u w:val="single" w:color="000000"/>
        </w:rPr>
      </w:pPr>
    </w:p>
    <w:p>
      <w:pPr>
        <w:pStyle w:val="Body A"/>
        <w:rPr>
          <w:rStyle w:val="None"/>
          <w:rFonts w:ascii="Arial" w:cs="Arial" w:hAnsi="Arial" w:eastAsia="Arial"/>
          <w:sz w:val="20"/>
          <w:szCs w:val="20"/>
          <w:u w:val="single" w:color="000000"/>
        </w:rPr>
      </w:pPr>
    </w:p>
    <w:p>
      <w:pPr>
        <w:pStyle w:val="Body A"/>
        <w:rPr>
          <w:rStyle w:val="None"/>
          <w:rFonts w:ascii="Arial" w:cs="Arial" w:hAnsi="Arial" w:eastAsia="Arial"/>
          <w:sz w:val="20"/>
          <w:szCs w:val="20"/>
          <w:u w:val="single" w:color="000000"/>
        </w:rPr>
      </w:pPr>
      <w:r>
        <w:rPr>
          <w:rStyle w:val="None"/>
          <w:rFonts w:ascii="Arial" w:hAnsi="Arial"/>
          <w:sz w:val="20"/>
          <w:szCs w:val="20"/>
          <w:u w:val="single" w:color="000000"/>
          <w:rtl w:val="0"/>
          <w:lang w:val="en-US"/>
        </w:rPr>
        <w:t>Abstract Conceptualisation:</w:t>
      </w:r>
    </w:p>
    <w:p>
      <w:pPr>
        <w:pStyle w:val="Body A"/>
        <w:rPr>
          <w:rStyle w:val="None"/>
          <w:rFonts w:ascii="Arial" w:cs="Arial" w:hAnsi="Arial" w:eastAsia="Arial"/>
          <w:sz w:val="20"/>
          <w:szCs w:val="20"/>
          <w:u w:color="000000"/>
        </w:rPr>
      </w:pPr>
      <w:r>
        <w:rPr>
          <w:rStyle w:val="None"/>
          <w:rFonts w:ascii="Arial" w:hAnsi="Arial"/>
          <w:sz w:val="20"/>
          <w:szCs w:val="20"/>
          <w:u w:color="000000"/>
          <w:rtl w:val="0"/>
          <w:lang w:val="en-US"/>
        </w:rPr>
        <w:t>Abstract conceptualisation is a process of taking my reflections from the reflective observation stage and developing my own plan for a new approach, and a way that I can improve on my preparation for outdoor adventures and experiences by planning for every past mistake I have made. From my reflection upon the expedition, I was able to deduce that in order to get the most out of my experience, I need to take more than enough water, instead of more than enough clothing or camera equipment. As the human body is 60% water, and even small amounts of exercise can lower the quantity of water in your body (REI Co-op, 2020) I need to ensure the correct amount of water is available per hour to be consumed, otherwise I will have learned nothing from my concrete experience. This is a lesson that, although painful to learn in my initial experience, is one that I should have foreseen before my initial climb. On average, a person requires 1L of water per hour when walking uphill (REI Co-op, 2020) so this was a good reference for how much I will need to take in the future.</w:t>
      </w:r>
    </w:p>
    <w:p>
      <w:pPr>
        <w:pStyle w:val="Body A"/>
        <w:rPr>
          <w:rStyle w:val="None"/>
          <w:rFonts w:ascii="Arial" w:cs="Arial" w:hAnsi="Arial" w:eastAsia="Arial"/>
          <w:sz w:val="20"/>
          <w:szCs w:val="20"/>
          <w:u w:val="single" w:color="000000"/>
        </w:rPr>
      </w:pPr>
    </w:p>
    <w:p>
      <w:pPr>
        <w:pStyle w:val="Body A"/>
        <w:rPr>
          <w:rStyle w:val="None"/>
          <w:rFonts w:ascii="Arial" w:cs="Arial" w:hAnsi="Arial" w:eastAsia="Arial"/>
          <w:sz w:val="20"/>
          <w:szCs w:val="20"/>
          <w:u w:val="single" w:color="000000"/>
        </w:rPr>
      </w:pPr>
    </w:p>
    <w:p>
      <w:pPr>
        <w:pStyle w:val="Body A"/>
        <w:rPr>
          <w:rStyle w:val="None"/>
          <w:rFonts w:ascii="Arial" w:cs="Arial" w:hAnsi="Arial" w:eastAsia="Arial"/>
          <w:sz w:val="20"/>
          <w:szCs w:val="20"/>
          <w:u w:val="single" w:color="000000"/>
        </w:rPr>
      </w:pPr>
      <w:r>
        <w:rPr>
          <w:rStyle w:val="None"/>
          <w:rFonts w:ascii="Arial" w:hAnsi="Arial"/>
          <w:sz w:val="20"/>
          <w:szCs w:val="20"/>
          <w:u w:val="single" w:color="000000"/>
          <w:rtl w:val="0"/>
          <w:lang w:val="en-US"/>
        </w:rPr>
        <w:t>Active Experimentation:</w:t>
      </w:r>
    </w:p>
    <w:p>
      <w:pPr>
        <w:pStyle w:val="Body A"/>
        <w:rPr>
          <w:rStyle w:val="None"/>
          <w:rFonts w:ascii="Arial" w:cs="Arial" w:hAnsi="Arial" w:eastAsia="Arial"/>
          <w:sz w:val="20"/>
          <w:szCs w:val="20"/>
          <w:u w:color="000000"/>
        </w:rPr>
      </w:pPr>
      <w:r>
        <w:rPr>
          <w:rStyle w:val="None"/>
          <w:rFonts w:ascii="Arial" w:hAnsi="Arial"/>
          <w:sz w:val="20"/>
          <w:szCs w:val="20"/>
          <w:u w:color="000000"/>
          <w:rtl w:val="0"/>
          <w:lang w:val="en-US"/>
        </w:rPr>
        <w:t>Active Experimentation involves testing new approaches that I have developed through the reflective observation stage of Kolb</w:t>
      </w:r>
      <w:r>
        <w:rPr>
          <w:rStyle w:val="None"/>
          <w:rFonts w:ascii="Arial" w:hAnsi="Arial" w:hint="default"/>
          <w:sz w:val="20"/>
          <w:szCs w:val="20"/>
          <w:u w:color="000000"/>
          <w:rtl w:val="0"/>
          <w:lang w:val="en-US"/>
        </w:rPr>
        <w:t>’</w:t>
      </w:r>
      <w:r>
        <w:rPr>
          <w:rStyle w:val="None"/>
          <w:rFonts w:ascii="Arial" w:hAnsi="Arial"/>
          <w:sz w:val="20"/>
          <w:szCs w:val="20"/>
          <w:u w:color="000000"/>
          <w:rtl w:val="0"/>
          <w:lang w:val="en-US"/>
        </w:rPr>
        <w:t>s learning theory, in a way that combines my experience, reflection and conceptualisation in to practise. This is a way of testing if my hypothesis, which I created through my personal experience, is valid in a structured experiment (Norwich University, 2017.) By combining my reflective observation in which I evaluated my mistakes, my abstract conceptualisation and the contained research, I was able to put a reliable plan in to place, that based the quantity of water I will take with me on evidence of the time it takes to walk the distance, and consuming 1L of water per hour. I was also able to rely upon a single 500ml water bottle at the bottom of my bag as a reserve for emergencies, should I need to help another person with staying hydrated along the way, or if I should run out or lose my main supply of water. Additionally, I invested in a portable water filtration device, so that I would be able to acquire more water along the way should it be necessary. By combining these stages of Kolb</w:t>
      </w:r>
      <w:r>
        <w:rPr>
          <w:rStyle w:val="None"/>
          <w:rFonts w:ascii="Arial" w:hAnsi="Arial" w:hint="default"/>
          <w:sz w:val="20"/>
          <w:szCs w:val="20"/>
          <w:u w:color="000000"/>
          <w:rtl w:val="0"/>
          <w:lang w:val="en-US"/>
        </w:rPr>
        <w:t>’</w:t>
      </w:r>
      <w:r>
        <w:rPr>
          <w:rStyle w:val="None"/>
          <w:rFonts w:ascii="Arial" w:hAnsi="Arial"/>
          <w:sz w:val="20"/>
          <w:szCs w:val="20"/>
          <w:u w:color="000000"/>
          <w:rtl w:val="0"/>
          <w:lang w:val="en-US"/>
        </w:rPr>
        <w:t>s experimental learning theory, I was able to learn from my mistakes, and create a plan for every expedition that encapsulates my initial mistakes in a new, consistent plan that I have followed ever since.</w:t>
      </w:r>
    </w:p>
    <w:p>
      <w:pPr>
        <w:pStyle w:val="Body A"/>
        <w:rPr>
          <w:rStyle w:val="None"/>
          <w:rFonts w:ascii="Arial" w:cs="Arial" w:hAnsi="Arial" w:eastAsia="Arial"/>
          <w:sz w:val="20"/>
          <w:szCs w:val="20"/>
          <w:u w:color="000000"/>
        </w:rPr>
      </w:pPr>
    </w:p>
    <w:p>
      <w:pPr>
        <w:pStyle w:val="Body A"/>
        <w:rPr>
          <w:rStyle w:val="None"/>
          <w:rFonts w:ascii="Arial" w:cs="Arial" w:hAnsi="Arial" w:eastAsia="Arial"/>
          <w:sz w:val="20"/>
          <w:szCs w:val="20"/>
          <w:u w:color="000000"/>
        </w:rPr>
      </w:pPr>
      <w:r>
        <w:rPr>
          <w:rStyle w:val="None"/>
          <w:rFonts w:ascii="Arial" w:hAnsi="Arial"/>
          <w:sz w:val="20"/>
          <w:szCs w:val="20"/>
          <w:u w:color="000000"/>
          <w:rtl w:val="0"/>
          <w:lang w:val="en-US"/>
        </w:rPr>
        <w:t>My own experience of adapting to environmental conditions, through my personal photography adventures, has successfully developed my own understanding of planning future events in the outdoors through my past mistakes in regard to my plan for water intake. By analysing my experience in the context of Kolb</w:t>
      </w:r>
      <w:r>
        <w:rPr>
          <w:rStyle w:val="None"/>
          <w:rFonts w:ascii="Arial" w:hAnsi="Arial" w:hint="default"/>
          <w:sz w:val="20"/>
          <w:szCs w:val="20"/>
          <w:u w:color="000000"/>
          <w:rtl w:val="0"/>
          <w:lang w:val="en-US"/>
        </w:rPr>
        <w:t>’</w:t>
      </w:r>
      <w:r>
        <w:rPr>
          <w:rStyle w:val="None"/>
          <w:rFonts w:ascii="Arial" w:hAnsi="Arial"/>
          <w:sz w:val="20"/>
          <w:szCs w:val="20"/>
          <w:u w:color="000000"/>
          <w:rtl w:val="0"/>
          <w:lang w:val="en-US"/>
        </w:rPr>
        <w:t>s experimental learning cycle, I can clearly evaluate how I was able to adapt to my situation despite the mistakes that were made on my initial journey. The initial event was a true concrete experience, as it made me reflect upon what went wrong and why. In conclusion, the mistakes I made on my first solo adventure, despite being serious misjudgements, have taught me to prioritise my packing order in accordance of necessity rather than convenience. Had I not made this mistake, I would not have learned such a valuable lesson that will hugely influence my kit decisions going in to the future.</w:t>
      </w:r>
    </w:p>
    <w:p>
      <w:pPr>
        <w:pStyle w:val="Body A"/>
        <w:rPr>
          <w:rStyle w:val="None"/>
          <w:rFonts w:ascii="Arial" w:cs="Arial" w:hAnsi="Arial" w:eastAsia="Arial"/>
          <w:sz w:val="20"/>
          <w:szCs w:val="20"/>
          <w:u w:color="000000"/>
        </w:rPr>
      </w:pPr>
    </w:p>
    <w:p>
      <w:pPr>
        <w:pStyle w:val="Body A"/>
        <w:rPr>
          <w:rStyle w:val="None"/>
          <w:rFonts w:ascii="Arial" w:cs="Arial" w:hAnsi="Arial" w:eastAsia="Arial"/>
          <w:sz w:val="20"/>
          <w:szCs w:val="20"/>
          <w:u w:color="000000"/>
        </w:rPr>
      </w:pPr>
    </w:p>
    <w:p>
      <w:pPr>
        <w:pStyle w:val="Body A"/>
        <w:rPr>
          <w:rStyle w:val="None"/>
          <w:rFonts w:ascii="Arial" w:cs="Arial" w:hAnsi="Arial" w:eastAsia="Arial"/>
          <w:sz w:val="20"/>
          <w:szCs w:val="20"/>
          <w:u w:color="000000"/>
        </w:rPr>
      </w:pPr>
    </w:p>
    <w:p>
      <w:pPr>
        <w:pStyle w:val="Default"/>
        <w:spacing w:before="0"/>
        <w:rPr>
          <w:rStyle w:val="None"/>
          <w:rFonts w:ascii="Arial" w:cs="Arial" w:hAnsi="Arial" w:eastAsia="Arial"/>
          <w:b w:val="1"/>
          <w:bCs w:val="1"/>
          <w:sz w:val="20"/>
          <w:szCs w:val="20"/>
        </w:rPr>
      </w:pPr>
    </w:p>
    <w:p>
      <w:pPr>
        <w:pStyle w:val="Default"/>
        <w:spacing w:before="0"/>
        <w:rPr>
          <w:rStyle w:val="None"/>
          <w:rFonts w:ascii="Arial" w:cs="Arial" w:hAnsi="Arial" w:eastAsia="Arial"/>
          <w:b w:val="1"/>
          <w:bCs w:val="1"/>
          <w:sz w:val="20"/>
          <w:szCs w:val="20"/>
        </w:rPr>
      </w:pPr>
    </w:p>
    <w:p>
      <w:pPr>
        <w:pStyle w:val="Default"/>
        <w:spacing w:before="0"/>
        <w:rPr>
          <w:rStyle w:val="None"/>
          <w:rFonts w:ascii="Arial" w:cs="Arial" w:hAnsi="Arial" w:eastAsia="Arial"/>
          <w:b w:val="1"/>
          <w:bCs w:val="1"/>
          <w:sz w:val="20"/>
          <w:szCs w:val="20"/>
        </w:rPr>
      </w:pPr>
      <w:r>
        <w:rPr>
          <w:rStyle w:val="None"/>
          <w:rFonts w:ascii="Arial" w:hAnsi="Arial"/>
          <w:b w:val="1"/>
          <w:bCs w:val="1"/>
          <w:sz w:val="20"/>
          <w:szCs w:val="20"/>
          <w:rtl w:val="0"/>
          <w:lang w:val="en-US"/>
        </w:rPr>
        <w:t>References:</w:t>
      </w:r>
    </w:p>
    <w:p>
      <w:pPr>
        <w:pStyle w:val="Default"/>
        <w:spacing w:before="0"/>
        <w:rPr>
          <w:rStyle w:val="None"/>
          <w:rFonts w:ascii="Arial" w:cs="Arial" w:hAnsi="Arial" w:eastAsia="Arial"/>
          <w:b w:val="1"/>
          <w:bCs w:val="1"/>
          <w:sz w:val="20"/>
          <w:szCs w:val="20"/>
        </w:rPr>
      </w:pPr>
    </w:p>
    <w:p>
      <w:pPr>
        <w:pStyle w:val="Default"/>
        <w:spacing w:before="0"/>
        <w:rPr>
          <w:rStyle w:val="None"/>
          <w:rFonts w:ascii="Arial" w:cs="Arial" w:hAnsi="Arial" w:eastAsia="Arial"/>
          <w:outline w:val="0"/>
          <w:color w:val="333333"/>
          <w:sz w:val="20"/>
          <w:szCs w:val="20"/>
          <w:u w:color="333333"/>
          <w14:textFill>
            <w14:solidFill>
              <w14:srgbClr w14:val="333333"/>
            </w14:solidFill>
          </w14:textFill>
        </w:rPr>
      </w:pPr>
      <w:r>
        <w:rPr>
          <w:rStyle w:val="None"/>
          <w:rFonts w:ascii="Arial" w:hAnsi="Arial"/>
          <w:outline w:val="0"/>
          <w:color w:val="333333"/>
          <w:sz w:val="20"/>
          <w:szCs w:val="20"/>
          <w:u w:color="333333"/>
          <w:rtl w:val="0"/>
          <w:lang w:val="en-US"/>
          <w14:textFill>
            <w14:solidFill>
              <w14:srgbClr w14:val="333333"/>
            </w14:solidFill>
          </w14:textFill>
        </w:rPr>
        <w:t>1</w:t>
      </w:r>
      <w:r>
        <w:rPr>
          <w:rStyle w:val="None"/>
          <w:rFonts w:ascii="Arial" w:hAnsi="Arial"/>
          <w:b w:val="1"/>
          <w:bCs w:val="1"/>
          <w:outline w:val="0"/>
          <w:color w:val="333333"/>
          <w:sz w:val="20"/>
          <w:szCs w:val="20"/>
          <w:u w:color="333333"/>
          <w:rtl w:val="0"/>
          <w:lang w:val="en-US"/>
          <w14:textFill>
            <w14:solidFill>
              <w14:srgbClr w14:val="333333"/>
            </w14:solidFill>
          </w14:textFill>
        </w:rPr>
        <w:t xml:space="preserve">: </w:t>
      </w:r>
      <w:r>
        <w:rPr>
          <w:rStyle w:val="None"/>
          <w:rFonts w:ascii="Arial" w:hAnsi="Arial"/>
          <w:outline w:val="0"/>
          <w:color w:val="333333"/>
          <w:sz w:val="20"/>
          <w:szCs w:val="20"/>
          <w:u w:color="333333"/>
          <w:rtl w:val="0"/>
          <w:lang w:val="en-US"/>
          <w14:textFill>
            <w14:solidFill>
              <w14:srgbClr w14:val="333333"/>
            </w14:solidFill>
          </w14:textFill>
        </w:rPr>
        <w:t>Concise Oxford Dictionary (Oxford: Oxford University Press, 2004)</w:t>
      </w:r>
    </w:p>
    <w:p>
      <w:pPr>
        <w:pStyle w:val="Default"/>
        <w:spacing w:before="0"/>
        <w:rPr>
          <w:rStyle w:val="None"/>
          <w:rFonts w:ascii="Arial" w:cs="Arial" w:hAnsi="Arial" w:eastAsia="Arial"/>
          <w:outline w:val="0"/>
          <w:color w:val="333333"/>
          <w:sz w:val="20"/>
          <w:szCs w:val="20"/>
          <w:u w:color="333333"/>
          <w14:textFill>
            <w14:solidFill>
              <w14:srgbClr w14:val="333333"/>
            </w14:solidFill>
          </w14:textFill>
        </w:rPr>
      </w:pPr>
    </w:p>
    <w:p>
      <w:pPr>
        <w:pStyle w:val="Default"/>
        <w:spacing w:before="0"/>
        <w:rPr>
          <w:rStyle w:val="None"/>
          <w:rFonts w:ascii="Arial" w:cs="Arial" w:hAnsi="Arial" w:eastAsia="Arial"/>
          <w:outline w:val="0"/>
          <w:color w:val="333333"/>
          <w:sz w:val="20"/>
          <w:szCs w:val="20"/>
          <w:u w:color="333333"/>
          <w14:textFill>
            <w14:solidFill>
              <w14:srgbClr w14:val="333333"/>
            </w14:solidFill>
          </w14:textFill>
        </w:rPr>
      </w:pPr>
      <w:r>
        <w:rPr>
          <w:rStyle w:val="None"/>
          <w:rFonts w:ascii="Arial" w:hAnsi="Arial"/>
          <w:outline w:val="0"/>
          <w:color w:val="333333"/>
          <w:sz w:val="20"/>
          <w:szCs w:val="20"/>
          <w:u w:color="333333"/>
          <w:rtl w:val="0"/>
          <w:lang w:val="en-US"/>
          <w14:textFill>
            <w14:solidFill>
              <w14:srgbClr w14:val="333333"/>
            </w14:solidFill>
          </w14:textFill>
        </w:rPr>
        <w:t xml:space="preserve">2: Saul McLeod, 2017, </w:t>
      </w:r>
      <w:r>
        <w:rPr>
          <w:rStyle w:val="None"/>
          <w:rFonts w:ascii="Arial" w:hAnsi="Arial"/>
          <w:i w:val="1"/>
          <w:iCs w:val="1"/>
          <w:outline w:val="0"/>
          <w:color w:val="333333"/>
          <w:sz w:val="20"/>
          <w:szCs w:val="20"/>
          <w:u w:color="333333"/>
          <w:rtl w:val="0"/>
          <w:lang w:val="en-US"/>
          <w14:textFill>
            <w14:solidFill>
              <w14:srgbClr w14:val="333333"/>
            </w14:solidFill>
          </w14:textFill>
        </w:rPr>
        <w:t>Kolb</w:t>
      </w:r>
      <w:r>
        <w:rPr>
          <w:rStyle w:val="None"/>
          <w:rFonts w:ascii="Arial" w:hAnsi="Arial" w:hint="default"/>
          <w:i w:val="1"/>
          <w:iCs w:val="1"/>
          <w:outline w:val="0"/>
          <w:color w:val="333333"/>
          <w:sz w:val="20"/>
          <w:szCs w:val="20"/>
          <w:u w:color="333333"/>
          <w:rtl w:val="0"/>
          <w:lang w:val="en-US"/>
          <w14:textFill>
            <w14:solidFill>
              <w14:srgbClr w14:val="333333"/>
            </w14:solidFill>
          </w14:textFill>
        </w:rPr>
        <w:t>’</w:t>
      </w:r>
      <w:r>
        <w:rPr>
          <w:rStyle w:val="None"/>
          <w:rFonts w:ascii="Arial" w:hAnsi="Arial"/>
          <w:i w:val="1"/>
          <w:iCs w:val="1"/>
          <w:outline w:val="0"/>
          <w:color w:val="333333"/>
          <w:sz w:val="20"/>
          <w:szCs w:val="20"/>
          <w:u w:color="333333"/>
          <w:rtl w:val="0"/>
          <w:lang w:val="en-US"/>
          <w14:textFill>
            <w14:solidFill>
              <w14:srgbClr w14:val="333333"/>
            </w14:solidFill>
          </w14:textFill>
        </w:rPr>
        <w:t xml:space="preserve">s Learning Styles and Experimental Learning Cycle, </w:t>
      </w:r>
      <w:r>
        <w:rPr>
          <w:rStyle w:val="None"/>
          <w:rFonts w:ascii="Arial" w:hAnsi="Arial"/>
          <w:outline w:val="0"/>
          <w:color w:val="333333"/>
          <w:sz w:val="20"/>
          <w:szCs w:val="20"/>
          <w:u w:color="333333"/>
          <w:rtl w:val="0"/>
          <w:lang w:val="en-US"/>
          <w14:textFill>
            <w14:solidFill>
              <w14:srgbClr w14:val="333333"/>
            </w14:solidFill>
          </w14:textFill>
        </w:rPr>
        <w:t>Viewed 22/11/20 &lt;</w:t>
      </w:r>
      <w:r>
        <w:rPr>
          <w:rStyle w:val="Hyperlink.1"/>
        </w:rPr>
        <w:fldChar w:fldCharType="begin" w:fldLock="0"/>
      </w:r>
      <w:r>
        <w:rPr>
          <w:rStyle w:val="Hyperlink.1"/>
        </w:rPr>
        <w:instrText xml:space="preserve"> HYPERLINK "https://www.simplypsychology.org/learning-kolb.html"</w:instrText>
      </w:r>
      <w:r>
        <w:rPr>
          <w:rStyle w:val="Hyperlink.1"/>
        </w:rPr>
        <w:fldChar w:fldCharType="separate" w:fldLock="0"/>
      </w:r>
      <w:r>
        <w:rPr>
          <w:rStyle w:val="Hyperlink.1"/>
          <w:rtl w:val="0"/>
          <w:lang w:val="en-US"/>
        </w:rPr>
        <w:t>https://www.simplypsychology.org/learning-kolb.html</w:t>
      </w:r>
      <w:r>
        <w:rPr/>
        <w:fldChar w:fldCharType="end" w:fldLock="0"/>
      </w:r>
      <w:r>
        <w:rPr>
          <w:rStyle w:val="None"/>
          <w:rFonts w:ascii="Arial" w:hAnsi="Arial"/>
          <w:outline w:val="0"/>
          <w:color w:val="333333"/>
          <w:sz w:val="20"/>
          <w:szCs w:val="20"/>
          <w:u w:color="333333"/>
          <w:rtl w:val="0"/>
          <w:lang w:val="en-US"/>
          <w14:textFill>
            <w14:solidFill>
              <w14:srgbClr w14:val="333333"/>
            </w14:solidFill>
          </w14:textFill>
        </w:rPr>
        <w:t>&gt;</w:t>
      </w:r>
    </w:p>
    <w:p>
      <w:pPr>
        <w:pStyle w:val="Default"/>
        <w:spacing w:before="0"/>
        <w:rPr>
          <w:rStyle w:val="None"/>
          <w:rFonts w:ascii="Arial" w:cs="Arial" w:hAnsi="Arial" w:eastAsia="Arial"/>
          <w:outline w:val="0"/>
          <w:color w:val="333333"/>
          <w:sz w:val="20"/>
          <w:szCs w:val="20"/>
          <w:u w:color="333333"/>
          <w14:textFill>
            <w14:solidFill>
              <w14:srgbClr w14:val="333333"/>
            </w14:solidFill>
          </w14:textFill>
        </w:rPr>
      </w:pPr>
    </w:p>
    <w:p>
      <w:pPr>
        <w:pStyle w:val="Default"/>
        <w:spacing w:before="0"/>
        <w:rPr>
          <w:rStyle w:val="None"/>
          <w:rFonts w:ascii="Arial" w:cs="Arial" w:hAnsi="Arial" w:eastAsia="Arial"/>
          <w:outline w:val="0"/>
          <w:color w:val="333333"/>
          <w:sz w:val="20"/>
          <w:szCs w:val="20"/>
          <w:u w:color="333333"/>
          <w14:textFill>
            <w14:solidFill>
              <w14:srgbClr w14:val="333333"/>
            </w14:solidFill>
          </w14:textFill>
        </w:rPr>
      </w:pPr>
      <w:r>
        <w:rPr>
          <w:rStyle w:val="None"/>
          <w:rFonts w:ascii="Arial" w:hAnsi="Arial"/>
          <w:outline w:val="0"/>
          <w:color w:val="333333"/>
          <w:sz w:val="20"/>
          <w:szCs w:val="20"/>
          <w:u w:color="333333"/>
          <w:rtl w:val="0"/>
          <w:lang w:val="en-US"/>
          <w14:textFill>
            <w14:solidFill>
              <w14:srgbClr w14:val="333333"/>
            </w14:solidFill>
          </w14:textFill>
        </w:rPr>
        <w:t xml:space="preserve">3: </w:t>
      </w:r>
      <w:r>
        <w:rPr>
          <w:rStyle w:val="None"/>
          <w:rFonts w:ascii="Arial" w:hAnsi="Arial"/>
          <w:i w:val="1"/>
          <w:iCs w:val="1"/>
          <w:outline w:val="0"/>
          <w:color w:val="333333"/>
          <w:sz w:val="20"/>
          <w:szCs w:val="20"/>
          <w:u w:color="333333"/>
          <w:rtl w:val="0"/>
          <w:lang w:val="en-US"/>
          <w14:textFill>
            <w14:solidFill>
              <w14:srgbClr w14:val="333333"/>
            </w14:solidFill>
          </w14:textFill>
        </w:rPr>
        <w:t>What are Kolb</w:t>
      </w:r>
      <w:r>
        <w:rPr>
          <w:rStyle w:val="None"/>
          <w:rFonts w:ascii="Arial" w:hAnsi="Arial" w:hint="default"/>
          <w:i w:val="1"/>
          <w:iCs w:val="1"/>
          <w:outline w:val="0"/>
          <w:color w:val="333333"/>
          <w:sz w:val="20"/>
          <w:szCs w:val="20"/>
          <w:u w:color="333333"/>
          <w:rtl w:val="0"/>
          <w:lang w:val="en-US"/>
          <w14:textFill>
            <w14:solidFill>
              <w14:srgbClr w14:val="333333"/>
            </w14:solidFill>
          </w14:textFill>
        </w:rPr>
        <w:t>’</w:t>
      </w:r>
      <w:r>
        <w:rPr>
          <w:rStyle w:val="None"/>
          <w:rFonts w:ascii="Arial" w:hAnsi="Arial"/>
          <w:i w:val="1"/>
          <w:iCs w:val="1"/>
          <w:outline w:val="0"/>
          <w:color w:val="333333"/>
          <w:sz w:val="20"/>
          <w:szCs w:val="20"/>
          <w:u w:color="333333"/>
          <w:rtl w:val="0"/>
          <w:lang w:val="en-US"/>
          <w14:textFill>
            <w14:solidFill>
              <w14:srgbClr w14:val="333333"/>
            </w14:solidFill>
          </w14:textFill>
        </w:rPr>
        <w:t xml:space="preserve">s learning styles and what do they mean, </w:t>
      </w:r>
      <w:r>
        <w:rPr>
          <w:rStyle w:val="None"/>
          <w:rFonts w:ascii="Arial" w:hAnsi="Arial"/>
          <w:outline w:val="0"/>
          <w:color w:val="333333"/>
          <w:sz w:val="20"/>
          <w:szCs w:val="20"/>
          <w:u w:color="333333"/>
          <w:rtl w:val="0"/>
          <w:lang w:val="en-US"/>
          <w14:textFill>
            <w14:solidFill>
              <w14:srgbClr w14:val="333333"/>
            </w14:solidFill>
          </w14:textFill>
        </w:rPr>
        <w:t>Skills Hub, viewed 23/11/20 &lt;www.skillshub.com/what-are-kolbs-learning-styles, 2016&gt;</w:t>
      </w:r>
    </w:p>
    <w:p>
      <w:pPr>
        <w:pStyle w:val="Default"/>
        <w:spacing w:before="0"/>
        <w:rPr>
          <w:rStyle w:val="None"/>
          <w:rFonts w:ascii="Arial" w:cs="Arial" w:hAnsi="Arial" w:eastAsia="Arial"/>
          <w:outline w:val="0"/>
          <w:color w:val="333333"/>
          <w:sz w:val="20"/>
          <w:szCs w:val="20"/>
          <w:u w:color="333333"/>
          <w14:textFill>
            <w14:solidFill>
              <w14:srgbClr w14:val="333333"/>
            </w14:solidFill>
          </w14:textFill>
        </w:rPr>
      </w:pPr>
    </w:p>
    <w:p>
      <w:pPr>
        <w:pStyle w:val="Default"/>
        <w:spacing w:before="0"/>
        <w:rPr>
          <w:rStyle w:val="None"/>
          <w:rFonts w:ascii="Arial" w:cs="Arial" w:hAnsi="Arial" w:eastAsia="Arial"/>
          <w:outline w:val="0"/>
          <w:color w:val="333333"/>
          <w:sz w:val="20"/>
          <w:szCs w:val="20"/>
          <w:u w:color="333333"/>
          <w14:textFill>
            <w14:solidFill>
              <w14:srgbClr w14:val="333333"/>
            </w14:solidFill>
          </w14:textFill>
        </w:rPr>
      </w:pPr>
      <w:r>
        <w:rPr>
          <w:rStyle w:val="None"/>
          <w:rFonts w:ascii="Arial" w:hAnsi="Arial"/>
          <w:outline w:val="0"/>
          <w:color w:val="333333"/>
          <w:sz w:val="20"/>
          <w:szCs w:val="20"/>
          <w:u w:color="333333"/>
          <w:rtl w:val="0"/>
          <w:lang w:val="en-US"/>
          <w14:textFill>
            <w14:solidFill>
              <w14:srgbClr w14:val="333333"/>
            </w14:solidFill>
          </w14:textFill>
        </w:rPr>
        <w:t xml:space="preserve">4: Megan Stump, 2020, </w:t>
      </w:r>
      <w:r>
        <w:rPr>
          <w:rStyle w:val="None"/>
          <w:rFonts w:ascii="Arial" w:hAnsi="Arial"/>
          <w:i w:val="1"/>
          <w:iCs w:val="1"/>
          <w:outline w:val="0"/>
          <w:color w:val="333333"/>
          <w:sz w:val="20"/>
          <w:szCs w:val="20"/>
          <w:u w:color="333333"/>
          <w:rtl w:val="0"/>
          <w:lang w:val="en-US"/>
          <w14:textFill>
            <w14:solidFill>
              <w14:srgbClr w14:val="333333"/>
            </w14:solidFill>
          </w14:textFill>
        </w:rPr>
        <w:t>Hydration Basics</w:t>
      </w:r>
      <w:r>
        <w:rPr>
          <w:rStyle w:val="None"/>
          <w:rFonts w:ascii="Arial" w:hAnsi="Arial"/>
          <w:outline w:val="0"/>
          <w:color w:val="333333"/>
          <w:sz w:val="20"/>
          <w:szCs w:val="20"/>
          <w:u w:color="333333"/>
          <w:rtl w:val="0"/>
          <w:lang w:val="en-US"/>
          <w14:textFill>
            <w14:solidFill>
              <w14:srgbClr w14:val="333333"/>
            </w14:solidFill>
          </w14:textFill>
        </w:rPr>
        <w:t>, REI Co-op &lt;</w:t>
      </w:r>
      <w:r>
        <w:rPr>
          <w:rStyle w:val="Hyperlink.1"/>
        </w:rPr>
        <w:fldChar w:fldCharType="begin" w:fldLock="0"/>
      </w:r>
      <w:r>
        <w:rPr>
          <w:rStyle w:val="Hyperlink.1"/>
        </w:rPr>
        <w:instrText xml:space="preserve"> HYPERLINK "https://www.rei.com/learn/expert-advice/hydrate.html"</w:instrText>
      </w:r>
      <w:r>
        <w:rPr>
          <w:rStyle w:val="Hyperlink.1"/>
        </w:rPr>
        <w:fldChar w:fldCharType="separate" w:fldLock="0"/>
      </w:r>
      <w:r>
        <w:rPr>
          <w:rStyle w:val="Hyperlink.1"/>
          <w:rtl w:val="0"/>
          <w:lang w:val="en-US"/>
        </w:rPr>
        <w:t>https://www.rei.com/learn/expert-advice/hydrate.html</w:t>
      </w:r>
      <w:r>
        <w:rPr/>
        <w:fldChar w:fldCharType="end" w:fldLock="0"/>
      </w:r>
      <w:r>
        <w:rPr>
          <w:rStyle w:val="None"/>
          <w:rFonts w:ascii="Arial" w:hAnsi="Arial"/>
          <w:outline w:val="0"/>
          <w:color w:val="333333"/>
          <w:sz w:val="20"/>
          <w:szCs w:val="20"/>
          <w:u w:color="333333"/>
          <w:rtl w:val="0"/>
          <w:lang w:val="en-US"/>
          <w14:textFill>
            <w14:solidFill>
              <w14:srgbClr w14:val="333333"/>
            </w14:solidFill>
          </w14:textFill>
        </w:rPr>
        <w:t>&gt;</w:t>
      </w:r>
    </w:p>
    <w:p>
      <w:pPr>
        <w:pStyle w:val="Default"/>
        <w:spacing w:before="0"/>
        <w:rPr>
          <w:rStyle w:val="None"/>
          <w:rFonts w:ascii="Arial" w:cs="Arial" w:hAnsi="Arial" w:eastAsia="Arial"/>
          <w:outline w:val="0"/>
          <w:color w:val="333333"/>
          <w:sz w:val="20"/>
          <w:szCs w:val="20"/>
          <w:u w:color="333333"/>
          <w14:textFill>
            <w14:solidFill>
              <w14:srgbClr w14:val="333333"/>
            </w14:solidFill>
          </w14:textFill>
        </w:rPr>
      </w:pPr>
    </w:p>
    <w:p>
      <w:pPr>
        <w:pStyle w:val="Default"/>
        <w:spacing w:before="0"/>
      </w:pPr>
      <w:r>
        <w:rPr>
          <w:rStyle w:val="None"/>
          <w:rFonts w:ascii="Arial" w:hAnsi="Arial"/>
          <w:outline w:val="0"/>
          <w:color w:val="333333"/>
          <w:sz w:val="20"/>
          <w:szCs w:val="20"/>
          <w:u w:color="333333"/>
          <w:rtl w:val="0"/>
          <w:lang w:val="en-US"/>
          <w14:textFill>
            <w14:solidFill>
              <w14:srgbClr w14:val="333333"/>
            </w14:solidFill>
          </w14:textFill>
        </w:rPr>
        <w:t xml:space="preserve">5: </w:t>
      </w:r>
      <w:r>
        <w:rPr>
          <w:rStyle w:val="None"/>
          <w:rFonts w:ascii="Arial" w:hAnsi="Arial"/>
          <w:i w:val="1"/>
          <w:iCs w:val="1"/>
          <w:outline w:val="0"/>
          <w:color w:val="333333"/>
          <w:sz w:val="20"/>
          <w:szCs w:val="20"/>
          <w:u w:color="333333"/>
          <w:rtl w:val="0"/>
          <w:lang w:val="en-US"/>
          <w14:textFill>
            <w14:solidFill>
              <w14:srgbClr w14:val="333333"/>
            </w14:solidFill>
          </w14:textFill>
        </w:rPr>
        <w:t xml:space="preserve">The 4 Components of the Experiential Learning Cycle, </w:t>
      </w:r>
      <w:r>
        <w:rPr>
          <w:rStyle w:val="None"/>
          <w:rFonts w:ascii="Arial" w:hAnsi="Arial"/>
          <w:outline w:val="0"/>
          <w:color w:val="333333"/>
          <w:sz w:val="20"/>
          <w:szCs w:val="20"/>
          <w:u w:color="333333"/>
          <w:rtl w:val="0"/>
          <w:lang w:val="en-US"/>
          <w14:textFill>
            <w14:solidFill>
              <w14:srgbClr w14:val="333333"/>
            </w14:solidFill>
          </w14:textFill>
        </w:rPr>
        <w:t>Norwich University Online, 2017, &lt;https://online.norwich.edu/academic-programs/resources/4-components-experiential-learning-cycle&gt;</w:t>
      </w:r>
    </w:p>
    <w:sectPr>
      <w:headerReference w:type="default" r:id="rId5"/>
      <w:footerReference w:type="default" r:id="rId6"/>
      <w:pgSz w:w="11900" w:h="16840"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pPr>
    <w:r>
      <mc:AlternateContent>
        <mc:Choice Requires="wps">
          <w:drawing xmlns:a="http://schemas.openxmlformats.org/drawingml/2006/main">
            <wp:anchor distT="152400" distB="152400" distL="152400" distR="152400" simplePos="0" relativeHeight="251658240" behindDoc="1" locked="0" layoutInCell="1" allowOverlap="1">
              <wp:simplePos x="0" y="0"/>
              <wp:positionH relativeFrom="page">
                <wp:posOffset>0</wp:posOffset>
              </wp:positionH>
              <wp:positionV relativeFrom="page">
                <wp:posOffset>0</wp:posOffset>
              </wp:positionV>
              <wp:extent cx="7556500" cy="10693400"/>
              <wp:effectExtent l="0" t="0" r="0" b="0"/>
              <wp:wrapNone/>
              <wp:docPr id="1073741825" name="officeArt object"/>
              <wp:cNvGraphicFramePr/>
              <a:graphic xmlns:a="http://schemas.openxmlformats.org/drawingml/2006/main">
                <a:graphicData uri="http://schemas.microsoft.com/office/word/2010/wordprocessingShape">
                  <wps:wsp>
                    <wps:cNvSpPr/>
                    <wps:spPr>
                      <a:xfrm>
                        <a:off x="0" y="0"/>
                        <a:ext cx="7556500" cy="10693400"/>
                      </a:xfrm>
                      <a:prstGeom prst="roundRect">
                        <a:avLst>
                          <a:gd name="adj" fmla="val 0"/>
                        </a:avLst>
                      </a:prstGeom>
                      <a:solidFill>
                        <a:srgbClr val="FFFFFF"/>
                      </a:solidFill>
                      <a:ln w="12700" cap="flat">
                        <a:noFill/>
                        <a:miter lim="400000"/>
                      </a:ln>
                      <a:effectLst/>
                    </wps:spPr>
                    <wps:bodyPr/>
                  </wps:wsp>
                </a:graphicData>
              </a:graphic>
            </wp:anchor>
          </w:drawing>
        </mc:Choice>
        <mc:Fallback>
          <w:pict>
            <v:roundrect id="_x0000_s1026" style="visibility:visible;position:absolute;margin-left:0.0pt;margin-top:0.0pt;width:595.0pt;height:842.0pt;z-index:-251658240;mso-position-horizontal:absolute;mso-position-horizontal-relative:page;mso-position-vertical:absolute;mso-position-vertical-relative:page;mso-wrap-distance-left:12.0pt;mso-wrap-distance-top:12.0pt;mso-wrap-distance-right:12.0pt;mso-wrap-distance-bottom:12.0pt;" adj="0">
              <v:fill color="#FFFFFF" opacity="100.0%" type="solid"/>
              <v:stroke on="f" weight="1.0pt" dashstyle="solid" endcap="flat" miterlimit="400.0%" joinstyle="miter" linestyle="single" startarrow="none" startarrowwidth="medium" startarrowlength="medium" endarrow="none" endarrowwidth="medium" endarrowlength="medium"/>
              <w10:wrap type="none" side="bothSides" anchorx="page" anchory="page"/>
            </v:roundrect>
          </w:pict>
        </mc:Fallback>
      </mc:AlternateContent>
    </w: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1"/>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14:textOutline>
        <w14:noFill/>
      </w14:textOutline>
      <w14:textFill>
        <w14:solidFill>
          <w14:srgbClr w14:val="000000"/>
        </w14:solidFill>
      </w14:textFill>
    </w:r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Body A">
    <w:name w:val="Body A"/>
    <w:next w:val="Body A"/>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Outline w14:w="12700" w14:cap="flat">
        <w14:noFill/>
        <w14:miter w14:lim="400000"/>
      </w14:textOutline>
      <w14:textFill>
        <w14:solidFill>
          <w14:srgbClr w14:val="000000"/>
        </w14:solidFill>
      </w14:textFill>
    </w:rPr>
  </w:style>
  <w:style w:type="character" w:styleId="None">
    <w:name w:val="None"/>
  </w:style>
  <w:style w:type="character" w:styleId="Hyperlink.0">
    <w:name w:val="Hyperlink.0"/>
    <w:basedOn w:val="None"/>
    <w:next w:val="Hyperlink.0"/>
    <w:rPr>
      <w:rFonts w:ascii="Times New Roman" w:cs="Times New Roman" w:hAnsi="Times New Roman" w:eastAsia="Times New Roman"/>
      <w:i w:val="1"/>
      <w:iCs w:val="1"/>
      <w:sz w:val="20"/>
      <w:szCs w:val="20"/>
      <w:u w:val="single" w:color="000000"/>
    </w:rPr>
  </w:style>
  <w:style w:type="paragraph" w:styleId="Default">
    <w:name w:val="Default"/>
    <w:next w:val="Default"/>
    <w:pPr>
      <w:keepNext w:val="0"/>
      <w:keepLines w:val="0"/>
      <w:pageBreakBefore w:val="0"/>
      <w:widowControl w:val="1"/>
      <w:shd w:val="clear" w:color="auto" w:fill="auto"/>
      <w:suppressAutoHyphens w:val="0"/>
      <w:bidi w:val="0"/>
      <w:spacing w:before="16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14:textOutline w14:w="12700" w14:cap="flat">
        <w14:noFill/>
        <w14:miter w14:lim="400000"/>
      </w14:textOutline>
      <w14:textFill>
        <w14:solidFill>
          <w14:srgbClr w14:val="000000"/>
        </w14:solidFill>
      </w14:textFill>
    </w:rPr>
  </w:style>
  <w:style w:type="character" w:styleId="Hyperlink.1">
    <w:name w:val="Hyperlink.1"/>
    <w:basedOn w:val="None"/>
    <w:next w:val="Hyperlink.1"/>
    <w:rPr>
      <w:outline w:val="0"/>
      <w:color w:val="333333"/>
      <w:sz w:val="20"/>
      <w:szCs w:val="20"/>
      <w:u w:val="single" w:color="333333"/>
      <w:lang w:val="en-US"/>
      <w14:textFill>
        <w14:solidFill>
          <w14:srgbClr w14:val="333333"/>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tif"/><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A7A7A7"/>
      </a:dk2>
      <a:lt2>
        <a:srgbClr val="535353"/>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50800" tIns="50800" rIns="50800" bIns="50800"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