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0000001" w14:textId="77777777" w:rsidR="0054275D" w:rsidRDefault="00CD28D5">
      <w:pPr>
        <w:jc w:val="center"/>
        <w:rPr>
          <w:rFonts w:ascii="Arial" w:eastAsia="Arial" w:hAnsi="Arial" w:cs="Arial"/>
          <w:b/>
          <w:sz w:val="38"/>
          <w:szCs w:val="38"/>
        </w:rPr>
      </w:pPr>
      <w:r>
        <w:rPr>
          <w:rFonts w:ascii="Arial" w:eastAsia="Arial" w:hAnsi="Arial" w:cs="Arial"/>
          <w:b/>
          <w:sz w:val="38"/>
          <w:szCs w:val="38"/>
        </w:rPr>
        <w:t xml:space="preserve">University of Wales </w:t>
      </w:r>
    </w:p>
    <w:p w14:paraId="00000002" w14:textId="77777777" w:rsidR="0054275D" w:rsidRDefault="00CD28D5">
      <w:pPr>
        <w:jc w:val="center"/>
        <w:rPr>
          <w:rFonts w:ascii="Arial" w:eastAsia="Arial" w:hAnsi="Arial" w:cs="Arial"/>
          <w:b/>
          <w:sz w:val="38"/>
          <w:szCs w:val="38"/>
        </w:rPr>
      </w:pPr>
      <w:r>
        <w:rPr>
          <w:rFonts w:ascii="Arial" w:eastAsia="Arial" w:hAnsi="Arial" w:cs="Arial"/>
          <w:b/>
          <w:sz w:val="38"/>
          <w:szCs w:val="38"/>
        </w:rPr>
        <w:t>Trinity Saint David</w:t>
      </w:r>
    </w:p>
    <w:p w14:paraId="00000003" w14:textId="77777777" w:rsidR="0054275D" w:rsidRDefault="0054275D">
      <w:pPr>
        <w:rPr>
          <w:rFonts w:ascii="Arial" w:eastAsia="Arial" w:hAnsi="Arial" w:cs="Arial"/>
          <w:b/>
          <w:sz w:val="36"/>
          <w:szCs w:val="36"/>
        </w:rPr>
      </w:pPr>
    </w:p>
    <w:p w14:paraId="00000004" w14:textId="77777777" w:rsidR="0054275D" w:rsidRDefault="0054275D">
      <w:pPr>
        <w:rPr>
          <w:rFonts w:ascii="Arial" w:eastAsia="Arial" w:hAnsi="Arial" w:cs="Arial"/>
          <w:b/>
          <w:sz w:val="36"/>
          <w:szCs w:val="36"/>
        </w:rPr>
      </w:pPr>
    </w:p>
    <w:p w14:paraId="00000005" w14:textId="77777777" w:rsidR="0054275D" w:rsidRDefault="00CD28D5">
      <w:pPr>
        <w:rPr>
          <w:rFonts w:ascii="Arial" w:eastAsia="Arial" w:hAnsi="Arial" w:cs="Arial"/>
          <w:b/>
          <w:sz w:val="36"/>
          <w:szCs w:val="36"/>
        </w:rPr>
      </w:pPr>
      <w:r>
        <w:rPr>
          <w:rFonts w:ascii="Arial" w:eastAsia="Arial" w:hAnsi="Arial" w:cs="Arial"/>
          <w:b/>
          <w:sz w:val="36"/>
          <w:szCs w:val="36"/>
        </w:rPr>
        <w:t xml:space="preserve">Module:  </w:t>
      </w:r>
      <w:r>
        <w:rPr>
          <w:rFonts w:ascii="Arial" w:eastAsia="Arial" w:hAnsi="Arial" w:cs="Arial"/>
          <w:sz w:val="36"/>
          <w:szCs w:val="36"/>
        </w:rPr>
        <w:t>Psychology in Health and Social Care</w:t>
      </w:r>
    </w:p>
    <w:p w14:paraId="00000006" w14:textId="77777777" w:rsidR="0054275D" w:rsidRDefault="00CD28D5">
      <w:pPr>
        <w:rPr>
          <w:rFonts w:ascii="Arial" w:eastAsia="Arial" w:hAnsi="Arial" w:cs="Arial"/>
          <w:sz w:val="36"/>
          <w:szCs w:val="36"/>
        </w:rPr>
      </w:pPr>
      <w:r>
        <w:rPr>
          <w:rFonts w:ascii="Arial" w:eastAsia="Arial" w:hAnsi="Arial" w:cs="Arial"/>
          <w:b/>
          <w:sz w:val="36"/>
          <w:szCs w:val="36"/>
        </w:rPr>
        <w:t>Module code</w:t>
      </w:r>
      <w:r>
        <w:rPr>
          <w:rFonts w:ascii="Arial" w:eastAsia="Arial" w:hAnsi="Arial" w:cs="Arial"/>
          <w:sz w:val="36"/>
          <w:szCs w:val="36"/>
        </w:rPr>
        <w:t>:  LCHS4006</w:t>
      </w:r>
    </w:p>
    <w:p w14:paraId="00000007" w14:textId="77777777" w:rsidR="0054275D" w:rsidRDefault="00CD28D5">
      <w:pPr>
        <w:rPr>
          <w:rFonts w:ascii="Arial" w:eastAsia="Arial" w:hAnsi="Arial" w:cs="Arial"/>
          <w:b/>
          <w:sz w:val="36"/>
          <w:szCs w:val="36"/>
        </w:rPr>
      </w:pPr>
      <w:r>
        <w:rPr>
          <w:rFonts w:ascii="Arial" w:eastAsia="Arial" w:hAnsi="Arial" w:cs="Arial"/>
          <w:b/>
          <w:sz w:val="36"/>
          <w:szCs w:val="36"/>
        </w:rPr>
        <w:t xml:space="preserve">Module leader:  </w:t>
      </w:r>
      <w:r>
        <w:rPr>
          <w:rFonts w:ascii="Arial" w:eastAsia="Arial" w:hAnsi="Arial" w:cs="Arial"/>
          <w:sz w:val="36"/>
          <w:szCs w:val="36"/>
        </w:rPr>
        <w:t>Alice Clayton</w:t>
      </w:r>
      <w:r>
        <w:rPr>
          <w:rFonts w:ascii="Arial" w:eastAsia="Arial" w:hAnsi="Arial" w:cs="Arial"/>
          <w:b/>
          <w:sz w:val="36"/>
          <w:szCs w:val="36"/>
        </w:rPr>
        <w:t xml:space="preserve"> </w:t>
      </w:r>
    </w:p>
    <w:p w14:paraId="00000008" w14:textId="77777777" w:rsidR="0054275D" w:rsidRDefault="00CD28D5">
      <w:pPr>
        <w:rPr>
          <w:rFonts w:ascii="Arial" w:eastAsia="Arial" w:hAnsi="Arial" w:cs="Arial"/>
          <w:sz w:val="36"/>
          <w:szCs w:val="36"/>
        </w:rPr>
      </w:pPr>
      <w:r>
        <w:rPr>
          <w:rFonts w:ascii="Arial" w:eastAsia="Arial" w:hAnsi="Arial" w:cs="Arial"/>
          <w:b/>
          <w:sz w:val="36"/>
          <w:szCs w:val="36"/>
        </w:rPr>
        <w:t>Student name</w:t>
      </w:r>
      <w:r>
        <w:rPr>
          <w:rFonts w:ascii="Arial" w:eastAsia="Arial" w:hAnsi="Arial" w:cs="Arial"/>
          <w:sz w:val="36"/>
          <w:szCs w:val="36"/>
        </w:rPr>
        <w:t xml:space="preserve">:  Jubli Aktar </w:t>
      </w:r>
    </w:p>
    <w:p w14:paraId="00000009" w14:textId="77777777" w:rsidR="0054275D" w:rsidRDefault="00CD28D5">
      <w:pPr>
        <w:rPr>
          <w:rFonts w:ascii="Arial" w:eastAsia="Arial" w:hAnsi="Arial" w:cs="Arial"/>
          <w:sz w:val="32"/>
          <w:szCs w:val="32"/>
        </w:rPr>
      </w:pPr>
      <w:r>
        <w:rPr>
          <w:rFonts w:ascii="Arial" w:eastAsia="Arial" w:hAnsi="Arial" w:cs="Arial"/>
          <w:b/>
          <w:sz w:val="36"/>
          <w:szCs w:val="36"/>
        </w:rPr>
        <w:t>Student number</w:t>
      </w:r>
      <w:r>
        <w:rPr>
          <w:rFonts w:ascii="Arial" w:eastAsia="Arial" w:hAnsi="Arial" w:cs="Arial"/>
          <w:sz w:val="36"/>
          <w:szCs w:val="36"/>
        </w:rPr>
        <w:t>:  2128699</w:t>
      </w:r>
      <w:r>
        <w:br w:type="page"/>
      </w:r>
    </w:p>
    <w:p w14:paraId="0000000A" w14:textId="77777777" w:rsidR="0054275D" w:rsidRDefault="00CD28D5">
      <w:pPr>
        <w:keepNext/>
        <w:keepLines/>
        <w:pBdr>
          <w:top w:val="nil"/>
          <w:left w:val="nil"/>
          <w:bottom w:val="nil"/>
          <w:right w:val="nil"/>
          <w:between w:val="nil"/>
        </w:pBdr>
        <w:spacing w:before="240" w:after="240"/>
        <w:rPr>
          <w:rFonts w:ascii="Arial" w:eastAsia="Arial" w:hAnsi="Arial" w:cs="Arial"/>
          <w:color w:val="2E75B5"/>
          <w:sz w:val="32"/>
          <w:szCs w:val="32"/>
        </w:rPr>
      </w:pPr>
      <w:r>
        <w:rPr>
          <w:rFonts w:ascii="Arial" w:eastAsia="Arial" w:hAnsi="Arial" w:cs="Arial"/>
          <w:color w:val="2E75B5"/>
          <w:sz w:val="32"/>
          <w:szCs w:val="32"/>
        </w:rPr>
        <w:lastRenderedPageBreak/>
        <w:t>Contents</w:t>
      </w:r>
    </w:p>
    <w:sdt>
      <w:sdtPr>
        <w:id w:val="-186444800"/>
        <w:docPartObj>
          <w:docPartGallery w:val="Table of Contents"/>
          <w:docPartUnique/>
        </w:docPartObj>
      </w:sdtPr>
      <w:sdtEndPr/>
      <w:sdtContent>
        <w:p w14:paraId="0000000B" w14:textId="77777777" w:rsidR="0054275D" w:rsidRDefault="00CD28D5">
          <w:pPr>
            <w:pBdr>
              <w:top w:val="nil"/>
              <w:left w:val="nil"/>
              <w:bottom w:val="nil"/>
              <w:right w:val="nil"/>
              <w:between w:val="nil"/>
            </w:pBdr>
            <w:tabs>
              <w:tab w:val="right" w:pos="9016"/>
            </w:tabs>
            <w:spacing w:after="240"/>
            <w:rPr>
              <w:rFonts w:ascii="Arial" w:eastAsia="Arial" w:hAnsi="Arial" w:cs="Arial"/>
              <w:color w:val="000000"/>
              <w:sz w:val="22"/>
              <w:szCs w:val="22"/>
            </w:rPr>
          </w:pPr>
          <w:r>
            <w:fldChar w:fldCharType="begin"/>
          </w:r>
          <w:r>
            <w:instrText xml:space="preserve"> TOC \h \u \z \t "Heading 1,1,Heading 2,2,Heading 3,3,Heading 4,4,Heading 5,5,Heading 6,6,"</w:instrText>
          </w:r>
          <w:r>
            <w:fldChar w:fldCharType="separate"/>
          </w:r>
          <w:hyperlink w:anchor="_heading=h.gjdgxs">
            <w:r>
              <w:rPr>
                <w:rFonts w:ascii="Arial" w:eastAsia="Arial" w:hAnsi="Arial" w:cs="Arial"/>
                <w:color w:val="000000"/>
                <w:sz w:val="22"/>
                <w:szCs w:val="22"/>
              </w:rPr>
              <w:t>Introduction</w:t>
            </w:r>
            <w:r>
              <w:rPr>
                <w:rFonts w:ascii="Arial" w:eastAsia="Arial" w:hAnsi="Arial" w:cs="Arial"/>
                <w:color w:val="000000"/>
                <w:sz w:val="22"/>
                <w:szCs w:val="22"/>
              </w:rPr>
              <w:tab/>
              <w:t>3</w:t>
            </w:r>
          </w:hyperlink>
        </w:p>
        <w:p w14:paraId="0000000C" w14:textId="77777777" w:rsidR="0054275D" w:rsidRDefault="00320874">
          <w:pPr>
            <w:pBdr>
              <w:top w:val="nil"/>
              <w:left w:val="nil"/>
              <w:bottom w:val="nil"/>
              <w:right w:val="nil"/>
              <w:between w:val="nil"/>
            </w:pBdr>
            <w:tabs>
              <w:tab w:val="right" w:pos="9016"/>
            </w:tabs>
            <w:spacing w:after="240"/>
            <w:rPr>
              <w:rFonts w:ascii="Arial" w:eastAsia="Arial" w:hAnsi="Arial" w:cs="Arial"/>
              <w:color w:val="000000"/>
              <w:sz w:val="22"/>
              <w:szCs w:val="22"/>
            </w:rPr>
          </w:pPr>
          <w:hyperlink w:anchor="_heading=h.30j0zll">
            <w:r w:rsidR="00CD28D5">
              <w:rPr>
                <w:rFonts w:ascii="Arial" w:eastAsia="Arial" w:hAnsi="Arial" w:cs="Arial"/>
                <w:color w:val="000000"/>
                <w:sz w:val="22"/>
                <w:szCs w:val="22"/>
              </w:rPr>
              <w:t>Healthcare and Psychology</w:t>
            </w:r>
            <w:r w:rsidR="00CD28D5">
              <w:rPr>
                <w:rFonts w:ascii="Arial" w:eastAsia="Arial" w:hAnsi="Arial" w:cs="Arial"/>
                <w:color w:val="000000"/>
                <w:sz w:val="22"/>
                <w:szCs w:val="22"/>
              </w:rPr>
              <w:tab/>
              <w:t>4</w:t>
            </w:r>
          </w:hyperlink>
        </w:p>
        <w:p w14:paraId="0000000D" w14:textId="77777777" w:rsidR="0054275D" w:rsidRDefault="00320874">
          <w:pPr>
            <w:pBdr>
              <w:top w:val="nil"/>
              <w:left w:val="nil"/>
              <w:bottom w:val="nil"/>
              <w:right w:val="nil"/>
              <w:between w:val="nil"/>
            </w:pBdr>
            <w:tabs>
              <w:tab w:val="right" w:pos="9016"/>
            </w:tabs>
            <w:spacing w:after="240"/>
            <w:rPr>
              <w:rFonts w:ascii="Arial" w:eastAsia="Arial" w:hAnsi="Arial" w:cs="Arial"/>
              <w:color w:val="000000"/>
              <w:sz w:val="22"/>
              <w:szCs w:val="22"/>
            </w:rPr>
          </w:pPr>
          <w:hyperlink w:anchor="_heading=h.1fob9te">
            <w:r w:rsidR="00CD28D5">
              <w:rPr>
                <w:rFonts w:ascii="Arial" w:eastAsia="Arial" w:hAnsi="Arial" w:cs="Arial"/>
                <w:color w:val="000000"/>
                <w:sz w:val="22"/>
                <w:szCs w:val="22"/>
              </w:rPr>
              <w:t>Applications of Psychology</w:t>
            </w:r>
            <w:r w:rsidR="00CD28D5">
              <w:rPr>
                <w:rFonts w:ascii="Arial" w:eastAsia="Arial" w:hAnsi="Arial" w:cs="Arial"/>
                <w:color w:val="000000"/>
                <w:sz w:val="22"/>
                <w:szCs w:val="22"/>
              </w:rPr>
              <w:tab/>
              <w:t>4</w:t>
            </w:r>
          </w:hyperlink>
        </w:p>
        <w:p w14:paraId="0000000E" w14:textId="77777777" w:rsidR="0054275D" w:rsidRDefault="00320874">
          <w:pPr>
            <w:pBdr>
              <w:top w:val="nil"/>
              <w:left w:val="nil"/>
              <w:bottom w:val="nil"/>
              <w:right w:val="nil"/>
              <w:between w:val="nil"/>
            </w:pBdr>
            <w:tabs>
              <w:tab w:val="right" w:pos="9016"/>
            </w:tabs>
            <w:spacing w:after="240"/>
            <w:rPr>
              <w:rFonts w:ascii="Arial" w:eastAsia="Arial" w:hAnsi="Arial" w:cs="Arial"/>
              <w:color w:val="000000"/>
              <w:sz w:val="22"/>
              <w:szCs w:val="22"/>
            </w:rPr>
          </w:pPr>
          <w:hyperlink w:anchor="_heading=h.3rdcrjn">
            <w:r w:rsidR="00CD28D5">
              <w:rPr>
                <w:rFonts w:ascii="Arial" w:eastAsia="Arial" w:hAnsi="Arial" w:cs="Arial"/>
                <w:color w:val="000000"/>
                <w:sz w:val="22"/>
                <w:szCs w:val="22"/>
              </w:rPr>
              <w:t>How health psychology can help to tackle healthcare challenges</w:t>
            </w:r>
            <w:r w:rsidR="00CD28D5">
              <w:rPr>
                <w:rFonts w:ascii="Arial" w:eastAsia="Arial" w:hAnsi="Arial" w:cs="Arial"/>
                <w:color w:val="000000"/>
                <w:sz w:val="22"/>
                <w:szCs w:val="22"/>
              </w:rPr>
              <w:tab/>
              <w:t>5</w:t>
            </w:r>
          </w:hyperlink>
        </w:p>
        <w:p w14:paraId="0000000F" w14:textId="77777777" w:rsidR="0054275D" w:rsidRDefault="00320874">
          <w:pPr>
            <w:pBdr>
              <w:top w:val="nil"/>
              <w:left w:val="nil"/>
              <w:bottom w:val="nil"/>
              <w:right w:val="nil"/>
              <w:between w:val="nil"/>
            </w:pBdr>
            <w:tabs>
              <w:tab w:val="right" w:pos="9016"/>
            </w:tabs>
            <w:spacing w:after="240"/>
            <w:rPr>
              <w:rFonts w:ascii="Arial" w:eastAsia="Arial" w:hAnsi="Arial" w:cs="Arial"/>
              <w:color w:val="000000"/>
              <w:sz w:val="22"/>
              <w:szCs w:val="22"/>
            </w:rPr>
          </w:pPr>
          <w:hyperlink w:anchor="_heading=h.3znysh7">
            <w:r w:rsidR="00CD28D5">
              <w:rPr>
                <w:rFonts w:ascii="Arial" w:eastAsia="Arial" w:hAnsi="Arial" w:cs="Arial"/>
                <w:color w:val="000000"/>
                <w:sz w:val="22"/>
                <w:szCs w:val="22"/>
              </w:rPr>
              <w:t>Using psychology in a normal medical practice</w:t>
            </w:r>
            <w:r w:rsidR="00CD28D5">
              <w:rPr>
                <w:rFonts w:ascii="Arial" w:eastAsia="Arial" w:hAnsi="Arial" w:cs="Arial"/>
                <w:color w:val="000000"/>
                <w:sz w:val="22"/>
                <w:szCs w:val="22"/>
              </w:rPr>
              <w:tab/>
              <w:t>5</w:t>
            </w:r>
          </w:hyperlink>
        </w:p>
        <w:p w14:paraId="00000010" w14:textId="77777777" w:rsidR="0054275D" w:rsidRDefault="00320874">
          <w:pPr>
            <w:pBdr>
              <w:top w:val="nil"/>
              <w:left w:val="nil"/>
              <w:bottom w:val="nil"/>
              <w:right w:val="nil"/>
              <w:between w:val="nil"/>
            </w:pBdr>
            <w:tabs>
              <w:tab w:val="right" w:pos="9016"/>
            </w:tabs>
            <w:spacing w:after="240"/>
            <w:ind w:left="240"/>
            <w:rPr>
              <w:rFonts w:ascii="Arial" w:eastAsia="Arial" w:hAnsi="Arial" w:cs="Arial"/>
              <w:color w:val="000000"/>
              <w:sz w:val="22"/>
              <w:szCs w:val="22"/>
            </w:rPr>
          </w:pPr>
          <w:hyperlink w:anchor="_heading=h.2et92p0">
            <w:r w:rsidR="00CD28D5">
              <w:rPr>
                <w:rFonts w:ascii="Arial" w:eastAsia="Arial" w:hAnsi="Arial" w:cs="Arial"/>
                <w:color w:val="000000"/>
                <w:sz w:val="22"/>
                <w:szCs w:val="22"/>
              </w:rPr>
              <w:t>Preventative maintenance</w:t>
            </w:r>
            <w:r w:rsidR="00CD28D5">
              <w:rPr>
                <w:rFonts w:ascii="Arial" w:eastAsia="Arial" w:hAnsi="Arial" w:cs="Arial"/>
                <w:color w:val="000000"/>
                <w:sz w:val="22"/>
                <w:szCs w:val="22"/>
              </w:rPr>
              <w:tab/>
              <w:t>6</w:t>
            </w:r>
          </w:hyperlink>
        </w:p>
        <w:p w14:paraId="00000011" w14:textId="77777777" w:rsidR="0054275D" w:rsidRDefault="00320874">
          <w:pPr>
            <w:pBdr>
              <w:top w:val="nil"/>
              <w:left w:val="nil"/>
              <w:bottom w:val="nil"/>
              <w:right w:val="nil"/>
              <w:between w:val="nil"/>
            </w:pBdr>
            <w:tabs>
              <w:tab w:val="right" w:pos="9016"/>
            </w:tabs>
            <w:spacing w:after="240"/>
            <w:ind w:left="240"/>
            <w:rPr>
              <w:rFonts w:ascii="Arial" w:eastAsia="Arial" w:hAnsi="Arial" w:cs="Arial"/>
              <w:color w:val="000000"/>
              <w:sz w:val="22"/>
              <w:szCs w:val="22"/>
            </w:rPr>
          </w:pPr>
          <w:hyperlink w:anchor="_heading=h.tyjcwt">
            <w:r w:rsidR="00CD28D5">
              <w:rPr>
                <w:rFonts w:ascii="Arial" w:eastAsia="Arial" w:hAnsi="Arial" w:cs="Arial"/>
                <w:color w:val="000000"/>
                <w:sz w:val="22"/>
                <w:szCs w:val="22"/>
              </w:rPr>
              <w:t>Healthcare utilizing a body-mind strategy</w:t>
            </w:r>
            <w:r w:rsidR="00CD28D5">
              <w:rPr>
                <w:rFonts w:ascii="Arial" w:eastAsia="Arial" w:hAnsi="Arial" w:cs="Arial"/>
                <w:color w:val="000000"/>
                <w:sz w:val="22"/>
                <w:szCs w:val="22"/>
              </w:rPr>
              <w:tab/>
              <w:t>6</w:t>
            </w:r>
          </w:hyperlink>
        </w:p>
        <w:p w14:paraId="00000012" w14:textId="77777777" w:rsidR="0054275D" w:rsidRDefault="00320874">
          <w:pPr>
            <w:pBdr>
              <w:top w:val="nil"/>
              <w:left w:val="nil"/>
              <w:bottom w:val="nil"/>
              <w:right w:val="nil"/>
              <w:between w:val="nil"/>
            </w:pBdr>
            <w:tabs>
              <w:tab w:val="right" w:pos="9016"/>
            </w:tabs>
            <w:spacing w:after="240"/>
            <w:rPr>
              <w:rFonts w:ascii="Arial" w:eastAsia="Arial" w:hAnsi="Arial" w:cs="Arial"/>
              <w:color w:val="000000"/>
              <w:sz w:val="22"/>
              <w:szCs w:val="22"/>
            </w:rPr>
          </w:pPr>
          <w:hyperlink w:anchor="_heading=h.3dy6vkm">
            <w:r w:rsidR="00CD28D5">
              <w:rPr>
                <w:rFonts w:ascii="Arial" w:eastAsia="Arial" w:hAnsi="Arial" w:cs="Arial"/>
                <w:color w:val="000000"/>
                <w:sz w:val="22"/>
                <w:szCs w:val="22"/>
              </w:rPr>
              <w:t>The function of Psychology Knowledge in Healthcare</w:t>
            </w:r>
            <w:r w:rsidR="00CD28D5">
              <w:rPr>
                <w:rFonts w:ascii="Arial" w:eastAsia="Arial" w:hAnsi="Arial" w:cs="Arial"/>
                <w:color w:val="000000"/>
                <w:sz w:val="22"/>
                <w:szCs w:val="22"/>
              </w:rPr>
              <w:tab/>
              <w:t>6</w:t>
            </w:r>
          </w:hyperlink>
        </w:p>
        <w:p w14:paraId="00000013" w14:textId="77777777" w:rsidR="0054275D" w:rsidRDefault="00320874">
          <w:pPr>
            <w:pBdr>
              <w:top w:val="nil"/>
              <w:left w:val="nil"/>
              <w:bottom w:val="nil"/>
              <w:right w:val="nil"/>
              <w:between w:val="nil"/>
            </w:pBdr>
            <w:tabs>
              <w:tab w:val="right" w:pos="9016"/>
            </w:tabs>
            <w:spacing w:after="240"/>
            <w:rPr>
              <w:rFonts w:ascii="Arial" w:eastAsia="Arial" w:hAnsi="Arial" w:cs="Arial"/>
              <w:color w:val="000000"/>
              <w:sz w:val="22"/>
              <w:szCs w:val="22"/>
            </w:rPr>
          </w:pPr>
          <w:hyperlink w:anchor="_heading=h.1t3h5sf">
            <w:r w:rsidR="00CD28D5">
              <w:rPr>
                <w:rFonts w:ascii="Arial" w:eastAsia="Arial" w:hAnsi="Arial" w:cs="Arial"/>
                <w:color w:val="000000"/>
                <w:sz w:val="22"/>
                <w:szCs w:val="22"/>
              </w:rPr>
              <w:t>Advantages of Psychology Courses</w:t>
            </w:r>
            <w:r w:rsidR="00CD28D5">
              <w:rPr>
                <w:rFonts w:ascii="Arial" w:eastAsia="Arial" w:hAnsi="Arial" w:cs="Arial"/>
                <w:color w:val="000000"/>
                <w:sz w:val="22"/>
                <w:szCs w:val="22"/>
              </w:rPr>
              <w:tab/>
              <w:t>7</w:t>
            </w:r>
          </w:hyperlink>
        </w:p>
        <w:p w14:paraId="00000014" w14:textId="77777777" w:rsidR="0054275D" w:rsidRDefault="00320874">
          <w:pPr>
            <w:pBdr>
              <w:top w:val="nil"/>
              <w:left w:val="nil"/>
              <w:bottom w:val="nil"/>
              <w:right w:val="nil"/>
              <w:between w:val="nil"/>
            </w:pBdr>
            <w:tabs>
              <w:tab w:val="right" w:pos="9016"/>
            </w:tabs>
            <w:spacing w:after="240"/>
            <w:rPr>
              <w:rFonts w:ascii="Arial" w:eastAsia="Arial" w:hAnsi="Arial" w:cs="Arial"/>
              <w:color w:val="000000"/>
              <w:sz w:val="22"/>
              <w:szCs w:val="22"/>
            </w:rPr>
          </w:pPr>
          <w:hyperlink w:anchor="_heading=h.4d34og8">
            <w:r w:rsidR="00CD28D5">
              <w:rPr>
                <w:rFonts w:ascii="Arial" w:eastAsia="Arial" w:hAnsi="Arial" w:cs="Arial"/>
                <w:color w:val="000000"/>
                <w:sz w:val="22"/>
                <w:szCs w:val="22"/>
              </w:rPr>
              <w:t>Conclusion</w:t>
            </w:r>
            <w:r w:rsidR="00CD28D5">
              <w:rPr>
                <w:rFonts w:ascii="Arial" w:eastAsia="Arial" w:hAnsi="Arial" w:cs="Arial"/>
                <w:color w:val="000000"/>
                <w:sz w:val="22"/>
                <w:szCs w:val="22"/>
              </w:rPr>
              <w:tab/>
              <w:t>8</w:t>
            </w:r>
          </w:hyperlink>
        </w:p>
        <w:p w14:paraId="00000015" w14:textId="77777777" w:rsidR="0054275D" w:rsidRDefault="00320874">
          <w:pPr>
            <w:pBdr>
              <w:top w:val="nil"/>
              <w:left w:val="nil"/>
              <w:bottom w:val="nil"/>
              <w:right w:val="nil"/>
              <w:between w:val="nil"/>
            </w:pBdr>
            <w:tabs>
              <w:tab w:val="right" w:pos="9016"/>
            </w:tabs>
            <w:spacing w:after="240"/>
            <w:rPr>
              <w:rFonts w:ascii="Arial" w:eastAsia="Arial" w:hAnsi="Arial" w:cs="Arial"/>
              <w:color w:val="000000"/>
              <w:sz w:val="22"/>
              <w:szCs w:val="22"/>
            </w:rPr>
          </w:pPr>
          <w:hyperlink w:anchor="_heading=h.17dp8vu">
            <w:r w:rsidR="00CD28D5">
              <w:rPr>
                <w:rFonts w:ascii="Arial" w:eastAsia="Arial" w:hAnsi="Arial" w:cs="Arial"/>
                <w:color w:val="000000"/>
                <w:sz w:val="22"/>
                <w:szCs w:val="22"/>
              </w:rPr>
              <w:t>References</w:t>
            </w:r>
            <w:r w:rsidR="00CD28D5">
              <w:rPr>
                <w:rFonts w:ascii="Arial" w:eastAsia="Arial" w:hAnsi="Arial" w:cs="Arial"/>
                <w:color w:val="000000"/>
                <w:sz w:val="22"/>
                <w:szCs w:val="22"/>
              </w:rPr>
              <w:tab/>
              <w:t>9</w:t>
            </w:r>
          </w:hyperlink>
        </w:p>
        <w:p w14:paraId="00000016" w14:textId="5520D62B" w:rsidR="0054275D" w:rsidRDefault="00CD28D5">
          <w:pPr>
            <w:spacing w:after="240"/>
          </w:pPr>
          <w:r>
            <w:fldChar w:fldCharType="end"/>
          </w:r>
        </w:p>
      </w:sdtContent>
    </w:sdt>
    <w:p w14:paraId="5BFB6B79" w14:textId="77777777" w:rsidR="006D6451" w:rsidRDefault="006D6451">
      <w:bookmarkStart w:id="0" w:name="_heading=h.gjdgxs" w:colFirst="0" w:colLast="0"/>
      <w:bookmarkEnd w:id="0"/>
    </w:p>
    <w:p w14:paraId="584F72BA" w14:textId="77777777" w:rsidR="006D6451" w:rsidRDefault="006D6451"/>
    <w:p w14:paraId="00000017" w14:textId="7F2E721A" w:rsidR="0054275D" w:rsidRDefault="006D6451">
      <w:pPr>
        <w:rPr>
          <w:rFonts w:ascii="Arial" w:eastAsia="Arial" w:hAnsi="Arial" w:cs="Arial"/>
          <w:b/>
          <w:color w:val="2E75B5"/>
          <w:sz w:val="32"/>
          <w:szCs w:val="32"/>
        </w:rPr>
      </w:pPr>
      <w:r>
        <w:br w:type="page"/>
      </w:r>
    </w:p>
    <w:p w14:paraId="00000018" w14:textId="77777777" w:rsidR="0054275D" w:rsidRDefault="00CD28D5">
      <w:pPr>
        <w:pStyle w:val="Heading1"/>
      </w:pPr>
      <w:r>
        <w:lastRenderedPageBreak/>
        <w:t>Introduction</w:t>
      </w:r>
    </w:p>
    <w:p w14:paraId="00000019" w14:textId="31C69B2E" w:rsidR="0054275D" w:rsidRDefault="00CD28D5">
      <w:pPr>
        <w:spacing w:before="240" w:after="240"/>
        <w:rPr>
          <w:rFonts w:ascii="Arial" w:eastAsia="Arial" w:hAnsi="Arial" w:cs="Arial"/>
          <w:sz w:val="22"/>
          <w:szCs w:val="22"/>
          <w:highlight w:val="white"/>
        </w:rPr>
      </w:pPr>
      <w:r>
        <w:rPr>
          <w:rFonts w:ascii="Arial" w:eastAsia="Arial" w:hAnsi="Arial" w:cs="Arial"/>
          <w:sz w:val="22"/>
          <w:szCs w:val="22"/>
          <w:highlight w:val="white"/>
        </w:rPr>
        <w:t xml:space="preserve">Psychology is a significant domain that encircles both the mental and behavioural facets of an individual. It can be referred to as any domain, but </w:t>
      </w:r>
      <w:r w:rsidR="00AD6613">
        <w:rPr>
          <w:rFonts w:ascii="Arial" w:eastAsia="Arial" w:hAnsi="Arial" w:cs="Arial"/>
          <w:sz w:val="22"/>
          <w:szCs w:val="22"/>
          <w:highlight w:val="white"/>
        </w:rPr>
        <w:t xml:space="preserve">is particularly useful in the area of health care. </w:t>
      </w:r>
      <w:r>
        <w:rPr>
          <w:rFonts w:ascii="Arial" w:eastAsia="Arial" w:hAnsi="Arial" w:cs="Arial"/>
          <w:sz w:val="22"/>
          <w:szCs w:val="22"/>
          <w:highlight w:val="white"/>
        </w:rPr>
        <w:t xml:space="preserve">Healthcare professionals are usually in charge of delivering expressive approval for patients, so knowing how psychology uses them is critical for their aims. It can be contended that every individual is a psychologist. When healthcare professionals interact with patients from various bits of knowledge, they furnish better maintenance.  A psychology grade can provide patients with the instruments they require as healthcare experiences to </w:t>
      </w:r>
      <w:r w:rsidR="00AD6613">
        <w:rPr>
          <w:rFonts w:ascii="Arial" w:eastAsia="Arial" w:hAnsi="Arial" w:cs="Arial"/>
          <w:sz w:val="22"/>
          <w:szCs w:val="22"/>
          <w:highlight w:val="white"/>
        </w:rPr>
        <w:t>achieve better</w:t>
      </w:r>
      <w:r>
        <w:rPr>
          <w:rFonts w:ascii="Arial" w:eastAsia="Arial" w:hAnsi="Arial" w:cs="Arial"/>
          <w:sz w:val="22"/>
          <w:szCs w:val="22"/>
          <w:highlight w:val="white"/>
        </w:rPr>
        <w:t xml:space="preserve"> care to patients and accurately specify mental health topics (De Kock et al., 2021). This writing will examine some crucial spaces where psychology influences healthcare and why it is important for healthcare professionals to apprehend more about psychology. </w:t>
      </w:r>
    </w:p>
    <w:p w14:paraId="7B332BE2" w14:textId="12AAEA46" w:rsidR="00AD6613" w:rsidRPr="00AD6613" w:rsidRDefault="00AD6613" w:rsidP="00AD6613">
      <w:pPr>
        <w:rPr>
          <w:rFonts w:ascii="Arial" w:eastAsia="Arial" w:hAnsi="Arial" w:cs="Arial"/>
          <w:sz w:val="22"/>
          <w:szCs w:val="22"/>
          <w:highlight w:val="white"/>
        </w:rPr>
      </w:pPr>
      <w:r>
        <w:rPr>
          <w:rFonts w:ascii="Arial" w:eastAsia="Arial" w:hAnsi="Arial" w:cs="Arial"/>
          <w:sz w:val="22"/>
          <w:szCs w:val="22"/>
          <w:highlight w:val="white"/>
        </w:rPr>
        <w:t xml:space="preserve">This report will focus on three psychological theories – social learning theory, Freud’s psychodynamic approach and Erikson’s psychosocial theory. </w:t>
      </w:r>
      <w:r w:rsidRPr="00AD6613">
        <w:rPr>
          <w:rFonts w:ascii="Arial" w:eastAsia="Arial" w:hAnsi="Arial" w:cs="Arial"/>
          <w:sz w:val="22"/>
          <w:szCs w:val="22"/>
          <w:highlight w:val="white"/>
        </w:rPr>
        <w:t>Social learning theory says that any social behavior can be learned by seeing and following the behavior of other people. It was developed by Psychologist Albert Bandura, and he named it the social learning theory</w:t>
      </w:r>
      <w:r>
        <w:rPr>
          <w:rFonts w:ascii="Arial" w:eastAsia="Arial" w:hAnsi="Arial" w:cs="Arial"/>
          <w:sz w:val="22"/>
          <w:szCs w:val="22"/>
          <w:highlight w:val="white"/>
        </w:rPr>
        <w:t xml:space="preserve">. </w:t>
      </w:r>
      <w:r w:rsidRPr="00AD6613">
        <w:rPr>
          <w:rFonts w:ascii="Arial" w:eastAsia="Arial" w:hAnsi="Arial" w:cs="Arial"/>
          <w:sz w:val="22"/>
          <w:szCs w:val="22"/>
          <w:highlight w:val="white"/>
        </w:rPr>
        <w:t>Sigmund Freud's theory says that human behavior can also be influenced by unconscious memories, ideas, and wishes. It also says that the psyche has three sides: the id, ego, and superego. The id part is totally unconscious but they can work in the conscious state of mind.</w:t>
      </w:r>
    </w:p>
    <w:p w14:paraId="5AC4F18B" w14:textId="77777777" w:rsidR="00241A65" w:rsidRDefault="00AD6613" w:rsidP="00241A65">
      <w:pPr>
        <w:rPr>
          <w:rFonts w:ascii="Arial" w:eastAsia="Arial" w:hAnsi="Arial" w:cs="Arial"/>
          <w:sz w:val="22"/>
          <w:szCs w:val="22"/>
        </w:rPr>
      </w:pPr>
      <w:r w:rsidRPr="00AD6613">
        <w:rPr>
          <w:rFonts w:ascii="Arial" w:eastAsia="Arial" w:hAnsi="Arial" w:cs="Arial"/>
          <w:sz w:val="22"/>
          <w:szCs w:val="22"/>
          <w:highlight w:val="white"/>
        </w:rPr>
        <w:t>Another option is Erikson's theory that says that your human ego can identity formulate throughout lifetime, and it has eight phases.</w:t>
      </w:r>
      <w:bookmarkStart w:id="1" w:name="_heading=h.30j0zll" w:colFirst="0" w:colLast="0"/>
      <w:bookmarkStart w:id="2" w:name="_Hlk130545829"/>
      <w:bookmarkEnd w:id="1"/>
    </w:p>
    <w:p w14:paraId="0000001D" w14:textId="607099B0" w:rsidR="0054275D" w:rsidRPr="00241A65" w:rsidRDefault="00CD28D5" w:rsidP="00241A65">
      <w:pPr>
        <w:pStyle w:val="Heading1"/>
        <w:rPr>
          <w:sz w:val="22"/>
          <w:szCs w:val="22"/>
          <w:highlight w:val="white"/>
        </w:rPr>
      </w:pPr>
      <w:r>
        <w:t>Healthcare and Psychology</w:t>
      </w:r>
    </w:p>
    <w:bookmarkEnd w:id="2"/>
    <w:p w14:paraId="0000001F" w14:textId="1B8FC86A" w:rsidR="0054275D" w:rsidRDefault="00CD28D5">
      <w:pPr>
        <w:spacing w:before="240" w:after="240"/>
        <w:rPr>
          <w:rFonts w:ascii="Arial" w:eastAsia="Arial" w:hAnsi="Arial" w:cs="Arial"/>
          <w:sz w:val="22"/>
          <w:szCs w:val="22"/>
          <w:highlight w:val="white"/>
        </w:rPr>
      </w:pPr>
      <w:r>
        <w:rPr>
          <w:rFonts w:ascii="Arial" w:eastAsia="Arial" w:hAnsi="Arial" w:cs="Arial"/>
          <w:sz w:val="22"/>
          <w:szCs w:val="22"/>
          <w:highlight w:val="white"/>
        </w:rPr>
        <w:t>Healthcare is a career with numerous distinct specialities. To be prosperous as a healthcare professional, an individual must comprehend psychology and its function in the career. Medical psychologists are usually crucial components of the healthcare industry. They support patients formulate coping skills for mental health problems, for example, anxiety or depression, and deliver instruction on behavioural interventions for chronic distress surveillance (Yildirim et al., 2020). Health care has numerous different facets, comprising those working in academies as educators’ helpers for particular instruction learners and psychiatric-mental health care practitioners who operate mainly with kids, adolescents, grown-ups, and elders going through physical or emotional crises that impede their capacity to process day-to-day.</w:t>
      </w:r>
    </w:p>
    <w:p w14:paraId="00000024" w14:textId="72B29AEE" w:rsidR="0054275D" w:rsidRDefault="0054275D">
      <w:pPr>
        <w:spacing w:before="240" w:after="240"/>
        <w:rPr>
          <w:rFonts w:ascii="Arial" w:eastAsia="Arial" w:hAnsi="Arial" w:cs="Arial"/>
          <w:sz w:val="22"/>
          <w:szCs w:val="22"/>
        </w:rPr>
      </w:pPr>
    </w:p>
    <w:p w14:paraId="48EE9937" w14:textId="19B10519" w:rsidR="006F7B92" w:rsidRPr="006F7B92" w:rsidRDefault="006F7B92" w:rsidP="006F7B92">
      <w:pPr>
        <w:pStyle w:val="Heading1"/>
      </w:pPr>
      <w:r>
        <w:lastRenderedPageBreak/>
        <w:t>Social learning theory</w:t>
      </w:r>
    </w:p>
    <w:p w14:paraId="00000050" w14:textId="4C04E5C3" w:rsidR="0054275D" w:rsidRDefault="00CD28D5">
      <w:pPr>
        <w:rPr>
          <w:rFonts w:ascii="Arial" w:eastAsia="Arial" w:hAnsi="Arial" w:cs="Arial"/>
          <w:sz w:val="22"/>
          <w:szCs w:val="22"/>
        </w:rPr>
      </w:pPr>
      <w:bookmarkStart w:id="3" w:name="_heading=h.1fob9te" w:colFirst="0" w:colLast="0"/>
      <w:bookmarkEnd w:id="3"/>
      <w:r>
        <w:rPr>
          <w:rFonts w:ascii="Arial" w:eastAsia="Arial" w:hAnsi="Arial" w:cs="Arial"/>
          <w:sz w:val="22"/>
          <w:szCs w:val="22"/>
        </w:rPr>
        <w:t xml:space="preserve">Social learning theory talks about both environment and cognitive character that can influence human behaviour and it can impact the </w:t>
      </w:r>
      <w:r w:rsidR="006F7B92">
        <w:rPr>
          <w:rFonts w:ascii="Arial" w:eastAsia="Arial" w:hAnsi="Arial" w:cs="Arial"/>
          <w:sz w:val="22"/>
          <w:szCs w:val="22"/>
        </w:rPr>
        <w:t>m</w:t>
      </w:r>
      <w:r>
        <w:rPr>
          <w:rFonts w:ascii="Arial" w:eastAsia="Arial" w:hAnsi="Arial" w:cs="Arial"/>
          <w:sz w:val="22"/>
          <w:szCs w:val="22"/>
        </w:rPr>
        <w:t>anner of people and how they observe things and see things in life. The importance is given in this theory to the mediating processes between stimuli and responses and to the behaviour that is landed from the environment with the help of a process of observational learning. It is explained in the theory that human behaviours a large from their observations of them and later from their other behaviours from their past observations of life</w:t>
      </w:r>
      <w:r w:rsidR="003957C5">
        <w:rPr>
          <w:rFonts w:ascii="Arial" w:eastAsia="Arial" w:hAnsi="Arial" w:cs="Arial"/>
          <w:sz w:val="22"/>
          <w:szCs w:val="22"/>
        </w:rPr>
        <w:t xml:space="preserve"> </w:t>
      </w:r>
      <w:r w:rsidR="003957C5" w:rsidRPr="00337F4B">
        <w:rPr>
          <w:rFonts w:ascii="Arial" w:eastAsia="Arial" w:hAnsi="Arial" w:cs="Arial"/>
          <w:color w:val="000000" w:themeColor="text1"/>
          <w:sz w:val="22"/>
          <w:szCs w:val="22"/>
        </w:rPr>
        <w:t>(</w:t>
      </w:r>
      <w:r w:rsidR="003957C5" w:rsidRPr="00337F4B">
        <w:rPr>
          <w:rFonts w:ascii="Arial" w:eastAsia="Arial" w:hAnsi="Arial" w:cs="Arial"/>
          <w:color w:val="000000" w:themeColor="text1"/>
          <w:sz w:val="22"/>
          <w:szCs w:val="22"/>
          <w:highlight w:val="white"/>
        </w:rPr>
        <w:t>Harmon-Jones, 2019</w:t>
      </w:r>
      <w:r w:rsidR="003957C5">
        <w:rPr>
          <w:rFonts w:ascii="Arial" w:eastAsia="Arial" w:hAnsi="Arial" w:cs="Arial"/>
          <w:sz w:val="22"/>
          <w:szCs w:val="22"/>
        </w:rPr>
        <w:t>)</w:t>
      </w:r>
      <w:r>
        <w:rPr>
          <w:rFonts w:ascii="Arial" w:eastAsia="Arial" w:hAnsi="Arial" w:cs="Arial"/>
          <w:sz w:val="22"/>
          <w:szCs w:val="22"/>
        </w:rPr>
        <w:t>. They later code the information that has been serving to their system as actions. The whole idea of this theory is standing on the belief that observations and what other say play a very important role in the behaviour of human beings. Imitations of others' observational learning and vicarious reinforcement are important parts of social learning theory and all parts of them explain the theory as it should. Children learn from observations in life as they see things from a very different viewpoint from a grown-up. And while they observe things they are being a part of observational learning. Children observe simply everything. They observe the people around them and they especially notice how they behave in different types of situations. In our society children are always surrounded by influential people who can be their parents’. family members’, friends, teachers or any other individual with whom they are companions. People who are getting observed are called models in this theory and such models can be parents in grown-up adults or any oldest siblings that they notice daily</w:t>
      </w:r>
      <w:r w:rsidR="003957C5">
        <w:rPr>
          <w:rFonts w:ascii="Arial" w:eastAsia="Arial" w:hAnsi="Arial" w:cs="Arial"/>
          <w:sz w:val="22"/>
          <w:szCs w:val="22"/>
        </w:rPr>
        <w:t xml:space="preserve"> </w:t>
      </w:r>
      <w:r w:rsidR="003957C5" w:rsidRPr="00337F4B">
        <w:rPr>
          <w:rFonts w:ascii="Arial" w:eastAsia="Arial" w:hAnsi="Arial" w:cs="Arial"/>
          <w:color w:val="000000" w:themeColor="text1"/>
          <w:sz w:val="22"/>
          <w:szCs w:val="22"/>
        </w:rPr>
        <w:t>(</w:t>
      </w:r>
      <w:r w:rsidR="003957C5" w:rsidRPr="00337F4B">
        <w:rPr>
          <w:rFonts w:ascii="Arial" w:eastAsia="Arial" w:hAnsi="Arial" w:cs="Arial"/>
          <w:color w:val="000000" w:themeColor="text1"/>
          <w:sz w:val="22"/>
          <w:szCs w:val="22"/>
          <w:highlight w:val="white"/>
        </w:rPr>
        <w:t>Girdhar</w:t>
      </w:r>
      <w:r w:rsidR="003957C5" w:rsidRPr="00337F4B">
        <w:rPr>
          <w:rFonts w:ascii="Arial" w:eastAsia="Arial" w:hAnsi="Arial" w:cs="Arial"/>
          <w:color w:val="000000" w:themeColor="text1"/>
          <w:sz w:val="22"/>
          <w:szCs w:val="22"/>
        </w:rPr>
        <w:t xml:space="preserve"> et al., 2020</w:t>
      </w:r>
      <w:r w:rsidR="003957C5">
        <w:rPr>
          <w:rFonts w:ascii="Arial" w:eastAsia="Arial" w:hAnsi="Arial" w:cs="Arial"/>
          <w:sz w:val="22"/>
          <w:szCs w:val="22"/>
        </w:rPr>
        <w:t>)</w:t>
      </w:r>
      <w:r>
        <w:rPr>
          <w:rFonts w:ascii="Arial" w:eastAsia="Arial" w:hAnsi="Arial" w:cs="Arial"/>
          <w:sz w:val="22"/>
          <w:szCs w:val="22"/>
        </w:rPr>
        <w:t xml:space="preserve">. Children also learnt through vicarious reinforcement. Children see things directly or indirectly around them and indirect learning is called vicarious reinforcement. It works as a social role for the children and it teaches the children how to behave while having a social gatherings and dealing with different situations in life. This theory is supported by evidence from experiments. The Bobo doll experiment clearly explains how children can be able to learn their social behaviours for example aggression with the help of the process of observation and learning and also watching how another individual around them is behaving. </w:t>
      </w:r>
    </w:p>
    <w:p w14:paraId="27D4F171" w14:textId="015761D0" w:rsidR="006D6451" w:rsidRDefault="006D6451">
      <w:pPr>
        <w:rPr>
          <w:rFonts w:ascii="Arial" w:eastAsia="Arial" w:hAnsi="Arial" w:cs="Arial"/>
          <w:color w:val="00B0F0"/>
          <w:sz w:val="22"/>
          <w:szCs w:val="22"/>
        </w:rPr>
      </w:pPr>
    </w:p>
    <w:p w14:paraId="517E0980" w14:textId="4DFFF307" w:rsidR="003957C5" w:rsidRPr="00337F4B" w:rsidRDefault="00D27A20" w:rsidP="003957C5">
      <w:pPr>
        <w:rPr>
          <w:rFonts w:ascii="Arial" w:eastAsia="Arial" w:hAnsi="Arial" w:cs="Arial"/>
          <w:color w:val="000000" w:themeColor="text1"/>
          <w:sz w:val="22"/>
          <w:szCs w:val="22"/>
        </w:rPr>
      </w:pPr>
      <w:r w:rsidRPr="00337F4B">
        <w:rPr>
          <w:rFonts w:ascii="Arial" w:eastAsia="Arial" w:hAnsi="Arial" w:cs="Arial"/>
          <w:color w:val="000000" w:themeColor="text1"/>
          <w:sz w:val="22"/>
          <w:szCs w:val="22"/>
        </w:rPr>
        <w:t>If a child sees his</w:t>
      </w:r>
      <w:r w:rsidR="003957C5" w:rsidRPr="00337F4B">
        <w:rPr>
          <w:rFonts w:ascii="Arial" w:eastAsia="Arial" w:hAnsi="Arial" w:cs="Arial"/>
          <w:color w:val="000000" w:themeColor="text1"/>
          <w:sz w:val="22"/>
          <w:szCs w:val="22"/>
        </w:rPr>
        <w:t xml:space="preserve"> older sibling being brave and going to a dentist and bearing the pain they will build a sense of bravery to go to the dentist. Specifically, it will build a sense of courage in them by seeing their oldest sibling. </w:t>
      </w:r>
    </w:p>
    <w:p w14:paraId="6B3F63BE" w14:textId="77777777" w:rsidR="003957C5" w:rsidRPr="003957C5" w:rsidRDefault="003957C5" w:rsidP="003957C5">
      <w:pPr>
        <w:rPr>
          <w:rFonts w:ascii="Arial" w:eastAsia="Arial" w:hAnsi="Arial" w:cs="Arial"/>
          <w:color w:val="00B0F0"/>
          <w:sz w:val="22"/>
          <w:szCs w:val="22"/>
        </w:rPr>
      </w:pPr>
    </w:p>
    <w:p w14:paraId="694EA936" w14:textId="7C459333" w:rsidR="006F7B92" w:rsidRDefault="006F7B92">
      <w:pPr>
        <w:rPr>
          <w:rFonts w:ascii="Arial" w:eastAsia="Arial" w:hAnsi="Arial" w:cs="Arial"/>
          <w:sz w:val="22"/>
          <w:szCs w:val="22"/>
        </w:rPr>
      </w:pPr>
    </w:p>
    <w:p w14:paraId="142CFD92" w14:textId="77777777" w:rsidR="006D6451" w:rsidRDefault="006D6451">
      <w:pPr>
        <w:rPr>
          <w:rFonts w:ascii="Arial" w:eastAsia="Arial" w:hAnsi="Arial" w:cs="Arial"/>
          <w:sz w:val="22"/>
          <w:szCs w:val="22"/>
        </w:rPr>
      </w:pPr>
    </w:p>
    <w:p w14:paraId="668EB218" w14:textId="449DEBE6" w:rsidR="006F7B92" w:rsidRPr="006F7B92" w:rsidRDefault="006F7B92" w:rsidP="006F7B92">
      <w:pPr>
        <w:pStyle w:val="Heading1"/>
      </w:pPr>
      <w:r>
        <w:lastRenderedPageBreak/>
        <w:t>Psychodynamic approach</w:t>
      </w:r>
    </w:p>
    <w:p w14:paraId="00000052" w14:textId="25BC5DF6" w:rsidR="0054275D" w:rsidRDefault="00CD28D5">
      <w:pPr>
        <w:rPr>
          <w:rFonts w:ascii="Arial" w:eastAsia="Arial" w:hAnsi="Arial" w:cs="Arial"/>
          <w:sz w:val="22"/>
          <w:szCs w:val="22"/>
        </w:rPr>
      </w:pPr>
      <w:r>
        <w:rPr>
          <w:rFonts w:ascii="Arial" w:eastAsia="Arial" w:hAnsi="Arial" w:cs="Arial"/>
          <w:sz w:val="22"/>
          <w:szCs w:val="22"/>
        </w:rPr>
        <w:t>Freud's theory is a very denote theory for all times and this has been a helpful theory for individuals no matter if they are children or young people</w:t>
      </w:r>
      <w:r w:rsidR="003957C5">
        <w:rPr>
          <w:rFonts w:ascii="Arial" w:eastAsia="Arial" w:hAnsi="Arial" w:cs="Arial"/>
          <w:sz w:val="22"/>
          <w:szCs w:val="22"/>
        </w:rPr>
        <w:t xml:space="preserve"> (</w:t>
      </w:r>
      <w:r w:rsidR="003957C5" w:rsidRPr="00337F4B">
        <w:rPr>
          <w:rFonts w:ascii="Arial" w:eastAsia="Arial" w:hAnsi="Arial" w:cs="Arial"/>
          <w:color w:val="000000" w:themeColor="text1"/>
          <w:sz w:val="22"/>
          <w:szCs w:val="22"/>
          <w:highlight w:val="white"/>
        </w:rPr>
        <w:t>Harmon-Jones, 2019</w:t>
      </w:r>
      <w:r w:rsidR="003957C5">
        <w:rPr>
          <w:rFonts w:ascii="Arial" w:eastAsia="Arial" w:hAnsi="Arial" w:cs="Arial"/>
          <w:sz w:val="22"/>
          <w:szCs w:val="22"/>
        </w:rPr>
        <w:t>)</w:t>
      </w:r>
      <w:r>
        <w:rPr>
          <w:rFonts w:ascii="Arial" w:eastAsia="Arial" w:hAnsi="Arial" w:cs="Arial"/>
          <w:sz w:val="22"/>
          <w:szCs w:val="22"/>
        </w:rPr>
        <w:t xml:space="preserve">. This theory suggests that the type of human behaviour can be influenced by unconscious memories thoughts and opinions. The theory says that the unconscious state of mind can play an important role in people's behaviours. The theory says that the psycho of a human being includes </w:t>
      </w:r>
      <w:r w:rsidR="006F7B92">
        <w:rPr>
          <w:rFonts w:ascii="Arial" w:eastAsia="Arial" w:hAnsi="Arial" w:cs="Arial"/>
          <w:sz w:val="22"/>
          <w:szCs w:val="22"/>
        </w:rPr>
        <w:t xml:space="preserve">three </w:t>
      </w:r>
      <w:r>
        <w:rPr>
          <w:rFonts w:ascii="Arial" w:eastAsia="Arial" w:hAnsi="Arial" w:cs="Arial"/>
          <w:sz w:val="22"/>
          <w:szCs w:val="22"/>
        </w:rPr>
        <w:t>aspects which are the I</w:t>
      </w:r>
      <w:r w:rsidR="006F7B92">
        <w:rPr>
          <w:rFonts w:ascii="Arial" w:eastAsia="Arial" w:hAnsi="Arial" w:cs="Arial"/>
          <w:sz w:val="22"/>
          <w:szCs w:val="22"/>
        </w:rPr>
        <w:t>d</w:t>
      </w:r>
      <w:r>
        <w:rPr>
          <w:rFonts w:ascii="Arial" w:eastAsia="Arial" w:hAnsi="Arial" w:cs="Arial"/>
          <w:sz w:val="22"/>
          <w:szCs w:val="22"/>
        </w:rPr>
        <w:t xml:space="preserve">, Ego and </w:t>
      </w:r>
      <w:r w:rsidR="006F7B92">
        <w:rPr>
          <w:rFonts w:ascii="Arial" w:eastAsia="Arial" w:hAnsi="Arial" w:cs="Arial"/>
          <w:sz w:val="22"/>
          <w:szCs w:val="22"/>
        </w:rPr>
        <w:t>S</w:t>
      </w:r>
      <w:r>
        <w:rPr>
          <w:rFonts w:ascii="Arial" w:eastAsia="Arial" w:hAnsi="Arial" w:cs="Arial"/>
          <w:sz w:val="22"/>
          <w:szCs w:val="22"/>
        </w:rPr>
        <w:t>uperego</w:t>
      </w:r>
      <w:r w:rsidR="003957C5">
        <w:rPr>
          <w:rFonts w:ascii="Arial" w:eastAsia="Arial" w:hAnsi="Arial" w:cs="Arial"/>
          <w:sz w:val="22"/>
          <w:szCs w:val="22"/>
        </w:rPr>
        <w:t xml:space="preserve"> </w:t>
      </w:r>
      <w:r w:rsidR="003957C5" w:rsidRPr="00337F4B">
        <w:rPr>
          <w:rFonts w:ascii="Arial" w:eastAsia="Arial" w:hAnsi="Arial" w:cs="Arial"/>
          <w:color w:val="000000" w:themeColor="text1"/>
          <w:sz w:val="22"/>
          <w:szCs w:val="22"/>
        </w:rPr>
        <w:t>(</w:t>
      </w:r>
      <w:r w:rsidR="003957C5" w:rsidRPr="00337F4B">
        <w:rPr>
          <w:rFonts w:ascii="Arial" w:eastAsia="Arial" w:hAnsi="Arial" w:cs="Arial"/>
          <w:color w:val="000000" w:themeColor="text1"/>
          <w:sz w:val="22"/>
          <w:szCs w:val="22"/>
          <w:highlight w:val="white"/>
        </w:rPr>
        <w:t>Girdhar</w:t>
      </w:r>
      <w:r w:rsidR="003957C5" w:rsidRPr="00337F4B">
        <w:rPr>
          <w:rFonts w:ascii="Arial" w:eastAsia="Arial" w:hAnsi="Arial" w:cs="Arial"/>
          <w:color w:val="000000" w:themeColor="text1"/>
          <w:sz w:val="22"/>
          <w:szCs w:val="22"/>
        </w:rPr>
        <w:t xml:space="preserve"> et al., 2020</w:t>
      </w:r>
      <w:r w:rsidR="003957C5">
        <w:rPr>
          <w:rFonts w:ascii="Arial" w:eastAsia="Arial" w:hAnsi="Arial" w:cs="Arial"/>
          <w:sz w:val="22"/>
          <w:szCs w:val="22"/>
        </w:rPr>
        <w:t>)</w:t>
      </w:r>
      <w:r>
        <w:rPr>
          <w:rFonts w:ascii="Arial" w:eastAsia="Arial" w:hAnsi="Arial" w:cs="Arial"/>
          <w:sz w:val="22"/>
          <w:szCs w:val="22"/>
        </w:rPr>
        <w:t>. The I</w:t>
      </w:r>
      <w:r w:rsidR="006F7B92">
        <w:rPr>
          <w:rFonts w:ascii="Arial" w:eastAsia="Arial" w:hAnsi="Arial" w:cs="Arial"/>
          <w:sz w:val="22"/>
          <w:szCs w:val="22"/>
        </w:rPr>
        <w:t>d</w:t>
      </w:r>
      <w:r>
        <w:rPr>
          <w:rFonts w:ascii="Arial" w:eastAsia="Arial" w:hAnsi="Arial" w:cs="Arial"/>
          <w:sz w:val="22"/>
          <w:szCs w:val="22"/>
        </w:rPr>
        <w:t xml:space="preserve"> can be very unconscious while a person is conducting his daily life but the ego is dependent on the conscious mind. But the </w:t>
      </w:r>
      <w:r w:rsidR="006F7B92">
        <w:rPr>
          <w:rFonts w:ascii="Arial" w:eastAsia="Arial" w:hAnsi="Arial" w:cs="Arial"/>
          <w:sz w:val="22"/>
          <w:szCs w:val="22"/>
        </w:rPr>
        <w:t>Superego</w:t>
      </w:r>
      <w:r>
        <w:rPr>
          <w:rFonts w:ascii="Arial" w:eastAsia="Arial" w:hAnsi="Arial" w:cs="Arial"/>
          <w:sz w:val="22"/>
          <w:szCs w:val="22"/>
        </w:rPr>
        <w:t xml:space="preserve"> operate both in the unconscious and conscious mind. This theory can be useful for individuals who are working with elderly people who have anger issues they may not show their anger all the time but they have the hidden urge to be angry at every simple thing. If psychological careers study this theory they will be able to understand the state of their patients' minds and provide care accordingly. </w:t>
      </w:r>
    </w:p>
    <w:p w14:paraId="00000054" w14:textId="77777777" w:rsidR="0054275D" w:rsidRDefault="0054275D">
      <w:pPr>
        <w:rPr>
          <w:rFonts w:ascii="Arial" w:eastAsia="Arial" w:hAnsi="Arial" w:cs="Arial"/>
          <w:sz w:val="22"/>
          <w:szCs w:val="22"/>
        </w:rPr>
      </w:pPr>
    </w:p>
    <w:p w14:paraId="4EC98E13" w14:textId="21B639BF" w:rsidR="006F7B92" w:rsidRDefault="006F7B92" w:rsidP="006F7B92">
      <w:pPr>
        <w:pStyle w:val="Heading1"/>
      </w:pPr>
      <w:r>
        <w:t>Erikson’s theory</w:t>
      </w:r>
    </w:p>
    <w:p w14:paraId="00000056" w14:textId="77777777" w:rsidR="0054275D" w:rsidRDefault="0054275D">
      <w:pPr>
        <w:rPr>
          <w:rFonts w:ascii="Arial" w:eastAsia="Arial" w:hAnsi="Arial" w:cs="Arial"/>
          <w:sz w:val="22"/>
          <w:szCs w:val="22"/>
        </w:rPr>
      </w:pPr>
    </w:p>
    <w:p w14:paraId="00000059" w14:textId="75F17AC9" w:rsidR="0054275D" w:rsidRDefault="00CD28D5">
      <w:pPr>
        <w:rPr>
          <w:rFonts w:ascii="Arial" w:eastAsia="Arial" w:hAnsi="Arial" w:cs="Arial"/>
          <w:sz w:val="22"/>
          <w:szCs w:val="22"/>
        </w:rPr>
      </w:pPr>
      <w:r>
        <w:rPr>
          <w:rFonts w:ascii="Arial" w:eastAsia="Arial" w:hAnsi="Arial" w:cs="Arial"/>
          <w:sz w:val="22"/>
          <w:szCs w:val="22"/>
        </w:rPr>
        <w:t xml:space="preserve">Erikson's theory of psychology consists of 8 stages. Stage 1 is about trust versus mistrust which depends on infancy from 18 months of age. Stage 2 is about autonomy and shame and doubt which depends on telling your ears from 18 months to almost 3 months. Stage 4 is about industrious inferiority which is considered school kids aged from 6 to 11. Stage 5 is about identity versus confusion which talks about teenagers from 12 to 18. Stays are about intimacy versus isolation which is considered young adult individuals from 18 to 40. and the last stage is about integrative versus despair which is considered for adults 65 and older. Unlike </w:t>
      </w:r>
      <w:r w:rsidR="006F7B92">
        <w:rPr>
          <w:rFonts w:ascii="Arial" w:eastAsia="Arial" w:hAnsi="Arial" w:cs="Arial"/>
          <w:sz w:val="22"/>
          <w:szCs w:val="22"/>
        </w:rPr>
        <w:t>Freud’</w:t>
      </w:r>
      <w:r>
        <w:rPr>
          <w:rFonts w:ascii="Arial" w:eastAsia="Arial" w:hAnsi="Arial" w:cs="Arial"/>
          <w:sz w:val="22"/>
          <w:szCs w:val="22"/>
        </w:rPr>
        <w:t>s theory of psychology, Eri</w:t>
      </w:r>
      <w:r w:rsidR="006F7B92">
        <w:rPr>
          <w:rFonts w:ascii="Arial" w:eastAsia="Arial" w:hAnsi="Arial" w:cs="Arial"/>
          <w:sz w:val="22"/>
          <w:szCs w:val="22"/>
        </w:rPr>
        <w:t>ks</w:t>
      </w:r>
      <w:r>
        <w:rPr>
          <w:rFonts w:ascii="Arial" w:eastAsia="Arial" w:hAnsi="Arial" w:cs="Arial"/>
          <w:sz w:val="22"/>
          <w:szCs w:val="22"/>
        </w:rPr>
        <w:t>on's theory has explained the impact of the social experience in a human's life. This theory shows interest in how social interaction and connections can play a very important role in the development and expansion of human beings and their behaviours.</w:t>
      </w:r>
    </w:p>
    <w:p w14:paraId="4C0074AB" w14:textId="6E4FE0B2" w:rsidR="006F7B92" w:rsidRDefault="006F7B92">
      <w:pPr>
        <w:rPr>
          <w:rFonts w:ascii="Arial" w:eastAsia="Arial" w:hAnsi="Arial" w:cs="Arial"/>
          <w:sz w:val="22"/>
          <w:szCs w:val="22"/>
        </w:rPr>
      </w:pPr>
    </w:p>
    <w:p w14:paraId="439DA02F" w14:textId="495C8C8D" w:rsidR="003957C5" w:rsidRPr="00337F4B" w:rsidRDefault="003957C5" w:rsidP="003957C5">
      <w:pPr>
        <w:rPr>
          <w:rFonts w:ascii="Arial" w:eastAsia="Arial" w:hAnsi="Arial" w:cs="Arial"/>
          <w:color w:val="000000" w:themeColor="text1"/>
          <w:sz w:val="22"/>
          <w:szCs w:val="22"/>
        </w:rPr>
      </w:pPr>
      <w:bookmarkStart w:id="4" w:name="_GoBack"/>
      <w:r w:rsidRPr="00337F4B">
        <w:rPr>
          <w:rFonts w:ascii="Arial" w:eastAsia="Arial" w:hAnsi="Arial" w:cs="Arial"/>
          <w:color w:val="000000" w:themeColor="text1"/>
          <w:sz w:val="22"/>
          <w:szCs w:val="22"/>
        </w:rPr>
        <w:t>The last</w:t>
      </w:r>
      <w:r w:rsidR="00D27A20" w:rsidRPr="00337F4B">
        <w:rPr>
          <w:rFonts w:ascii="Arial" w:eastAsia="Arial" w:hAnsi="Arial" w:cs="Arial"/>
          <w:color w:val="000000" w:themeColor="text1"/>
          <w:sz w:val="22"/>
          <w:szCs w:val="22"/>
        </w:rPr>
        <w:t xml:space="preserve"> stage</w:t>
      </w:r>
      <w:r w:rsidRPr="00337F4B">
        <w:rPr>
          <w:rFonts w:ascii="Arial" w:eastAsia="Arial" w:hAnsi="Arial" w:cs="Arial"/>
          <w:color w:val="000000" w:themeColor="text1"/>
          <w:sz w:val="22"/>
          <w:szCs w:val="22"/>
        </w:rPr>
        <w:t xml:space="preserve"> will help the care workers to deal with the elderly people because people in elderly age need intense care and they need mental stability to deal with the Harsh procedure of treatment that they need to go through. The 8th stage of </w:t>
      </w:r>
      <w:r w:rsidR="00D27A20" w:rsidRPr="00337F4B">
        <w:rPr>
          <w:rFonts w:ascii="Arial" w:eastAsia="Arial" w:hAnsi="Arial" w:cs="Arial"/>
          <w:color w:val="000000" w:themeColor="text1"/>
          <w:sz w:val="22"/>
          <w:szCs w:val="22"/>
        </w:rPr>
        <w:t>Erikson’s</w:t>
      </w:r>
      <w:r w:rsidRPr="00337F4B">
        <w:rPr>
          <w:rFonts w:ascii="Arial" w:eastAsia="Arial" w:hAnsi="Arial" w:cs="Arial"/>
          <w:color w:val="000000" w:themeColor="text1"/>
          <w:sz w:val="22"/>
          <w:szCs w:val="22"/>
        </w:rPr>
        <w:t xml:space="preserve"> theory which is about integrity versus despair will help the care workers to understand the procedure to deal with elderly people.</w:t>
      </w:r>
    </w:p>
    <w:bookmarkEnd w:id="4"/>
    <w:p w14:paraId="1B042DFE" w14:textId="0A653A20" w:rsidR="006F7B92" w:rsidRDefault="006F7B92">
      <w:pPr>
        <w:rPr>
          <w:color w:val="FF0000"/>
          <w:sz w:val="27"/>
          <w:szCs w:val="27"/>
        </w:rPr>
      </w:pPr>
    </w:p>
    <w:p w14:paraId="687390B9" w14:textId="77777777" w:rsidR="006F7B92" w:rsidRDefault="006F7B92">
      <w:pPr>
        <w:rPr>
          <w:color w:val="FF0000"/>
          <w:sz w:val="27"/>
          <w:szCs w:val="27"/>
        </w:rPr>
      </w:pPr>
    </w:p>
    <w:p w14:paraId="0000005B" w14:textId="77777777" w:rsidR="0054275D" w:rsidRDefault="00CD28D5">
      <w:pPr>
        <w:pStyle w:val="Heading1"/>
      </w:pPr>
      <w:bookmarkStart w:id="5" w:name="_heading=h.1t3h5sf" w:colFirst="0" w:colLast="0"/>
      <w:bookmarkEnd w:id="5"/>
      <w:r>
        <w:t>Advantages of Psychology Courses</w:t>
      </w:r>
    </w:p>
    <w:p w14:paraId="0000005C" w14:textId="77777777" w:rsidR="0054275D" w:rsidRDefault="00CD28D5">
      <w:pPr>
        <w:spacing w:before="240" w:after="240"/>
        <w:rPr>
          <w:rFonts w:ascii="Arial" w:eastAsia="Arial" w:hAnsi="Arial" w:cs="Arial"/>
          <w:sz w:val="22"/>
          <w:szCs w:val="22"/>
        </w:rPr>
      </w:pPr>
      <w:r>
        <w:rPr>
          <w:rFonts w:ascii="Arial" w:eastAsia="Arial" w:hAnsi="Arial" w:cs="Arial"/>
          <w:sz w:val="22"/>
          <w:szCs w:val="22"/>
        </w:rPr>
        <w:t>Even if anyone doesn’t aim to follow a career in psychology, there exist a few reasonable explanations to improve the understanding of psychology and psychological conduct in human beings. </w:t>
      </w:r>
    </w:p>
    <w:p w14:paraId="0000005D" w14:textId="77777777" w:rsidR="0054275D" w:rsidRDefault="00CD28D5">
      <w:pPr>
        <w:numPr>
          <w:ilvl w:val="0"/>
          <w:numId w:val="1"/>
        </w:numPr>
        <w:pBdr>
          <w:top w:val="nil"/>
          <w:left w:val="nil"/>
          <w:bottom w:val="nil"/>
          <w:right w:val="nil"/>
          <w:between w:val="nil"/>
        </w:pBdr>
        <w:spacing w:before="240"/>
        <w:rPr>
          <w:rFonts w:ascii="Arial" w:eastAsia="Arial" w:hAnsi="Arial" w:cs="Arial"/>
          <w:color w:val="000000"/>
          <w:sz w:val="22"/>
          <w:szCs w:val="22"/>
        </w:rPr>
      </w:pPr>
      <w:r>
        <w:rPr>
          <w:rFonts w:ascii="Arial" w:eastAsia="Arial" w:hAnsi="Arial" w:cs="Arial"/>
          <w:color w:val="000000"/>
          <w:sz w:val="22"/>
          <w:szCs w:val="22"/>
        </w:rPr>
        <w:t>It enables professionals to improve their understanding of the patients.</w:t>
      </w:r>
    </w:p>
    <w:p w14:paraId="0000005E" w14:textId="77777777" w:rsidR="0054275D" w:rsidRDefault="00CD28D5">
      <w:pPr>
        <w:numPr>
          <w:ilvl w:val="0"/>
          <w:numId w:val="1"/>
        </w:numPr>
        <w:pBdr>
          <w:top w:val="nil"/>
          <w:left w:val="nil"/>
          <w:bottom w:val="nil"/>
          <w:right w:val="nil"/>
          <w:between w:val="nil"/>
        </w:pBdr>
        <w:rPr>
          <w:rFonts w:ascii="Arial" w:eastAsia="Arial" w:hAnsi="Arial" w:cs="Arial"/>
          <w:color w:val="000000"/>
          <w:sz w:val="22"/>
          <w:szCs w:val="22"/>
        </w:rPr>
      </w:pPr>
      <w:r>
        <w:rPr>
          <w:rFonts w:ascii="Arial" w:eastAsia="Arial" w:hAnsi="Arial" w:cs="Arial"/>
          <w:color w:val="000000"/>
          <w:sz w:val="22"/>
          <w:szCs w:val="22"/>
        </w:rPr>
        <w:t>Psychology can be helpful if they equip them for a career way that needs them to interact with a different public. It helps even if they don’t plan to function with others. It might enable enhance the comprehension of the people in life, their opinions, and why they act the method they accomplish (</w:t>
      </w:r>
      <w:r>
        <w:rPr>
          <w:rFonts w:ascii="Arial" w:eastAsia="Arial" w:hAnsi="Arial" w:cs="Arial"/>
          <w:color w:val="000000"/>
          <w:sz w:val="22"/>
          <w:szCs w:val="22"/>
          <w:highlight w:val="white"/>
        </w:rPr>
        <w:t>Greene et al., 2021)</w:t>
      </w:r>
      <w:r>
        <w:rPr>
          <w:rFonts w:ascii="Arial" w:eastAsia="Arial" w:hAnsi="Arial" w:cs="Arial"/>
          <w:color w:val="000000"/>
          <w:sz w:val="22"/>
          <w:szCs w:val="22"/>
        </w:rPr>
        <w:t>.</w:t>
      </w:r>
    </w:p>
    <w:p w14:paraId="0000005F" w14:textId="77777777" w:rsidR="0054275D" w:rsidRDefault="00CD28D5">
      <w:pPr>
        <w:numPr>
          <w:ilvl w:val="0"/>
          <w:numId w:val="1"/>
        </w:numPr>
        <w:pBdr>
          <w:top w:val="nil"/>
          <w:left w:val="nil"/>
          <w:bottom w:val="nil"/>
          <w:right w:val="nil"/>
          <w:between w:val="nil"/>
        </w:pBdr>
        <w:rPr>
          <w:rFonts w:ascii="Arial" w:eastAsia="Arial" w:hAnsi="Arial" w:cs="Arial"/>
          <w:color w:val="000000"/>
          <w:sz w:val="22"/>
          <w:szCs w:val="22"/>
        </w:rPr>
      </w:pPr>
      <w:r>
        <w:rPr>
          <w:rFonts w:ascii="Arial" w:eastAsia="Arial" w:hAnsi="Arial" w:cs="Arial"/>
          <w:color w:val="000000"/>
          <w:sz w:val="22"/>
          <w:szCs w:val="22"/>
        </w:rPr>
        <w:t>It is helpful for the experts to get a better knowledge of themselves (</w:t>
      </w:r>
      <w:r>
        <w:rPr>
          <w:rFonts w:ascii="Arial" w:eastAsia="Arial" w:hAnsi="Arial" w:cs="Arial"/>
          <w:color w:val="000000"/>
          <w:sz w:val="22"/>
          <w:szCs w:val="22"/>
          <w:highlight w:val="white"/>
        </w:rPr>
        <w:t>Blake et al., 2020)</w:t>
      </w:r>
      <w:r>
        <w:rPr>
          <w:rFonts w:ascii="Arial" w:eastAsia="Arial" w:hAnsi="Arial" w:cs="Arial"/>
          <w:color w:val="000000"/>
          <w:sz w:val="22"/>
          <w:szCs w:val="22"/>
        </w:rPr>
        <w:t>.</w:t>
      </w:r>
    </w:p>
    <w:p w14:paraId="00000060" w14:textId="77777777" w:rsidR="0054275D" w:rsidRDefault="00CD28D5">
      <w:pPr>
        <w:numPr>
          <w:ilvl w:val="0"/>
          <w:numId w:val="1"/>
        </w:numPr>
        <w:pBdr>
          <w:top w:val="nil"/>
          <w:left w:val="nil"/>
          <w:bottom w:val="nil"/>
          <w:right w:val="nil"/>
          <w:between w:val="nil"/>
        </w:pBdr>
        <w:rPr>
          <w:rFonts w:ascii="Arial" w:eastAsia="Arial" w:hAnsi="Arial" w:cs="Arial"/>
          <w:color w:val="000000"/>
          <w:sz w:val="22"/>
          <w:szCs w:val="22"/>
        </w:rPr>
      </w:pPr>
      <w:r>
        <w:rPr>
          <w:rFonts w:ascii="Arial" w:eastAsia="Arial" w:hAnsi="Arial" w:cs="Arial"/>
          <w:color w:val="000000"/>
          <w:sz w:val="22"/>
          <w:szCs w:val="22"/>
        </w:rPr>
        <w:t>Psychology courses can invariably benefit them increase a deeper knowledge of themselves. Obtaining a better knowledge of yourself can enhance interpersonal interchanges. In expansion, it assists communication mastery, rationale, and all-around viewpoint on life.</w:t>
      </w:r>
    </w:p>
    <w:p w14:paraId="00000061" w14:textId="77777777" w:rsidR="0054275D" w:rsidRDefault="00CD28D5">
      <w:pPr>
        <w:numPr>
          <w:ilvl w:val="0"/>
          <w:numId w:val="1"/>
        </w:numPr>
        <w:pBdr>
          <w:top w:val="nil"/>
          <w:left w:val="nil"/>
          <w:bottom w:val="nil"/>
          <w:right w:val="nil"/>
          <w:between w:val="nil"/>
        </w:pBdr>
        <w:rPr>
          <w:rFonts w:ascii="Arial" w:eastAsia="Arial" w:hAnsi="Arial" w:cs="Arial"/>
          <w:color w:val="000000"/>
          <w:sz w:val="22"/>
          <w:szCs w:val="22"/>
        </w:rPr>
      </w:pPr>
      <w:r>
        <w:rPr>
          <w:rFonts w:ascii="Arial" w:eastAsia="Arial" w:hAnsi="Arial" w:cs="Arial"/>
          <w:color w:val="000000"/>
          <w:sz w:val="22"/>
          <w:szCs w:val="22"/>
        </w:rPr>
        <w:t>They assist in improving critical thinking capacity (</w:t>
      </w:r>
      <w:r>
        <w:rPr>
          <w:rFonts w:ascii="Arial" w:eastAsia="Arial" w:hAnsi="Arial" w:cs="Arial"/>
          <w:color w:val="000000"/>
          <w:sz w:val="22"/>
          <w:szCs w:val="22"/>
          <w:highlight w:val="white"/>
        </w:rPr>
        <w:t>Moudatsou et al.,2020)</w:t>
      </w:r>
      <w:r>
        <w:rPr>
          <w:rFonts w:ascii="Arial" w:eastAsia="Arial" w:hAnsi="Arial" w:cs="Arial"/>
          <w:color w:val="000000"/>
          <w:sz w:val="22"/>
          <w:szCs w:val="22"/>
        </w:rPr>
        <w:t>.</w:t>
      </w:r>
    </w:p>
    <w:p w14:paraId="00000062" w14:textId="77777777" w:rsidR="0054275D" w:rsidRDefault="00CD28D5">
      <w:pPr>
        <w:numPr>
          <w:ilvl w:val="0"/>
          <w:numId w:val="1"/>
        </w:numPr>
        <w:pBdr>
          <w:top w:val="nil"/>
          <w:left w:val="nil"/>
          <w:bottom w:val="nil"/>
          <w:right w:val="nil"/>
          <w:between w:val="nil"/>
        </w:pBdr>
        <w:spacing w:after="240"/>
        <w:rPr>
          <w:rFonts w:ascii="Arial" w:eastAsia="Arial" w:hAnsi="Arial" w:cs="Arial"/>
          <w:color w:val="000000"/>
          <w:sz w:val="22"/>
          <w:szCs w:val="22"/>
        </w:rPr>
      </w:pPr>
      <w:r>
        <w:rPr>
          <w:rFonts w:ascii="Arial" w:eastAsia="Arial" w:hAnsi="Arial" w:cs="Arial"/>
          <w:color w:val="000000"/>
          <w:sz w:val="22"/>
          <w:szCs w:val="22"/>
        </w:rPr>
        <w:t>Psychology Courses instruct experts on how to utilize scientific techniques. It authorizes them to evaluate relevant data and think logically about the data they obtain every day. In expansion, these lessons can help them in purifying these competencies. They may utilize these in their skilled healthcare employment.</w:t>
      </w:r>
    </w:p>
    <w:p w14:paraId="00000063" w14:textId="77777777" w:rsidR="0054275D" w:rsidRDefault="00CD28D5">
      <w:pPr>
        <w:pStyle w:val="Heading1"/>
      </w:pPr>
      <w:bookmarkStart w:id="6" w:name="_heading=h.4d34og8" w:colFirst="0" w:colLast="0"/>
      <w:bookmarkEnd w:id="6"/>
      <w:r>
        <w:t>Conclusion</w:t>
      </w:r>
    </w:p>
    <w:p w14:paraId="00000064" w14:textId="77777777" w:rsidR="0054275D" w:rsidRDefault="00CD28D5">
      <w:pPr>
        <w:rPr>
          <w:rFonts w:ascii="Arial" w:eastAsia="Arial" w:hAnsi="Arial" w:cs="Arial"/>
          <w:sz w:val="22"/>
          <w:szCs w:val="22"/>
        </w:rPr>
      </w:pPr>
      <w:bookmarkStart w:id="7" w:name="_heading=h.2s8eyo1" w:colFirst="0" w:colLast="0"/>
      <w:bookmarkEnd w:id="7"/>
      <w:r>
        <w:rPr>
          <w:rFonts w:ascii="Arial" w:eastAsia="Arial" w:hAnsi="Arial" w:cs="Arial"/>
          <w:sz w:val="22"/>
          <w:szCs w:val="22"/>
        </w:rPr>
        <w:t>With the help of these theories, It will be easier for a health and social care professional to communicate of probably life-changing medical proficiency can succeed be dealt with (</w:t>
      </w:r>
      <w:r>
        <w:rPr>
          <w:rFonts w:ascii="Arial" w:eastAsia="Arial" w:hAnsi="Arial" w:cs="Arial"/>
          <w:sz w:val="22"/>
          <w:szCs w:val="22"/>
          <w:highlight w:val="white"/>
        </w:rPr>
        <w:t>Qasim et al., 2020)</w:t>
      </w:r>
      <w:r>
        <w:rPr>
          <w:rFonts w:ascii="Arial" w:eastAsia="Arial" w:hAnsi="Arial" w:cs="Arial"/>
          <w:sz w:val="22"/>
          <w:szCs w:val="22"/>
        </w:rPr>
        <w:t>. Even in low-stakes situations, knowledge of the psychology of a patient can deliver key understandings of the reasonable rationales and techniques for facilitating optimistic fitness (</w:t>
      </w:r>
      <w:r>
        <w:rPr>
          <w:rFonts w:ascii="Arial" w:eastAsia="Arial" w:hAnsi="Arial" w:cs="Arial"/>
          <w:sz w:val="22"/>
          <w:szCs w:val="22"/>
          <w:highlight w:val="white"/>
        </w:rPr>
        <w:t>Blake et al., 2020)</w:t>
      </w:r>
      <w:r>
        <w:rPr>
          <w:rFonts w:ascii="Arial" w:eastAsia="Arial" w:hAnsi="Arial" w:cs="Arial"/>
          <w:sz w:val="22"/>
          <w:szCs w:val="22"/>
        </w:rPr>
        <w:t xml:space="preserve">. Therefore, a health and social care professional who has an understanding of these theories will be able to understand human behaviour much better and this will help them in their job. </w:t>
      </w:r>
    </w:p>
    <w:p w14:paraId="00000065" w14:textId="77777777" w:rsidR="0054275D" w:rsidRDefault="0054275D">
      <w:pPr>
        <w:spacing w:before="240" w:after="240"/>
        <w:rPr>
          <w:rFonts w:ascii="Arial" w:eastAsia="Arial" w:hAnsi="Arial" w:cs="Arial"/>
          <w:color w:val="FF0000"/>
          <w:sz w:val="22"/>
          <w:szCs w:val="22"/>
        </w:rPr>
      </w:pPr>
    </w:p>
    <w:p w14:paraId="00000069" w14:textId="77777777" w:rsidR="0054275D" w:rsidRDefault="00CD28D5">
      <w:pPr>
        <w:spacing w:before="240" w:after="240"/>
        <w:rPr>
          <w:rFonts w:ascii="Arial" w:eastAsia="Arial" w:hAnsi="Arial" w:cs="Arial"/>
          <w:sz w:val="22"/>
          <w:szCs w:val="22"/>
        </w:rPr>
      </w:pPr>
      <w:r>
        <w:br w:type="page"/>
      </w:r>
    </w:p>
    <w:p w14:paraId="0000006A" w14:textId="77777777" w:rsidR="0054275D" w:rsidRDefault="00CD28D5">
      <w:pPr>
        <w:pStyle w:val="Heading1"/>
      </w:pPr>
      <w:bookmarkStart w:id="8" w:name="_heading=h.17dp8vu" w:colFirst="0" w:colLast="0"/>
      <w:bookmarkEnd w:id="8"/>
      <w:r>
        <w:lastRenderedPageBreak/>
        <w:t>References</w:t>
      </w:r>
    </w:p>
    <w:p w14:paraId="0000006B" w14:textId="77777777" w:rsidR="0054275D" w:rsidRDefault="00CD28D5">
      <w:pPr>
        <w:spacing w:before="240" w:after="240"/>
        <w:rPr>
          <w:rFonts w:ascii="Arial" w:eastAsia="Arial" w:hAnsi="Arial" w:cs="Arial"/>
          <w:sz w:val="22"/>
          <w:szCs w:val="22"/>
          <w:highlight w:val="white"/>
        </w:rPr>
      </w:pPr>
      <w:r>
        <w:rPr>
          <w:rFonts w:ascii="Arial" w:eastAsia="Arial" w:hAnsi="Arial" w:cs="Arial"/>
          <w:sz w:val="22"/>
          <w:szCs w:val="22"/>
          <w:highlight w:val="white"/>
        </w:rPr>
        <w:t>Badru, O.A., Oloko, K.O., Hassan, A.O., Yusuf, O.B., Abdur-Razaq, U.A. and Yakub, S., 2021. Prevalence and correlates of psychological distress amongst healthcare workers during the COVID-19 pandemic: An online survey. </w:t>
      </w:r>
      <w:r>
        <w:rPr>
          <w:rFonts w:ascii="Arial" w:eastAsia="Arial" w:hAnsi="Arial" w:cs="Arial"/>
          <w:i/>
          <w:sz w:val="22"/>
          <w:szCs w:val="22"/>
          <w:highlight w:val="white"/>
        </w:rPr>
        <w:t>South African Journal of Psychiatry</w:t>
      </w:r>
      <w:r>
        <w:rPr>
          <w:rFonts w:ascii="Arial" w:eastAsia="Arial" w:hAnsi="Arial" w:cs="Arial"/>
          <w:sz w:val="22"/>
          <w:szCs w:val="22"/>
          <w:highlight w:val="white"/>
        </w:rPr>
        <w:t>, </w:t>
      </w:r>
      <w:r>
        <w:rPr>
          <w:rFonts w:ascii="Arial" w:eastAsia="Arial" w:hAnsi="Arial" w:cs="Arial"/>
          <w:i/>
          <w:sz w:val="22"/>
          <w:szCs w:val="22"/>
          <w:highlight w:val="white"/>
        </w:rPr>
        <w:t>27</w:t>
      </w:r>
      <w:r>
        <w:rPr>
          <w:rFonts w:ascii="Arial" w:eastAsia="Arial" w:hAnsi="Arial" w:cs="Arial"/>
          <w:sz w:val="22"/>
          <w:szCs w:val="22"/>
          <w:highlight w:val="white"/>
        </w:rPr>
        <w:t>, p.1617.</w:t>
      </w:r>
    </w:p>
    <w:p w14:paraId="0000006C" w14:textId="77777777" w:rsidR="0054275D" w:rsidRDefault="00CD28D5">
      <w:pPr>
        <w:spacing w:before="240" w:after="240"/>
        <w:rPr>
          <w:rFonts w:ascii="Arial" w:eastAsia="Arial" w:hAnsi="Arial" w:cs="Arial"/>
          <w:sz w:val="22"/>
          <w:szCs w:val="22"/>
          <w:highlight w:val="white"/>
        </w:rPr>
      </w:pPr>
      <w:r>
        <w:rPr>
          <w:rFonts w:ascii="Arial" w:eastAsia="Arial" w:hAnsi="Arial" w:cs="Arial"/>
          <w:sz w:val="22"/>
          <w:szCs w:val="22"/>
          <w:highlight w:val="white"/>
        </w:rPr>
        <w:t>Blake, H., Bermingham, F., Johnson, G. and Tabner, A., 2020. Mitigating the psychological impact of COVID-19 on healthcare workers: a digital learning package. </w:t>
      </w:r>
      <w:r>
        <w:rPr>
          <w:rFonts w:ascii="Arial" w:eastAsia="Arial" w:hAnsi="Arial" w:cs="Arial"/>
          <w:i/>
          <w:sz w:val="22"/>
          <w:szCs w:val="22"/>
          <w:highlight w:val="white"/>
        </w:rPr>
        <w:t>International journal of environmental research and public health</w:t>
      </w:r>
      <w:r>
        <w:rPr>
          <w:rFonts w:ascii="Arial" w:eastAsia="Arial" w:hAnsi="Arial" w:cs="Arial"/>
          <w:sz w:val="22"/>
          <w:szCs w:val="22"/>
          <w:highlight w:val="white"/>
        </w:rPr>
        <w:t>, </w:t>
      </w:r>
      <w:r>
        <w:rPr>
          <w:rFonts w:ascii="Arial" w:eastAsia="Arial" w:hAnsi="Arial" w:cs="Arial"/>
          <w:i/>
          <w:sz w:val="22"/>
          <w:szCs w:val="22"/>
          <w:highlight w:val="white"/>
        </w:rPr>
        <w:t>17</w:t>
      </w:r>
      <w:r>
        <w:rPr>
          <w:rFonts w:ascii="Arial" w:eastAsia="Arial" w:hAnsi="Arial" w:cs="Arial"/>
          <w:sz w:val="22"/>
          <w:szCs w:val="22"/>
          <w:highlight w:val="white"/>
        </w:rPr>
        <w:t>(9), p.2997.</w:t>
      </w:r>
    </w:p>
    <w:p w14:paraId="0000006D" w14:textId="77777777" w:rsidR="0054275D" w:rsidRDefault="00CD28D5">
      <w:pPr>
        <w:spacing w:before="240" w:after="240"/>
        <w:rPr>
          <w:rFonts w:ascii="Arial" w:eastAsia="Arial" w:hAnsi="Arial" w:cs="Arial"/>
          <w:sz w:val="22"/>
          <w:szCs w:val="22"/>
          <w:highlight w:val="white"/>
        </w:rPr>
      </w:pPr>
      <w:r>
        <w:rPr>
          <w:rFonts w:ascii="Arial" w:eastAsia="Arial" w:hAnsi="Arial" w:cs="Arial"/>
          <w:sz w:val="22"/>
          <w:szCs w:val="22"/>
          <w:highlight w:val="white"/>
        </w:rPr>
        <w:t>De Kock, J.H., Latham, H.A., Leslie, S.J., Grindle, M., Munoz, S.A., Ellis, L., Polson, R. and O’Malley, C.M., 2021. A rapid review of the impact of COVID-19 on the mental health of healthcare workers: implications for supporting psychological well-being. </w:t>
      </w:r>
      <w:r>
        <w:rPr>
          <w:rFonts w:ascii="Arial" w:eastAsia="Arial" w:hAnsi="Arial" w:cs="Arial"/>
          <w:i/>
          <w:sz w:val="22"/>
          <w:szCs w:val="22"/>
          <w:highlight w:val="white"/>
        </w:rPr>
        <w:t>BMC public health</w:t>
      </w:r>
      <w:r>
        <w:rPr>
          <w:rFonts w:ascii="Arial" w:eastAsia="Arial" w:hAnsi="Arial" w:cs="Arial"/>
          <w:sz w:val="22"/>
          <w:szCs w:val="22"/>
          <w:highlight w:val="white"/>
        </w:rPr>
        <w:t>, </w:t>
      </w:r>
      <w:r>
        <w:rPr>
          <w:rFonts w:ascii="Arial" w:eastAsia="Arial" w:hAnsi="Arial" w:cs="Arial"/>
          <w:i/>
          <w:sz w:val="22"/>
          <w:szCs w:val="22"/>
          <w:highlight w:val="white"/>
        </w:rPr>
        <w:t>21</w:t>
      </w:r>
      <w:r>
        <w:rPr>
          <w:rFonts w:ascii="Arial" w:eastAsia="Arial" w:hAnsi="Arial" w:cs="Arial"/>
          <w:sz w:val="22"/>
          <w:szCs w:val="22"/>
          <w:highlight w:val="white"/>
        </w:rPr>
        <w:t>(1), pp.1-18.</w:t>
      </w:r>
    </w:p>
    <w:p w14:paraId="0000006E" w14:textId="77777777" w:rsidR="0054275D" w:rsidRDefault="00CD28D5">
      <w:pPr>
        <w:spacing w:before="240" w:after="240"/>
        <w:rPr>
          <w:rFonts w:ascii="Arial" w:eastAsia="Arial" w:hAnsi="Arial" w:cs="Arial"/>
          <w:sz w:val="22"/>
          <w:szCs w:val="22"/>
          <w:highlight w:val="white"/>
        </w:rPr>
      </w:pPr>
      <w:r>
        <w:rPr>
          <w:rFonts w:ascii="Arial" w:eastAsia="Arial" w:hAnsi="Arial" w:cs="Arial"/>
          <w:sz w:val="22"/>
          <w:szCs w:val="22"/>
          <w:highlight w:val="white"/>
        </w:rPr>
        <w:t>Du, J., Dong, L.U., Wang, T., Yuan, C., Fu, R., Zhang, L., Liu, B., Zhang, M., Yin, Y., Qin, J. and Bouey, J., 2020. Psychological symptoms among frontline healthcare workers during COVID-19 outbreak in Wuhan. </w:t>
      </w:r>
      <w:r>
        <w:rPr>
          <w:rFonts w:ascii="Arial" w:eastAsia="Arial" w:hAnsi="Arial" w:cs="Arial"/>
          <w:i/>
          <w:sz w:val="22"/>
          <w:szCs w:val="22"/>
          <w:highlight w:val="white"/>
        </w:rPr>
        <w:t>General hospital psychiatry</w:t>
      </w:r>
      <w:r>
        <w:rPr>
          <w:rFonts w:ascii="Arial" w:eastAsia="Arial" w:hAnsi="Arial" w:cs="Arial"/>
          <w:sz w:val="22"/>
          <w:szCs w:val="22"/>
          <w:highlight w:val="white"/>
        </w:rPr>
        <w:t>, </w:t>
      </w:r>
      <w:r>
        <w:rPr>
          <w:rFonts w:ascii="Arial" w:eastAsia="Arial" w:hAnsi="Arial" w:cs="Arial"/>
          <w:i/>
          <w:sz w:val="22"/>
          <w:szCs w:val="22"/>
          <w:highlight w:val="white"/>
        </w:rPr>
        <w:t>67</w:t>
      </w:r>
      <w:r>
        <w:rPr>
          <w:rFonts w:ascii="Arial" w:eastAsia="Arial" w:hAnsi="Arial" w:cs="Arial"/>
          <w:sz w:val="22"/>
          <w:szCs w:val="22"/>
          <w:highlight w:val="white"/>
        </w:rPr>
        <w:t>, p.144.</w:t>
      </w:r>
    </w:p>
    <w:p w14:paraId="0000006F" w14:textId="77777777" w:rsidR="0054275D" w:rsidRDefault="00CD28D5">
      <w:pPr>
        <w:spacing w:before="240" w:after="240"/>
        <w:rPr>
          <w:rFonts w:ascii="Arial" w:eastAsia="Arial" w:hAnsi="Arial" w:cs="Arial"/>
          <w:sz w:val="22"/>
          <w:szCs w:val="22"/>
          <w:highlight w:val="white"/>
        </w:rPr>
      </w:pPr>
      <w:r>
        <w:rPr>
          <w:rFonts w:ascii="Arial" w:eastAsia="Arial" w:hAnsi="Arial" w:cs="Arial"/>
          <w:sz w:val="22"/>
          <w:szCs w:val="22"/>
          <w:highlight w:val="white"/>
        </w:rPr>
        <w:t>Girdhar, R., Srivastava, V. and Sethi, S., 2020. Managing mental health issues among elderly during COVID-19 pandemic. </w:t>
      </w:r>
      <w:r>
        <w:rPr>
          <w:rFonts w:ascii="Arial" w:eastAsia="Arial" w:hAnsi="Arial" w:cs="Arial"/>
          <w:i/>
          <w:sz w:val="22"/>
          <w:szCs w:val="22"/>
          <w:highlight w:val="white"/>
        </w:rPr>
        <w:t>Journal of geriatric care and research</w:t>
      </w:r>
      <w:r>
        <w:rPr>
          <w:rFonts w:ascii="Arial" w:eastAsia="Arial" w:hAnsi="Arial" w:cs="Arial"/>
          <w:sz w:val="22"/>
          <w:szCs w:val="22"/>
          <w:highlight w:val="white"/>
        </w:rPr>
        <w:t>, </w:t>
      </w:r>
      <w:r>
        <w:rPr>
          <w:rFonts w:ascii="Arial" w:eastAsia="Arial" w:hAnsi="Arial" w:cs="Arial"/>
          <w:i/>
          <w:sz w:val="22"/>
          <w:szCs w:val="22"/>
          <w:highlight w:val="white"/>
        </w:rPr>
        <w:t>7</w:t>
      </w:r>
      <w:r>
        <w:rPr>
          <w:rFonts w:ascii="Arial" w:eastAsia="Arial" w:hAnsi="Arial" w:cs="Arial"/>
          <w:sz w:val="22"/>
          <w:szCs w:val="22"/>
          <w:highlight w:val="white"/>
        </w:rPr>
        <w:t>(1), pp.32-5.</w:t>
      </w:r>
    </w:p>
    <w:p w14:paraId="00000070" w14:textId="77777777" w:rsidR="0054275D" w:rsidRDefault="00CD28D5">
      <w:pPr>
        <w:spacing w:before="240" w:after="240"/>
        <w:rPr>
          <w:rFonts w:ascii="Arial" w:eastAsia="Arial" w:hAnsi="Arial" w:cs="Arial"/>
          <w:sz w:val="22"/>
          <w:szCs w:val="22"/>
          <w:highlight w:val="white"/>
        </w:rPr>
      </w:pPr>
      <w:r>
        <w:rPr>
          <w:rFonts w:ascii="Arial" w:eastAsia="Arial" w:hAnsi="Arial" w:cs="Arial"/>
          <w:sz w:val="22"/>
          <w:szCs w:val="22"/>
          <w:highlight w:val="white"/>
        </w:rPr>
        <w:t>Greene, T., Harju-Seppänen, J., Adeniji, M., Steel, C., Grey, N., Brewin, C.R., Bloomfield, M.A. and Billings, J., 2021. Predictors and rates of PTSD, depression and anxiety in UK frontline health and social care workers during COVID-19. </w:t>
      </w:r>
      <w:r>
        <w:rPr>
          <w:rFonts w:ascii="Arial" w:eastAsia="Arial" w:hAnsi="Arial" w:cs="Arial"/>
          <w:i/>
          <w:sz w:val="22"/>
          <w:szCs w:val="22"/>
          <w:highlight w:val="white"/>
        </w:rPr>
        <w:t>European Journal of Psychotraumatology</w:t>
      </w:r>
      <w:r>
        <w:rPr>
          <w:rFonts w:ascii="Arial" w:eastAsia="Arial" w:hAnsi="Arial" w:cs="Arial"/>
          <w:sz w:val="22"/>
          <w:szCs w:val="22"/>
          <w:highlight w:val="white"/>
        </w:rPr>
        <w:t>, </w:t>
      </w:r>
      <w:r>
        <w:rPr>
          <w:rFonts w:ascii="Arial" w:eastAsia="Arial" w:hAnsi="Arial" w:cs="Arial"/>
          <w:i/>
          <w:sz w:val="22"/>
          <w:szCs w:val="22"/>
          <w:highlight w:val="white"/>
        </w:rPr>
        <w:t>12</w:t>
      </w:r>
      <w:r>
        <w:rPr>
          <w:rFonts w:ascii="Arial" w:eastAsia="Arial" w:hAnsi="Arial" w:cs="Arial"/>
          <w:sz w:val="22"/>
          <w:szCs w:val="22"/>
          <w:highlight w:val="white"/>
        </w:rPr>
        <w:t>(1), p.1882781.</w:t>
      </w:r>
    </w:p>
    <w:p w14:paraId="00000071" w14:textId="77777777" w:rsidR="0054275D" w:rsidRDefault="00CD28D5">
      <w:pPr>
        <w:spacing w:before="240" w:after="240"/>
        <w:rPr>
          <w:rFonts w:ascii="Arial" w:eastAsia="Arial" w:hAnsi="Arial" w:cs="Arial"/>
          <w:sz w:val="22"/>
          <w:szCs w:val="22"/>
          <w:highlight w:val="white"/>
        </w:rPr>
      </w:pPr>
      <w:r>
        <w:rPr>
          <w:rFonts w:ascii="Arial" w:eastAsia="Arial" w:hAnsi="Arial" w:cs="Arial"/>
          <w:sz w:val="22"/>
          <w:szCs w:val="22"/>
          <w:highlight w:val="white"/>
        </w:rPr>
        <w:t>Krishnamoorthy, Y., Nagarajan, R., Saya, G.K. and Menon, V., 2020. Prevalence of psychological morbidities among general population, healthcare workers and COVID-19 patients amidst the COVID-19 pandemic: A systematic review and meta-analysis. </w:t>
      </w:r>
      <w:r>
        <w:rPr>
          <w:rFonts w:ascii="Arial" w:eastAsia="Arial" w:hAnsi="Arial" w:cs="Arial"/>
          <w:i/>
          <w:sz w:val="22"/>
          <w:szCs w:val="22"/>
          <w:highlight w:val="white"/>
        </w:rPr>
        <w:t>Psychiatry research</w:t>
      </w:r>
      <w:r>
        <w:rPr>
          <w:rFonts w:ascii="Arial" w:eastAsia="Arial" w:hAnsi="Arial" w:cs="Arial"/>
          <w:sz w:val="22"/>
          <w:szCs w:val="22"/>
          <w:highlight w:val="white"/>
        </w:rPr>
        <w:t>, </w:t>
      </w:r>
      <w:r>
        <w:rPr>
          <w:rFonts w:ascii="Arial" w:eastAsia="Arial" w:hAnsi="Arial" w:cs="Arial"/>
          <w:i/>
          <w:sz w:val="22"/>
          <w:szCs w:val="22"/>
          <w:highlight w:val="white"/>
        </w:rPr>
        <w:t>293</w:t>
      </w:r>
      <w:r>
        <w:rPr>
          <w:rFonts w:ascii="Arial" w:eastAsia="Arial" w:hAnsi="Arial" w:cs="Arial"/>
          <w:sz w:val="22"/>
          <w:szCs w:val="22"/>
          <w:highlight w:val="white"/>
        </w:rPr>
        <w:t>, p.113382.</w:t>
      </w:r>
    </w:p>
    <w:p w14:paraId="00000072" w14:textId="77777777" w:rsidR="0054275D" w:rsidRDefault="00CD28D5">
      <w:pPr>
        <w:spacing w:before="240" w:after="240"/>
        <w:rPr>
          <w:rFonts w:ascii="Arial" w:eastAsia="Arial" w:hAnsi="Arial" w:cs="Arial"/>
          <w:sz w:val="22"/>
          <w:szCs w:val="22"/>
          <w:highlight w:val="white"/>
        </w:rPr>
      </w:pPr>
      <w:r>
        <w:rPr>
          <w:rFonts w:ascii="Arial" w:eastAsia="Arial" w:hAnsi="Arial" w:cs="Arial"/>
          <w:sz w:val="22"/>
          <w:szCs w:val="22"/>
          <w:highlight w:val="white"/>
        </w:rPr>
        <w:t>Moudatsou, M., Stavropoulou, A., Philalithis, A. and Koukouli, S., 2020, January. The role of empathy in health and social care professionals. In </w:t>
      </w:r>
      <w:r>
        <w:rPr>
          <w:rFonts w:ascii="Arial" w:eastAsia="Arial" w:hAnsi="Arial" w:cs="Arial"/>
          <w:i/>
          <w:sz w:val="22"/>
          <w:szCs w:val="22"/>
          <w:highlight w:val="white"/>
        </w:rPr>
        <w:t>Healthcare</w:t>
      </w:r>
      <w:r>
        <w:rPr>
          <w:rFonts w:ascii="Arial" w:eastAsia="Arial" w:hAnsi="Arial" w:cs="Arial"/>
          <w:sz w:val="22"/>
          <w:szCs w:val="22"/>
          <w:highlight w:val="white"/>
        </w:rPr>
        <w:t> (Vol. 8, No. 1, p. 26). MDPI.</w:t>
      </w:r>
    </w:p>
    <w:p w14:paraId="00000073" w14:textId="77777777" w:rsidR="0054275D" w:rsidRDefault="00CD28D5">
      <w:pPr>
        <w:spacing w:before="240" w:after="240"/>
        <w:rPr>
          <w:rFonts w:ascii="Arial" w:eastAsia="Arial" w:hAnsi="Arial" w:cs="Arial"/>
          <w:sz w:val="22"/>
          <w:szCs w:val="22"/>
          <w:highlight w:val="white"/>
        </w:rPr>
      </w:pPr>
      <w:r>
        <w:rPr>
          <w:rFonts w:ascii="Arial" w:eastAsia="Arial" w:hAnsi="Arial" w:cs="Arial"/>
          <w:sz w:val="22"/>
          <w:szCs w:val="22"/>
          <w:highlight w:val="white"/>
        </w:rPr>
        <w:t>Nyashanu, M., Pfende, F. and Ekpenyong, M., 2020. Exploring the challenges faced by frontline workers in health and social care amid the COVID-19 pandemic: experiences of frontline workers in the English Midlands region, UK. </w:t>
      </w:r>
      <w:r>
        <w:rPr>
          <w:rFonts w:ascii="Arial" w:eastAsia="Arial" w:hAnsi="Arial" w:cs="Arial"/>
          <w:i/>
          <w:sz w:val="22"/>
          <w:szCs w:val="22"/>
          <w:highlight w:val="white"/>
        </w:rPr>
        <w:t>Journal of Interprofessional Care</w:t>
      </w:r>
      <w:r>
        <w:rPr>
          <w:rFonts w:ascii="Arial" w:eastAsia="Arial" w:hAnsi="Arial" w:cs="Arial"/>
          <w:sz w:val="22"/>
          <w:szCs w:val="22"/>
          <w:highlight w:val="white"/>
        </w:rPr>
        <w:t>, </w:t>
      </w:r>
      <w:r>
        <w:rPr>
          <w:rFonts w:ascii="Arial" w:eastAsia="Arial" w:hAnsi="Arial" w:cs="Arial"/>
          <w:i/>
          <w:sz w:val="22"/>
          <w:szCs w:val="22"/>
          <w:highlight w:val="white"/>
        </w:rPr>
        <w:t>34</w:t>
      </w:r>
      <w:r>
        <w:rPr>
          <w:rFonts w:ascii="Arial" w:eastAsia="Arial" w:hAnsi="Arial" w:cs="Arial"/>
          <w:sz w:val="22"/>
          <w:szCs w:val="22"/>
          <w:highlight w:val="white"/>
        </w:rPr>
        <w:t>(5), pp.655-661.</w:t>
      </w:r>
    </w:p>
    <w:p w14:paraId="00000074" w14:textId="77777777" w:rsidR="0054275D" w:rsidRDefault="00CD28D5">
      <w:pPr>
        <w:spacing w:before="240" w:after="240"/>
        <w:rPr>
          <w:rFonts w:ascii="Arial" w:eastAsia="Arial" w:hAnsi="Arial" w:cs="Arial"/>
          <w:sz w:val="22"/>
          <w:szCs w:val="22"/>
          <w:highlight w:val="white"/>
        </w:rPr>
      </w:pPr>
      <w:r>
        <w:rPr>
          <w:rFonts w:ascii="Arial" w:eastAsia="Arial" w:hAnsi="Arial" w:cs="Arial"/>
          <w:sz w:val="22"/>
          <w:szCs w:val="22"/>
          <w:highlight w:val="white"/>
        </w:rPr>
        <w:lastRenderedPageBreak/>
        <w:t>Omerov, P., Craftman, Å.G., Mattsson, E. and Klarare, A., 2020. Homeless persons' experiences of health</w:t>
      </w:r>
      <w:r>
        <w:rPr>
          <w:rFonts w:ascii="Cambria Math" w:eastAsia="Cambria Math" w:hAnsi="Cambria Math" w:cs="Cambria Math"/>
          <w:sz w:val="22"/>
          <w:szCs w:val="22"/>
          <w:highlight w:val="white"/>
        </w:rPr>
        <w:t>‐</w:t>
      </w:r>
      <w:r>
        <w:rPr>
          <w:rFonts w:ascii="Arial" w:eastAsia="Arial" w:hAnsi="Arial" w:cs="Arial"/>
          <w:sz w:val="22"/>
          <w:szCs w:val="22"/>
          <w:highlight w:val="white"/>
        </w:rPr>
        <w:t>and social care: A systematic integrative review. </w:t>
      </w:r>
      <w:r>
        <w:rPr>
          <w:rFonts w:ascii="Arial" w:eastAsia="Arial" w:hAnsi="Arial" w:cs="Arial"/>
          <w:i/>
          <w:sz w:val="22"/>
          <w:szCs w:val="22"/>
          <w:highlight w:val="white"/>
        </w:rPr>
        <w:t>Health &amp; social care in the community</w:t>
      </w:r>
      <w:r>
        <w:rPr>
          <w:rFonts w:ascii="Arial" w:eastAsia="Arial" w:hAnsi="Arial" w:cs="Arial"/>
          <w:sz w:val="22"/>
          <w:szCs w:val="22"/>
          <w:highlight w:val="white"/>
        </w:rPr>
        <w:t>, </w:t>
      </w:r>
      <w:r>
        <w:rPr>
          <w:rFonts w:ascii="Arial" w:eastAsia="Arial" w:hAnsi="Arial" w:cs="Arial"/>
          <w:i/>
          <w:sz w:val="22"/>
          <w:szCs w:val="22"/>
          <w:highlight w:val="white"/>
        </w:rPr>
        <w:t>28</w:t>
      </w:r>
      <w:r>
        <w:rPr>
          <w:rFonts w:ascii="Arial" w:eastAsia="Arial" w:hAnsi="Arial" w:cs="Arial"/>
          <w:sz w:val="22"/>
          <w:szCs w:val="22"/>
          <w:highlight w:val="white"/>
        </w:rPr>
        <w:t>(1), pp.1-11.</w:t>
      </w:r>
    </w:p>
    <w:p w14:paraId="00000075" w14:textId="77777777" w:rsidR="0054275D" w:rsidRDefault="00CD28D5">
      <w:pPr>
        <w:spacing w:before="240" w:after="240"/>
        <w:rPr>
          <w:rFonts w:ascii="Arial" w:eastAsia="Arial" w:hAnsi="Arial" w:cs="Arial"/>
          <w:sz w:val="22"/>
          <w:szCs w:val="22"/>
          <w:highlight w:val="white"/>
        </w:rPr>
      </w:pPr>
      <w:r>
        <w:rPr>
          <w:rFonts w:ascii="Arial" w:eastAsia="Arial" w:hAnsi="Arial" w:cs="Arial"/>
          <w:sz w:val="22"/>
          <w:szCs w:val="22"/>
          <w:highlight w:val="white"/>
        </w:rPr>
        <w:t>Qasim, M., Awan, U.A., Afzal, M.S., Saqib, M.A.N., Siddiqui, S. and Ahmed, H., 2020. Dataset of knowledge, attitude, practices and psychological implications of healthcare workers in Pakistan during COVID-19 pandemic. </w:t>
      </w:r>
      <w:r>
        <w:rPr>
          <w:rFonts w:ascii="Arial" w:eastAsia="Arial" w:hAnsi="Arial" w:cs="Arial"/>
          <w:i/>
          <w:sz w:val="22"/>
          <w:szCs w:val="22"/>
          <w:highlight w:val="white"/>
        </w:rPr>
        <w:t>Data in brief</w:t>
      </w:r>
      <w:r>
        <w:rPr>
          <w:rFonts w:ascii="Arial" w:eastAsia="Arial" w:hAnsi="Arial" w:cs="Arial"/>
          <w:sz w:val="22"/>
          <w:szCs w:val="22"/>
          <w:highlight w:val="white"/>
        </w:rPr>
        <w:t>, </w:t>
      </w:r>
      <w:r>
        <w:rPr>
          <w:rFonts w:ascii="Arial" w:eastAsia="Arial" w:hAnsi="Arial" w:cs="Arial"/>
          <w:i/>
          <w:sz w:val="22"/>
          <w:szCs w:val="22"/>
          <w:highlight w:val="white"/>
        </w:rPr>
        <w:t>32</w:t>
      </w:r>
      <w:r>
        <w:rPr>
          <w:rFonts w:ascii="Arial" w:eastAsia="Arial" w:hAnsi="Arial" w:cs="Arial"/>
          <w:sz w:val="22"/>
          <w:szCs w:val="22"/>
          <w:highlight w:val="white"/>
        </w:rPr>
        <w:t>, p.106234.</w:t>
      </w:r>
    </w:p>
    <w:p w14:paraId="00000076" w14:textId="77777777" w:rsidR="0054275D" w:rsidRDefault="00CD28D5">
      <w:pPr>
        <w:spacing w:before="240" w:after="240"/>
        <w:rPr>
          <w:rFonts w:ascii="Arial" w:eastAsia="Arial" w:hAnsi="Arial" w:cs="Arial"/>
          <w:sz w:val="22"/>
          <w:szCs w:val="22"/>
          <w:highlight w:val="white"/>
        </w:rPr>
      </w:pPr>
      <w:r>
        <w:rPr>
          <w:rFonts w:ascii="Arial" w:eastAsia="Arial" w:hAnsi="Arial" w:cs="Arial"/>
          <w:sz w:val="22"/>
          <w:szCs w:val="22"/>
          <w:highlight w:val="white"/>
        </w:rPr>
        <w:t>Que, J., Shi, L.E., Deng, J., Liu, J., Zhang, L., Wu, S., Gong, Y., Huang, W., Yuan, K., Yan, W. and Sun, Y., 2020. Psychological impact of the COVID-19 pandemic on healthcare workers: a cross-sectional study in China. </w:t>
      </w:r>
      <w:r>
        <w:rPr>
          <w:rFonts w:ascii="Arial" w:eastAsia="Arial" w:hAnsi="Arial" w:cs="Arial"/>
          <w:i/>
          <w:sz w:val="22"/>
          <w:szCs w:val="22"/>
          <w:highlight w:val="white"/>
        </w:rPr>
        <w:t>General psychiatry</w:t>
      </w:r>
      <w:r>
        <w:rPr>
          <w:rFonts w:ascii="Arial" w:eastAsia="Arial" w:hAnsi="Arial" w:cs="Arial"/>
          <w:sz w:val="22"/>
          <w:szCs w:val="22"/>
          <w:highlight w:val="white"/>
        </w:rPr>
        <w:t>, </w:t>
      </w:r>
      <w:r>
        <w:rPr>
          <w:rFonts w:ascii="Arial" w:eastAsia="Arial" w:hAnsi="Arial" w:cs="Arial"/>
          <w:i/>
          <w:sz w:val="22"/>
          <w:szCs w:val="22"/>
          <w:highlight w:val="white"/>
        </w:rPr>
        <w:t>33</w:t>
      </w:r>
      <w:r>
        <w:rPr>
          <w:rFonts w:ascii="Arial" w:eastAsia="Arial" w:hAnsi="Arial" w:cs="Arial"/>
          <w:sz w:val="22"/>
          <w:szCs w:val="22"/>
          <w:highlight w:val="white"/>
        </w:rPr>
        <w:t>(3).</w:t>
      </w:r>
    </w:p>
    <w:p w14:paraId="00000077" w14:textId="77777777" w:rsidR="0054275D" w:rsidRDefault="00CD28D5">
      <w:pPr>
        <w:spacing w:before="240" w:after="240"/>
        <w:rPr>
          <w:rFonts w:ascii="Arial" w:eastAsia="Arial" w:hAnsi="Arial" w:cs="Arial"/>
          <w:sz w:val="22"/>
          <w:szCs w:val="22"/>
          <w:highlight w:val="white"/>
        </w:rPr>
      </w:pPr>
      <w:r>
        <w:rPr>
          <w:rFonts w:ascii="Arial" w:eastAsia="Arial" w:hAnsi="Arial" w:cs="Arial"/>
          <w:sz w:val="22"/>
          <w:szCs w:val="22"/>
          <w:highlight w:val="white"/>
        </w:rPr>
        <w:t>Wu, P.E., Styra, R. and Gold, W.L., 2020. Mitigating the psychological effects of COVID-19 on health care workers. </w:t>
      </w:r>
      <w:r>
        <w:rPr>
          <w:rFonts w:ascii="Arial" w:eastAsia="Arial" w:hAnsi="Arial" w:cs="Arial"/>
          <w:i/>
          <w:sz w:val="22"/>
          <w:szCs w:val="22"/>
          <w:highlight w:val="white"/>
        </w:rPr>
        <w:t>Cmaj</w:t>
      </w:r>
      <w:r>
        <w:rPr>
          <w:rFonts w:ascii="Arial" w:eastAsia="Arial" w:hAnsi="Arial" w:cs="Arial"/>
          <w:sz w:val="22"/>
          <w:szCs w:val="22"/>
          <w:highlight w:val="white"/>
        </w:rPr>
        <w:t>, </w:t>
      </w:r>
      <w:r>
        <w:rPr>
          <w:rFonts w:ascii="Arial" w:eastAsia="Arial" w:hAnsi="Arial" w:cs="Arial"/>
          <w:i/>
          <w:sz w:val="22"/>
          <w:szCs w:val="22"/>
          <w:highlight w:val="white"/>
        </w:rPr>
        <w:t>192</w:t>
      </w:r>
      <w:r>
        <w:rPr>
          <w:rFonts w:ascii="Arial" w:eastAsia="Arial" w:hAnsi="Arial" w:cs="Arial"/>
          <w:sz w:val="22"/>
          <w:szCs w:val="22"/>
          <w:highlight w:val="white"/>
        </w:rPr>
        <w:t>(17), pp.E459-E460.</w:t>
      </w:r>
    </w:p>
    <w:p w14:paraId="00000078" w14:textId="118377D1" w:rsidR="0054275D" w:rsidRDefault="00CD28D5">
      <w:pPr>
        <w:spacing w:before="240" w:after="240"/>
        <w:rPr>
          <w:rFonts w:ascii="Arial" w:eastAsia="Arial" w:hAnsi="Arial" w:cs="Arial"/>
          <w:sz w:val="22"/>
          <w:szCs w:val="22"/>
          <w:highlight w:val="white"/>
        </w:rPr>
      </w:pPr>
      <w:r>
        <w:rPr>
          <w:rFonts w:ascii="Arial" w:eastAsia="Arial" w:hAnsi="Arial" w:cs="Arial"/>
          <w:sz w:val="22"/>
          <w:szCs w:val="22"/>
          <w:highlight w:val="white"/>
        </w:rPr>
        <w:t>Yildirim, T.T., Atas, O., Asafov, A., Yildirim, K. and Balibey, H., 2020. Psychological status of healthcare workers during the Covid-19 pandemic. </w:t>
      </w:r>
      <w:r>
        <w:rPr>
          <w:rFonts w:ascii="Arial" w:eastAsia="Arial" w:hAnsi="Arial" w:cs="Arial"/>
          <w:i/>
          <w:sz w:val="22"/>
          <w:szCs w:val="22"/>
          <w:highlight w:val="white"/>
        </w:rPr>
        <w:t>Age</w:t>
      </w:r>
      <w:r>
        <w:rPr>
          <w:rFonts w:ascii="Arial" w:eastAsia="Arial" w:hAnsi="Arial" w:cs="Arial"/>
          <w:sz w:val="22"/>
          <w:szCs w:val="22"/>
          <w:highlight w:val="white"/>
        </w:rPr>
        <w:t>, </w:t>
      </w:r>
      <w:r>
        <w:rPr>
          <w:rFonts w:ascii="Arial" w:eastAsia="Arial" w:hAnsi="Arial" w:cs="Arial"/>
          <w:i/>
          <w:sz w:val="22"/>
          <w:szCs w:val="22"/>
          <w:highlight w:val="white"/>
        </w:rPr>
        <w:t>20</w:t>
      </w:r>
      <w:r>
        <w:rPr>
          <w:rFonts w:ascii="Arial" w:eastAsia="Arial" w:hAnsi="Arial" w:cs="Arial"/>
          <w:sz w:val="22"/>
          <w:szCs w:val="22"/>
          <w:highlight w:val="white"/>
        </w:rPr>
        <w:t>(30), pp.31-40.</w:t>
      </w:r>
    </w:p>
    <w:p w14:paraId="7B9849D7" w14:textId="30446D49" w:rsidR="003957C5" w:rsidRDefault="003957C5">
      <w:pPr>
        <w:spacing w:before="240" w:after="240"/>
        <w:rPr>
          <w:rFonts w:ascii="Arial" w:eastAsia="Arial" w:hAnsi="Arial" w:cs="Arial"/>
          <w:sz w:val="22"/>
          <w:szCs w:val="22"/>
          <w:highlight w:val="white"/>
        </w:rPr>
      </w:pPr>
      <w:r w:rsidRPr="003957C5">
        <w:rPr>
          <w:rFonts w:ascii="Arial" w:eastAsia="Arial" w:hAnsi="Arial" w:cs="Arial"/>
          <w:sz w:val="22"/>
          <w:szCs w:val="22"/>
          <w:highlight w:val="white"/>
        </w:rPr>
        <w:t>Harmon-Jones, E.E., 2019. </w:t>
      </w:r>
      <w:r w:rsidRPr="003957C5">
        <w:rPr>
          <w:rFonts w:ascii="Arial" w:eastAsia="Arial" w:hAnsi="Arial" w:cs="Arial"/>
          <w:i/>
          <w:iCs/>
          <w:sz w:val="22"/>
          <w:szCs w:val="22"/>
          <w:highlight w:val="white"/>
        </w:rPr>
        <w:t>Cognitive dissonance: Reexamining a pivotal theory in psychology</w:t>
      </w:r>
      <w:r w:rsidRPr="003957C5">
        <w:rPr>
          <w:rFonts w:ascii="Arial" w:eastAsia="Arial" w:hAnsi="Arial" w:cs="Arial"/>
          <w:sz w:val="22"/>
          <w:szCs w:val="22"/>
          <w:highlight w:val="white"/>
        </w:rPr>
        <w:t>. American Psychological Association.</w:t>
      </w:r>
    </w:p>
    <w:sectPr w:rsidR="003957C5">
      <w:footerReference w:type="default" r:id="rId8"/>
      <w:pgSz w:w="11906" w:h="16838"/>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D552D4A" w14:textId="77777777" w:rsidR="00320874" w:rsidRDefault="00320874">
      <w:pPr>
        <w:spacing w:line="240" w:lineRule="auto"/>
      </w:pPr>
      <w:r>
        <w:separator/>
      </w:r>
    </w:p>
  </w:endnote>
  <w:endnote w:type="continuationSeparator" w:id="0">
    <w:p w14:paraId="2B6948D7" w14:textId="77777777" w:rsidR="00320874" w:rsidRDefault="00320874">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Noto Sans Symbols">
    <w:altName w:val="Times New Roman"/>
    <w:charset w:val="00"/>
    <w:family w:val="auto"/>
    <w:pitch w:val="default"/>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Georgia">
    <w:panose1 w:val="02040502050405020303"/>
    <w:charset w:val="00"/>
    <w:family w:val="roman"/>
    <w:pitch w:val="variable"/>
    <w:sig w:usb0="00000287" w:usb1="00000000" w:usb2="00000000" w:usb3="00000000" w:csb0="0000009F" w:csb1="00000000"/>
  </w:font>
  <w:font w:name="Cambria Math">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0000079" w14:textId="569A1869" w:rsidR="0054275D" w:rsidRDefault="00CD28D5">
    <w:pPr>
      <w:pBdr>
        <w:top w:val="nil"/>
        <w:left w:val="nil"/>
        <w:bottom w:val="nil"/>
        <w:right w:val="nil"/>
        <w:between w:val="nil"/>
      </w:pBdr>
      <w:tabs>
        <w:tab w:val="center" w:pos="4680"/>
        <w:tab w:val="right" w:pos="9360"/>
      </w:tabs>
      <w:spacing w:line="240" w:lineRule="auto"/>
      <w:jc w:val="center"/>
      <w:rPr>
        <w:color w:val="000000"/>
      </w:rPr>
    </w:pPr>
    <w:r>
      <w:rPr>
        <w:color w:val="000000"/>
      </w:rPr>
      <w:fldChar w:fldCharType="begin"/>
    </w:r>
    <w:r>
      <w:rPr>
        <w:color w:val="000000"/>
      </w:rPr>
      <w:instrText>PAGE</w:instrText>
    </w:r>
    <w:r>
      <w:rPr>
        <w:color w:val="000000"/>
      </w:rPr>
      <w:fldChar w:fldCharType="separate"/>
    </w:r>
    <w:r w:rsidR="00337F4B">
      <w:rPr>
        <w:noProof/>
        <w:color w:val="000000"/>
      </w:rPr>
      <w:t>7</w:t>
    </w:r>
    <w:r>
      <w:rPr>
        <w:color w:val="000000"/>
      </w:rPr>
      <w:fldChar w:fldCharType="end"/>
    </w:r>
  </w:p>
  <w:p w14:paraId="0000007A" w14:textId="77777777" w:rsidR="0054275D" w:rsidRDefault="0054275D">
    <w:pPr>
      <w:pBdr>
        <w:top w:val="nil"/>
        <w:left w:val="nil"/>
        <w:bottom w:val="nil"/>
        <w:right w:val="nil"/>
        <w:between w:val="nil"/>
      </w:pBdr>
      <w:tabs>
        <w:tab w:val="center" w:pos="4680"/>
        <w:tab w:val="right" w:pos="9360"/>
      </w:tabs>
      <w:spacing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8DDB55A" w14:textId="77777777" w:rsidR="00320874" w:rsidRDefault="00320874">
      <w:pPr>
        <w:spacing w:line="240" w:lineRule="auto"/>
      </w:pPr>
      <w:r>
        <w:separator/>
      </w:r>
    </w:p>
  </w:footnote>
  <w:footnote w:type="continuationSeparator" w:id="0">
    <w:p w14:paraId="7E80999D" w14:textId="77777777" w:rsidR="00320874" w:rsidRDefault="00320874">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3C27B01"/>
    <w:multiLevelType w:val="multilevel"/>
    <w:tmpl w:val="4B7AF402"/>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1" w15:restartNumberingAfterBreak="0">
    <w:nsid w:val="3F9B6327"/>
    <w:multiLevelType w:val="multilevel"/>
    <w:tmpl w:val="5A40B4F8"/>
    <w:lvl w:ilvl="0">
      <w:start w:val="1"/>
      <w:numFmt w:val="bullet"/>
      <w:lvlText w:val="●"/>
      <w:lvlJc w:val="left"/>
      <w:pPr>
        <w:ind w:left="360" w:hanging="360"/>
      </w:pPr>
      <w:rPr>
        <w:rFonts w:ascii="Noto Sans Symbols" w:eastAsia="Noto Sans Symbols" w:hAnsi="Noto Sans Symbols" w:cs="Noto Sans Symbols"/>
      </w:rPr>
    </w:lvl>
    <w:lvl w:ilvl="1">
      <w:start w:val="1"/>
      <w:numFmt w:val="lowerLetter"/>
      <w:lvlText w:val="%2."/>
      <w:lvlJc w:val="left"/>
      <w:pPr>
        <w:ind w:left="1080" w:hanging="360"/>
      </w:pPr>
    </w:lvl>
    <w:lvl w:ilvl="2">
      <w:start w:val="1"/>
      <w:numFmt w:val="lowerRoman"/>
      <w:lvlText w:val="%3."/>
      <w:lvlJc w:val="right"/>
      <w:pPr>
        <w:ind w:left="1800" w:hanging="180"/>
      </w:pPr>
    </w:lvl>
    <w:lvl w:ilvl="3">
      <w:start w:val="1"/>
      <w:numFmt w:val="decimal"/>
      <w:lvlText w:val="%4."/>
      <w:lvlJc w:val="left"/>
      <w:pPr>
        <w:ind w:left="2520" w:hanging="360"/>
      </w:pPr>
    </w:lvl>
    <w:lvl w:ilvl="4">
      <w:start w:val="1"/>
      <w:numFmt w:val="lowerLetter"/>
      <w:lvlText w:val="%5."/>
      <w:lvlJc w:val="left"/>
      <w:pPr>
        <w:ind w:left="3240" w:hanging="360"/>
      </w:pPr>
    </w:lvl>
    <w:lvl w:ilvl="5">
      <w:start w:val="1"/>
      <w:numFmt w:val="lowerRoman"/>
      <w:lvlText w:val="%6."/>
      <w:lvlJc w:val="right"/>
      <w:pPr>
        <w:ind w:left="3960" w:hanging="180"/>
      </w:pPr>
    </w:lvl>
    <w:lvl w:ilvl="6">
      <w:start w:val="1"/>
      <w:numFmt w:val="decimal"/>
      <w:lvlText w:val="%7."/>
      <w:lvlJc w:val="left"/>
      <w:pPr>
        <w:ind w:left="4680" w:hanging="360"/>
      </w:pPr>
    </w:lvl>
    <w:lvl w:ilvl="7">
      <w:start w:val="1"/>
      <w:numFmt w:val="lowerLetter"/>
      <w:lvlText w:val="%8."/>
      <w:lvlJc w:val="left"/>
      <w:pPr>
        <w:ind w:left="5400" w:hanging="360"/>
      </w:pPr>
    </w:lvl>
    <w:lvl w:ilvl="8">
      <w:start w:val="1"/>
      <w:numFmt w:val="lowerRoman"/>
      <w:lvlText w:val="%9."/>
      <w:lvlJc w:val="right"/>
      <w:pPr>
        <w:ind w:left="6120" w:hanging="180"/>
      </w:pPr>
    </w:lvl>
  </w:abstractNum>
  <w:abstractNum w:abstractNumId="2" w15:restartNumberingAfterBreak="0">
    <w:nsid w:val="4CF33A48"/>
    <w:multiLevelType w:val="multilevel"/>
    <w:tmpl w:val="500649BC"/>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4275D"/>
    <w:rsid w:val="00241A65"/>
    <w:rsid w:val="00255B2D"/>
    <w:rsid w:val="002C14A9"/>
    <w:rsid w:val="00320874"/>
    <w:rsid w:val="00337F4B"/>
    <w:rsid w:val="003957C5"/>
    <w:rsid w:val="0054275D"/>
    <w:rsid w:val="006D6451"/>
    <w:rsid w:val="006F7B92"/>
    <w:rsid w:val="00A63069"/>
    <w:rsid w:val="00AD6613"/>
    <w:rsid w:val="00CD28D5"/>
    <w:rsid w:val="00D27A20"/>
    <w:rsid w:val="00E832C9"/>
    <w:rsid w:val="00EB2806"/>
    <w:rsid w:val="00EB7043"/>
    <w:rsid w:val="00F74A8D"/>
  </w:rsids>
  <m:mathPr>
    <m:mathFont m:val="Cambria Math"/>
    <m:brkBin m:val="before"/>
    <m:brkBinSub m:val="--"/>
    <m:smallFrac m:val="0"/>
    <m:dispDef/>
    <m:lMargin m:val="0"/>
    <m:rMargin m:val="0"/>
    <m:defJc m:val="centerGroup"/>
    <m:wrapIndent m:val="1440"/>
    <m:intLim m:val="subSup"/>
    <m:naryLim m:val="undOvr"/>
  </m:mathPr>
  <w:themeFontLang w:val="en-GB"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3F92F7F"/>
  <w15:docId w15:val="{9950018B-37F5-480E-93AC-E1A13F4CA1F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sz w:val="24"/>
        <w:szCs w:val="24"/>
        <w:lang w:val="en-US" w:eastAsia="en-GB" w:bidi="ar-SA"/>
      </w:rPr>
    </w:rPrDefault>
    <w:pPrDefault>
      <w:pPr>
        <w:spacing w:line="360" w:lineRule="auto"/>
        <w:jc w:val="both"/>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00766E"/>
  </w:style>
  <w:style w:type="paragraph" w:styleId="Heading1">
    <w:name w:val="heading 1"/>
    <w:basedOn w:val="Normal"/>
    <w:next w:val="Normal"/>
    <w:link w:val="Heading1Char"/>
    <w:uiPriority w:val="9"/>
    <w:qFormat/>
    <w:rsid w:val="008D4DEE"/>
    <w:pPr>
      <w:keepNext/>
      <w:keepLines/>
      <w:spacing w:before="240" w:after="240"/>
      <w:outlineLvl w:val="0"/>
    </w:pPr>
    <w:rPr>
      <w:rFonts w:ascii="Arial" w:eastAsiaTheme="majorEastAsia" w:hAnsi="Arial" w:cs="Arial"/>
      <w:b/>
      <w:color w:val="2E74B5" w:themeColor="accent1" w:themeShade="BF"/>
      <w:sz w:val="32"/>
      <w:szCs w:val="32"/>
    </w:rPr>
  </w:style>
  <w:style w:type="paragraph" w:styleId="Heading2">
    <w:name w:val="heading 2"/>
    <w:basedOn w:val="Normal"/>
    <w:next w:val="Normal"/>
    <w:link w:val="Heading2Char"/>
    <w:uiPriority w:val="9"/>
    <w:unhideWhenUsed/>
    <w:qFormat/>
    <w:rsid w:val="008D4DEE"/>
    <w:pPr>
      <w:keepNext/>
      <w:keepLines/>
      <w:spacing w:before="240" w:after="240"/>
      <w:outlineLvl w:val="1"/>
    </w:pPr>
    <w:rPr>
      <w:rFonts w:ascii="Arial" w:eastAsiaTheme="majorEastAsia" w:hAnsi="Arial" w:cs="Arial"/>
      <w:b/>
      <w:color w:val="2E74B5" w:themeColor="accent1" w:themeShade="BF"/>
      <w:sz w:val="28"/>
      <w:szCs w:val="28"/>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rPr>
  </w:style>
  <w:style w:type="paragraph" w:styleId="Heading5">
    <w:name w:val="heading 5"/>
    <w:basedOn w:val="Normal"/>
    <w:next w:val="Normal"/>
    <w:uiPriority w:val="9"/>
    <w:semiHidden/>
    <w:unhideWhenUsed/>
    <w:qFormat/>
    <w:pPr>
      <w:keepNext/>
      <w:keepLines/>
      <w:spacing w:before="220" w:after="40"/>
      <w:outlineLvl w:val="4"/>
    </w:pPr>
    <w:rPr>
      <w:b/>
      <w:sz w:val="22"/>
      <w:szCs w:val="22"/>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character" w:customStyle="1" w:styleId="Heading1Char">
    <w:name w:val="Heading 1 Char"/>
    <w:basedOn w:val="DefaultParagraphFont"/>
    <w:link w:val="Heading1"/>
    <w:uiPriority w:val="9"/>
    <w:rsid w:val="008D4DEE"/>
    <w:rPr>
      <w:rFonts w:ascii="Arial" w:eastAsiaTheme="majorEastAsia" w:hAnsi="Arial" w:cs="Arial"/>
      <w:b/>
      <w:color w:val="2E74B5" w:themeColor="accent1" w:themeShade="BF"/>
      <w:sz w:val="32"/>
      <w:szCs w:val="32"/>
    </w:rPr>
  </w:style>
  <w:style w:type="character" w:customStyle="1" w:styleId="Heading2Char">
    <w:name w:val="Heading 2 Char"/>
    <w:basedOn w:val="DefaultParagraphFont"/>
    <w:link w:val="Heading2"/>
    <w:uiPriority w:val="9"/>
    <w:rsid w:val="008D4DEE"/>
    <w:rPr>
      <w:rFonts w:ascii="Arial" w:eastAsiaTheme="majorEastAsia" w:hAnsi="Arial" w:cs="Arial"/>
      <w:b/>
      <w:color w:val="2E74B5" w:themeColor="accent1" w:themeShade="BF"/>
      <w:sz w:val="28"/>
      <w:szCs w:val="28"/>
    </w:rPr>
  </w:style>
  <w:style w:type="paragraph" w:styleId="Header">
    <w:name w:val="header"/>
    <w:basedOn w:val="Normal"/>
    <w:link w:val="HeaderChar"/>
    <w:uiPriority w:val="99"/>
    <w:unhideWhenUsed/>
    <w:rsid w:val="00400CE3"/>
    <w:pPr>
      <w:tabs>
        <w:tab w:val="center" w:pos="4680"/>
        <w:tab w:val="right" w:pos="9360"/>
      </w:tabs>
      <w:spacing w:line="240" w:lineRule="auto"/>
    </w:pPr>
  </w:style>
  <w:style w:type="character" w:customStyle="1" w:styleId="HeaderChar">
    <w:name w:val="Header Char"/>
    <w:basedOn w:val="DefaultParagraphFont"/>
    <w:link w:val="Header"/>
    <w:uiPriority w:val="99"/>
    <w:rsid w:val="00400CE3"/>
    <w:rPr>
      <w:rFonts w:ascii="Times New Roman" w:hAnsi="Times New Roman"/>
      <w:sz w:val="24"/>
    </w:rPr>
  </w:style>
  <w:style w:type="paragraph" w:styleId="Footer">
    <w:name w:val="footer"/>
    <w:basedOn w:val="Normal"/>
    <w:link w:val="FooterChar"/>
    <w:uiPriority w:val="99"/>
    <w:unhideWhenUsed/>
    <w:rsid w:val="00400CE3"/>
    <w:pPr>
      <w:tabs>
        <w:tab w:val="center" w:pos="4680"/>
        <w:tab w:val="right" w:pos="9360"/>
      </w:tabs>
      <w:spacing w:line="240" w:lineRule="auto"/>
    </w:pPr>
  </w:style>
  <w:style w:type="character" w:customStyle="1" w:styleId="FooterChar">
    <w:name w:val="Footer Char"/>
    <w:basedOn w:val="DefaultParagraphFont"/>
    <w:link w:val="Footer"/>
    <w:uiPriority w:val="99"/>
    <w:rsid w:val="00400CE3"/>
    <w:rPr>
      <w:rFonts w:ascii="Times New Roman" w:hAnsi="Times New Roman"/>
      <w:sz w:val="24"/>
    </w:rPr>
  </w:style>
  <w:style w:type="paragraph" w:styleId="ListParagraph">
    <w:name w:val="List Paragraph"/>
    <w:basedOn w:val="Normal"/>
    <w:uiPriority w:val="34"/>
    <w:qFormat/>
    <w:rsid w:val="00400CE3"/>
    <w:pPr>
      <w:ind w:left="720"/>
      <w:contextualSpacing/>
    </w:pPr>
  </w:style>
  <w:style w:type="paragraph" w:styleId="TOCHeading">
    <w:name w:val="TOC Heading"/>
    <w:basedOn w:val="Heading1"/>
    <w:next w:val="Normal"/>
    <w:uiPriority w:val="39"/>
    <w:unhideWhenUsed/>
    <w:qFormat/>
    <w:rsid w:val="008D4DEE"/>
    <w:pPr>
      <w:spacing w:after="0" w:line="259" w:lineRule="auto"/>
      <w:jc w:val="left"/>
      <w:outlineLvl w:val="9"/>
    </w:pPr>
    <w:rPr>
      <w:rFonts w:asciiTheme="majorHAnsi" w:hAnsiTheme="majorHAnsi" w:cstheme="majorBidi"/>
      <w:b w:val="0"/>
    </w:rPr>
  </w:style>
  <w:style w:type="paragraph" w:styleId="TOC1">
    <w:name w:val="toc 1"/>
    <w:basedOn w:val="Normal"/>
    <w:next w:val="Normal"/>
    <w:autoRedefine/>
    <w:uiPriority w:val="39"/>
    <w:unhideWhenUsed/>
    <w:rsid w:val="008D4DEE"/>
    <w:pPr>
      <w:spacing w:after="100"/>
    </w:pPr>
  </w:style>
  <w:style w:type="paragraph" w:styleId="TOC2">
    <w:name w:val="toc 2"/>
    <w:basedOn w:val="Normal"/>
    <w:next w:val="Normal"/>
    <w:autoRedefine/>
    <w:uiPriority w:val="39"/>
    <w:unhideWhenUsed/>
    <w:rsid w:val="008D4DEE"/>
    <w:pPr>
      <w:spacing w:after="100"/>
      <w:ind w:left="240"/>
    </w:pPr>
  </w:style>
  <w:style w:type="character" w:styleId="Hyperlink">
    <w:name w:val="Hyperlink"/>
    <w:basedOn w:val="DefaultParagraphFont"/>
    <w:uiPriority w:val="99"/>
    <w:unhideWhenUsed/>
    <w:rsid w:val="008D4DEE"/>
    <w:rPr>
      <w:color w:val="0563C1" w:themeColor="hyperlink"/>
      <w:u w:val="single"/>
    </w:rPr>
  </w:style>
  <w:style w:type="character" w:customStyle="1" w:styleId="hgkelc">
    <w:name w:val="hgkelc"/>
    <w:basedOn w:val="DefaultParagraphFont"/>
    <w:rsid w:val="00366CE9"/>
  </w:style>
  <w:style w:type="character" w:customStyle="1" w:styleId="kx21rb">
    <w:name w:val="kx21rb"/>
    <w:basedOn w:val="DefaultParagraphFont"/>
    <w:rsid w:val="00366CE9"/>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1">
  <go:docsCustomData xmlns:go="http://customooxmlschemas.google.com/" roundtripDataSignature="AMtx7miZ/FMzYs/GVvGifi4klVWXr6fjRw==">AMUW2mXzKVjdtICu5zhvUVw+OxOGlGkUypWoHXw5JyNvM00cA0siyzQEXVH9HrO2KhmonuYUnRdhlLRd6TIQ+H2/HwFmn6IXS2vZ5+zFOp1VFL3K2sLONuoVh7KPjc8FND+2vbCcWozYQVEKdOAfG2bj6o8k28PcpSD9kqVrkROSnYiVv4XoGnPftD2hKLdvVzLFFqasigXVF4+3kbdIZ73mhDs3F75INzv7h5utK/BDRiQCatd4TlEahG3pXuwgpnzVqHVFGgUGm/UQNDDe8YqR77urQRwdvg==</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8</Pages>
  <Words>2106</Words>
  <Characters>12007</Characters>
  <Application>Microsoft Office Word</Application>
  <DocSecurity>0</DocSecurity>
  <Lines>100</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14085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USER</dc:creator>
  <cp:lastModifiedBy>USER</cp:lastModifiedBy>
  <cp:revision>2</cp:revision>
  <dcterms:created xsi:type="dcterms:W3CDTF">2023-03-25T13:44:00Z</dcterms:created>
  <dcterms:modified xsi:type="dcterms:W3CDTF">2023-03-25T13:44:00Z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d904d29aa54efa9fc838f02c25d771def4fd7bb09b0588b91c05f76c70a077cf</vt:lpwstr>
  </property>
</Properties>
</file>