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E9B" w:rsidRDefault="00CC2E9B" w:rsidP="00CC2E9B"/>
    <w:sdt>
      <w:sdtPr>
        <w:id w:val="-216122815"/>
        <w:docPartObj>
          <w:docPartGallery w:val="Cover Pages"/>
          <w:docPartUnique/>
        </w:docPartObj>
      </w:sdtPr>
      <w:sdtEndPr/>
      <w:sdtContent>
        <w:p w:rsidR="0060568B" w:rsidRDefault="0060568B" w:rsidP="005B4E88"/>
        <w:tbl>
          <w:tblPr>
            <w:tblpPr w:leftFromText="187" w:rightFromText="187" w:vertAnchor="page" w:horzAnchor="margin" w:tblpXSpec="center" w:tblpY="3769"/>
            <w:tblW w:w="3508" w:type="pct"/>
            <w:tblBorders>
              <w:top w:val="single" w:sz="36" w:space="0" w:color="3D98FD"/>
              <w:bottom w:val="single" w:sz="36" w:space="0" w:color="3D98FD"/>
              <w:insideH w:val="single" w:sz="18" w:space="0" w:color="3D98FD"/>
              <w:insideV w:val="single" w:sz="18" w:space="0" w:color="1F89FD"/>
            </w:tblBorders>
            <w:tblCellMar>
              <w:top w:w="360" w:type="dxa"/>
              <w:left w:w="115" w:type="dxa"/>
              <w:bottom w:w="360" w:type="dxa"/>
              <w:right w:w="115" w:type="dxa"/>
            </w:tblCellMar>
            <w:tblLook w:val="04A0" w:firstRow="1" w:lastRow="0" w:firstColumn="1" w:lastColumn="0" w:noHBand="0" w:noVBand="1"/>
          </w:tblPr>
          <w:tblGrid>
            <w:gridCol w:w="6494"/>
          </w:tblGrid>
          <w:tr w:rsidR="004E0B2C" w:rsidTr="00BA3E7A">
            <w:trPr>
              <w:trHeight w:val="2109"/>
            </w:trPr>
            <w:sdt>
              <w:sdtPr>
                <w:rPr>
                  <w:rFonts w:ascii="Calibri Light" w:eastAsiaTheme="majorEastAsia" w:hAnsi="Calibri Light" w:cstheme="majorBidi"/>
                  <w:sz w:val="52"/>
                  <w:szCs w:val="52"/>
                </w:rPr>
                <w:alias w:val="Title"/>
                <w:id w:val="13553149"/>
                <w:dataBinding w:prefixMappings="xmlns:ns0='http://schemas.openxmlformats.org/package/2006/metadata/core-properties' xmlns:ns1='http://purl.org/dc/elements/1.1/'" w:xpath="/ns0:coreProperties[1]/ns1:title[1]" w:storeItemID="{6C3C8BC8-F283-45AE-878A-BAB7291924A1}"/>
                <w:text/>
              </w:sdtPr>
              <w:sdtEndPr/>
              <w:sdtContent>
                <w:tc>
                  <w:tcPr>
                    <w:tcW w:w="5000" w:type="pct"/>
                  </w:tcPr>
                  <w:p w:rsidR="004E0B2C" w:rsidRPr="0015692C" w:rsidRDefault="00624934" w:rsidP="00624934">
                    <w:pPr>
                      <w:pStyle w:val="NoSpacing"/>
                      <w:rPr>
                        <w:rFonts w:ascii="Calibri Light" w:eastAsiaTheme="majorEastAsia" w:hAnsi="Calibri Light" w:cstheme="majorBidi"/>
                        <w:sz w:val="52"/>
                        <w:szCs w:val="52"/>
                      </w:rPr>
                    </w:pPr>
                    <w:r>
                      <w:rPr>
                        <w:rFonts w:ascii="Calibri Light" w:eastAsiaTheme="majorEastAsia" w:hAnsi="Calibri Light" w:cstheme="majorBidi"/>
                        <w:sz w:val="52"/>
                        <w:szCs w:val="52"/>
                      </w:rPr>
                      <w:t xml:space="preserve">Risk Management -       </w:t>
                    </w:r>
                    <w:r w:rsidR="00D4491D">
                      <w:rPr>
                        <w:rFonts w:ascii="Calibri Light" w:eastAsiaTheme="majorEastAsia" w:hAnsi="Calibri Light" w:cstheme="majorBidi"/>
                        <w:sz w:val="52"/>
                        <w:szCs w:val="52"/>
                      </w:rPr>
                      <w:t>Design, Development and Evaluation</w:t>
                    </w:r>
                    <w:r w:rsidR="009E54CE">
                      <w:rPr>
                        <w:rFonts w:ascii="Calibri Light" w:eastAsiaTheme="majorEastAsia" w:hAnsi="Calibri Light" w:cstheme="majorBidi"/>
                        <w:sz w:val="52"/>
                        <w:szCs w:val="52"/>
                      </w:rPr>
                      <w:t xml:space="preserve"> </w:t>
                    </w:r>
                    <w:r>
                      <w:rPr>
                        <w:rFonts w:ascii="Calibri Light" w:eastAsiaTheme="majorEastAsia" w:hAnsi="Calibri Light" w:cstheme="majorBidi"/>
                        <w:sz w:val="52"/>
                        <w:szCs w:val="52"/>
                      </w:rPr>
                      <w:t>of a Small Scale Weapons Trial</w:t>
                    </w:r>
                  </w:p>
                </w:tc>
              </w:sdtContent>
            </w:sdt>
          </w:tr>
          <w:tr w:rsidR="004E0B2C" w:rsidTr="00BA3E7A">
            <w:trPr>
              <w:trHeight w:val="410"/>
            </w:trPr>
            <w:sdt>
              <w:sdtPr>
                <w:rPr>
                  <w:rFonts w:ascii="Calibri Light" w:hAnsi="Calibri Light"/>
                  <w:sz w:val="24"/>
                  <w:szCs w:val="24"/>
                </w:rPr>
                <w:alias w:val="Subtitle"/>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Pr>
                  <w:p w:rsidR="004E0B2C" w:rsidRPr="00333AFF" w:rsidRDefault="00333AFF" w:rsidP="00D01956">
                    <w:pPr>
                      <w:pStyle w:val="NoSpacing"/>
                      <w:rPr>
                        <w:rFonts w:ascii="Calibri Light" w:hAnsi="Calibri Light"/>
                        <w:sz w:val="24"/>
                        <w:szCs w:val="24"/>
                      </w:rPr>
                    </w:pPr>
                    <w:r w:rsidRPr="00333AFF">
                      <w:rPr>
                        <w:rFonts w:ascii="Calibri Light" w:hAnsi="Calibri Light"/>
                        <w:sz w:val="24"/>
                        <w:szCs w:val="24"/>
                      </w:rPr>
                      <w:t xml:space="preserve">This document will </w:t>
                    </w:r>
                    <w:r w:rsidR="00D4491D">
                      <w:rPr>
                        <w:rFonts w:ascii="Calibri Light" w:hAnsi="Calibri Light"/>
                        <w:sz w:val="24"/>
                        <w:szCs w:val="24"/>
                      </w:rPr>
                      <w:t xml:space="preserve">document the processes followed in the delivery of a large caliber, high-explosive shell proof. This report will detail each step of the process, from Customer Specification through to </w:t>
                    </w:r>
                    <w:r w:rsidR="00D01956">
                      <w:rPr>
                        <w:rFonts w:ascii="Calibri Light" w:hAnsi="Calibri Light"/>
                        <w:sz w:val="24"/>
                        <w:szCs w:val="24"/>
                      </w:rPr>
                      <w:t>the Trial Closure Procedure</w:t>
                    </w:r>
                    <w:r w:rsidR="00D4491D">
                      <w:rPr>
                        <w:rFonts w:ascii="Calibri Light" w:hAnsi="Calibri Light"/>
                        <w:sz w:val="24"/>
                        <w:szCs w:val="24"/>
                      </w:rPr>
                      <w:t>.</w:t>
                    </w:r>
                    <w:r w:rsidR="00BA3E7A">
                      <w:rPr>
                        <w:rFonts w:ascii="Calibri Light" w:hAnsi="Calibri Light"/>
                        <w:sz w:val="24"/>
                        <w:szCs w:val="24"/>
                      </w:rPr>
                      <w:t xml:space="preserve"> </w:t>
                    </w:r>
                  </w:p>
                </w:tc>
              </w:sdtContent>
            </w:sdt>
          </w:tr>
          <w:tr w:rsidR="004E0B2C" w:rsidTr="00BA3E7A">
            <w:trPr>
              <w:trHeight w:val="28"/>
            </w:trPr>
            <w:tc>
              <w:tcPr>
                <w:tcW w:w="5000" w:type="pct"/>
              </w:tcPr>
              <w:p w:rsidR="004E0B2C" w:rsidRPr="00333AFF" w:rsidRDefault="009208B7" w:rsidP="00333AFF">
                <w:pPr>
                  <w:pStyle w:val="NoSpacing"/>
                  <w:tabs>
                    <w:tab w:val="left" w:pos="1942"/>
                  </w:tabs>
                </w:pPr>
                <w:sdt>
                  <w:sdtPr>
                    <w:alias w:val="Author"/>
                    <w:id w:val="13553158"/>
                    <w:dataBinding w:prefixMappings="xmlns:ns0='http://schemas.openxmlformats.org/package/2006/metadata/core-properties' xmlns:ns1='http://purl.org/dc/elements/1.1/'" w:xpath="/ns0:coreProperties[1]/ns1:creator[1]" w:storeItemID="{6C3C8BC8-F283-45AE-878A-BAB7291924A1}"/>
                    <w:text/>
                  </w:sdtPr>
                  <w:sdtEndPr/>
                  <w:sdtContent>
                    <w:proofErr w:type="spellStart"/>
                    <w:r w:rsidR="00333AFF" w:rsidRPr="00333AFF">
                      <w:t>Mr</w:t>
                    </w:r>
                    <w:proofErr w:type="spellEnd"/>
                    <w:r w:rsidR="00333AFF" w:rsidRPr="00333AFF">
                      <w:t xml:space="preserve"> </w:t>
                    </w:r>
                    <w:r w:rsidR="004E0B2C" w:rsidRPr="00333AFF">
                      <w:rPr>
                        <w:lang w:val="en-GB"/>
                      </w:rPr>
                      <w:t>H</w:t>
                    </w:r>
                    <w:r w:rsidR="00333AFF" w:rsidRPr="00333AFF">
                      <w:rPr>
                        <w:lang w:val="en-GB"/>
                      </w:rPr>
                      <w:t>arry</w:t>
                    </w:r>
                    <w:r w:rsidR="004E0B2C" w:rsidRPr="00333AFF">
                      <w:rPr>
                        <w:lang w:val="en-GB"/>
                      </w:rPr>
                      <w:t xml:space="preserve"> McAuliffe</w:t>
                    </w:r>
                  </w:sdtContent>
                </w:sdt>
                <w:r w:rsidR="00333AFF" w:rsidRPr="00333AFF">
                  <w:tab/>
                </w:r>
              </w:p>
              <w:p w:rsidR="00AA1B20" w:rsidRDefault="00AA1B20" w:rsidP="00AA1B20">
                <w:pPr>
                  <w:pStyle w:val="NoSpacing"/>
                  <w:tabs>
                    <w:tab w:val="left" w:pos="1942"/>
                  </w:tabs>
                </w:pPr>
                <w:r>
                  <w:t>P144278</w:t>
                </w:r>
              </w:p>
              <w:p w:rsidR="00333AFF" w:rsidRPr="00333AFF" w:rsidRDefault="00D4491D" w:rsidP="00AA1B20">
                <w:pPr>
                  <w:pStyle w:val="NoSpacing"/>
                  <w:tabs>
                    <w:tab w:val="left" w:pos="1942"/>
                  </w:tabs>
                  <w:rPr>
                    <w:b/>
                  </w:rPr>
                </w:pPr>
                <w:r>
                  <w:t>Systems Engineering</w:t>
                </w:r>
                <w:r w:rsidR="00D12BE6">
                  <w:t xml:space="preserve">; </w:t>
                </w:r>
                <w:r w:rsidR="00D91B24" w:rsidRPr="00D91B24">
                  <w:t>M3X</w:t>
                </w:r>
                <w:r>
                  <w:t>00947</w:t>
                </w:r>
              </w:p>
              <w:p w:rsidR="00333AFF" w:rsidRPr="00333AFF" w:rsidRDefault="00D4491D" w:rsidP="00D4491D">
                <w:pPr>
                  <w:pStyle w:val="Modcode"/>
                  <w:jc w:val="left"/>
                  <w:rPr>
                    <w:rFonts w:asciiTheme="minorHAnsi" w:hAnsiTheme="minorHAnsi"/>
                    <w:b w:val="0"/>
                    <w:sz w:val="22"/>
                    <w:szCs w:val="22"/>
                  </w:rPr>
                </w:pPr>
                <w:r>
                  <w:rPr>
                    <w:rFonts w:asciiTheme="minorHAnsi" w:hAnsiTheme="minorHAnsi"/>
                    <w:b w:val="0"/>
                    <w:caps w:val="0"/>
                    <w:sz w:val="22"/>
                    <w:szCs w:val="22"/>
                  </w:rPr>
                  <w:t>Mr Richard Morgan; Mr Graham Howe</w:t>
                </w:r>
              </w:p>
            </w:tc>
          </w:tr>
        </w:tbl>
        <w:p w:rsidR="0060568B" w:rsidRDefault="004E0B2C" w:rsidP="005B4E88">
          <w:pPr>
            <w:jc w:val="both"/>
          </w:pPr>
          <w:r>
            <w:rPr>
              <w:noProof/>
              <w:lang w:eastAsia="en-GB"/>
            </w:rPr>
            <w:drawing>
              <wp:anchor distT="0" distB="0" distL="114300" distR="114300" simplePos="0" relativeHeight="251646464" behindDoc="1" locked="0" layoutInCell="1" allowOverlap="1" wp14:anchorId="34B726AC" wp14:editId="71536268">
                <wp:simplePos x="0" y="0"/>
                <wp:positionH relativeFrom="column">
                  <wp:posOffset>818515</wp:posOffset>
                </wp:positionH>
                <wp:positionV relativeFrom="paragraph">
                  <wp:posOffset>200660</wp:posOffset>
                </wp:positionV>
                <wp:extent cx="1934845" cy="527685"/>
                <wp:effectExtent l="0" t="0" r="8255" b="5715"/>
                <wp:wrapTight wrapText="bothSides">
                  <wp:wrapPolygon edited="0">
                    <wp:start x="0" y="0"/>
                    <wp:lineTo x="0" y="21054"/>
                    <wp:lineTo x="21479" y="21054"/>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9">
                          <a:extLst>
                            <a:ext uri="{28A0092B-C50C-407E-A947-70E740481C1C}">
                              <a14:useLocalDpi xmlns:a14="http://schemas.microsoft.com/office/drawing/2010/main" val="0"/>
                            </a:ext>
                          </a:extLst>
                        </a:blip>
                        <a:stretch>
                          <a:fillRect/>
                        </a:stretch>
                      </pic:blipFill>
                      <pic:spPr>
                        <a:xfrm>
                          <a:off x="0" y="0"/>
                          <a:ext cx="1934845" cy="527685"/>
                        </a:xfrm>
                        <a:prstGeom prst="rect">
                          <a:avLst/>
                        </a:prstGeom>
                      </pic:spPr>
                    </pic:pic>
                  </a:graphicData>
                </a:graphic>
                <wp14:sizeRelH relativeFrom="page">
                  <wp14:pctWidth>0</wp14:pctWidth>
                </wp14:sizeRelH>
                <wp14:sizeRelV relativeFrom="page">
                  <wp14:pctHeight>0</wp14:pctHeight>
                </wp14:sizeRelV>
              </wp:anchor>
            </w:drawing>
          </w:r>
          <w:r w:rsidR="0060568B">
            <w:br w:type="page"/>
          </w:r>
        </w:p>
      </w:sdtContent>
    </w:sdt>
    <w:bookmarkStart w:id="0" w:name="_Toc481996772" w:displacedByCustomXml="next"/>
    <w:sdt>
      <w:sdtPr>
        <w:rPr>
          <w:rFonts w:asciiTheme="minorHAnsi" w:eastAsiaTheme="minorHAnsi" w:hAnsiTheme="minorHAnsi" w:cstheme="minorBidi"/>
          <w:b w:val="0"/>
          <w:bCs w:val="0"/>
          <w:color w:val="auto"/>
          <w:sz w:val="22"/>
          <w:szCs w:val="22"/>
        </w:rPr>
        <w:id w:val="233360984"/>
        <w:docPartObj>
          <w:docPartGallery w:val="Table of Contents"/>
          <w:docPartUnique/>
        </w:docPartObj>
      </w:sdtPr>
      <w:sdtEndPr>
        <w:rPr>
          <w:noProof/>
        </w:rPr>
      </w:sdtEndPr>
      <w:sdtContent>
        <w:p w:rsidR="009C235A" w:rsidRPr="00D4491D" w:rsidRDefault="009C235A" w:rsidP="00D4491D">
          <w:pPr>
            <w:pStyle w:val="Heading1"/>
            <w:numPr>
              <w:ilvl w:val="0"/>
              <w:numId w:val="0"/>
            </w:numPr>
            <w:ind w:left="432" w:hanging="432"/>
            <w:rPr>
              <w:rFonts w:asciiTheme="minorHAnsi" w:eastAsiaTheme="minorHAnsi" w:hAnsiTheme="minorHAnsi" w:cstheme="minorBidi"/>
              <w:b w:val="0"/>
              <w:bCs w:val="0"/>
              <w:color w:val="auto"/>
              <w:sz w:val="22"/>
              <w:szCs w:val="22"/>
            </w:rPr>
          </w:pPr>
          <w:r>
            <w:t>Table of Contents</w:t>
          </w:r>
          <w:bookmarkEnd w:id="0"/>
        </w:p>
        <w:p w:rsidR="000E43E2" w:rsidRPr="000E43E2" w:rsidRDefault="000E43E2" w:rsidP="000E43E2">
          <w:pPr>
            <w:rPr>
              <w:lang w:val="en-US" w:eastAsia="ja-JP"/>
            </w:rPr>
          </w:pPr>
        </w:p>
        <w:p w:rsidR="00C111E7" w:rsidRDefault="009C235A">
          <w:pPr>
            <w:pStyle w:val="TOC1"/>
            <w:rPr>
              <w:rFonts w:eastAsiaTheme="minorEastAsia"/>
              <w:b w:val="0"/>
              <w:lang w:eastAsia="en-GB"/>
            </w:rPr>
          </w:pPr>
          <w:r>
            <w:rPr>
              <w:noProof w:val="0"/>
            </w:rPr>
            <w:fldChar w:fldCharType="begin"/>
          </w:r>
          <w:r>
            <w:instrText xml:space="preserve"> TOC \o "1-3" \h \z \u </w:instrText>
          </w:r>
          <w:r>
            <w:rPr>
              <w:noProof w:val="0"/>
            </w:rPr>
            <w:fldChar w:fldCharType="separate"/>
          </w:r>
          <w:hyperlink w:anchor="_Toc481996772" w:history="1">
            <w:r w:rsidR="00C111E7" w:rsidRPr="001A6D8A">
              <w:rPr>
                <w:rStyle w:val="Hyperlink"/>
              </w:rPr>
              <w:t>Table of Contents</w:t>
            </w:r>
            <w:r w:rsidR="00C111E7">
              <w:rPr>
                <w:webHidden/>
              </w:rPr>
              <w:tab/>
            </w:r>
            <w:r w:rsidR="00C111E7">
              <w:rPr>
                <w:webHidden/>
              </w:rPr>
              <w:fldChar w:fldCharType="begin"/>
            </w:r>
            <w:r w:rsidR="00C111E7">
              <w:rPr>
                <w:webHidden/>
              </w:rPr>
              <w:instrText xml:space="preserve"> PAGEREF _Toc481996772 \h </w:instrText>
            </w:r>
            <w:r w:rsidR="00C111E7">
              <w:rPr>
                <w:webHidden/>
              </w:rPr>
            </w:r>
            <w:r w:rsidR="00C111E7">
              <w:rPr>
                <w:webHidden/>
              </w:rPr>
              <w:fldChar w:fldCharType="separate"/>
            </w:r>
            <w:r w:rsidR="00C111E7">
              <w:rPr>
                <w:webHidden/>
              </w:rPr>
              <w:t>1</w:t>
            </w:r>
            <w:r w:rsidR="00C111E7">
              <w:rPr>
                <w:webHidden/>
              </w:rPr>
              <w:fldChar w:fldCharType="end"/>
            </w:r>
          </w:hyperlink>
        </w:p>
        <w:p w:rsidR="00C111E7" w:rsidRDefault="009208B7">
          <w:pPr>
            <w:pStyle w:val="TOC1"/>
            <w:rPr>
              <w:rFonts w:eastAsiaTheme="minorEastAsia"/>
              <w:b w:val="0"/>
              <w:lang w:eastAsia="en-GB"/>
            </w:rPr>
          </w:pPr>
          <w:hyperlink w:anchor="_Toc481996773" w:history="1">
            <w:r w:rsidR="00C111E7" w:rsidRPr="001A6D8A">
              <w:rPr>
                <w:rStyle w:val="Hyperlink"/>
              </w:rPr>
              <w:t>1.</w:t>
            </w:r>
            <w:r w:rsidR="00C111E7">
              <w:rPr>
                <w:rFonts w:eastAsiaTheme="minorEastAsia"/>
                <w:b w:val="0"/>
                <w:lang w:eastAsia="en-GB"/>
              </w:rPr>
              <w:tab/>
            </w:r>
            <w:r w:rsidR="00C111E7" w:rsidRPr="001A6D8A">
              <w:rPr>
                <w:rStyle w:val="Hyperlink"/>
              </w:rPr>
              <w:t>Introduction</w:t>
            </w:r>
            <w:r w:rsidR="00C111E7">
              <w:rPr>
                <w:webHidden/>
              </w:rPr>
              <w:tab/>
            </w:r>
            <w:r w:rsidR="00C111E7">
              <w:rPr>
                <w:webHidden/>
              </w:rPr>
              <w:fldChar w:fldCharType="begin"/>
            </w:r>
            <w:r w:rsidR="00C111E7">
              <w:rPr>
                <w:webHidden/>
              </w:rPr>
              <w:instrText xml:space="preserve"> PAGEREF _Toc481996773 \h </w:instrText>
            </w:r>
            <w:r w:rsidR="00C111E7">
              <w:rPr>
                <w:webHidden/>
              </w:rPr>
            </w:r>
            <w:r w:rsidR="00C111E7">
              <w:rPr>
                <w:webHidden/>
              </w:rPr>
              <w:fldChar w:fldCharType="separate"/>
            </w:r>
            <w:r w:rsidR="00C111E7">
              <w:rPr>
                <w:webHidden/>
              </w:rPr>
              <w:t>2</w:t>
            </w:r>
            <w:r w:rsidR="00C111E7">
              <w:rPr>
                <w:webHidden/>
              </w:rPr>
              <w:fldChar w:fldCharType="end"/>
            </w:r>
          </w:hyperlink>
        </w:p>
        <w:p w:rsidR="00C111E7" w:rsidRDefault="009208B7">
          <w:pPr>
            <w:pStyle w:val="TOC1"/>
            <w:rPr>
              <w:rFonts w:eastAsiaTheme="minorEastAsia"/>
              <w:b w:val="0"/>
              <w:lang w:eastAsia="en-GB"/>
            </w:rPr>
          </w:pPr>
          <w:hyperlink w:anchor="_Toc481996774" w:history="1">
            <w:r w:rsidR="00C111E7" w:rsidRPr="001A6D8A">
              <w:rPr>
                <w:rStyle w:val="Hyperlink"/>
              </w:rPr>
              <w:t>2.</w:t>
            </w:r>
            <w:r w:rsidR="00C111E7">
              <w:rPr>
                <w:rFonts w:eastAsiaTheme="minorEastAsia"/>
                <w:b w:val="0"/>
                <w:lang w:eastAsia="en-GB"/>
              </w:rPr>
              <w:tab/>
            </w:r>
            <w:r w:rsidR="00C111E7" w:rsidRPr="001A6D8A">
              <w:rPr>
                <w:rStyle w:val="Hyperlink"/>
              </w:rPr>
              <w:t>Customer Specification</w:t>
            </w:r>
            <w:r w:rsidR="00C111E7">
              <w:rPr>
                <w:webHidden/>
              </w:rPr>
              <w:tab/>
            </w:r>
            <w:r w:rsidR="00C111E7">
              <w:rPr>
                <w:webHidden/>
              </w:rPr>
              <w:fldChar w:fldCharType="begin"/>
            </w:r>
            <w:r w:rsidR="00C111E7">
              <w:rPr>
                <w:webHidden/>
              </w:rPr>
              <w:instrText xml:space="preserve"> PAGEREF _Toc481996774 \h </w:instrText>
            </w:r>
            <w:r w:rsidR="00C111E7">
              <w:rPr>
                <w:webHidden/>
              </w:rPr>
            </w:r>
            <w:r w:rsidR="00C111E7">
              <w:rPr>
                <w:webHidden/>
              </w:rPr>
              <w:fldChar w:fldCharType="separate"/>
            </w:r>
            <w:r w:rsidR="00C111E7">
              <w:rPr>
                <w:webHidden/>
              </w:rPr>
              <w:t>3</w:t>
            </w:r>
            <w:r w:rsidR="00C111E7">
              <w:rPr>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75" w:history="1">
            <w:r w:rsidR="00C111E7" w:rsidRPr="001A6D8A">
              <w:rPr>
                <w:rStyle w:val="Hyperlink"/>
                <w:noProof/>
              </w:rPr>
              <w:t>2.1</w:t>
            </w:r>
            <w:r w:rsidR="00C111E7">
              <w:rPr>
                <w:rFonts w:eastAsiaTheme="minorEastAsia"/>
                <w:noProof/>
                <w:lang w:eastAsia="en-GB"/>
              </w:rPr>
              <w:tab/>
            </w:r>
            <w:r w:rsidR="00C111E7" w:rsidRPr="001A6D8A">
              <w:rPr>
                <w:rStyle w:val="Hyperlink"/>
                <w:noProof/>
              </w:rPr>
              <w:t>Scope</w:t>
            </w:r>
            <w:r w:rsidR="00C111E7">
              <w:rPr>
                <w:noProof/>
                <w:webHidden/>
              </w:rPr>
              <w:tab/>
            </w:r>
            <w:r w:rsidR="00C111E7">
              <w:rPr>
                <w:noProof/>
                <w:webHidden/>
              </w:rPr>
              <w:fldChar w:fldCharType="begin"/>
            </w:r>
            <w:r w:rsidR="00C111E7">
              <w:rPr>
                <w:noProof/>
                <w:webHidden/>
              </w:rPr>
              <w:instrText xml:space="preserve"> PAGEREF _Toc481996775 \h </w:instrText>
            </w:r>
            <w:r w:rsidR="00C111E7">
              <w:rPr>
                <w:noProof/>
                <w:webHidden/>
              </w:rPr>
            </w:r>
            <w:r w:rsidR="00C111E7">
              <w:rPr>
                <w:noProof/>
                <w:webHidden/>
              </w:rPr>
              <w:fldChar w:fldCharType="separate"/>
            </w:r>
            <w:r w:rsidR="00C111E7">
              <w:rPr>
                <w:noProof/>
                <w:webHidden/>
              </w:rPr>
              <w:t>3</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76" w:history="1">
            <w:r w:rsidR="00C111E7" w:rsidRPr="001A6D8A">
              <w:rPr>
                <w:rStyle w:val="Hyperlink"/>
                <w:noProof/>
              </w:rPr>
              <w:t>2.2</w:t>
            </w:r>
            <w:r w:rsidR="00C111E7">
              <w:rPr>
                <w:rFonts w:eastAsiaTheme="minorEastAsia"/>
                <w:noProof/>
                <w:lang w:eastAsia="en-GB"/>
              </w:rPr>
              <w:tab/>
            </w:r>
            <w:r w:rsidR="00C111E7" w:rsidRPr="001A6D8A">
              <w:rPr>
                <w:rStyle w:val="Hyperlink"/>
                <w:noProof/>
              </w:rPr>
              <w:t>Proof Method</w:t>
            </w:r>
            <w:r w:rsidR="00C111E7">
              <w:rPr>
                <w:noProof/>
                <w:webHidden/>
              </w:rPr>
              <w:tab/>
            </w:r>
            <w:r w:rsidR="00C111E7">
              <w:rPr>
                <w:noProof/>
                <w:webHidden/>
              </w:rPr>
              <w:fldChar w:fldCharType="begin"/>
            </w:r>
            <w:r w:rsidR="00C111E7">
              <w:rPr>
                <w:noProof/>
                <w:webHidden/>
              </w:rPr>
              <w:instrText xml:space="preserve"> PAGEREF _Toc481996776 \h </w:instrText>
            </w:r>
            <w:r w:rsidR="00C111E7">
              <w:rPr>
                <w:noProof/>
                <w:webHidden/>
              </w:rPr>
            </w:r>
            <w:r w:rsidR="00C111E7">
              <w:rPr>
                <w:noProof/>
                <w:webHidden/>
              </w:rPr>
              <w:fldChar w:fldCharType="separate"/>
            </w:r>
            <w:r w:rsidR="00C111E7">
              <w:rPr>
                <w:noProof/>
                <w:webHidden/>
              </w:rPr>
              <w:t>3</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77" w:history="1">
            <w:r w:rsidR="00C111E7" w:rsidRPr="001A6D8A">
              <w:rPr>
                <w:rStyle w:val="Hyperlink"/>
                <w:noProof/>
              </w:rPr>
              <w:t>2.3</w:t>
            </w:r>
            <w:r w:rsidR="00C111E7">
              <w:rPr>
                <w:rFonts w:eastAsiaTheme="minorEastAsia"/>
                <w:noProof/>
                <w:lang w:eastAsia="en-GB"/>
              </w:rPr>
              <w:tab/>
            </w:r>
            <w:r w:rsidR="00C111E7" w:rsidRPr="001A6D8A">
              <w:rPr>
                <w:rStyle w:val="Hyperlink"/>
                <w:noProof/>
              </w:rPr>
              <w:t>Measurements</w:t>
            </w:r>
            <w:r w:rsidR="00C111E7">
              <w:rPr>
                <w:noProof/>
                <w:webHidden/>
              </w:rPr>
              <w:tab/>
            </w:r>
            <w:r w:rsidR="00C111E7">
              <w:rPr>
                <w:noProof/>
                <w:webHidden/>
              </w:rPr>
              <w:fldChar w:fldCharType="begin"/>
            </w:r>
            <w:r w:rsidR="00C111E7">
              <w:rPr>
                <w:noProof/>
                <w:webHidden/>
              </w:rPr>
              <w:instrText xml:space="preserve"> PAGEREF _Toc481996777 \h </w:instrText>
            </w:r>
            <w:r w:rsidR="00C111E7">
              <w:rPr>
                <w:noProof/>
                <w:webHidden/>
              </w:rPr>
            </w:r>
            <w:r w:rsidR="00C111E7">
              <w:rPr>
                <w:noProof/>
                <w:webHidden/>
              </w:rPr>
              <w:fldChar w:fldCharType="separate"/>
            </w:r>
            <w:r w:rsidR="00C111E7">
              <w:rPr>
                <w:noProof/>
                <w:webHidden/>
              </w:rPr>
              <w:t>3</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78" w:history="1">
            <w:r w:rsidR="00C111E7" w:rsidRPr="001A6D8A">
              <w:rPr>
                <w:rStyle w:val="Hyperlink"/>
                <w:noProof/>
              </w:rPr>
              <w:t>2.4</w:t>
            </w:r>
            <w:r w:rsidR="00C111E7">
              <w:rPr>
                <w:rFonts w:eastAsiaTheme="minorEastAsia"/>
                <w:noProof/>
                <w:lang w:eastAsia="en-GB"/>
              </w:rPr>
              <w:tab/>
            </w:r>
            <w:r w:rsidR="00C111E7" w:rsidRPr="001A6D8A">
              <w:rPr>
                <w:rStyle w:val="Hyperlink"/>
                <w:noProof/>
              </w:rPr>
              <w:t>Proof Standard method</w:t>
            </w:r>
            <w:r w:rsidR="00C111E7">
              <w:rPr>
                <w:noProof/>
                <w:webHidden/>
              </w:rPr>
              <w:tab/>
            </w:r>
            <w:r w:rsidR="00C111E7">
              <w:rPr>
                <w:noProof/>
                <w:webHidden/>
              </w:rPr>
              <w:fldChar w:fldCharType="begin"/>
            </w:r>
            <w:r w:rsidR="00C111E7">
              <w:rPr>
                <w:noProof/>
                <w:webHidden/>
              </w:rPr>
              <w:instrText xml:space="preserve"> PAGEREF _Toc481996778 \h </w:instrText>
            </w:r>
            <w:r w:rsidR="00C111E7">
              <w:rPr>
                <w:noProof/>
                <w:webHidden/>
              </w:rPr>
            </w:r>
            <w:r w:rsidR="00C111E7">
              <w:rPr>
                <w:noProof/>
                <w:webHidden/>
              </w:rPr>
              <w:fldChar w:fldCharType="separate"/>
            </w:r>
            <w:r w:rsidR="00C111E7">
              <w:rPr>
                <w:noProof/>
                <w:webHidden/>
              </w:rPr>
              <w:t>3</w:t>
            </w:r>
            <w:r w:rsidR="00C111E7">
              <w:rPr>
                <w:noProof/>
                <w:webHidden/>
              </w:rPr>
              <w:fldChar w:fldCharType="end"/>
            </w:r>
          </w:hyperlink>
        </w:p>
        <w:p w:rsidR="00C111E7" w:rsidRDefault="009208B7">
          <w:pPr>
            <w:pStyle w:val="TOC1"/>
            <w:rPr>
              <w:rFonts w:eastAsiaTheme="minorEastAsia"/>
              <w:b w:val="0"/>
              <w:lang w:eastAsia="en-GB"/>
            </w:rPr>
          </w:pPr>
          <w:hyperlink w:anchor="_Toc481996779" w:history="1">
            <w:r w:rsidR="00C111E7" w:rsidRPr="001A6D8A">
              <w:rPr>
                <w:rStyle w:val="Hyperlink"/>
              </w:rPr>
              <w:t>3.</w:t>
            </w:r>
            <w:r w:rsidR="00C111E7">
              <w:rPr>
                <w:rFonts w:eastAsiaTheme="minorEastAsia"/>
                <w:b w:val="0"/>
                <w:lang w:eastAsia="en-GB"/>
              </w:rPr>
              <w:tab/>
            </w:r>
            <w:r w:rsidR="00C111E7" w:rsidRPr="001A6D8A">
              <w:rPr>
                <w:rStyle w:val="Hyperlink"/>
              </w:rPr>
              <w:t>Hazardous Activity Management</w:t>
            </w:r>
            <w:r w:rsidR="00C111E7">
              <w:rPr>
                <w:webHidden/>
              </w:rPr>
              <w:tab/>
            </w:r>
            <w:r w:rsidR="00C111E7">
              <w:rPr>
                <w:webHidden/>
              </w:rPr>
              <w:fldChar w:fldCharType="begin"/>
            </w:r>
            <w:r w:rsidR="00C111E7">
              <w:rPr>
                <w:webHidden/>
              </w:rPr>
              <w:instrText xml:space="preserve"> PAGEREF _Toc481996779 \h </w:instrText>
            </w:r>
            <w:r w:rsidR="00C111E7">
              <w:rPr>
                <w:webHidden/>
              </w:rPr>
            </w:r>
            <w:r w:rsidR="00C111E7">
              <w:rPr>
                <w:webHidden/>
              </w:rPr>
              <w:fldChar w:fldCharType="separate"/>
            </w:r>
            <w:r w:rsidR="00C111E7">
              <w:rPr>
                <w:webHidden/>
              </w:rPr>
              <w:t>4</w:t>
            </w:r>
            <w:r w:rsidR="00C111E7">
              <w:rPr>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81" w:history="1">
            <w:r w:rsidR="00C111E7" w:rsidRPr="001A6D8A">
              <w:rPr>
                <w:rStyle w:val="Hyperlink"/>
                <w:noProof/>
              </w:rPr>
              <w:t>3.1</w:t>
            </w:r>
            <w:r w:rsidR="00C111E7">
              <w:rPr>
                <w:rFonts w:eastAsiaTheme="minorEastAsia"/>
                <w:noProof/>
                <w:lang w:eastAsia="en-GB"/>
              </w:rPr>
              <w:tab/>
            </w:r>
            <w:r w:rsidR="00C111E7" w:rsidRPr="001A6D8A">
              <w:rPr>
                <w:rStyle w:val="Hyperlink"/>
                <w:noProof/>
              </w:rPr>
              <w:t>Best Practice</w:t>
            </w:r>
            <w:r w:rsidR="00C111E7">
              <w:rPr>
                <w:noProof/>
                <w:webHidden/>
              </w:rPr>
              <w:tab/>
            </w:r>
            <w:r w:rsidR="00C111E7">
              <w:rPr>
                <w:noProof/>
                <w:webHidden/>
              </w:rPr>
              <w:fldChar w:fldCharType="begin"/>
            </w:r>
            <w:r w:rsidR="00C111E7">
              <w:rPr>
                <w:noProof/>
                <w:webHidden/>
              </w:rPr>
              <w:instrText xml:space="preserve"> PAGEREF _Toc481996781 \h </w:instrText>
            </w:r>
            <w:r w:rsidR="00C111E7">
              <w:rPr>
                <w:noProof/>
                <w:webHidden/>
              </w:rPr>
            </w:r>
            <w:r w:rsidR="00C111E7">
              <w:rPr>
                <w:noProof/>
                <w:webHidden/>
              </w:rPr>
              <w:fldChar w:fldCharType="separate"/>
            </w:r>
            <w:r w:rsidR="00C111E7">
              <w:rPr>
                <w:noProof/>
                <w:webHidden/>
              </w:rPr>
              <w:t>4</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82" w:history="1">
            <w:r w:rsidR="00C111E7" w:rsidRPr="001A6D8A">
              <w:rPr>
                <w:rStyle w:val="Hyperlink"/>
                <w:noProof/>
              </w:rPr>
              <w:t>3.2</w:t>
            </w:r>
            <w:r w:rsidR="00C111E7">
              <w:rPr>
                <w:rFonts w:eastAsiaTheme="minorEastAsia"/>
                <w:noProof/>
                <w:lang w:eastAsia="en-GB"/>
              </w:rPr>
              <w:tab/>
            </w:r>
            <w:r w:rsidR="00C111E7" w:rsidRPr="001A6D8A">
              <w:rPr>
                <w:rStyle w:val="Hyperlink"/>
                <w:noProof/>
              </w:rPr>
              <w:t>Risk Register</w:t>
            </w:r>
            <w:r w:rsidR="00C111E7">
              <w:rPr>
                <w:noProof/>
                <w:webHidden/>
              </w:rPr>
              <w:tab/>
            </w:r>
            <w:r w:rsidR="00C111E7">
              <w:rPr>
                <w:noProof/>
                <w:webHidden/>
              </w:rPr>
              <w:fldChar w:fldCharType="begin"/>
            </w:r>
            <w:r w:rsidR="00C111E7">
              <w:rPr>
                <w:noProof/>
                <w:webHidden/>
              </w:rPr>
              <w:instrText xml:space="preserve"> PAGEREF _Toc481996782 \h </w:instrText>
            </w:r>
            <w:r w:rsidR="00C111E7">
              <w:rPr>
                <w:noProof/>
                <w:webHidden/>
              </w:rPr>
            </w:r>
            <w:r w:rsidR="00C111E7">
              <w:rPr>
                <w:noProof/>
                <w:webHidden/>
              </w:rPr>
              <w:fldChar w:fldCharType="separate"/>
            </w:r>
            <w:r w:rsidR="00C111E7">
              <w:rPr>
                <w:noProof/>
                <w:webHidden/>
              </w:rPr>
              <w:t>4</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83" w:history="1">
            <w:r w:rsidR="00C111E7" w:rsidRPr="001A6D8A">
              <w:rPr>
                <w:rStyle w:val="Hyperlink"/>
                <w:noProof/>
              </w:rPr>
              <w:t>3.3</w:t>
            </w:r>
            <w:r w:rsidR="00C111E7">
              <w:rPr>
                <w:rFonts w:eastAsiaTheme="minorEastAsia"/>
                <w:noProof/>
                <w:lang w:eastAsia="en-GB"/>
              </w:rPr>
              <w:tab/>
            </w:r>
            <w:r w:rsidR="00C111E7" w:rsidRPr="001A6D8A">
              <w:rPr>
                <w:rStyle w:val="Hyperlink"/>
                <w:noProof/>
              </w:rPr>
              <w:t>Hazardous Activity Risk Assessment &amp; Safety Briefing</w:t>
            </w:r>
            <w:r w:rsidR="00C111E7">
              <w:rPr>
                <w:noProof/>
                <w:webHidden/>
              </w:rPr>
              <w:tab/>
            </w:r>
            <w:r w:rsidR="00C111E7">
              <w:rPr>
                <w:noProof/>
                <w:webHidden/>
              </w:rPr>
              <w:fldChar w:fldCharType="begin"/>
            </w:r>
            <w:r w:rsidR="00C111E7">
              <w:rPr>
                <w:noProof/>
                <w:webHidden/>
              </w:rPr>
              <w:instrText xml:space="preserve"> PAGEREF _Toc481996783 \h </w:instrText>
            </w:r>
            <w:r w:rsidR="00C111E7">
              <w:rPr>
                <w:noProof/>
                <w:webHidden/>
              </w:rPr>
            </w:r>
            <w:r w:rsidR="00C111E7">
              <w:rPr>
                <w:noProof/>
                <w:webHidden/>
              </w:rPr>
              <w:fldChar w:fldCharType="separate"/>
            </w:r>
            <w:r w:rsidR="00C111E7">
              <w:rPr>
                <w:noProof/>
                <w:webHidden/>
              </w:rPr>
              <w:t>4</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84" w:history="1">
            <w:r w:rsidR="00C111E7" w:rsidRPr="001A6D8A">
              <w:rPr>
                <w:rStyle w:val="Hyperlink"/>
                <w:noProof/>
              </w:rPr>
              <w:t>3.4</w:t>
            </w:r>
            <w:r w:rsidR="00C111E7">
              <w:rPr>
                <w:rFonts w:eastAsiaTheme="minorEastAsia"/>
                <w:noProof/>
                <w:lang w:eastAsia="en-GB"/>
              </w:rPr>
              <w:tab/>
            </w:r>
            <w:r w:rsidR="00C111E7" w:rsidRPr="001A6D8A">
              <w:rPr>
                <w:rStyle w:val="Hyperlink"/>
                <w:noProof/>
              </w:rPr>
              <w:t>Safety Trace &amp; Access Control</w:t>
            </w:r>
            <w:r w:rsidR="00C111E7">
              <w:rPr>
                <w:noProof/>
                <w:webHidden/>
              </w:rPr>
              <w:tab/>
            </w:r>
            <w:r w:rsidR="00C111E7">
              <w:rPr>
                <w:noProof/>
                <w:webHidden/>
              </w:rPr>
              <w:fldChar w:fldCharType="begin"/>
            </w:r>
            <w:r w:rsidR="00C111E7">
              <w:rPr>
                <w:noProof/>
                <w:webHidden/>
              </w:rPr>
              <w:instrText xml:space="preserve"> PAGEREF _Toc481996784 \h </w:instrText>
            </w:r>
            <w:r w:rsidR="00C111E7">
              <w:rPr>
                <w:noProof/>
                <w:webHidden/>
              </w:rPr>
            </w:r>
            <w:r w:rsidR="00C111E7">
              <w:rPr>
                <w:noProof/>
                <w:webHidden/>
              </w:rPr>
              <w:fldChar w:fldCharType="separate"/>
            </w:r>
            <w:r w:rsidR="00C111E7">
              <w:rPr>
                <w:noProof/>
                <w:webHidden/>
              </w:rPr>
              <w:t>5</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85" w:history="1">
            <w:r w:rsidR="00C111E7" w:rsidRPr="001A6D8A">
              <w:rPr>
                <w:rStyle w:val="Hyperlink"/>
                <w:noProof/>
              </w:rPr>
              <w:t>3.5</w:t>
            </w:r>
            <w:r w:rsidR="00C111E7">
              <w:rPr>
                <w:rFonts w:eastAsiaTheme="minorEastAsia"/>
                <w:noProof/>
                <w:lang w:eastAsia="en-GB"/>
              </w:rPr>
              <w:tab/>
            </w:r>
            <w:r w:rsidR="00C111E7" w:rsidRPr="001A6D8A">
              <w:rPr>
                <w:rStyle w:val="Hyperlink"/>
                <w:noProof/>
              </w:rPr>
              <w:t>1st Level Peer Review</w:t>
            </w:r>
            <w:r w:rsidR="00C111E7">
              <w:rPr>
                <w:noProof/>
                <w:webHidden/>
              </w:rPr>
              <w:tab/>
            </w:r>
            <w:r w:rsidR="00C111E7">
              <w:rPr>
                <w:noProof/>
                <w:webHidden/>
              </w:rPr>
              <w:fldChar w:fldCharType="begin"/>
            </w:r>
            <w:r w:rsidR="00C111E7">
              <w:rPr>
                <w:noProof/>
                <w:webHidden/>
              </w:rPr>
              <w:instrText xml:space="preserve"> PAGEREF _Toc481996785 \h </w:instrText>
            </w:r>
            <w:r w:rsidR="00C111E7">
              <w:rPr>
                <w:noProof/>
                <w:webHidden/>
              </w:rPr>
            </w:r>
            <w:r w:rsidR="00C111E7">
              <w:rPr>
                <w:noProof/>
                <w:webHidden/>
              </w:rPr>
              <w:fldChar w:fldCharType="separate"/>
            </w:r>
            <w:r w:rsidR="00C111E7">
              <w:rPr>
                <w:noProof/>
                <w:webHidden/>
              </w:rPr>
              <w:t>5</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86" w:history="1">
            <w:r w:rsidR="00C111E7" w:rsidRPr="001A6D8A">
              <w:rPr>
                <w:rStyle w:val="Hyperlink"/>
                <w:noProof/>
              </w:rPr>
              <w:t>3.6</w:t>
            </w:r>
            <w:r w:rsidR="00C111E7">
              <w:rPr>
                <w:rFonts w:eastAsiaTheme="minorEastAsia"/>
                <w:noProof/>
                <w:lang w:eastAsia="en-GB"/>
              </w:rPr>
              <w:tab/>
            </w:r>
            <w:r w:rsidR="00C111E7" w:rsidRPr="001A6D8A">
              <w:rPr>
                <w:rStyle w:val="Hyperlink"/>
                <w:noProof/>
              </w:rPr>
              <w:t>Lessons Learnt</w:t>
            </w:r>
            <w:r w:rsidR="00C111E7">
              <w:rPr>
                <w:noProof/>
                <w:webHidden/>
              </w:rPr>
              <w:tab/>
            </w:r>
            <w:r w:rsidR="00C111E7">
              <w:rPr>
                <w:noProof/>
                <w:webHidden/>
              </w:rPr>
              <w:fldChar w:fldCharType="begin"/>
            </w:r>
            <w:r w:rsidR="00C111E7">
              <w:rPr>
                <w:noProof/>
                <w:webHidden/>
              </w:rPr>
              <w:instrText xml:space="preserve"> PAGEREF _Toc481996786 \h </w:instrText>
            </w:r>
            <w:r w:rsidR="00C111E7">
              <w:rPr>
                <w:noProof/>
                <w:webHidden/>
              </w:rPr>
            </w:r>
            <w:r w:rsidR="00C111E7">
              <w:rPr>
                <w:noProof/>
                <w:webHidden/>
              </w:rPr>
              <w:fldChar w:fldCharType="separate"/>
            </w:r>
            <w:r w:rsidR="00C111E7">
              <w:rPr>
                <w:noProof/>
                <w:webHidden/>
              </w:rPr>
              <w:t>6</w:t>
            </w:r>
            <w:r w:rsidR="00C111E7">
              <w:rPr>
                <w:noProof/>
                <w:webHidden/>
              </w:rPr>
              <w:fldChar w:fldCharType="end"/>
            </w:r>
          </w:hyperlink>
        </w:p>
        <w:p w:rsidR="00C111E7" w:rsidRDefault="009208B7">
          <w:pPr>
            <w:pStyle w:val="TOC1"/>
            <w:rPr>
              <w:rFonts w:eastAsiaTheme="minorEastAsia"/>
              <w:b w:val="0"/>
              <w:lang w:eastAsia="en-GB"/>
            </w:rPr>
          </w:pPr>
          <w:hyperlink w:anchor="_Toc481996787" w:history="1">
            <w:r w:rsidR="00C111E7" w:rsidRPr="001A6D8A">
              <w:rPr>
                <w:rStyle w:val="Hyperlink"/>
              </w:rPr>
              <w:t>4.</w:t>
            </w:r>
            <w:r w:rsidR="00C111E7">
              <w:rPr>
                <w:rFonts w:eastAsiaTheme="minorEastAsia"/>
                <w:b w:val="0"/>
                <w:lang w:eastAsia="en-GB"/>
              </w:rPr>
              <w:tab/>
            </w:r>
            <w:r w:rsidR="00C111E7" w:rsidRPr="001A6D8A">
              <w:rPr>
                <w:rStyle w:val="Hyperlink"/>
              </w:rPr>
              <w:t>Trial Delivery</w:t>
            </w:r>
            <w:r w:rsidR="00C111E7">
              <w:rPr>
                <w:webHidden/>
              </w:rPr>
              <w:tab/>
            </w:r>
            <w:r w:rsidR="00C111E7">
              <w:rPr>
                <w:webHidden/>
              </w:rPr>
              <w:fldChar w:fldCharType="begin"/>
            </w:r>
            <w:r w:rsidR="00C111E7">
              <w:rPr>
                <w:webHidden/>
              </w:rPr>
              <w:instrText xml:space="preserve"> PAGEREF _Toc481996787 \h </w:instrText>
            </w:r>
            <w:r w:rsidR="00C111E7">
              <w:rPr>
                <w:webHidden/>
              </w:rPr>
            </w:r>
            <w:r w:rsidR="00C111E7">
              <w:rPr>
                <w:webHidden/>
              </w:rPr>
              <w:fldChar w:fldCharType="separate"/>
            </w:r>
            <w:r w:rsidR="00C111E7">
              <w:rPr>
                <w:webHidden/>
              </w:rPr>
              <w:t>7</w:t>
            </w:r>
            <w:r w:rsidR="00C111E7">
              <w:rPr>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88" w:history="1">
            <w:r w:rsidR="00C111E7" w:rsidRPr="001A6D8A">
              <w:rPr>
                <w:rStyle w:val="Hyperlink"/>
                <w:noProof/>
              </w:rPr>
              <w:t>4.1</w:t>
            </w:r>
            <w:r w:rsidR="00C111E7">
              <w:rPr>
                <w:rFonts w:eastAsiaTheme="minorEastAsia"/>
                <w:noProof/>
                <w:lang w:eastAsia="en-GB"/>
              </w:rPr>
              <w:tab/>
            </w:r>
            <w:r w:rsidR="00C111E7" w:rsidRPr="001A6D8A">
              <w:rPr>
                <w:rStyle w:val="Hyperlink"/>
                <w:noProof/>
              </w:rPr>
              <w:t>STOP Moment</w:t>
            </w:r>
            <w:r w:rsidR="00C111E7">
              <w:rPr>
                <w:noProof/>
                <w:webHidden/>
              </w:rPr>
              <w:tab/>
            </w:r>
            <w:r w:rsidR="00C111E7">
              <w:rPr>
                <w:noProof/>
                <w:webHidden/>
              </w:rPr>
              <w:fldChar w:fldCharType="begin"/>
            </w:r>
            <w:r w:rsidR="00C111E7">
              <w:rPr>
                <w:noProof/>
                <w:webHidden/>
              </w:rPr>
              <w:instrText xml:space="preserve"> PAGEREF _Toc481996788 \h </w:instrText>
            </w:r>
            <w:r w:rsidR="00C111E7">
              <w:rPr>
                <w:noProof/>
                <w:webHidden/>
              </w:rPr>
            </w:r>
            <w:r w:rsidR="00C111E7">
              <w:rPr>
                <w:noProof/>
                <w:webHidden/>
              </w:rPr>
              <w:fldChar w:fldCharType="separate"/>
            </w:r>
            <w:r w:rsidR="00C111E7">
              <w:rPr>
                <w:noProof/>
                <w:webHidden/>
              </w:rPr>
              <w:t>7</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89" w:history="1">
            <w:r w:rsidR="00C111E7" w:rsidRPr="001A6D8A">
              <w:rPr>
                <w:rStyle w:val="Hyperlink"/>
                <w:noProof/>
              </w:rPr>
              <w:t>4.2</w:t>
            </w:r>
            <w:r w:rsidR="00C111E7">
              <w:rPr>
                <w:rFonts w:eastAsiaTheme="minorEastAsia"/>
                <w:noProof/>
                <w:lang w:eastAsia="en-GB"/>
              </w:rPr>
              <w:tab/>
            </w:r>
            <w:r w:rsidR="00C111E7" w:rsidRPr="001A6D8A">
              <w:rPr>
                <w:rStyle w:val="Hyperlink"/>
                <w:noProof/>
              </w:rPr>
              <w:t>IREP System</w:t>
            </w:r>
            <w:r w:rsidR="00C111E7">
              <w:rPr>
                <w:noProof/>
                <w:webHidden/>
              </w:rPr>
              <w:tab/>
            </w:r>
            <w:r w:rsidR="00C111E7">
              <w:rPr>
                <w:noProof/>
                <w:webHidden/>
              </w:rPr>
              <w:fldChar w:fldCharType="begin"/>
            </w:r>
            <w:r w:rsidR="00C111E7">
              <w:rPr>
                <w:noProof/>
                <w:webHidden/>
              </w:rPr>
              <w:instrText xml:space="preserve"> PAGEREF _Toc481996789 \h </w:instrText>
            </w:r>
            <w:r w:rsidR="00C111E7">
              <w:rPr>
                <w:noProof/>
                <w:webHidden/>
              </w:rPr>
            </w:r>
            <w:r w:rsidR="00C111E7">
              <w:rPr>
                <w:noProof/>
                <w:webHidden/>
              </w:rPr>
              <w:fldChar w:fldCharType="separate"/>
            </w:r>
            <w:r w:rsidR="00C111E7">
              <w:rPr>
                <w:noProof/>
                <w:webHidden/>
              </w:rPr>
              <w:t>7</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90" w:history="1">
            <w:r w:rsidR="00C111E7" w:rsidRPr="001A6D8A">
              <w:rPr>
                <w:rStyle w:val="Hyperlink"/>
                <w:noProof/>
              </w:rPr>
              <w:t>4.3</w:t>
            </w:r>
            <w:r w:rsidR="00C111E7">
              <w:rPr>
                <w:rFonts w:eastAsiaTheme="minorEastAsia"/>
                <w:noProof/>
                <w:lang w:eastAsia="en-GB"/>
              </w:rPr>
              <w:tab/>
            </w:r>
            <w:r w:rsidR="00C111E7" w:rsidRPr="001A6D8A">
              <w:rPr>
                <w:rStyle w:val="Hyperlink"/>
                <w:noProof/>
              </w:rPr>
              <w:t>Equipment Safety</w:t>
            </w:r>
            <w:r w:rsidR="00C111E7">
              <w:rPr>
                <w:noProof/>
                <w:webHidden/>
              </w:rPr>
              <w:tab/>
            </w:r>
            <w:r w:rsidR="00C111E7">
              <w:rPr>
                <w:noProof/>
                <w:webHidden/>
              </w:rPr>
              <w:fldChar w:fldCharType="begin"/>
            </w:r>
            <w:r w:rsidR="00C111E7">
              <w:rPr>
                <w:noProof/>
                <w:webHidden/>
              </w:rPr>
              <w:instrText xml:space="preserve"> PAGEREF _Toc481996790 \h </w:instrText>
            </w:r>
            <w:r w:rsidR="00C111E7">
              <w:rPr>
                <w:noProof/>
                <w:webHidden/>
              </w:rPr>
            </w:r>
            <w:r w:rsidR="00C111E7">
              <w:rPr>
                <w:noProof/>
                <w:webHidden/>
              </w:rPr>
              <w:fldChar w:fldCharType="separate"/>
            </w:r>
            <w:r w:rsidR="00C111E7">
              <w:rPr>
                <w:noProof/>
                <w:webHidden/>
              </w:rPr>
              <w:t>7</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91" w:history="1">
            <w:r w:rsidR="00C111E7" w:rsidRPr="001A6D8A">
              <w:rPr>
                <w:rStyle w:val="Hyperlink"/>
                <w:noProof/>
              </w:rPr>
              <w:t>4.4</w:t>
            </w:r>
            <w:r w:rsidR="00C111E7">
              <w:rPr>
                <w:rFonts w:eastAsiaTheme="minorEastAsia"/>
                <w:noProof/>
                <w:lang w:eastAsia="en-GB"/>
              </w:rPr>
              <w:tab/>
            </w:r>
            <w:r w:rsidR="00C111E7" w:rsidRPr="001A6D8A">
              <w:rPr>
                <w:rStyle w:val="Hyperlink"/>
                <w:noProof/>
              </w:rPr>
              <w:t>Process Safety</w:t>
            </w:r>
            <w:r w:rsidR="00C111E7">
              <w:rPr>
                <w:noProof/>
                <w:webHidden/>
              </w:rPr>
              <w:tab/>
            </w:r>
            <w:r w:rsidR="00C111E7">
              <w:rPr>
                <w:noProof/>
                <w:webHidden/>
              </w:rPr>
              <w:fldChar w:fldCharType="begin"/>
            </w:r>
            <w:r w:rsidR="00C111E7">
              <w:rPr>
                <w:noProof/>
                <w:webHidden/>
              </w:rPr>
              <w:instrText xml:space="preserve"> PAGEREF _Toc481996791 \h </w:instrText>
            </w:r>
            <w:r w:rsidR="00C111E7">
              <w:rPr>
                <w:noProof/>
                <w:webHidden/>
              </w:rPr>
            </w:r>
            <w:r w:rsidR="00C111E7">
              <w:rPr>
                <w:noProof/>
                <w:webHidden/>
              </w:rPr>
              <w:fldChar w:fldCharType="separate"/>
            </w:r>
            <w:r w:rsidR="00C111E7">
              <w:rPr>
                <w:noProof/>
                <w:webHidden/>
              </w:rPr>
              <w:t>8</w:t>
            </w:r>
            <w:r w:rsidR="00C111E7">
              <w:rPr>
                <w:noProof/>
                <w:webHidden/>
              </w:rPr>
              <w:fldChar w:fldCharType="end"/>
            </w:r>
          </w:hyperlink>
        </w:p>
        <w:p w:rsidR="00C111E7" w:rsidRDefault="009208B7">
          <w:pPr>
            <w:pStyle w:val="TOC1"/>
            <w:rPr>
              <w:rFonts w:eastAsiaTheme="minorEastAsia"/>
              <w:b w:val="0"/>
              <w:lang w:eastAsia="en-GB"/>
            </w:rPr>
          </w:pPr>
          <w:hyperlink w:anchor="_Toc481996792" w:history="1">
            <w:r w:rsidR="00C111E7" w:rsidRPr="001A6D8A">
              <w:rPr>
                <w:rStyle w:val="Hyperlink"/>
              </w:rPr>
              <w:t>5.</w:t>
            </w:r>
            <w:r w:rsidR="00C111E7">
              <w:rPr>
                <w:rFonts w:eastAsiaTheme="minorEastAsia"/>
                <w:b w:val="0"/>
                <w:lang w:eastAsia="en-GB"/>
              </w:rPr>
              <w:tab/>
            </w:r>
            <w:r w:rsidR="00C111E7" w:rsidRPr="001A6D8A">
              <w:rPr>
                <w:rStyle w:val="Hyperlink"/>
              </w:rPr>
              <w:t>Trial Closure</w:t>
            </w:r>
            <w:r w:rsidR="00C111E7">
              <w:rPr>
                <w:webHidden/>
              </w:rPr>
              <w:tab/>
            </w:r>
            <w:r w:rsidR="00C111E7">
              <w:rPr>
                <w:webHidden/>
              </w:rPr>
              <w:fldChar w:fldCharType="begin"/>
            </w:r>
            <w:r w:rsidR="00C111E7">
              <w:rPr>
                <w:webHidden/>
              </w:rPr>
              <w:instrText xml:space="preserve"> PAGEREF _Toc481996792 \h </w:instrText>
            </w:r>
            <w:r w:rsidR="00C111E7">
              <w:rPr>
                <w:webHidden/>
              </w:rPr>
            </w:r>
            <w:r w:rsidR="00C111E7">
              <w:rPr>
                <w:webHidden/>
              </w:rPr>
              <w:fldChar w:fldCharType="separate"/>
            </w:r>
            <w:r w:rsidR="00C111E7">
              <w:rPr>
                <w:webHidden/>
              </w:rPr>
              <w:t>8</w:t>
            </w:r>
            <w:r w:rsidR="00C111E7">
              <w:rPr>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93" w:history="1">
            <w:r w:rsidR="00C111E7" w:rsidRPr="001A6D8A">
              <w:rPr>
                <w:rStyle w:val="Hyperlink"/>
                <w:noProof/>
              </w:rPr>
              <w:t>5.1</w:t>
            </w:r>
            <w:r w:rsidR="00C111E7">
              <w:rPr>
                <w:rFonts w:eastAsiaTheme="minorEastAsia"/>
                <w:noProof/>
                <w:lang w:eastAsia="en-GB"/>
              </w:rPr>
              <w:tab/>
            </w:r>
            <w:r w:rsidR="00C111E7" w:rsidRPr="001A6D8A">
              <w:rPr>
                <w:rStyle w:val="Hyperlink"/>
                <w:noProof/>
              </w:rPr>
              <w:t>Trial Closure Meeting</w:t>
            </w:r>
            <w:r w:rsidR="00C111E7">
              <w:rPr>
                <w:noProof/>
                <w:webHidden/>
              </w:rPr>
              <w:tab/>
            </w:r>
            <w:r w:rsidR="00C111E7">
              <w:rPr>
                <w:noProof/>
                <w:webHidden/>
              </w:rPr>
              <w:fldChar w:fldCharType="begin"/>
            </w:r>
            <w:r w:rsidR="00C111E7">
              <w:rPr>
                <w:noProof/>
                <w:webHidden/>
              </w:rPr>
              <w:instrText xml:space="preserve"> PAGEREF _Toc481996793 \h </w:instrText>
            </w:r>
            <w:r w:rsidR="00C111E7">
              <w:rPr>
                <w:noProof/>
                <w:webHidden/>
              </w:rPr>
            </w:r>
            <w:r w:rsidR="00C111E7">
              <w:rPr>
                <w:noProof/>
                <w:webHidden/>
              </w:rPr>
              <w:fldChar w:fldCharType="separate"/>
            </w:r>
            <w:r w:rsidR="00C111E7">
              <w:rPr>
                <w:noProof/>
                <w:webHidden/>
              </w:rPr>
              <w:t>8</w:t>
            </w:r>
            <w:r w:rsidR="00C111E7">
              <w:rPr>
                <w:noProof/>
                <w:webHidden/>
              </w:rPr>
              <w:fldChar w:fldCharType="end"/>
            </w:r>
          </w:hyperlink>
        </w:p>
        <w:p w:rsidR="00C111E7" w:rsidRDefault="009208B7">
          <w:pPr>
            <w:pStyle w:val="TOC2"/>
            <w:tabs>
              <w:tab w:val="left" w:pos="880"/>
              <w:tab w:val="right" w:leader="dot" w:pos="9016"/>
            </w:tabs>
            <w:rPr>
              <w:rFonts w:eastAsiaTheme="minorEastAsia"/>
              <w:noProof/>
              <w:lang w:eastAsia="en-GB"/>
            </w:rPr>
          </w:pPr>
          <w:hyperlink w:anchor="_Toc481996794" w:history="1">
            <w:r w:rsidR="00C111E7" w:rsidRPr="001A6D8A">
              <w:rPr>
                <w:rStyle w:val="Hyperlink"/>
                <w:noProof/>
              </w:rPr>
              <w:t>5.2</w:t>
            </w:r>
            <w:r w:rsidR="00C111E7">
              <w:rPr>
                <w:rFonts w:eastAsiaTheme="minorEastAsia"/>
                <w:noProof/>
                <w:lang w:eastAsia="en-GB"/>
              </w:rPr>
              <w:tab/>
            </w:r>
            <w:r w:rsidR="00C111E7" w:rsidRPr="001A6D8A">
              <w:rPr>
                <w:rStyle w:val="Hyperlink"/>
                <w:noProof/>
              </w:rPr>
              <w:t>Technical Data Quality Review</w:t>
            </w:r>
            <w:r w:rsidR="00C111E7">
              <w:rPr>
                <w:noProof/>
                <w:webHidden/>
              </w:rPr>
              <w:tab/>
            </w:r>
            <w:r w:rsidR="00C111E7">
              <w:rPr>
                <w:noProof/>
                <w:webHidden/>
              </w:rPr>
              <w:fldChar w:fldCharType="begin"/>
            </w:r>
            <w:r w:rsidR="00C111E7">
              <w:rPr>
                <w:noProof/>
                <w:webHidden/>
              </w:rPr>
              <w:instrText xml:space="preserve"> PAGEREF _Toc481996794 \h </w:instrText>
            </w:r>
            <w:r w:rsidR="00C111E7">
              <w:rPr>
                <w:noProof/>
                <w:webHidden/>
              </w:rPr>
            </w:r>
            <w:r w:rsidR="00C111E7">
              <w:rPr>
                <w:noProof/>
                <w:webHidden/>
              </w:rPr>
              <w:fldChar w:fldCharType="separate"/>
            </w:r>
            <w:r w:rsidR="00C111E7">
              <w:rPr>
                <w:noProof/>
                <w:webHidden/>
              </w:rPr>
              <w:t>8</w:t>
            </w:r>
            <w:r w:rsidR="00C111E7">
              <w:rPr>
                <w:noProof/>
                <w:webHidden/>
              </w:rPr>
              <w:fldChar w:fldCharType="end"/>
            </w:r>
          </w:hyperlink>
        </w:p>
        <w:p w:rsidR="00C111E7" w:rsidRDefault="009208B7">
          <w:pPr>
            <w:pStyle w:val="TOC1"/>
            <w:rPr>
              <w:rFonts w:eastAsiaTheme="minorEastAsia"/>
              <w:b w:val="0"/>
              <w:lang w:eastAsia="en-GB"/>
            </w:rPr>
          </w:pPr>
          <w:hyperlink w:anchor="_Toc481996795" w:history="1">
            <w:r w:rsidR="00C111E7" w:rsidRPr="001A6D8A">
              <w:rPr>
                <w:rStyle w:val="Hyperlink"/>
              </w:rPr>
              <w:t>6.</w:t>
            </w:r>
            <w:r w:rsidR="00C111E7">
              <w:rPr>
                <w:rFonts w:eastAsiaTheme="minorEastAsia"/>
                <w:b w:val="0"/>
                <w:lang w:eastAsia="en-GB"/>
              </w:rPr>
              <w:tab/>
            </w:r>
            <w:r w:rsidR="00C111E7" w:rsidRPr="001A6D8A">
              <w:rPr>
                <w:rStyle w:val="Hyperlink"/>
              </w:rPr>
              <w:t>Conclusion</w:t>
            </w:r>
            <w:r w:rsidR="00C111E7">
              <w:rPr>
                <w:webHidden/>
              </w:rPr>
              <w:tab/>
            </w:r>
            <w:r w:rsidR="00C111E7">
              <w:rPr>
                <w:webHidden/>
              </w:rPr>
              <w:fldChar w:fldCharType="begin"/>
            </w:r>
            <w:r w:rsidR="00C111E7">
              <w:rPr>
                <w:webHidden/>
              </w:rPr>
              <w:instrText xml:space="preserve"> PAGEREF _Toc481996795 \h </w:instrText>
            </w:r>
            <w:r w:rsidR="00C111E7">
              <w:rPr>
                <w:webHidden/>
              </w:rPr>
            </w:r>
            <w:r w:rsidR="00C111E7">
              <w:rPr>
                <w:webHidden/>
              </w:rPr>
              <w:fldChar w:fldCharType="separate"/>
            </w:r>
            <w:r w:rsidR="00C111E7">
              <w:rPr>
                <w:webHidden/>
              </w:rPr>
              <w:t>9</w:t>
            </w:r>
            <w:r w:rsidR="00C111E7">
              <w:rPr>
                <w:webHidden/>
              </w:rPr>
              <w:fldChar w:fldCharType="end"/>
            </w:r>
          </w:hyperlink>
        </w:p>
        <w:p w:rsidR="00C111E7" w:rsidRDefault="009208B7">
          <w:pPr>
            <w:pStyle w:val="TOC1"/>
            <w:rPr>
              <w:rFonts w:eastAsiaTheme="minorEastAsia"/>
              <w:b w:val="0"/>
              <w:lang w:eastAsia="en-GB"/>
            </w:rPr>
          </w:pPr>
          <w:hyperlink w:anchor="_Toc481996796" w:history="1">
            <w:r w:rsidR="00C111E7" w:rsidRPr="001A6D8A">
              <w:rPr>
                <w:rStyle w:val="Hyperlink"/>
              </w:rPr>
              <w:t>References</w:t>
            </w:r>
            <w:r w:rsidR="00C111E7">
              <w:rPr>
                <w:webHidden/>
              </w:rPr>
              <w:tab/>
            </w:r>
            <w:r w:rsidR="00C111E7">
              <w:rPr>
                <w:webHidden/>
              </w:rPr>
              <w:fldChar w:fldCharType="begin"/>
            </w:r>
            <w:r w:rsidR="00C111E7">
              <w:rPr>
                <w:webHidden/>
              </w:rPr>
              <w:instrText xml:space="preserve"> PAGEREF _Toc481996796 \h </w:instrText>
            </w:r>
            <w:r w:rsidR="00C111E7">
              <w:rPr>
                <w:webHidden/>
              </w:rPr>
            </w:r>
            <w:r w:rsidR="00C111E7">
              <w:rPr>
                <w:webHidden/>
              </w:rPr>
              <w:fldChar w:fldCharType="separate"/>
            </w:r>
            <w:r w:rsidR="00C111E7">
              <w:rPr>
                <w:webHidden/>
              </w:rPr>
              <w:t>9</w:t>
            </w:r>
            <w:r w:rsidR="00C111E7">
              <w:rPr>
                <w:webHidden/>
              </w:rPr>
              <w:fldChar w:fldCharType="end"/>
            </w:r>
          </w:hyperlink>
        </w:p>
        <w:p w:rsidR="00C111E7" w:rsidRDefault="009208B7">
          <w:pPr>
            <w:pStyle w:val="TOC1"/>
            <w:rPr>
              <w:rFonts w:eastAsiaTheme="minorEastAsia"/>
              <w:b w:val="0"/>
              <w:lang w:eastAsia="en-GB"/>
            </w:rPr>
          </w:pPr>
          <w:hyperlink w:anchor="_Toc481996797" w:history="1">
            <w:r w:rsidR="00C111E7" w:rsidRPr="001A6D8A">
              <w:rPr>
                <w:rStyle w:val="Hyperlink"/>
              </w:rPr>
              <w:t>Appendices</w:t>
            </w:r>
            <w:r w:rsidR="00C111E7">
              <w:rPr>
                <w:webHidden/>
              </w:rPr>
              <w:tab/>
            </w:r>
            <w:r w:rsidR="00C111E7">
              <w:rPr>
                <w:webHidden/>
              </w:rPr>
              <w:fldChar w:fldCharType="begin"/>
            </w:r>
            <w:r w:rsidR="00C111E7">
              <w:rPr>
                <w:webHidden/>
              </w:rPr>
              <w:instrText xml:space="preserve"> PAGEREF _Toc481996797 \h </w:instrText>
            </w:r>
            <w:r w:rsidR="00C111E7">
              <w:rPr>
                <w:webHidden/>
              </w:rPr>
            </w:r>
            <w:r w:rsidR="00C111E7">
              <w:rPr>
                <w:webHidden/>
              </w:rPr>
              <w:fldChar w:fldCharType="separate"/>
            </w:r>
            <w:r w:rsidR="00C111E7">
              <w:rPr>
                <w:webHidden/>
              </w:rPr>
              <w:t>10</w:t>
            </w:r>
            <w:r w:rsidR="00C111E7">
              <w:rPr>
                <w:webHidden/>
              </w:rPr>
              <w:fldChar w:fldCharType="end"/>
            </w:r>
          </w:hyperlink>
        </w:p>
        <w:p w:rsidR="009C235A" w:rsidRDefault="009C235A">
          <w:r>
            <w:rPr>
              <w:b/>
              <w:bCs/>
              <w:noProof/>
            </w:rPr>
            <w:fldChar w:fldCharType="end"/>
          </w:r>
        </w:p>
      </w:sdtContent>
    </w:sdt>
    <w:p w:rsidR="009C235A" w:rsidRDefault="009C235A">
      <w:r>
        <w:br w:type="page"/>
      </w:r>
    </w:p>
    <w:p w:rsidR="00C1462A" w:rsidRDefault="00D345AC" w:rsidP="00B82F54">
      <w:pPr>
        <w:pStyle w:val="Heading1"/>
        <w:numPr>
          <w:ilvl w:val="0"/>
          <w:numId w:val="1"/>
        </w:numPr>
        <w:spacing w:after="240"/>
        <w:rPr>
          <w:rStyle w:val="tgc"/>
        </w:rPr>
      </w:pPr>
      <w:bookmarkStart w:id="1" w:name="_Toc481996773"/>
      <w:r w:rsidRPr="00D345AC">
        <w:rPr>
          <w:rStyle w:val="tgc"/>
        </w:rPr>
        <w:lastRenderedPageBreak/>
        <w:t>Introduction</w:t>
      </w:r>
      <w:bookmarkEnd w:id="1"/>
    </w:p>
    <w:p w:rsidR="00B83BC2" w:rsidRDefault="00AA65BC">
      <w:r>
        <w:t>The Weapons Test and Evaluation business, by its very nature, encompasses</w:t>
      </w:r>
      <w:r w:rsidRPr="00AA65BC">
        <w:t xml:space="preserve"> </w:t>
      </w:r>
      <w:r>
        <w:t>a wide array of potentially hazardous activities. Very often, we are required to design and deliver bespoke engineering solutions to meet the requirements of our customers. The vast majority of these activities involve the successful operation and function of articles that are designed to kill people, penetrate structures, and cause long-term harmful effects.</w:t>
      </w:r>
    </w:p>
    <w:p w:rsidR="00AA65BC" w:rsidRDefault="00AA65BC">
      <w:r>
        <w:t>The aim of this report is to identify the systems in place at QinetiQ Shoeburyness for the purposes of risk management. This will be achieved by conducting a step-by-step analysis of the system</w:t>
      </w:r>
      <w:r w:rsidR="00911C6D">
        <w:t xml:space="preserve">, starting with the customer specification, through the Hazardous Activity Management process, trial delivery, and trial closure procedure. </w:t>
      </w:r>
    </w:p>
    <w:p w:rsidR="00597A0E" w:rsidRDefault="00597A0E"/>
    <w:p w:rsidR="00A55BA1" w:rsidRDefault="00A55BA1">
      <w:pPr>
        <w:rPr>
          <w:noProof/>
          <w:lang w:eastAsia="en-GB"/>
        </w:rPr>
      </w:pPr>
    </w:p>
    <w:p w:rsidR="009915FD" w:rsidRDefault="00A55BA1">
      <w:r>
        <w:t xml:space="preserve"> </w:t>
      </w:r>
      <w:r w:rsidR="009915FD">
        <w:br w:type="page"/>
      </w:r>
    </w:p>
    <w:p w:rsidR="0015692C" w:rsidRDefault="00D4491D" w:rsidP="007B1E15">
      <w:pPr>
        <w:pStyle w:val="Heading1"/>
        <w:numPr>
          <w:ilvl w:val="0"/>
          <w:numId w:val="1"/>
        </w:numPr>
        <w:rPr>
          <w:rStyle w:val="tgc"/>
        </w:rPr>
      </w:pPr>
      <w:bookmarkStart w:id="2" w:name="_Toc481996774"/>
      <w:r>
        <w:rPr>
          <w:rStyle w:val="tgc"/>
        </w:rPr>
        <w:lastRenderedPageBreak/>
        <w:t>Customer Specification</w:t>
      </w:r>
      <w:bookmarkEnd w:id="2"/>
    </w:p>
    <w:p w:rsidR="00624934" w:rsidRPr="00624934" w:rsidRDefault="00624934" w:rsidP="00624934">
      <w:r>
        <w:t>The customer specification is the first step in the design of a small scale weapons trial. Its purpose is to clearly define the Scope and Method to deliver a specific result. This can range from the delivery of an established standard (such as proofing activities), or to provide real life data of a weapons capability, suitable to establish a computer model. From a risk management perspective, it allows QinetiQ to clearly define the steps required to fulfil the customer requirement; and to understand the potential pitfalls in the delivery process. An example specification can be found below.</w:t>
      </w:r>
    </w:p>
    <w:p w:rsidR="0015692C" w:rsidRDefault="00D4491D" w:rsidP="0015692C">
      <w:pPr>
        <w:pStyle w:val="Heading2"/>
        <w:numPr>
          <w:ilvl w:val="1"/>
          <w:numId w:val="1"/>
        </w:numPr>
        <w:spacing w:after="240"/>
      </w:pPr>
      <w:bookmarkStart w:id="3" w:name="_Toc481996775"/>
      <w:r>
        <w:t>Scope</w:t>
      </w:r>
      <w:bookmarkEnd w:id="3"/>
    </w:p>
    <w:p w:rsidR="00D5275F" w:rsidRPr="00624934" w:rsidRDefault="00D4491D" w:rsidP="00B866AA">
      <w:r w:rsidRPr="00624934">
        <w:t xml:space="preserve">This specification governs the proof firing and sentencing of 105mm </w:t>
      </w:r>
      <w:r w:rsidR="00911C6D" w:rsidRPr="00624934">
        <w:t>High-explosive</w:t>
      </w:r>
      <w:r w:rsidRPr="00624934">
        <w:t xml:space="preserve"> Shell, L31A4</w:t>
      </w:r>
      <w:r w:rsidR="00E219AD" w:rsidRPr="00624934">
        <w:t xml:space="preserve">. </w:t>
      </w:r>
    </w:p>
    <w:p w:rsidR="0016499A" w:rsidRDefault="00D4491D" w:rsidP="00D5275F">
      <w:pPr>
        <w:pStyle w:val="Heading2"/>
        <w:numPr>
          <w:ilvl w:val="1"/>
          <w:numId w:val="1"/>
        </w:numPr>
        <w:spacing w:after="240"/>
      </w:pPr>
      <w:bookmarkStart w:id="4" w:name="_Toc481996776"/>
      <w:r>
        <w:t>Proof Method</w:t>
      </w:r>
      <w:bookmarkEnd w:id="4"/>
    </w:p>
    <w:p w:rsidR="0016499A" w:rsidRDefault="00E219AD" w:rsidP="00605369">
      <w:pPr>
        <w:pStyle w:val="ListParagraph"/>
        <w:numPr>
          <w:ilvl w:val="0"/>
          <w:numId w:val="40"/>
        </w:numPr>
      </w:pPr>
      <w:r>
        <w:t>The shell, propelling charge</w:t>
      </w:r>
      <w:r w:rsidR="00605369">
        <w:t xml:space="preserve"> and propellant</w:t>
      </w:r>
      <w:r>
        <w:t xml:space="preserve"> are to be conditioned to 21 </w:t>
      </w:r>
      <w:r w:rsidRPr="00E219AD">
        <w:t>±</w:t>
      </w:r>
      <w:r>
        <w:t>2</w:t>
      </w:r>
      <w:r w:rsidRPr="00E219AD">
        <w:t>°C</w:t>
      </w:r>
      <w:r w:rsidR="00605369">
        <w:t xml:space="preserve"> for a minimum of 16 hours prior to firing</w:t>
      </w:r>
      <w:r w:rsidR="002C45F8">
        <w:t>.</w:t>
      </w:r>
    </w:p>
    <w:p w:rsidR="00605369" w:rsidRDefault="00605369" w:rsidP="00605369">
      <w:pPr>
        <w:pStyle w:val="ListParagraph"/>
        <w:numPr>
          <w:ilvl w:val="0"/>
          <w:numId w:val="40"/>
        </w:numPr>
      </w:pPr>
      <w:r>
        <w:t>Facilities are to be available for charge adjustment. This is required to achie</w:t>
      </w:r>
      <w:r w:rsidR="008938DB">
        <w:t>ve a firing pressure of 3760-3900</w:t>
      </w:r>
      <w:r>
        <w:t>bar.</w:t>
      </w:r>
      <w:r w:rsidR="008938DB">
        <w:t xml:space="preserve"> All charges are to be adjusted on a round by round basis</w:t>
      </w:r>
      <w:r w:rsidR="00624934">
        <w:t>.</w:t>
      </w:r>
    </w:p>
    <w:p w:rsidR="008938DB" w:rsidRDefault="008938DB" w:rsidP="00605369">
      <w:pPr>
        <w:pStyle w:val="ListParagraph"/>
        <w:numPr>
          <w:ilvl w:val="0"/>
          <w:numId w:val="40"/>
        </w:numPr>
      </w:pPr>
      <w:r>
        <w:t>Rounds are to be fired in the design configuration</w:t>
      </w:r>
      <w:r w:rsidR="00624934">
        <w:t>.</w:t>
      </w:r>
    </w:p>
    <w:p w:rsidR="00605369" w:rsidRDefault="00605369" w:rsidP="00605369">
      <w:pPr>
        <w:pStyle w:val="ListParagraph"/>
        <w:numPr>
          <w:ilvl w:val="0"/>
          <w:numId w:val="40"/>
        </w:numPr>
      </w:pPr>
      <w:r>
        <w:t>Pressure Measurement shall be recorded using 3x Mk.9 Copper Crusher Gauges per round.</w:t>
      </w:r>
    </w:p>
    <w:p w:rsidR="00605369" w:rsidRDefault="00605369" w:rsidP="00605369">
      <w:pPr>
        <w:pStyle w:val="ListParagraph"/>
        <w:numPr>
          <w:ilvl w:val="0"/>
          <w:numId w:val="40"/>
        </w:numPr>
      </w:pPr>
      <w:r>
        <w:t>Ordnance; L118 Light Gun, L13 or L19 Barrel; Maximum barrel wear of 1.27mm.</w:t>
      </w:r>
    </w:p>
    <w:p w:rsidR="00605369" w:rsidRDefault="00605369" w:rsidP="00624934">
      <w:pPr>
        <w:pStyle w:val="Heading2"/>
        <w:numPr>
          <w:ilvl w:val="1"/>
          <w:numId w:val="1"/>
        </w:numPr>
        <w:spacing w:after="240"/>
      </w:pPr>
      <w:bookmarkStart w:id="5" w:name="_Toc481996777"/>
      <w:r>
        <w:t>Measurements</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624934" w:rsidTr="00624934">
        <w:tc>
          <w:tcPr>
            <w:tcW w:w="4621" w:type="dxa"/>
          </w:tcPr>
          <w:p w:rsidR="00624934" w:rsidRDefault="00624934" w:rsidP="00624934">
            <w:pPr>
              <w:pStyle w:val="ListParagraph"/>
              <w:numPr>
                <w:ilvl w:val="0"/>
                <w:numId w:val="42"/>
              </w:numPr>
            </w:pPr>
            <w:r>
              <w:t>Date &amp; Time of firing</w:t>
            </w:r>
          </w:p>
          <w:p w:rsidR="00624934" w:rsidRDefault="00624934" w:rsidP="00624934">
            <w:pPr>
              <w:pStyle w:val="ListParagraph"/>
              <w:numPr>
                <w:ilvl w:val="0"/>
                <w:numId w:val="42"/>
              </w:numPr>
            </w:pPr>
            <w:r>
              <w:t>Meteorological Conditions</w:t>
            </w:r>
          </w:p>
          <w:p w:rsidR="00624934" w:rsidRDefault="00624934" w:rsidP="00624934">
            <w:pPr>
              <w:pStyle w:val="ListParagraph"/>
              <w:numPr>
                <w:ilvl w:val="0"/>
                <w:numId w:val="42"/>
              </w:numPr>
            </w:pPr>
            <w:r>
              <w:t>Gun Type, Barrel No, Barrel Wear</w:t>
            </w:r>
          </w:p>
          <w:p w:rsidR="00624934" w:rsidRDefault="00624934" w:rsidP="00624934">
            <w:pPr>
              <w:pStyle w:val="ListParagraph"/>
              <w:numPr>
                <w:ilvl w:val="0"/>
                <w:numId w:val="42"/>
              </w:numPr>
            </w:pPr>
            <w:r>
              <w:t>Quadrant Elevation</w:t>
            </w:r>
          </w:p>
          <w:p w:rsidR="00624934" w:rsidRDefault="00624934" w:rsidP="00624934">
            <w:pPr>
              <w:pStyle w:val="ListParagraph"/>
              <w:numPr>
                <w:ilvl w:val="0"/>
                <w:numId w:val="42"/>
              </w:numPr>
            </w:pPr>
            <w:r>
              <w:t>Ammunition Details</w:t>
            </w:r>
          </w:p>
        </w:tc>
        <w:tc>
          <w:tcPr>
            <w:tcW w:w="4621" w:type="dxa"/>
          </w:tcPr>
          <w:p w:rsidR="00624934" w:rsidRDefault="00624934" w:rsidP="00624934">
            <w:pPr>
              <w:pStyle w:val="ListParagraph"/>
              <w:numPr>
                <w:ilvl w:val="0"/>
                <w:numId w:val="42"/>
              </w:numPr>
            </w:pPr>
            <w:r>
              <w:t>Charge Adjustment Weight</w:t>
            </w:r>
          </w:p>
          <w:p w:rsidR="00624934" w:rsidRDefault="00624934" w:rsidP="00624934">
            <w:pPr>
              <w:pStyle w:val="ListParagraph"/>
              <w:numPr>
                <w:ilvl w:val="0"/>
                <w:numId w:val="42"/>
              </w:numPr>
            </w:pPr>
            <w:r>
              <w:t>Depth of Ram for each Round</w:t>
            </w:r>
          </w:p>
          <w:p w:rsidR="00624934" w:rsidRDefault="00624934" w:rsidP="00624934">
            <w:pPr>
              <w:pStyle w:val="ListParagraph"/>
              <w:numPr>
                <w:ilvl w:val="0"/>
                <w:numId w:val="42"/>
              </w:numPr>
            </w:pPr>
            <w:r>
              <w:t>Chamber Pressure</w:t>
            </w:r>
          </w:p>
          <w:p w:rsidR="00624934" w:rsidRDefault="00624934" w:rsidP="00624934">
            <w:pPr>
              <w:pStyle w:val="ListParagraph"/>
              <w:numPr>
                <w:ilvl w:val="0"/>
                <w:numId w:val="42"/>
              </w:numPr>
            </w:pPr>
            <w:r>
              <w:t>Muzzle Velocity</w:t>
            </w:r>
          </w:p>
          <w:p w:rsidR="00624934" w:rsidRDefault="00624934" w:rsidP="00624934">
            <w:pPr>
              <w:pStyle w:val="ListParagraph"/>
              <w:numPr>
                <w:ilvl w:val="0"/>
                <w:numId w:val="42"/>
              </w:numPr>
            </w:pPr>
            <w:r>
              <w:t>Visual Obser</w:t>
            </w:r>
            <w:r w:rsidR="002C45F8">
              <w:t>vation of Shell Impact/Function</w:t>
            </w:r>
          </w:p>
        </w:tc>
      </w:tr>
    </w:tbl>
    <w:p w:rsidR="00BC7A32" w:rsidRDefault="00BC7A32" w:rsidP="00BC7A32">
      <w:pPr>
        <w:pStyle w:val="Heading2"/>
        <w:numPr>
          <w:ilvl w:val="1"/>
          <w:numId w:val="1"/>
        </w:numPr>
        <w:spacing w:after="240"/>
      </w:pPr>
      <w:bookmarkStart w:id="6" w:name="_Toc481996778"/>
      <w:r>
        <w:t>Proof Standard method</w:t>
      </w:r>
      <w:bookmarkEnd w:id="6"/>
    </w:p>
    <w:p w:rsidR="00BC7A32" w:rsidRPr="00BC7A32" w:rsidRDefault="00BC7A32" w:rsidP="00BC7A32">
      <w:r>
        <w:t xml:space="preserve">Not expressly stated in the Specification, the term “fired in the design configuration” denotes that firing procedures are in accordance with the drills laid out in Pamphlet 19: </w:t>
      </w:r>
      <w:sdt>
        <w:sdtPr>
          <w:id w:val="-410235933"/>
          <w:citation/>
        </w:sdtPr>
        <w:sdtEndPr/>
        <w:sdtContent>
          <w:r>
            <w:fldChar w:fldCharType="begin"/>
          </w:r>
          <w:r>
            <w:instrText xml:space="preserve"> CITATION Roy12 \l 2057 </w:instrText>
          </w:r>
          <w:r>
            <w:fldChar w:fldCharType="separate"/>
          </w:r>
          <w:r w:rsidR="00C111E7">
            <w:rPr>
              <w:noProof/>
            </w:rPr>
            <w:t>(1)</w:t>
          </w:r>
          <w:r>
            <w:fldChar w:fldCharType="end"/>
          </w:r>
        </w:sdtContent>
      </w:sdt>
      <w:r w:rsidR="005B083C">
        <w:t>. This document clearly defines the activity and risk associated with this work.</w:t>
      </w:r>
    </w:p>
    <w:p w:rsidR="00911C6D" w:rsidRDefault="005B083C">
      <w:r>
        <w:rPr>
          <w:noProof/>
          <w:lang w:eastAsia="en-GB"/>
        </w:rPr>
        <mc:AlternateContent>
          <mc:Choice Requires="wps">
            <w:drawing>
              <wp:anchor distT="0" distB="0" distL="114300" distR="114300" simplePos="0" relativeHeight="251708416" behindDoc="0" locked="0" layoutInCell="1" allowOverlap="1" wp14:anchorId="7F3C98DF" wp14:editId="52C1AD67">
                <wp:simplePos x="0" y="0"/>
                <wp:positionH relativeFrom="column">
                  <wp:posOffset>3771900</wp:posOffset>
                </wp:positionH>
                <wp:positionV relativeFrom="paragraph">
                  <wp:posOffset>1591945</wp:posOffset>
                </wp:positionV>
                <wp:extent cx="1847850" cy="476250"/>
                <wp:effectExtent l="0" t="0" r="19050" b="19050"/>
                <wp:wrapNone/>
                <wp:docPr id="224" name="Rectangle 224"/>
                <wp:cNvGraphicFramePr/>
                <a:graphic xmlns:a="http://schemas.openxmlformats.org/drawingml/2006/main">
                  <a:graphicData uri="http://schemas.microsoft.com/office/word/2010/wordprocessingShape">
                    <wps:wsp>
                      <wps:cNvSpPr/>
                      <wps:spPr>
                        <a:xfrm>
                          <a:off x="0" y="0"/>
                          <a:ext cx="1847850" cy="47625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5B083C" w:rsidRDefault="005B083C" w:rsidP="005B083C">
                            <w:pPr>
                              <w:jc w:val="center"/>
                            </w:pPr>
                            <w:r>
                              <w:t xml:space="preserve">Rate of Fire                </w:t>
                            </w:r>
                            <w:r>
                              <w:rPr>
                                <w:b/>
                              </w:rPr>
                              <w:t xml:space="preserve">Potential Hot Gun </w:t>
                            </w:r>
                            <w:r w:rsidRPr="005B083C">
                              <w:rPr>
                                <w:b/>
                              </w:rPr>
                              <w:t>Hazards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24" o:spid="_x0000_s1026" style="position:absolute;margin-left:297pt;margin-top:125.35pt;width:145.5pt;height:37.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" fillcolor="#c0504d [3205]" strokecolor="#622423 [1605]" strokeweight="2pt">
                <v:textbox>
                  <w:txbxContent>
                    <w:p w:rsidR="005B083C" w:rsidRDefault="005B083C" w:rsidP="005B083C">
                      <w:pPr>
                        <w:jc w:val="center"/>
                      </w:pPr>
                      <w:r>
                        <w:t>Rate of Fire</w:t>
                      </w:r>
                      <w:r>
                        <w:t xml:space="preserve">        </w:t>
                      </w:r>
                      <w:r>
                        <w:t xml:space="preserve">       </w:t>
                      </w:r>
                      <w:r>
                        <w:t xml:space="preserve"> </w:t>
                      </w:r>
                      <w:r>
                        <w:rPr>
                          <w:b/>
                        </w:rPr>
                        <w:t>Potential Hot Gun</w:t>
                      </w:r>
                      <w:r>
                        <w:rPr>
                          <w:b/>
                        </w:rPr>
                        <w:t xml:space="preserve"> </w:t>
                      </w:r>
                      <w:r w:rsidRPr="005B083C">
                        <w:rPr>
                          <w:b/>
                        </w:rPr>
                        <w:t>Hazards</w:t>
                      </w:r>
                    </w:p>
                  </w:txbxContent>
                </v:textbox>
              </v:rect>
            </w:pict>
          </mc:Fallback>
        </mc:AlternateContent>
      </w:r>
      <w:r>
        <w:rPr>
          <w:noProof/>
          <w:lang w:eastAsia="en-GB"/>
        </w:rPr>
        <mc:AlternateContent>
          <mc:Choice Requires="wps">
            <w:drawing>
              <wp:anchor distT="0" distB="0" distL="114300" distR="114300" simplePos="0" relativeHeight="251706368" behindDoc="0" locked="0" layoutInCell="1" allowOverlap="1" wp14:anchorId="385AD65A" wp14:editId="0FDE1942">
                <wp:simplePos x="0" y="0"/>
                <wp:positionH relativeFrom="column">
                  <wp:posOffset>3771900</wp:posOffset>
                </wp:positionH>
                <wp:positionV relativeFrom="paragraph">
                  <wp:posOffset>1058545</wp:posOffset>
                </wp:positionV>
                <wp:extent cx="1847850" cy="47625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847850" cy="47625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5B083C" w:rsidRDefault="005B083C" w:rsidP="005B083C">
                            <w:pPr>
                              <w:jc w:val="center"/>
                            </w:pPr>
                            <w:r>
                              <w:t xml:space="preserve">Ordnance Set-up         </w:t>
                            </w:r>
                            <w:r>
                              <w:rPr>
                                <w:b/>
                              </w:rPr>
                              <w:t xml:space="preserve">Manual Handling </w:t>
                            </w:r>
                            <w:r w:rsidRPr="005B083C">
                              <w:rPr>
                                <w:b/>
                              </w:rPr>
                              <w:t>Hazards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1" o:spid="_x0000_s1027" style="position:absolute;margin-left:297pt;margin-top:83.35pt;width:145.5pt;height:37.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" fillcolor="#c0504d [3205]" strokecolor="#622423 [1605]" strokeweight="2pt">
                <v:textbox>
                  <w:txbxContent>
                    <w:p w:rsidR="005B083C" w:rsidRDefault="005B083C" w:rsidP="005B083C">
                      <w:pPr>
                        <w:jc w:val="center"/>
                      </w:pPr>
                      <w:r>
                        <w:t xml:space="preserve">Ordnance </w:t>
                      </w:r>
                      <w:r>
                        <w:t xml:space="preserve">Set-up  </w:t>
                      </w:r>
                      <w:r>
                        <w:t xml:space="preserve">   </w:t>
                      </w:r>
                      <w:r>
                        <w:t xml:space="preserve"> </w:t>
                      </w:r>
                      <w:r>
                        <w:t xml:space="preserve">   </w:t>
                      </w:r>
                      <w:r>
                        <w:rPr>
                          <w:b/>
                        </w:rPr>
                        <w:t xml:space="preserve">Manual Handling </w:t>
                      </w:r>
                      <w:r w:rsidRPr="005B083C">
                        <w:rPr>
                          <w:b/>
                        </w:rPr>
                        <w:t>Hazards</w:t>
                      </w:r>
                    </w:p>
                  </w:txbxContent>
                </v:textbox>
              </v:rect>
            </w:pict>
          </mc:Fallback>
        </mc:AlternateContent>
      </w:r>
      <w:r>
        <w:rPr>
          <w:noProof/>
          <w:lang w:eastAsia="en-GB"/>
        </w:rPr>
        <mc:AlternateContent>
          <mc:Choice Requires="wps">
            <w:drawing>
              <wp:anchor distT="0" distB="0" distL="114300" distR="114300" simplePos="0" relativeHeight="251704320" behindDoc="0" locked="0" layoutInCell="1" allowOverlap="1" wp14:anchorId="53C67857" wp14:editId="000377A1">
                <wp:simplePos x="0" y="0"/>
                <wp:positionH relativeFrom="column">
                  <wp:posOffset>3762375</wp:posOffset>
                </wp:positionH>
                <wp:positionV relativeFrom="paragraph">
                  <wp:posOffset>534670</wp:posOffset>
                </wp:positionV>
                <wp:extent cx="184785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847850" cy="4572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5B083C" w:rsidRDefault="005B083C" w:rsidP="005B083C">
                            <w:pPr>
                              <w:jc w:val="center"/>
                            </w:pPr>
                            <w:r>
                              <w:t xml:space="preserve">Instrumentation Set-up   </w:t>
                            </w:r>
                            <w:r w:rsidRPr="005B083C">
                              <w:rPr>
                                <w:b/>
                              </w:rPr>
                              <w:t>Electrical Hazards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0" o:spid="_x0000_s1028" style="position:absolute;margin-left:296.25pt;margin-top:42.1pt;width:145.5pt;height:36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" fillcolor="#c0504d [3205]" strokecolor="#622423 [1605]" strokeweight="2pt">
                <v:textbox>
                  <w:txbxContent>
                    <w:p w:rsidR="005B083C" w:rsidRDefault="005B083C" w:rsidP="005B083C">
                      <w:pPr>
                        <w:jc w:val="center"/>
                      </w:pPr>
                      <w:r>
                        <w:t xml:space="preserve">Instrumentation Set-up   </w:t>
                      </w:r>
                      <w:r w:rsidRPr="005B083C">
                        <w:rPr>
                          <w:b/>
                        </w:rPr>
                        <w:t>Electrical Hazards</w:t>
                      </w:r>
                    </w:p>
                  </w:txbxContent>
                </v:textbox>
              </v:rect>
            </w:pict>
          </mc:Fallback>
        </mc:AlternateContent>
      </w:r>
      <w:r>
        <w:rPr>
          <w:noProof/>
          <w:lang w:eastAsia="en-GB"/>
        </w:rPr>
        <mc:AlternateContent>
          <mc:Choice Requires="wps">
            <w:drawing>
              <wp:anchor distT="0" distB="0" distL="114300" distR="114300" simplePos="0" relativeHeight="251702272" behindDoc="0" locked="0" layoutInCell="1" allowOverlap="1" wp14:anchorId="60A3A671" wp14:editId="01352701">
                <wp:simplePos x="0" y="0"/>
                <wp:positionH relativeFrom="column">
                  <wp:posOffset>3762375</wp:posOffset>
                </wp:positionH>
                <wp:positionV relativeFrom="paragraph">
                  <wp:posOffset>1270</wp:posOffset>
                </wp:positionV>
                <wp:extent cx="1847850" cy="466725"/>
                <wp:effectExtent l="0" t="0" r="19050" b="28575"/>
                <wp:wrapNone/>
                <wp:docPr id="29" name="Rectangle 29"/>
                <wp:cNvGraphicFramePr/>
                <a:graphic xmlns:a="http://schemas.openxmlformats.org/drawingml/2006/main">
                  <a:graphicData uri="http://schemas.microsoft.com/office/word/2010/wordprocessingShape">
                    <wps:wsp>
                      <wps:cNvSpPr/>
                      <wps:spPr>
                        <a:xfrm>
                          <a:off x="0" y="0"/>
                          <a:ext cx="1847850" cy="46672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5B083C" w:rsidRDefault="005B083C" w:rsidP="005B083C">
                            <w:pPr>
                              <w:jc w:val="center"/>
                            </w:pPr>
                            <w:r>
                              <w:t xml:space="preserve">Ammunition Delivery </w:t>
                            </w:r>
                            <w:r w:rsidRPr="005B083C">
                              <w:rPr>
                                <w:b/>
                              </w:rPr>
                              <w:t>Explosive Hazards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9" o:spid="_x0000_s1029" style="position:absolute;margin-left:296.25pt;margin-top:.1pt;width:145.5pt;height:36.7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" fillcolor="#c0504d [3205]" strokecolor="#622423 [1605]" strokeweight="2pt">
                <v:textbox>
                  <w:txbxContent>
                    <w:p w:rsidR="005B083C" w:rsidRDefault="005B083C" w:rsidP="005B083C">
                      <w:pPr>
                        <w:jc w:val="center"/>
                      </w:pPr>
                      <w:r>
                        <w:t xml:space="preserve">Ammunition Delivery </w:t>
                      </w:r>
                      <w:r w:rsidRPr="005B083C">
                        <w:rPr>
                          <w:b/>
                        </w:rPr>
                        <w:t>Explosive Hazards</w:t>
                      </w:r>
                    </w:p>
                  </w:txbxContent>
                </v:textbox>
              </v:rect>
            </w:pict>
          </mc:Fallback>
        </mc:AlternateContent>
      </w:r>
      <w:r>
        <w:rPr>
          <w:noProof/>
          <w:lang w:eastAsia="en-GB"/>
        </w:rPr>
        <mc:AlternateContent>
          <mc:Choice Requires="wps">
            <w:drawing>
              <wp:anchor distT="0" distB="0" distL="114300" distR="114300" simplePos="0" relativeHeight="251701248" behindDoc="0" locked="0" layoutInCell="1" allowOverlap="1">
                <wp:simplePos x="0" y="0"/>
                <wp:positionH relativeFrom="column">
                  <wp:posOffset>-47625</wp:posOffset>
                </wp:positionH>
                <wp:positionV relativeFrom="paragraph">
                  <wp:posOffset>239395</wp:posOffset>
                </wp:positionV>
                <wp:extent cx="171450" cy="0"/>
                <wp:effectExtent l="0" t="76200" r="19050" b="114300"/>
                <wp:wrapNone/>
                <wp:docPr id="28" name="Straight Arrow Connector 28"/>
                <wp:cNvGraphicFramePr/>
                <a:graphic xmlns:a="http://schemas.openxmlformats.org/drawingml/2006/main">
                  <a:graphicData uri="http://schemas.microsoft.com/office/word/2010/wordprocessingShape">
                    <wps:wsp>
                      <wps:cNvCnPr/>
                      <wps:spPr>
                        <a:xfrm>
                          <a:off x="0" y="0"/>
                          <a:ext cx="171450" cy="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8" o:spid="_x0000_s1026" type="#_x0000_t32" style="position:absolute;margin-left:-3.75pt;margin-top:18.85pt;width:13.5pt;height:0;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" strokecolor="black [3040]" strokeweight="1pt">
                <v:stroke endarrow="open"/>
              </v:shape>
            </w:pict>
          </mc:Fallback>
        </mc:AlternateContent>
      </w:r>
      <w:r>
        <w:rPr>
          <w:noProof/>
          <w:lang w:eastAsia="en-GB"/>
        </w:rPr>
        <mc:AlternateContent>
          <mc:Choice Requires="wps">
            <w:drawing>
              <wp:anchor distT="0" distB="0" distL="114300" distR="114300" simplePos="0" relativeHeight="251700224" behindDoc="0" locked="0" layoutInCell="1" allowOverlap="1" wp14:anchorId="53D19DCB" wp14:editId="2B9F697C">
                <wp:simplePos x="0" y="0"/>
                <wp:positionH relativeFrom="column">
                  <wp:posOffset>-47625</wp:posOffset>
                </wp:positionH>
                <wp:positionV relativeFrom="paragraph">
                  <wp:posOffset>239395</wp:posOffset>
                </wp:positionV>
                <wp:extent cx="0" cy="1895475"/>
                <wp:effectExtent l="0" t="0" r="19050" b="9525"/>
                <wp:wrapNone/>
                <wp:docPr id="27" name="Straight Connector 27"/>
                <wp:cNvGraphicFramePr/>
                <a:graphic xmlns:a="http://schemas.openxmlformats.org/drawingml/2006/main">
                  <a:graphicData uri="http://schemas.microsoft.com/office/word/2010/wordprocessingShape">
                    <wps:wsp>
                      <wps:cNvCnPr/>
                      <wps:spPr>
                        <a:xfrm flipV="1">
                          <a:off x="0" y="0"/>
                          <a:ext cx="0" cy="189547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7"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8.85pt" to="-3.75pt,1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" strokecolor="black [3040]" strokeweight="1pt"/>
            </w:pict>
          </mc:Fallback>
        </mc:AlternateContent>
      </w:r>
      <w:r>
        <w:rPr>
          <w:noProof/>
          <w:lang w:eastAsia="en-GB"/>
        </w:rPr>
        <mc:AlternateContent>
          <mc:Choice Requires="wps">
            <w:drawing>
              <wp:anchor distT="0" distB="0" distL="114300" distR="114300" simplePos="0" relativeHeight="251698176" behindDoc="0" locked="0" layoutInCell="1" allowOverlap="1" wp14:anchorId="67967D65" wp14:editId="13556D53">
                <wp:simplePos x="0" y="0"/>
                <wp:positionH relativeFrom="column">
                  <wp:posOffset>-47625</wp:posOffset>
                </wp:positionH>
                <wp:positionV relativeFrom="paragraph">
                  <wp:posOffset>2134870</wp:posOffset>
                </wp:positionV>
                <wp:extent cx="26574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265747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68.1pt" to="205.5pt,1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" strokecolor="black [3040]" strokeweight="1pt"/>
            </w:pict>
          </mc:Fallback>
        </mc:AlternateContent>
      </w:r>
      <w:r>
        <w:rPr>
          <w:noProof/>
          <w:lang w:eastAsia="en-GB"/>
        </w:rPr>
        <mc:AlternateContent>
          <mc:Choice Requires="wps">
            <w:drawing>
              <wp:anchor distT="0" distB="0" distL="114300" distR="114300" simplePos="0" relativeHeight="251696128" behindDoc="0" locked="0" layoutInCell="1" allowOverlap="1" wp14:anchorId="78580F27" wp14:editId="654A4E11">
                <wp:simplePos x="0" y="0"/>
                <wp:positionH relativeFrom="column">
                  <wp:posOffset>2609850</wp:posOffset>
                </wp:positionH>
                <wp:positionV relativeFrom="paragraph">
                  <wp:posOffset>1953895</wp:posOffset>
                </wp:positionV>
                <wp:extent cx="0" cy="180975"/>
                <wp:effectExtent l="0" t="0" r="19050" b="9525"/>
                <wp:wrapNone/>
                <wp:docPr id="25" name="Straight Connector 25"/>
                <wp:cNvGraphicFramePr/>
                <a:graphic xmlns:a="http://schemas.openxmlformats.org/drawingml/2006/main">
                  <a:graphicData uri="http://schemas.microsoft.com/office/word/2010/wordprocessingShape">
                    <wps:wsp>
                      <wps:cNvCnPr/>
                      <wps:spPr>
                        <a:xfrm>
                          <a:off x="0" y="0"/>
                          <a:ext cx="0" cy="18097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5"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05.5pt,153.85pt" to="205.5pt,1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" strokecolor="black [3040]" strokeweight="1pt"/>
            </w:pict>
          </mc:Fallback>
        </mc:AlternateContent>
      </w:r>
      <w:r>
        <w:rPr>
          <w:noProof/>
          <w:lang w:eastAsia="en-GB"/>
        </w:rPr>
        <mc:AlternateContent>
          <mc:Choice Requires="wpg">
            <w:drawing>
              <wp:anchor distT="0" distB="0" distL="114300" distR="114300" simplePos="0" relativeHeight="251695104" behindDoc="0" locked="0" layoutInCell="1" allowOverlap="1">
                <wp:simplePos x="0" y="0"/>
                <wp:positionH relativeFrom="column">
                  <wp:posOffset>76200</wp:posOffset>
                </wp:positionH>
                <wp:positionV relativeFrom="paragraph">
                  <wp:posOffset>1270</wp:posOffset>
                </wp:positionV>
                <wp:extent cx="3352800" cy="1981200"/>
                <wp:effectExtent l="0" t="0" r="19050" b="19050"/>
                <wp:wrapNone/>
                <wp:docPr id="24" name="Group 24"/>
                <wp:cNvGraphicFramePr/>
                <a:graphic xmlns:a="http://schemas.openxmlformats.org/drawingml/2006/main">
                  <a:graphicData uri="http://schemas.microsoft.com/office/word/2010/wordprocessingGroup">
                    <wpg:wgp>
                      <wpg:cNvGrpSpPr/>
                      <wpg:grpSpPr>
                        <a:xfrm>
                          <a:off x="0" y="0"/>
                          <a:ext cx="3352800" cy="1981200"/>
                          <a:chOff x="0" y="0"/>
                          <a:chExt cx="3352800" cy="1981200"/>
                        </a:xfrm>
                      </wpg:grpSpPr>
                      <wps:wsp>
                        <wps:cNvPr id="4" name="Rectangle 4"/>
                        <wps:cNvSpPr/>
                        <wps:spPr>
                          <a:xfrm>
                            <a:off x="0" y="0"/>
                            <a:ext cx="1552575"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7A32" w:rsidRDefault="00BC7A32" w:rsidP="00BC7A32">
                              <w:pPr>
                                <w:jc w:val="center"/>
                              </w:pPr>
                              <w:r>
                                <w:t xml:space="preserve">Round Conditioning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0" y="419100"/>
                            <a:ext cx="1552575" cy="533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7A32" w:rsidRDefault="00BC7A32" w:rsidP="00BC7A32">
                              <w:pPr>
                                <w:jc w:val="center"/>
                              </w:pPr>
                              <w:r>
                                <w:t xml:space="preserve">Charge adjusted to give proof pressures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0" y="1038225"/>
                            <a:ext cx="1552575" cy="533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7A32" w:rsidRDefault="00BC7A32" w:rsidP="00BC7A32">
                              <w:pPr>
                                <w:jc w:val="center"/>
                              </w:pPr>
                              <w:r>
                                <w:t xml:space="preserve">Shell and Charge Transported to the Gun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0" y="1647825"/>
                            <a:ext cx="1552575"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7A32" w:rsidRDefault="00BC7A32" w:rsidP="00BC7A32">
                              <w:pPr>
                                <w:jc w:val="center"/>
                              </w:pPr>
                              <w:r>
                                <w:t xml:space="preserve">Loading Drills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1800225" y="0"/>
                            <a:ext cx="1552575"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7A32" w:rsidRDefault="00BC7A32" w:rsidP="00BC7A32">
                              <w:pPr>
                                <w:jc w:val="center"/>
                              </w:pPr>
                              <w:r>
                                <w:t xml:space="preserve">Instrumentation Check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1800225" y="409575"/>
                            <a:ext cx="1552575"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7A32" w:rsidRDefault="00BC7A32" w:rsidP="00BC7A32">
                              <w:pPr>
                                <w:jc w:val="center"/>
                              </w:pPr>
                              <w:r>
                                <w:t xml:space="preserve">Undercover Signal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1800225" y="819150"/>
                            <a:ext cx="1552575"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7A32" w:rsidRDefault="00BC7A32" w:rsidP="00BC7A32">
                              <w:pPr>
                                <w:jc w:val="center"/>
                              </w:pPr>
                              <w:r>
                                <w:t xml:space="preserve">Round Fired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800225" y="1228725"/>
                            <a:ext cx="1552575"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7A32" w:rsidRDefault="00BC7A32" w:rsidP="00BC7A32">
                              <w:pPr>
                                <w:jc w:val="center"/>
                              </w:pPr>
                              <w:r>
                                <w:t xml:space="preserve">Gun Clearance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800225" y="1638300"/>
                            <a:ext cx="1552575"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7A32" w:rsidRDefault="00BC7A32" w:rsidP="00BC7A32">
                              <w:pPr>
                                <w:jc w:val="center"/>
                              </w:pPr>
                              <w:r>
                                <w:t xml:space="preserve">Gun Cleaning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traight Arrow Connector 15"/>
                        <wps:cNvCnPr/>
                        <wps:spPr>
                          <a:xfrm>
                            <a:off x="771525" y="285750"/>
                            <a:ext cx="0" cy="18097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a:off x="781050" y="914400"/>
                            <a:ext cx="0" cy="18097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wps:spPr>
                          <a:xfrm>
                            <a:off x="790575" y="1514475"/>
                            <a:ext cx="0" cy="18097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18" name="Elbow Connector 18"/>
                        <wps:cNvCnPr/>
                        <wps:spPr>
                          <a:xfrm flipV="1">
                            <a:off x="1552575" y="171450"/>
                            <a:ext cx="295275" cy="1628775"/>
                          </a:xfrm>
                          <a:prstGeom prst="bentConnector3">
                            <a:avLst>
                              <a:gd name="adj1" fmla="val 37097"/>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a:off x="2524125" y="285750"/>
                            <a:ext cx="0" cy="18097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2533650" y="685800"/>
                            <a:ext cx="0" cy="18097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wps:spPr>
                          <a:xfrm>
                            <a:off x="2533650" y="1085850"/>
                            <a:ext cx="0" cy="18097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22" name="Straight Arrow Connector 22"/>
                        <wps:cNvCnPr/>
                        <wps:spPr>
                          <a:xfrm>
                            <a:off x="2533650" y="1495425"/>
                            <a:ext cx="0" cy="180975"/>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4" o:spid="_x0000_s1030" style="position:absolute;margin-left:6pt;margin-top:.1pt;width:264pt;height:156pt;z-index:251695104" coordsize="33528,19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">
                <v:rect id="Rectangle 4" o:spid="_x0000_s1031" style="position:absolute;width:15525;height:33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YTMIA&#10;AADaAAAADwAAAGRycy9kb3ducmV2LnhtbESP0WrCQBRE3wv+w3KFvjUbS7AhzSoiFMWXUvUDLtnb&#10;JJq9G3bXJPXru0Khj8PMnGHK9WQ6MZDzrWUFiyQFQVxZ3XKt4Hz6eMlB+ICssbNMCn7Iw3o1eyqx&#10;0HbkLxqOoRYRwr5ABU0IfSGlrxoy6BPbE0fv2zqDIUpXS+1wjHDTydc0XUqDLceFBnvaNlRdjzej&#10;wC4+w+E0Zjem0e3y9lJ197dcqef5tHkHEWgK/+G/9l4ryOBxJd4A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5hMwgAAANoAAAAPAAAAAAAAAAAAAAAAAJgCAABkcnMvZG93&#10;bnJldi54bWxQSwUGAAAAAAQABAD1AAAAhwMAAAAA&#10;" fillcolor="#4f81bd [3204]" strokecolor="#243f60 [1604]" strokeweight="2pt">
                  <v:textbox>
                    <w:txbxContent>
                      <w:p w:rsidR="00BC7A32" w:rsidRDefault="00BC7A32" w:rsidP="00BC7A32">
                        <w:pPr>
                          <w:jc w:val="center"/>
                        </w:pPr>
                        <w:r>
                          <w:t xml:space="preserve">Round Conditioning </w:t>
                        </w:r>
                      </w:p>
                    </w:txbxContent>
                  </v:textbox>
                </v:rect>
                <v:rect id="Rectangle 6" o:spid="_x0000_s1032" style="position:absolute;top:4191;width:15525;height:5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GjoMEA&#10;AADaAAAADwAAAGRycy9kb3ducmV2LnhtbESP0YrCMBRE34X9h3AF3zRVREs1iiyI4ous9QMuzbXt&#10;bnNTkmi7+/VGWPBxmJkzzHrbm0Y8yPnasoLpJAFBXFhdc6ngmu/HKQgfkDU2lknBL3nYbj4Ga8y0&#10;7fiLHpdQighhn6GCKoQ2k9IXFRn0E9sSR+9mncEQpSuldthFuGnkLEkW0mDNcaHClj4rKn4ud6PA&#10;Ts/hlHfzO1PnDmn9XTR/y1Sp0bDfrUAE6sM7/N8+agULeF2JN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xo6DBAAAA2gAAAA8AAAAAAAAAAAAAAAAAmAIAAGRycy9kb3du&#10;cmV2LnhtbFBLBQYAAAAABAAEAPUAAACGAwAAAAA=&#10;" fillcolor="#4f81bd [3204]" strokecolor="#243f60 [1604]" strokeweight="2pt">
                  <v:textbox>
                    <w:txbxContent>
                      <w:p w:rsidR="00BC7A32" w:rsidRDefault="00BC7A32" w:rsidP="00BC7A32">
                        <w:pPr>
                          <w:jc w:val="center"/>
                        </w:pPr>
                        <w:r>
                          <w:t>Charge adjusted to give proof pressures</w:t>
                        </w:r>
                        <w:r>
                          <w:t xml:space="preserve"> </w:t>
                        </w:r>
                      </w:p>
                    </w:txbxContent>
                  </v:textbox>
                </v:rect>
                <v:rect id="Rectangle 7" o:spid="_x0000_s1033" style="position:absolute;top:10382;width:15525;height:5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0GO8IA&#10;AADaAAAADwAAAGRycy9kb3ducmV2LnhtbESP3WrCQBSE7wu+w3KE3tVNSqkhuooIpaU3pdEHOGSP&#10;STR7NuxufvTpu4LQy2FmvmHW28m0YiDnG8sK0kUCgri0uuFKwfHw8ZKB8AFZY2uZFFzJw3Yze1pj&#10;ru3IvzQUoRIRwj5HBXUIXS6lL2sy6Be2I47eyTqDIUpXSe1wjHDTytckeZcGG44LNXa0r6m8FL1R&#10;YNOf8H0Y33qm0X1mzblsb8tMqef5tFuBCDSF//Cj/aUVLOF+Jd4A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PQY7wgAAANoAAAAPAAAAAAAAAAAAAAAAAJgCAABkcnMvZG93&#10;bnJldi54bWxQSwUGAAAAAAQABAD1AAAAhwMAAAAA&#10;" fillcolor="#4f81bd [3204]" strokecolor="#243f60 [1604]" strokeweight="2pt">
                  <v:textbox>
                    <w:txbxContent>
                      <w:p w:rsidR="00BC7A32" w:rsidRDefault="00BC7A32" w:rsidP="00BC7A32">
                        <w:pPr>
                          <w:jc w:val="center"/>
                        </w:pPr>
                        <w:r>
                          <w:t>Shell and Charge Transported to the Gun</w:t>
                        </w:r>
                        <w:r>
                          <w:t xml:space="preserve"> </w:t>
                        </w:r>
                      </w:p>
                    </w:txbxContent>
                  </v:textbox>
                </v:rect>
                <v:rect id="Rectangle 9" o:spid="_x0000_s1034" style="position:absolute;top:16478;width:15525;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430sEA&#10;AADaAAAADwAAAGRycy9kb3ducmV2LnhtbESP0YrCMBRE3wX/IVzBN01dZLdWo8iCKPuyrPoBl+ba&#10;VpubkkRb/XqzIPg4zMwZZrHqTC1u5HxlWcFknIAgzq2uuFBwPGxGKQgfkDXWlknBnTyslv3eAjNt&#10;W/6j2z4UIkLYZ6igDKHJpPR5SQb92DbE0TtZZzBE6QqpHbYRbmr5kSSf0mDFcaHEhr5Lyi/7q1Fg&#10;J7/h59BOr0yt26bVOa8fX6lSw0G3noMI1IV3+NXeaQUz+L8Sb4B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uN9LBAAAA2gAAAA8AAAAAAAAAAAAAAAAAmAIAAGRycy9kb3du&#10;cmV2LnhtbFBLBQYAAAAABAAEAPUAAACGAwAAAAA=&#10;" fillcolor="#4f81bd [3204]" strokecolor="#243f60 [1604]" strokeweight="2pt">
                  <v:textbox>
                    <w:txbxContent>
                      <w:p w:rsidR="00BC7A32" w:rsidRDefault="00BC7A32" w:rsidP="00BC7A32">
                        <w:pPr>
                          <w:jc w:val="center"/>
                        </w:pPr>
                        <w:r>
                          <w:t>Loading Drills</w:t>
                        </w:r>
                        <w:r>
                          <w:t xml:space="preserve"> </w:t>
                        </w:r>
                      </w:p>
                    </w:txbxContent>
                  </v:textbox>
                </v:rect>
                <v:rect id="Rectangle 10" o:spid="_x0000_s1035" style="position:absolute;left:18002;width:15526;height:33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2Bs8MA&#10;AADbAAAADwAAAGRycy9kb3ducmV2LnhtbESP3WrCQBCF7wu+wzKCd3VjEQ3RVUQoLb0Rfx5gyI5J&#10;NDsbdleT9uk7F4XezXDOnPPNeju4Vj0pxMazgdk0A0VcettwZeByfn/NQcWEbLH1TAa+KcJ2M3pZ&#10;Y2F9z0d6nlKlJIRjgQbqlLpC61jW5DBOfUcs2tUHh0nWUGkbsJdw1+q3LFtohw1LQ40d7Wsq76eH&#10;M+Bnh/R17ucPpj585M2tbH+WuTGT8bBbgUo0pH/z3/WnFXyhl19kAL3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2Bs8MAAADbAAAADwAAAAAAAAAAAAAAAACYAgAAZHJzL2Rv&#10;d25yZXYueG1sUEsFBgAAAAAEAAQA9QAAAIgDAAAAAA==&#10;" fillcolor="#4f81bd [3204]" strokecolor="#243f60 [1604]" strokeweight="2pt">
                  <v:textbox>
                    <w:txbxContent>
                      <w:p w:rsidR="00BC7A32" w:rsidRDefault="00BC7A32" w:rsidP="00BC7A32">
                        <w:pPr>
                          <w:jc w:val="center"/>
                        </w:pPr>
                        <w:r>
                          <w:t>Instrumentation Check</w:t>
                        </w:r>
                        <w:r>
                          <w:t xml:space="preserve"> </w:t>
                        </w:r>
                      </w:p>
                    </w:txbxContent>
                  </v:textbox>
                </v:rect>
                <v:rect id="Rectangle 11" o:spid="_x0000_s1036" style="position:absolute;left:18002;top:4095;width:15526;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EkKL8A&#10;AADbAAAADwAAAGRycy9kb3ducmV2LnhtbERPzYrCMBC+C75DGMGbpl1ESzWKCLKyl2XVBxiasa02&#10;k5JEW/fpN8KCt/n4fme16U0jHuR8bVlBOk1AEBdW11wqOJ/2kwyED8gaG8uk4EkeNuvhYIW5th3/&#10;0OMYShFD2OeooAqhzaX0RUUG/dS2xJG7WGcwROhKqR12Mdw08iNJ5tJgzbGhwpZ2FRW3490osOl3&#10;+Dp1sztT5z6z+lo0v4tMqfGo3y5BBOrDW/zvPug4P4XXL/EAuf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YSQovwAAANsAAAAPAAAAAAAAAAAAAAAAAJgCAABkcnMvZG93bnJl&#10;di54bWxQSwUGAAAAAAQABAD1AAAAhAMAAAAA&#10;" fillcolor="#4f81bd [3204]" strokecolor="#243f60 [1604]" strokeweight="2pt">
                  <v:textbox>
                    <w:txbxContent>
                      <w:p w:rsidR="00BC7A32" w:rsidRDefault="00BC7A32" w:rsidP="00BC7A32">
                        <w:pPr>
                          <w:jc w:val="center"/>
                        </w:pPr>
                        <w:r>
                          <w:t>Undercover Signal</w:t>
                        </w:r>
                        <w:r>
                          <w:t xml:space="preserve"> </w:t>
                        </w:r>
                      </w:p>
                    </w:txbxContent>
                  </v:textbox>
                </v:rect>
                <v:rect id="Rectangle 12" o:spid="_x0000_s1037" style="position:absolute;left:18002;top:8191;width:15526;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O6X8EA&#10;AADbAAAADwAAAGRycy9kb3ducmV2LnhtbERP22rCQBB9L/gPywi+1U2CtCG6igil0pdS9QOG7JhE&#10;s7Nhd3OxX98tFPo2h3OdzW4yrRjI+caygnSZgCAurW64UnA5vz3nIHxA1thaJgUP8rDbzp42WGg7&#10;8hcNp1CJGMK+QAV1CF0hpS9rMuiXtiOO3NU6gyFCV0ntcIzhppVZkrxIgw3Hhho7OtRU3k+9UWDT&#10;z/BxHlc90+je8+ZWtt+vuVKL+bRfgwg0hX/xn/uo4/wMfn+JB8jt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zul/BAAAA2wAAAA8AAAAAAAAAAAAAAAAAmAIAAGRycy9kb3du&#10;cmV2LnhtbFBLBQYAAAAABAAEAPUAAACGAwAAAAA=&#10;" fillcolor="#4f81bd [3204]" strokecolor="#243f60 [1604]" strokeweight="2pt">
                  <v:textbox>
                    <w:txbxContent>
                      <w:p w:rsidR="00BC7A32" w:rsidRDefault="00BC7A32" w:rsidP="00BC7A32">
                        <w:pPr>
                          <w:jc w:val="center"/>
                        </w:pPr>
                        <w:r>
                          <w:t>Round Fired</w:t>
                        </w:r>
                        <w:r>
                          <w:t xml:space="preserve"> </w:t>
                        </w:r>
                      </w:p>
                    </w:txbxContent>
                  </v:textbox>
                </v:rect>
                <v:rect id="Rectangle 13" o:spid="_x0000_s1038" style="position:absolute;left:18002;top:12287;width:15526;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8fxL8A&#10;AADbAAAADwAAAGRycy9kb3ducmV2LnhtbERPzYrCMBC+C75DGMGbpq7LWqpRZEGUvSyrPsDQjG21&#10;mZQk2urTmwXB23x8v7NYdaYWN3K+sqxgMk5AEOdWV1woOB42oxSED8gaa8uk4E4eVst+b4GZti3/&#10;0W0fChFD2GeooAyhyaT0eUkG/dg2xJE7WWcwROgKqR22MdzU8iNJvqTBimNDiQ19l5Rf9lejwE5+&#10;w8+h/bwytW6bVue8fsxSpYaDbj0HEagLb/HLvdNx/hT+f4kHyO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0/x/EvwAAANsAAAAPAAAAAAAAAAAAAAAAAJgCAABkcnMvZG93bnJl&#10;di54bWxQSwUGAAAAAAQABAD1AAAAhAMAAAAA&#10;" fillcolor="#4f81bd [3204]" strokecolor="#243f60 [1604]" strokeweight="2pt">
                  <v:textbox>
                    <w:txbxContent>
                      <w:p w:rsidR="00BC7A32" w:rsidRDefault="00BC7A32" w:rsidP="00BC7A32">
                        <w:pPr>
                          <w:jc w:val="center"/>
                        </w:pPr>
                        <w:r>
                          <w:t>Gun Clearance</w:t>
                        </w:r>
                        <w:r>
                          <w:t xml:space="preserve"> </w:t>
                        </w:r>
                      </w:p>
                    </w:txbxContent>
                  </v:textbox>
                </v:rect>
                <v:rect id="Rectangle 14" o:spid="_x0000_s1039" style="position:absolute;left:18002;top:16383;width:15526;height:33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HsL8A&#10;AADbAAAADwAAAGRycy9kb3ducmV2LnhtbERP24rCMBB9X/Afwgi+ramLuKUaRYRF8UW8fMDQjG21&#10;mZQk2urXG0HYtzmc68wWnanFnZyvLCsYDRMQxLnVFRcKTse/7xSED8gaa8uk4EEeFvPe1wwzbVve&#10;0/0QChFD2GeooAyhyaT0eUkG/dA2xJE7W2cwROgKqR22MdzU8idJJtJgxbGhxIZWJeXXw80osKNd&#10;2B7b8Y2pdeu0uuT18zdVatDvllMQgbrwL/64NzrOH8P7l3iAn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FoewvwAAANsAAAAPAAAAAAAAAAAAAAAAAJgCAABkcnMvZG93bnJl&#10;di54bWxQSwUGAAAAAAQABAD1AAAAhAMAAAAA&#10;" fillcolor="#4f81bd [3204]" strokecolor="#243f60 [1604]" strokeweight="2pt">
                  <v:textbox>
                    <w:txbxContent>
                      <w:p w:rsidR="00BC7A32" w:rsidRDefault="00BC7A32" w:rsidP="00BC7A32">
                        <w:pPr>
                          <w:jc w:val="center"/>
                        </w:pPr>
                        <w:r>
                          <w:t>Gun Cleaning</w:t>
                        </w:r>
                        <w:r>
                          <w:t xml:space="preserve"> </w:t>
                        </w:r>
                      </w:p>
                    </w:txbxContent>
                  </v:textbox>
                </v:rect>
                <v:shape id="Straight Arrow Connector 15" o:spid="_x0000_s1040" type="#_x0000_t32" style="position:absolute;left:7715;top:2857;width:0;height:1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iJu8UAAADbAAAADwAAAGRycy9kb3ducmV2LnhtbERPS0vDQBC+C/0PywhexG58VNq02yBG&#10;JR5KaPTQ4zQ7JqHZ2ZBdk+ivdwXB23x8z9kkk2nFQL1rLCu4nkcgiEurG64UvL89Xy1BOI+ssbVM&#10;Cr7IQbKdnW0w1nbkPQ2Fr0QIYRejgtr7LpbSlTUZdHPbEQfuw/YGfYB9JXWPYwg3rbyJontpsOHQ&#10;UGNHjzWVp+LTKHjKDpSvXvO7Ip8ub1+O3+muTVOlLs6nhzUIT5P/F/+5Mx3mL+D3l3CA3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jiJu8UAAADbAAAADwAAAAAAAAAA&#10;AAAAAAChAgAAZHJzL2Rvd25yZXYueG1sUEsFBgAAAAAEAAQA+QAAAJMDAAAAAA==&#10;" strokecolor="black [3040]" strokeweight="1pt">
                  <v:stroke endarrow="open"/>
                </v:shape>
                <v:shape id="Straight Arrow Connector 16" o:spid="_x0000_s1041" type="#_x0000_t32" style="position:absolute;left:7810;top:9144;width:0;height:18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oXzMQAAADbAAAADwAAAGRycy9kb3ducmV2LnhtbERPTWvCQBC9F/oflin0UnRjW6SNrlKM&#10;Fj1IaOzB45gdk9DsbMiuGvvrXUHwNo/3OeNpZ2pxpNZVlhUM+hEI4tzqigsFv5tF7wOE88gaa8uk&#10;4EwOppPHhzHG2p74h46ZL0QIYRejgtL7JpbS5SUZdH3bEAdub1uDPsC2kLrFUwg3tXyNoqE0WHFo&#10;KLGhWUn5X3YwCubLLaWfq/Q9S7uXt+/df7Kuk0Sp56fuawTCU+fv4pt7qcP8IVx/CQfIy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6hfMxAAAANsAAAAPAAAAAAAAAAAA&#10;AAAAAKECAABkcnMvZG93bnJldi54bWxQSwUGAAAAAAQABAD5AAAAkgMAAAAA&#10;" strokecolor="black [3040]" strokeweight="1pt">
                  <v:stroke endarrow="open"/>
                </v:shape>
                <v:shape id="Straight Arrow Connector 17" o:spid="_x0000_s1042" type="#_x0000_t32" style="position:absolute;left:7905;top:15144;width:0;height:1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ayV8UAAADbAAAADwAAAGRycy9kb3ducmV2LnhtbERPS0vDQBC+C/0PywhexG58UNu02yBG&#10;JR5KaPTQ4zQ7JqHZ2ZBdk+ivdwXB23x8z9kkk2nFQL1rLCu4nkcgiEurG64UvL89Xy1BOI+ssbVM&#10;Cr7IQbKdnW0w1nbkPQ2Fr0QIYRejgtr7LpbSlTUZdHPbEQfuw/YGfYB9JXWPYwg3rbyJooU02HBo&#10;qLGjx5rKU/FpFDxlB8pXr/ldkU+Xty/H73TXpqlSF+fTwxqEp8n/i//cmQ7z7+H3l3CA3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ayV8UAAADbAAAADwAAAAAAAAAA&#10;AAAAAAChAgAAZHJzL2Rvd25yZXYueG1sUEsFBgAAAAAEAAQA+QAAAJMDAAAAAA==&#10;" strokecolor="black [3040]" strokeweight="1pt">
                  <v:stroke endarrow="open"/>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8" o:spid="_x0000_s1043" type="#_x0000_t34" style="position:absolute;left:15525;top:1714;width:2953;height:16288;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NFwcUAAADbAAAADwAAAGRycy9kb3ducmV2LnhtbESPQWvCQBCF70L/wzKF3symFkSiq7SF&#10;2kIRSVrwOmbHJDQ7G7Krpv565yB4m+G9ee+bxWpwrTpRHxrPBp6TFBRx6W3DlYHfn4/xDFSIyBZb&#10;z2TgnwKslg+jBWbWnzmnUxErJSEcMjRQx9hlWoeyJoch8R2xaAffO4yy9pW2PZ4l3LV6kqZT7bBh&#10;aaixo/eayr/i6Axc7D7P3zbrttjuqm/+fInDutgY8/Q4vM5BRRri3Xy7/rKCL7Dyiwygl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NFwcUAAADbAAAADwAAAAAAAAAA&#10;AAAAAAChAgAAZHJzL2Rvd25yZXYueG1sUEsFBgAAAAAEAAQA+QAAAJMDAAAAAA==&#10;" adj="8013" strokecolor="black [3040]" strokeweight="1pt">
                  <v:stroke endarrow="open"/>
                </v:shape>
                <v:shape id="Straight Arrow Connector 19" o:spid="_x0000_s1044" type="#_x0000_t32" style="position:absolute;left:25241;top:2857;width:0;height:1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WDvsQAAADbAAAADwAAAGRycy9kb3ducmV2LnhtbERPTWvCQBC9C/6HZQq9iG5sRWp0FWna&#10;ogcJjT30OGanSTA7G7JbTf31XUHwNo/3OYtVZ2pxotZVlhWMRxEI4tzqigsFX/v34QsI55E11pZJ&#10;wR85WC37vQXG2p75k06ZL0QIYRejgtL7JpbS5SUZdCPbEAfux7YGfYBtIXWL5xBuavkURVNpsOLQ&#10;UGJDryXlx+zXKHjbfFM626aTLO0Gzx+HS7Krk0Spx4duPQfhqfN38c290WH+DK6/hAPk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dYO+xAAAANsAAAAPAAAAAAAAAAAA&#10;AAAAAKECAABkcnMvZG93bnJldi54bWxQSwUGAAAAAAQABAD5AAAAkgMAAAAA&#10;" strokecolor="black [3040]" strokeweight="1pt">
                  <v:stroke endarrow="open"/>
                </v:shape>
                <v:shape id="Straight Arrow Connector 20" o:spid="_x0000_s1045" type="#_x0000_t32" style="position:absolute;left:25336;top:6858;width:0;height:18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PgnsQAAADbAAAADwAAAGRycy9kb3ducmV2LnhtbERPTWvCQBC9F/wPywheitnUSmmjq5RG&#10;ix5KaOzB45gdk9DsbMiuGv317qHQ4+N9z5e9acSZOldbVvAUxSCIC6trLhX87NbjVxDOI2tsLJOC&#10;KzlYLgYPc0y0vfA3nXNfihDCLkEFlfdtIqUrKjLoItsSB+5oO4M+wK6UusNLCDeNnMTxizRYc2io&#10;sKWPiorf/GQUrDZ7yt622TTP+sfnz8Mt/WrSVKnRsH+fgfDU+3/xn3ujFUzC+vAl/AC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I+CexAAAANsAAAAPAAAAAAAAAAAA&#10;AAAAAKECAABkcnMvZG93bnJldi54bWxQSwUGAAAAAAQABAD5AAAAkgMAAAAA&#10;" strokecolor="black [3040]" strokeweight="1pt">
                  <v:stroke endarrow="open"/>
                </v:shape>
                <v:shape id="Straight Arrow Connector 21" o:spid="_x0000_s1046" type="#_x0000_t32" style="position:absolute;left:25336;top:10858;width:0;height:1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9FBccAAADbAAAADwAAAGRycy9kb3ducmV2LnhtbESPQWvCQBSE7wX/w/IKvRTdaEVsdBUx&#10;bdGDhKYePD6zr0kw+zZkt5r667uC0OMwM98w82VnanGm1lWWFQwHEQji3OqKCwX7r/f+FITzyBpr&#10;y6TglxwsF72HOcbaXviTzpkvRICwi1FB6X0TS+nykgy6gW2Ig/dtW4M+yLaQusVLgJtajqJoIg1W&#10;HBZKbGhdUn7KfoyCt82B0tdtOs7S7vnl43hNdnWSKPX02K1mIDx1/j98b2+0gtEQbl/CD5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b0UFxwAAANsAAAAPAAAAAAAA&#10;AAAAAAAAAKECAABkcnMvZG93bnJldi54bWxQSwUGAAAAAAQABAD5AAAAlQMAAAAA&#10;" strokecolor="black [3040]" strokeweight="1pt">
                  <v:stroke endarrow="open"/>
                </v:shape>
                <v:shape id="Straight Arrow Connector 22" o:spid="_x0000_s1047" type="#_x0000_t32" style="position:absolute;left:25336;top:14954;width:0;height:18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3bcsYAAADbAAAADwAAAGRycy9kb3ducmV2LnhtbESPQUvEMBSE78L+h/AWvIhNrYtobbos&#10;VqUepFg9eHw2z7Zs81KauK3+eiMseBxm5hsm2y5mEAeaXG9ZwUUUgyBurO65VfD2+nB+DcJ5ZI2D&#10;ZVLwTQ62+eokw1TbmV/oUPtWBAi7FBV03o+plK7pyKCL7EgcvE87GfRBTq3UE84BbgaZxPGVNNhz&#10;WOhwpLuOmn39ZRTcl+9U3TxVm7pazi4fP36K56EolDpdL7tbEJ4W/x8+tkutIEng70v4AT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u923LGAAAA2wAAAA8AAAAAAAAA&#10;AAAAAAAAoQIAAGRycy9kb3ducmV2LnhtbFBLBQYAAAAABAAEAPkAAACUAwAAAAA=&#10;" strokecolor="black [3040]" strokeweight="1pt">
                  <v:stroke endarrow="open"/>
                </v:shape>
              </v:group>
            </w:pict>
          </mc:Fallback>
        </mc:AlternateContent>
      </w:r>
      <w:r w:rsidR="00911C6D">
        <w:br w:type="page"/>
      </w:r>
    </w:p>
    <w:p w:rsidR="00B175B9" w:rsidRDefault="00911C6D" w:rsidP="00532679">
      <w:pPr>
        <w:pStyle w:val="Heading1"/>
        <w:numPr>
          <w:ilvl w:val="0"/>
          <w:numId w:val="1"/>
        </w:numPr>
        <w:rPr>
          <w:rStyle w:val="tgc"/>
        </w:rPr>
      </w:pPr>
      <w:bookmarkStart w:id="7" w:name="_Toc481996779"/>
      <w:r>
        <w:rPr>
          <w:rStyle w:val="tgc"/>
        </w:rPr>
        <w:lastRenderedPageBreak/>
        <w:t>Hazardous Activity Management</w:t>
      </w:r>
      <w:bookmarkEnd w:id="7"/>
    </w:p>
    <w:p w:rsidR="004C24F3" w:rsidRDefault="00F60701" w:rsidP="00F60701">
      <w:pPr>
        <w:pStyle w:val="Heading2"/>
        <w:numPr>
          <w:ilvl w:val="0"/>
          <w:numId w:val="0"/>
        </w:numPr>
        <w:spacing w:after="240"/>
        <w:rPr>
          <w:rFonts w:asciiTheme="minorHAnsi" w:eastAsiaTheme="minorHAnsi" w:hAnsiTheme="minorHAnsi" w:cstheme="minorBidi"/>
          <w:b w:val="0"/>
          <w:bCs w:val="0"/>
          <w:color w:val="auto"/>
          <w:sz w:val="22"/>
          <w:szCs w:val="22"/>
        </w:rPr>
      </w:pPr>
      <w:bookmarkStart w:id="8" w:name="_Toc479605175"/>
      <w:bookmarkStart w:id="9" w:name="_Toc479665851"/>
      <w:bookmarkStart w:id="10" w:name="_Toc480293969"/>
      <w:bookmarkStart w:id="11" w:name="_Toc481996780"/>
      <w:r>
        <w:rPr>
          <w:rFonts w:asciiTheme="minorHAnsi" w:eastAsiaTheme="minorHAnsi" w:hAnsiTheme="minorHAnsi" w:cstheme="minorBidi"/>
          <w:b w:val="0"/>
          <w:bCs w:val="0"/>
          <w:color w:val="auto"/>
          <w:sz w:val="22"/>
          <w:szCs w:val="22"/>
        </w:rPr>
        <w:t>Risk is best defined as an “Exposure to Danger”. This takes many forms. A health risk is a danger that may cause harm, injury or death to a person; whereas business or reputational risk is a danger that could cause strike a loss to the organisation. All of these potential dangers must be considered when designing a trials activity.</w:t>
      </w:r>
      <w:bookmarkEnd w:id="8"/>
      <w:bookmarkEnd w:id="9"/>
      <w:bookmarkEnd w:id="10"/>
      <w:bookmarkEnd w:id="11"/>
    </w:p>
    <w:p w:rsidR="0079393E" w:rsidRDefault="00F60701" w:rsidP="0079393E">
      <w:r>
        <w:t>For this reason, QinetiQ employ a process of Hazardous Activity Management (HAM) based on the “as low as is reasonably practicable” (ALARP)</w:t>
      </w:r>
      <w:r w:rsidR="00F67C9E">
        <w:t xml:space="preserve"> principle as defined by the Health &amp; Safety Executive (HSE).</w:t>
      </w:r>
      <w:r w:rsidR="00246998">
        <w:t xml:space="preserve"> This method defines goals for duty-holders, as opposed to setting a minimum requirement for controlling risk. These goals are typically established by looking at current industry</w:t>
      </w:r>
      <w:r w:rsidR="002B613E">
        <w:t xml:space="preserve"> best practic</w:t>
      </w:r>
      <w:r w:rsidR="00246998">
        <w:t>e, with new or novel activities pushing the boundarie</w:t>
      </w:r>
      <w:r w:rsidR="002B613E">
        <w:t>s of the prescribed best practic</w:t>
      </w:r>
      <w:r w:rsidR="00246998">
        <w:t>e</w:t>
      </w:r>
      <w:sdt>
        <w:sdtPr>
          <w:id w:val="-350962208"/>
          <w:citation/>
        </w:sdtPr>
        <w:sdtEndPr/>
        <w:sdtContent>
          <w:r w:rsidR="00246998">
            <w:fldChar w:fldCharType="begin"/>
          </w:r>
          <w:r w:rsidR="00246998">
            <w:instrText xml:space="preserve"> CITATION Hea \l 2057 </w:instrText>
          </w:r>
          <w:r w:rsidR="00246998">
            <w:fldChar w:fldCharType="separate"/>
          </w:r>
          <w:r w:rsidR="00C111E7">
            <w:rPr>
              <w:noProof/>
            </w:rPr>
            <w:t xml:space="preserve"> (2)</w:t>
          </w:r>
          <w:r w:rsidR="00246998">
            <w:fldChar w:fldCharType="end"/>
          </w:r>
        </w:sdtContent>
      </w:sdt>
      <w:r w:rsidR="00246998">
        <w:t xml:space="preserve">. After all activates, lessons learnt are formally recorded and implemented in future work. </w:t>
      </w:r>
    </w:p>
    <w:p w:rsidR="0079393E" w:rsidRPr="0079393E" w:rsidRDefault="00325305" w:rsidP="0079393E">
      <w:pPr>
        <w:pStyle w:val="Heading2"/>
        <w:numPr>
          <w:ilvl w:val="1"/>
          <w:numId w:val="1"/>
        </w:numPr>
        <w:spacing w:after="240"/>
      </w:pPr>
      <w:bookmarkStart w:id="12" w:name="_Toc481996781"/>
      <w:r>
        <w:t>Best Practic</w:t>
      </w:r>
      <w:r w:rsidR="00C67841">
        <w:t>e</w:t>
      </w:r>
      <w:bookmarkEnd w:id="12"/>
    </w:p>
    <w:p w:rsidR="00C67841" w:rsidRDefault="00C67841" w:rsidP="00C67841">
      <w:r>
        <w:t>Within the defence sector, the defined “</w:t>
      </w:r>
      <w:r w:rsidR="009E34F6">
        <w:t>best practic</w:t>
      </w:r>
      <w:r>
        <w:t>e” is typically set by the military</w:t>
      </w:r>
      <w:r w:rsidR="009E34F6">
        <w:t>, as they have the most exposure to the articles involved</w:t>
      </w:r>
      <w:r>
        <w:t xml:space="preserve">. </w:t>
      </w:r>
      <w:r w:rsidR="009E34F6">
        <w:t xml:space="preserve">Regularly </w:t>
      </w:r>
      <w:r>
        <w:t>updated information is broadcast within the defence sector through Joint Service Publications (JSP),</w:t>
      </w:r>
      <w:r w:rsidR="00B44D19">
        <w:t xml:space="preserve"> Allied Ordnance Publications (AOP)</w:t>
      </w:r>
      <w:r>
        <w:t xml:space="preserve"> Approved Codes of Practice (ACOP) and Defence Ordinance Safety Group (DOSG) Advice.</w:t>
      </w:r>
      <w:r w:rsidR="009E34F6">
        <w:t xml:space="preserve"> This forms a collective of information regarding incidents and effective control measures for most test items.</w:t>
      </w:r>
    </w:p>
    <w:p w:rsidR="00176FA9" w:rsidRDefault="00C67841" w:rsidP="00C67841">
      <w:r>
        <w:t>Furthermore, QinetiQ operates on Ministry of Defence (MoD) owned land across the UK under a contract known as the Long-term partnering agreement (LTPA)</w:t>
      </w:r>
      <w:r w:rsidR="009E34F6">
        <w:t>. As a direct result this agreement; QinetiQ are con</w:t>
      </w:r>
      <w:r w:rsidR="002C45F8">
        <w:t>tractually obligated to follow established MOD</w:t>
      </w:r>
      <w:r w:rsidR="009E34F6">
        <w:t xml:space="preserve"> procedures with minimal deviation. Any deviation must be subject to scrutiny and </w:t>
      </w:r>
      <w:r w:rsidR="002C45F8">
        <w:t>suitably authorised by a responsible person within QinetiQ</w:t>
      </w:r>
      <w:r w:rsidR="009E34F6">
        <w:t xml:space="preserve">. </w:t>
      </w:r>
    </w:p>
    <w:p w:rsidR="002C45F8" w:rsidRDefault="002C45F8" w:rsidP="002C45F8">
      <w:pPr>
        <w:pStyle w:val="Heading2"/>
        <w:numPr>
          <w:ilvl w:val="1"/>
          <w:numId w:val="1"/>
        </w:numPr>
        <w:spacing w:after="240"/>
      </w:pPr>
      <w:bookmarkStart w:id="13" w:name="_Toc481996782"/>
      <w:r>
        <w:t>Risk Register</w:t>
      </w:r>
      <w:bookmarkEnd w:id="13"/>
    </w:p>
    <w:p w:rsidR="002C45F8" w:rsidRDefault="002C45F8" w:rsidP="002C45F8">
      <w:r w:rsidRPr="00B45B13">
        <w:t xml:space="preserve">Upon receiving a </w:t>
      </w:r>
      <w:r>
        <w:t>request for tender, the p</w:t>
      </w:r>
      <w:r w:rsidRPr="00B45B13">
        <w:t xml:space="preserve">re-bid team begin to analyse the risks posed by delivery. It is at </w:t>
      </w:r>
      <w:r>
        <w:t>this point that the applicable lessons l</w:t>
      </w:r>
      <w:r w:rsidRPr="00B45B13">
        <w:t xml:space="preserve">earnt are highlighted and communicated, and a peer review is conducted to </w:t>
      </w:r>
      <w:r>
        <w:t>provide confidence that the bid team</w:t>
      </w:r>
      <w:r w:rsidRPr="00B45B13">
        <w:t xml:space="preserve"> have suitably assessed the activity. </w:t>
      </w:r>
      <w:r w:rsidRPr="00B45B13">
        <w:br/>
        <w:t xml:space="preserve">A risk register is produced to highlight the various potential means of failure, assigning </w:t>
      </w:r>
      <w:r>
        <w:t>these</w:t>
      </w:r>
      <w:r w:rsidRPr="00B45B13">
        <w:t xml:space="preserve"> to either QinetiQ, or to the customer. This forms an understanding of inherent liability to both QinetiQ and the Customer before the contract is signed.</w:t>
      </w:r>
      <w:r>
        <w:t xml:space="preserve"> As such, milestone payments missed due to customer failings can be mitigated. This Risk Register and the associated liability are agreed by both parties when the contract is signed.</w:t>
      </w:r>
    </w:p>
    <w:p w:rsidR="00532679" w:rsidRDefault="00911C6D" w:rsidP="00532679">
      <w:pPr>
        <w:pStyle w:val="Heading2"/>
        <w:numPr>
          <w:ilvl w:val="1"/>
          <w:numId w:val="1"/>
        </w:numPr>
        <w:spacing w:after="240"/>
      </w:pPr>
      <w:bookmarkStart w:id="14" w:name="_Toc481996783"/>
      <w:r>
        <w:t>Hazardous Activity Risk Assessment</w:t>
      </w:r>
      <w:r w:rsidR="00CD05C0">
        <w:t xml:space="preserve"> &amp; Safety Briefing</w:t>
      </w:r>
      <w:bookmarkEnd w:id="14"/>
    </w:p>
    <w:p w:rsidR="008A76E6" w:rsidRDefault="00A6696D" w:rsidP="008A76E6">
      <w:pPr>
        <w:rPr>
          <w:i/>
        </w:rPr>
      </w:pPr>
      <w:r w:rsidRPr="00A6696D">
        <w:rPr>
          <w:i/>
        </w:rPr>
        <w:t xml:space="preserve">“It shall be the duty of every employer to ensure, </w:t>
      </w:r>
      <w:proofErr w:type="gramStart"/>
      <w:r w:rsidRPr="00A6696D">
        <w:rPr>
          <w:i/>
        </w:rPr>
        <w:t>so</w:t>
      </w:r>
      <w:proofErr w:type="gramEnd"/>
      <w:r w:rsidRPr="00A6696D">
        <w:rPr>
          <w:i/>
        </w:rPr>
        <w:t xml:space="preserve"> far as is reasonably practicable, the health, safety and welfare at work of all his employees.”</w:t>
      </w:r>
      <w:r>
        <w:rPr>
          <w:i/>
        </w:rPr>
        <w:t xml:space="preserve"> </w:t>
      </w:r>
      <w:sdt>
        <w:sdtPr>
          <w:rPr>
            <w:i/>
          </w:rPr>
          <w:id w:val="-196852237"/>
          <w:citation/>
        </w:sdtPr>
        <w:sdtEndPr/>
        <w:sdtContent>
          <w:r w:rsidR="00B44D19">
            <w:rPr>
              <w:i/>
            </w:rPr>
            <w:fldChar w:fldCharType="begin"/>
          </w:r>
          <w:r w:rsidR="00B44D19">
            <w:rPr>
              <w:i/>
            </w:rPr>
            <w:instrText xml:space="preserve">CITATION ELI74 \l 2057 </w:instrText>
          </w:r>
          <w:r w:rsidR="00B44D19">
            <w:rPr>
              <w:i/>
            </w:rPr>
            <w:fldChar w:fldCharType="separate"/>
          </w:r>
          <w:r w:rsidR="00C111E7">
            <w:rPr>
              <w:noProof/>
            </w:rPr>
            <w:t>(3)</w:t>
          </w:r>
          <w:r w:rsidR="00B44D19">
            <w:rPr>
              <w:i/>
            </w:rPr>
            <w:fldChar w:fldCharType="end"/>
          </w:r>
        </w:sdtContent>
      </w:sdt>
    </w:p>
    <w:p w:rsidR="00A36063" w:rsidRDefault="00CD05C0" w:rsidP="008A76E6">
      <w:r>
        <w:t xml:space="preserve">Under the Health and Safety at Work Act (1974) </w:t>
      </w:r>
      <w:r w:rsidR="006827D2">
        <w:t>it</w:t>
      </w:r>
      <w:r w:rsidR="00A6696D">
        <w:t xml:space="preserve"> is a legal requirement to carry out a risk assessment</w:t>
      </w:r>
      <w:r>
        <w:t xml:space="preserve"> before undertaking any aspect of work</w:t>
      </w:r>
      <w:r w:rsidR="00A6696D">
        <w:t>. This document is designed to</w:t>
      </w:r>
      <w:r>
        <w:t xml:space="preserve"> capture an assessment of</w:t>
      </w:r>
      <w:r w:rsidR="00A6696D">
        <w:t xml:space="preserve"> </w:t>
      </w:r>
      <w:r>
        <w:t xml:space="preserve">hazards to </w:t>
      </w:r>
      <w:r w:rsidR="00A6696D">
        <w:t xml:space="preserve">health </w:t>
      </w:r>
      <w:r>
        <w:t>arising from</w:t>
      </w:r>
      <w:r w:rsidR="00A6696D">
        <w:t xml:space="preserve"> </w:t>
      </w:r>
      <w:r>
        <w:t>a specific activity within the</w:t>
      </w:r>
      <w:r w:rsidR="003E6DC1">
        <w:t xml:space="preserve"> workplace.</w:t>
      </w:r>
      <w:r>
        <w:t xml:space="preserve"> </w:t>
      </w:r>
      <w:r>
        <w:br/>
      </w:r>
      <w:r>
        <w:lastRenderedPageBreak/>
        <w:t>This process has the potential to expose significant health risks before they come to fruition. As a result, QinetiQ Policy is to include shop</w:t>
      </w:r>
      <w:r w:rsidR="00F25BBF">
        <w:t xml:space="preserve"> </w:t>
      </w:r>
      <w:r w:rsidR="00A36063">
        <w:t>floor employees to review the Risk Assessment before the activity is authorised. This alternative perspective can often reve</w:t>
      </w:r>
      <w:r w:rsidR="00D70619">
        <w:t>a</w:t>
      </w:r>
      <w:r w:rsidR="00A36063">
        <w:t xml:space="preserve">l additional hazards, and </w:t>
      </w:r>
      <w:r w:rsidR="00F25BBF">
        <w:t xml:space="preserve">generate </w:t>
      </w:r>
      <w:r w:rsidR="00A36063">
        <w:t>improvements to operating procedures.</w:t>
      </w:r>
    </w:p>
    <w:p w:rsidR="00F25BBF" w:rsidRDefault="00A36063" w:rsidP="008A76E6">
      <w:r w:rsidRPr="00A36063">
        <w:rPr>
          <w:i/>
        </w:rPr>
        <w:t>“Engagement and dialogue with those interested in and affected by risk issues is vital. It should be an integral part of every process for the management and/or regulation of risks.”</w:t>
      </w:r>
      <w:r>
        <w:t xml:space="preserve"> </w:t>
      </w:r>
      <w:sdt>
        <w:sdtPr>
          <w:id w:val="-1388635934"/>
          <w:citation/>
        </w:sdtPr>
        <w:sdtEndPr/>
        <w:sdtContent>
          <w:r>
            <w:fldChar w:fldCharType="begin"/>
          </w:r>
          <w:r>
            <w:instrText xml:space="preserve"> CITATION HSE02 \l 2057 </w:instrText>
          </w:r>
          <w:r>
            <w:fldChar w:fldCharType="separate"/>
          </w:r>
          <w:r w:rsidR="00C111E7">
            <w:rPr>
              <w:noProof/>
            </w:rPr>
            <w:t>(4)</w:t>
          </w:r>
          <w:r>
            <w:fldChar w:fldCharType="end"/>
          </w:r>
        </w:sdtContent>
      </w:sdt>
    </w:p>
    <w:p w:rsidR="00A6696D" w:rsidRPr="00A6696D" w:rsidRDefault="00CD05C0" w:rsidP="008A76E6">
      <w:r>
        <w:t xml:space="preserve">QinetiQ Codes of Practice state that it is not a mandatory requirement for those undertaking an activity to read the risk assessment. </w:t>
      </w:r>
      <w:r w:rsidR="00F25BBF">
        <w:t>Instead, the outcomes of a risk assessment are collated and delivered to the technicians in the form of a Safety Brief. This is a verbal communication of every aspect of the trial including an outline of the task, munition hazards, security aspects, emergency procedures, first aid, thunderstorm actions, electro-static discharge precautions, manual handling risks, site regulations, ammunition movements, PPE and any other activity specific hazards. Attention is confirmed by a Q&amp;A at the end of the brief. All employees involved in the activity are to sign a form to state that they fully understand the risks that they are to be exposed to.</w:t>
      </w:r>
    </w:p>
    <w:p w:rsidR="00911C6D" w:rsidRPr="008A76E6" w:rsidRDefault="00911C6D" w:rsidP="00911C6D">
      <w:pPr>
        <w:pStyle w:val="Heading2"/>
        <w:numPr>
          <w:ilvl w:val="1"/>
          <w:numId w:val="1"/>
        </w:numPr>
        <w:spacing w:after="240"/>
      </w:pPr>
      <w:bookmarkStart w:id="15" w:name="_Toc481996784"/>
      <w:r>
        <w:t>Safety Trace &amp; A</w:t>
      </w:r>
      <w:r w:rsidR="009F75E1">
        <w:t>ccess</w:t>
      </w:r>
      <w:r>
        <w:t xml:space="preserve"> Control</w:t>
      </w:r>
      <w:bookmarkEnd w:id="15"/>
    </w:p>
    <w:p w:rsidR="009F75E1" w:rsidRDefault="009F75E1" w:rsidP="00911C6D">
      <w:r>
        <w:t xml:space="preserve">Due to the hazardous nature of the industry, incidents regarding explosives happen relatively often. However, UK Land Ranges operate safety on two primary principles; high levels of staff competency and access control.  Provided that both are held in high regard, incidents can be handled effectively, carefully and calmly. </w:t>
      </w:r>
      <w:r w:rsidR="00014810">
        <w:t>How do QinetiQ ensure that these principles are maintained?</w:t>
      </w:r>
    </w:p>
    <w:p w:rsidR="00014810" w:rsidRDefault="00014810" w:rsidP="00911C6D">
      <w:r>
        <w:t xml:space="preserve">It is well understood that familiarity breeds contempt, however the ingrained safety culture at QinetiQ does go a long way to address this. There is no long working regarding explosives; the company provide incentives to join the ground-up “Safe 4 Life” team; a volunteer group who lead safety investigations; weekly safety newsletters are broadcast via internal email; and much more. Competency is handled by local Labour Managers who update a global competency matrix. Within each role, required competencies are clearly </w:t>
      </w:r>
      <w:r w:rsidR="00A91381">
        <w:t>defined and retested over time.</w:t>
      </w:r>
    </w:p>
    <w:p w:rsidR="00A91381" w:rsidRDefault="00A91381" w:rsidP="00911C6D">
      <w:r>
        <w:t>Access Control is far harder to control, as each munition poses a unique risk. A fragmentation Grenade would have a far lesser area of effect that a rocket motor or shaped charge fragment or the same net explosive quantity (NEQ).</w:t>
      </w:r>
    </w:p>
    <w:p w:rsidR="00911C6D" w:rsidRDefault="00911C6D" w:rsidP="00911C6D">
      <w:pPr>
        <w:pStyle w:val="Heading2"/>
        <w:numPr>
          <w:ilvl w:val="1"/>
          <w:numId w:val="1"/>
        </w:numPr>
        <w:spacing w:after="240"/>
      </w:pPr>
      <w:bookmarkStart w:id="16" w:name="_Toc481996785"/>
      <w:r>
        <w:t>1</w:t>
      </w:r>
      <w:r w:rsidRPr="00911C6D">
        <w:t>st</w:t>
      </w:r>
      <w:r>
        <w:t xml:space="preserve"> Level Peer Review</w:t>
      </w:r>
      <w:bookmarkEnd w:id="16"/>
    </w:p>
    <w:p w:rsidR="00911C6D" w:rsidRPr="00911C6D" w:rsidRDefault="00351DAC" w:rsidP="00911C6D">
      <w:r>
        <w:t>It is the role of Peer review to determine if an activity complies with the principles of ALARP, in line with QinetiQ guidance (see Appendix A)</w:t>
      </w:r>
      <w:r w:rsidR="004E4655">
        <w:t xml:space="preserve">. </w:t>
      </w:r>
      <w:r w:rsidR="0016020E">
        <w:t xml:space="preserve">If an activity is </w:t>
      </w:r>
      <w:r w:rsidR="004E4655">
        <w:t>deemed to be ALARP, but still presents a significant risk,</w:t>
      </w:r>
      <w:r w:rsidR="0016020E">
        <w:t xml:space="preserve"> it</w:t>
      </w:r>
      <w:r w:rsidR="004E4655">
        <w:t xml:space="preserve"> is escalated to a 2</w:t>
      </w:r>
      <w:r w:rsidR="004E4655" w:rsidRPr="004E4655">
        <w:rPr>
          <w:vertAlign w:val="superscript"/>
        </w:rPr>
        <w:t>nd</w:t>
      </w:r>
      <w:r w:rsidR="004E4655">
        <w:t xml:space="preserve"> Level </w:t>
      </w:r>
      <w:r w:rsidR="0016020E">
        <w:t>“</w:t>
      </w:r>
      <w:r w:rsidR="004E4655">
        <w:t>Ordinance, Munitions and Explosives</w:t>
      </w:r>
      <w:r w:rsidR="0016020E">
        <w:t>;</w:t>
      </w:r>
      <w:r w:rsidR="004E4655">
        <w:t xml:space="preserve"> Hazardous Activity Safety Panel</w:t>
      </w:r>
      <w:r w:rsidR="0016020E">
        <w:t>”</w:t>
      </w:r>
      <w:r w:rsidR="004E4655">
        <w:t xml:space="preserve"> (OME HASP) Review</w:t>
      </w:r>
      <w:r w:rsidR="0016020E">
        <w:t>. This brings together industry leading technicians from within the business and high level management from across the country to determine if the activity may proceed. All business deemed new or novel must be presented to 2</w:t>
      </w:r>
      <w:r w:rsidR="0016020E" w:rsidRPr="0016020E">
        <w:rPr>
          <w:vertAlign w:val="superscript"/>
        </w:rPr>
        <w:t>nd</w:t>
      </w:r>
      <w:r w:rsidR="0016020E">
        <w:t xml:space="preserve"> Level Review.</w:t>
      </w:r>
      <w:r w:rsidR="009F75E1" w:rsidRPr="009F75E1">
        <w:rPr>
          <w:noProof/>
          <w:lang w:eastAsia="en-GB"/>
        </w:rPr>
        <w:t xml:space="preserve"> </w:t>
      </w:r>
    </w:p>
    <w:p w:rsidR="00C111E7" w:rsidRDefault="00C111E7">
      <w:pPr>
        <w:rPr>
          <w:rFonts w:asciiTheme="majorHAnsi" w:eastAsiaTheme="majorEastAsia" w:hAnsiTheme="majorHAnsi" w:cstheme="majorBidi"/>
          <w:b/>
          <w:bCs/>
          <w:color w:val="4F81BD" w:themeColor="accent1"/>
          <w:sz w:val="26"/>
          <w:szCs w:val="26"/>
        </w:rPr>
      </w:pPr>
      <w:bookmarkStart w:id="17" w:name="_Toc481996786"/>
      <w:r>
        <w:br w:type="page"/>
      </w:r>
    </w:p>
    <w:p w:rsidR="002C45F8" w:rsidRDefault="002C45F8" w:rsidP="002C45F8">
      <w:pPr>
        <w:pStyle w:val="Heading2"/>
        <w:numPr>
          <w:ilvl w:val="1"/>
          <w:numId w:val="1"/>
        </w:numPr>
        <w:spacing w:after="240"/>
      </w:pPr>
      <w:r>
        <w:lastRenderedPageBreak/>
        <w:t>Lessons Learnt</w:t>
      </w:r>
      <w:bookmarkEnd w:id="17"/>
    </w:p>
    <w:p w:rsidR="002C45F8" w:rsidRDefault="002C45F8" w:rsidP="002C45F8">
      <w:r>
        <w:t>On the conclusion of a trial, a trial closure meeting is held with representatives from all aspects of the task. Project Managers, Schedulers, Trials Managers, Foremen and Team Leaders are all consulted as to what succeeded or failed at managing the risks associated with the work.</w:t>
      </w:r>
      <w:r>
        <w:br/>
        <w:t xml:space="preserve">Furthermore, QinetiQ employ a system known as “Incident Reporting and Environmental Protection” (IREP), in which Behaviours, Hazards, Near misses and injuries are recorded for each activity. The assembled persons are to review all IREP reports and suggest potential mitigations. </w:t>
      </w:r>
    </w:p>
    <w:p w:rsidR="002C45F8" w:rsidRDefault="002C45F8" w:rsidP="002C45F8">
      <w:r>
        <w:t xml:space="preserve">This data is then captured on a shared area document called the “Lessons Learnt Register”. This list is categorised by 15 different headings including Trial number, Test Item and Incident type. It allows the lessons pertinent to any future activity to be easily accessed, understood and </w:t>
      </w:r>
      <w:proofErr w:type="spellStart"/>
      <w:r>
        <w:t>implimented</w:t>
      </w:r>
      <w:proofErr w:type="spellEnd"/>
      <w:r>
        <w:t xml:space="preserve"> in further activities.</w:t>
      </w:r>
    </w:p>
    <w:p w:rsidR="002C45F8" w:rsidRDefault="002C45F8" w:rsidP="002C45F8">
      <w:r>
        <w:t>In this example, the lessons learnt register has flagged up a number of concerns regarding the trial ahead. These must be pursued so as to prevent reoccurrence. As a result of these reports, I must do the following while planning the activity:</w:t>
      </w:r>
    </w:p>
    <w:p w:rsidR="002C45F8" w:rsidRDefault="002C45F8" w:rsidP="002C45F8">
      <w:r w:rsidRPr="00112853">
        <w:rPr>
          <w:noProof/>
          <w:lang w:eastAsia="en-GB"/>
        </w:rPr>
        <w:drawing>
          <wp:inline distT="0" distB="0" distL="0" distR="0" wp14:anchorId="549E0802" wp14:editId="4DA62438">
            <wp:extent cx="5970764" cy="2247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8119" cy="2246904"/>
                    </a:xfrm>
                    <a:prstGeom prst="rect">
                      <a:avLst/>
                    </a:prstGeom>
                    <a:noFill/>
                    <a:ln>
                      <a:noFill/>
                    </a:ln>
                  </pic:spPr>
                </pic:pic>
              </a:graphicData>
            </a:graphic>
          </wp:inline>
        </w:drawing>
      </w:r>
    </w:p>
    <w:tbl>
      <w:tblPr>
        <w:tblStyle w:val="TableGrid"/>
        <w:tblpPr w:leftFromText="180" w:rightFromText="180" w:vertAnchor="text" w:horzAnchor="margin" w:tblpY="15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
        <w:gridCol w:w="8845"/>
      </w:tblGrid>
      <w:tr w:rsidR="002C45F8" w:rsidTr="00E56DCC">
        <w:tc>
          <w:tcPr>
            <w:tcW w:w="397" w:type="dxa"/>
          </w:tcPr>
          <w:p w:rsidR="002C45F8" w:rsidRPr="009B155C" w:rsidRDefault="002C45F8" w:rsidP="00E56DCC">
            <w:r w:rsidRPr="009B155C">
              <w:t>1)</w:t>
            </w:r>
          </w:p>
        </w:tc>
        <w:tc>
          <w:tcPr>
            <w:tcW w:w="8845" w:type="dxa"/>
          </w:tcPr>
          <w:p w:rsidR="002C45F8" w:rsidRDefault="002C45F8" w:rsidP="00E56DCC">
            <w:r>
              <w:t>Contact the project manager to clarify the customer requirement. Advise the customer to amend future specification language.</w:t>
            </w:r>
          </w:p>
          <w:p w:rsidR="002C45F8" w:rsidRDefault="002C45F8" w:rsidP="00E56DCC"/>
        </w:tc>
      </w:tr>
      <w:tr w:rsidR="002C45F8" w:rsidTr="00E56DCC">
        <w:tc>
          <w:tcPr>
            <w:tcW w:w="397" w:type="dxa"/>
          </w:tcPr>
          <w:p w:rsidR="002C45F8" w:rsidRPr="009B155C" w:rsidRDefault="002C45F8" w:rsidP="00E56DCC">
            <w:r w:rsidRPr="009B155C">
              <w:t>2)</w:t>
            </w:r>
          </w:p>
        </w:tc>
        <w:tc>
          <w:tcPr>
            <w:tcW w:w="8845" w:type="dxa"/>
          </w:tcPr>
          <w:p w:rsidR="002C45F8" w:rsidRDefault="002C45F8" w:rsidP="00E56DCC">
            <w:r>
              <w:t>Contact the Ammunition Manager to ensure that we have enough staff to accommodate the activity on the date scheduled.</w:t>
            </w:r>
          </w:p>
          <w:p w:rsidR="002C45F8" w:rsidRDefault="002C45F8" w:rsidP="00E56DCC"/>
        </w:tc>
      </w:tr>
      <w:tr w:rsidR="002C45F8" w:rsidTr="00E56DCC">
        <w:tc>
          <w:tcPr>
            <w:tcW w:w="397" w:type="dxa"/>
          </w:tcPr>
          <w:p w:rsidR="002C45F8" w:rsidRPr="009B155C" w:rsidRDefault="002C45F8" w:rsidP="00E56DCC">
            <w:r w:rsidRPr="009B155C">
              <w:t>3)</w:t>
            </w:r>
          </w:p>
        </w:tc>
        <w:tc>
          <w:tcPr>
            <w:tcW w:w="8845" w:type="dxa"/>
          </w:tcPr>
          <w:p w:rsidR="002C45F8" w:rsidRDefault="002C45F8" w:rsidP="00E56DCC">
            <w:r>
              <w:t>Contact the QinetiQ SHB Head of Engineering to determine if these components have been replaced. Also enquire as to the status of the Mobile Conditioning Unit (MCU) upgrade project.</w:t>
            </w:r>
          </w:p>
          <w:p w:rsidR="002C45F8" w:rsidRDefault="002C45F8" w:rsidP="00E56DCC"/>
        </w:tc>
      </w:tr>
      <w:tr w:rsidR="002C45F8" w:rsidTr="00E56DCC">
        <w:tc>
          <w:tcPr>
            <w:tcW w:w="397" w:type="dxa"/>
          </w:tcPr>
          <w:p w:rsidR="002C45F8" w:rsidRPr="009B155C" w:rsidRDefault="002C45F8" w:rsidP="00E56DCC">
            <w:r w:rsidRPr="009B155C">
              <w:t>4)</w:t>
            </w:r>
          </w:p>
        </w:tc>
        <w:tc>
          <w:tcPr>
            <w:tcW w:w="8845" w:type="dxa"/>
          </w:tcPr>
          <w:p w:rsidR="002C45F8" w:rsidRDefault="002C45F8" w:rsidP="00E56DCC">
            <w:r>
              <w:t>Ensure that this lesson learnt is reiterated in both the Movement Plan and Safety Briefing for the Trials Technicians benefit.</w:t>
            </w:r>
          </w:p>
        </w:tc>
      </w:tr>
    </w:tbl>
    <w:p w:rsidR="00532679" w:rsidRDefault="00911C6D" w:rsidP="00532679">
      <w:pPr>
        <w:pStyle w:val="Heading1"/>
        <w:numPr>
          <w:ilvl w:val="0"/>
          <w:numId w:val="1"/>
        </w:numPr>
      </w:pPr>
      <w:bookmarkStart w:id="18" w:name="_Toc481996787"/>
      <w:r>
        <w:rPr>
          <w:rStyle w:val="tgc"/>
        </w:rPr>
        <w:lastRenderedPageBreak/>
        <w:t>Trial Delivery</w:t>
      </w:r>
      <w:bookmarkEnd w:id="18"/>
    </w:p>
    <w:p w:rsidR="00532679" w:rsidRDefault="00911C6D" w:rsidP="00532679">
      <w:pPr>
        <w:pStyle w:val="Heading2"/>
        <w:numPr>
          <w:ilvl w:val="1"/>
          <w:numId w:val="1"/>
        </w:numPr>
        <w:spacing w:after="240"/>
      </w:pPr>
      <w:bookmarkStart w:id="19" w:name="_Toc481996788"/>
      <w:r>
        <w:t>STOP Moment</w:t>
      </w:r>
      <w:bookmarkEnd w:id="19"/>
    </w:p>
    <w:p w:rsidR="00BC5F77" w:rsidRDefault="008A6C81" w:rsidP="00BC5F77">
      <w:r>
        <w:t>QinetiQ employ a no-blame safety culture. At its core is the “STOP moment”. Any member of staff, at any time during the delivery of an activity has the authority to stop any activity on the basis that they believe it to be unsafe. In this event, the activity must cease as soon as is safe to do so.</w:t>
      </w:r>
      <w:r>
        <w:br/>
        <w:t>The individual is then to communicate their observation to the most senior member of staff present. This will then be discussed in an open forum.</w:t>
      </w:r>
      <w:r>
        <w:br/>
      </w:r>
      <w:r>
        <w:br/>
        <w:t>If the individual was not aware of the mitigations in place, they may choose to end the stop moment, to allow the activity to continue. However, if the individual cannot be convinced that the mitigations applied are suitable and sufficient; the activity is cancelled, and an investigation is started.</w:t>
      </w:r>
    </w:p>
    <w:p w:rsidR="008A6C81" w:rsidRPr="00BC5F77" w:rsidRDefault="008A6C81" w:rsidP="00BC5F77">
      <w:r>
        <w:t xml:space="preserve">Under no circumstances is the individual liable to </w:t>
      </w:r>
      <w:r w:rsidR="00785E8E">
        <w:t>disciplinary</w:t>
      </w:r>
      <w:r>
        <w:t xml:space="preserve"> action for enacting this </w:t>
      </w:r>
      <w:r w:rsidR="00785E8E">
        <w:t xml:space="preserve">procedure.      </w:t>
      </w:r>
      <w:r>
        <w:t>All stop moments must be recorded on the IREP System.</w:t>
      </w:r>
    </w:p>
    <w:p w:rsidR="00532679" w:rsidRDefault="00456AB5" w:rsidP="00911C6D">
      <w:pPr>
        <w:pStyle w:val="Heading2"/>
        <w:numPr>
          <w:ilvl w:val="1"/>
          <w:numId w:val="1"/>
        </w:numPr>
        <w:spacing w:after="240"/>
      </w:pPr>
      <w:bookmarkStart w:id="20" w:name="_Toc481996789"/>
      <w:r>
        <w:rPr>
          <w:noProof/>
          <w:lang w:eastAsia="en-GB"/>
        </w:rPr>
        <w:drawing>
          <wp:anchor distT="0" distB="0" distL="114300" distR="114300" simplePos="0" relativeHeight="251663360" behindDoc="1" locked="0" layoutInCell="1" allowOverlap="1" wp14:anchorId="104C8DB7" wp14:editId="63E54D7E">
            <wp:simplePos x="0" y="0"/>
            <wp:positionH relativeFrom="column">
              <wp:posOffset>3867150</wp:posOffset>
            </wp:positionH>
            <wp:positionV relativeFrom="paragraph">
              <wp:posOffset>518160</wp:posOffset>
            </wp:positionV>
            <wp:extent cx="1664970" cy="1771650"/>
            <wp:effectExtent l="0" t="0" r="0" b="0"/>
            <wp:wrapTight wrapText="bothSides">
              <wp:wrapPolygon edited="0">
                <wp:start x="0" y="0"/>
                <wp:lineTo x="0" y="21368"/>
                <wp:lineTo x="21254" y="21368"/>
                <wp:lineTo x="2125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t="5770" b="4807"/>
                    <a:stretch/>
                  </pic:blipFill>
                  <pic:spPr bwMode="auto">
                    <a:xfrm>
                      <a:off x="0" y="0"/>
                      <a:ext cx="1664970"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C6D">
        <w:t>IREP System</w:t>
      </w:r>
      <w:bookmarkEnd w:id="20"/>
    </w:p>
    <w:p w:rsidR="00456AB5" w:rsidRDefault="00456AB5" w:rsidP="00BC5F77">
      <w:pPr>
        <w:rPr>
          <w:noProof/>
          <w:lang w:eastAsia="en-GB"/>
        </w:rPr>
      </w:pPr>
      <w:r w:rsidRPr="00456AB5">
        <w:rPr>
          <w:noProof/>
          <w:lang w:eastAsia="en-GB"/>
        </w:rPr>
        <w:t>iREP</w:t>
      </w:r>
      <w:r>
        <w:rPr>
          <w:noProof/>
          <w:lang w:eastAsia="en-GB"/>
        </w:rPr>
        <w:t xml:space="preserve"> is an online reporting tool that</w:t>
      </w:r>
      <w:r w:rsidRPr="00456AB5">
        <w:rPr>
          <w:noProof/>
          <w:lang w:eastAsia="en-GB"/>
        </w:rPr>
        <w:t xml:space="preserve"> enables the capture of consistent data across four incident types i.e. behaviour, hazard, near miss and injury. The user answers a series of questions and chooses from dropdowns while reporting an incident. This data can</w:t>
      </w:r>
      <w:r>
        <w:rPr>
          <w:noProof/>
          <w:lang w:eastAsia="en-GB"/>
        </w:rPr>
        <w:t xml:space="preserve"> then</w:t>
      </w:r>
      <w:r w:rsidRPr="00456AB5">
        <w:rPr>
          <w:noProof/>
          <w:lang w:eastAsia="en-GB"/>
        </w:rPr>
        <w:t xml:space="preserve"> be used to promptly </w:t>
      </w:r>
      <w:r>
        <w:rPr>
          <w:noProof/>
          <w:lang w:eastAsia="en-GB"/>
        </w:rPr>
        <w:t>resolve issues</w:t>
      </w:r>
      <w:r w:rsidRPr="00456AB5">
        <w:rPr>
          <w:noProof/>
          <w:lang w:eastAsia="en-GB"/>
        </w:rPr>
        <w:t>, provide performance reports and analyse</w:t>
      </w:r>
      <w:r>
        <w:rPr>
          <w:noProof/>
          <w:lang w:eastAsia="en-GB"/>
        </w:rPr>
        <w:t xml:space="preserve"> incident</w:t>
      </w:r>
      <w:r w:rsidRPr="00456AB5">
        <w:rPr>
          <w:noProof/>
          <w:lang w:eastAsia="en-GB"/>
        </w:rPr>
        <w:t xml:space="preserve"> trends </w:t>
      </w:r>
      <w:r>
        <w:rPr>
          <w:noProof/>
          <w:lang w:eastAsia="en-GB"/>
        </w:rPr>
        <w:t>within</w:t>
      </w:r>
      <w:r w:rsidRPr="00456AB5">
        <w:rPr>
          <w:noProof/>
          <w:lang w:eastAsia="en-GB"/>
        </w:rPr>
        <w:t xml:space="preserve"> QinetiQ.</w:t>
      </w:r>
    </w:p>
    <w:p w:rsidR="00BC5F77" w:rsidRDefault="00456AB5" w:rsidP="00BC5F77">
      <w:pPr>
        <w:rPr>
          <w:noProof/>
          <w:lang w:eastAsia="en-GB"/>
        </w:rPr>
      </w:pPr>
      <w:r w:rsidRPr="00456AB5">
        <w:rPr>
          <w:noProof/>
          <w:lang w:eastAsia="en-GB"/>
        </w:rPr>
        <w:t xml:space="preserve">Employees must report incidents to their manager and raise a report via iREP </w:t>
      </w:r>
      <w:r>
        <w:rPr>
          <w:noProof/>
          <w:lang w:eastAsia="en-GB"/>
        </w:rPr>
        <w:t>whenever they identify</w:t>
      </w:r>
      <w:r w:rsidRPr="00456AB5">
        <w:rPr>
          <w:noProof/>
          <w:lang w:eastAsia="en-GB"/>
        </w:rPr>
        <w:t xml:space="preserve"> unsafe</w:t>
      </w:r>
      <w:r>
        <w:rPr>
          <w:noProof/>
          <w:lang w:eastAsia="en-GB"/>
        </w:rPr>
        <w:t xml:space="preserve"> working</w:t>
      </w:r>
      <w:r w:rsidRPr="00456AB5">
        <w:rPr>
          <w:noProof/>
          <w:lang w:eastAsia="en-GB"/>
        </w:rPr>
        <w:t xml:space="preserve"> conditions. </w:t>
      </w:r>
      <w:r>
        <w:rPr>
          <w:noProof/>
          <w:lang w:eastAsia="en-GB"/>
        </w:rPr>
        <w:t>This report details immediate</w:t>
      </w:r>
      <w:r w:rsidRPr="00456AB5">
        <w:rPr>
          <w:noProof/>
          <w:lang w:eastAsia="en-GB"/>
        </w:rPr>
        <w:t xml:space="preserve"> action</w:t>
      </w:r>
      <w:r>
        <w:rPr>
          <w:noProof/>
          <w:lang w:eastAsia="en-GB"/>
        </w:rPr>
        <w:t>s taken</w:t>
      </w:r>
      <w:r w:rsidRPr="00456AB5">
        <w:rPr>
          <w:noProof/>
          <w:lang w:eastAsia="en-GB"/>
        </w:rPr>
        <w:t xml:space="preserve">, </w:t>
      </w:r>
      <w:r>
        <w:rPr>
          <w:noProof/>
          <w:lang w:eastAsia="en-GB"/>
        </w:rPr>
        <w:t xml:space="preserve">observed unsafe behaviours </w:t>
      </w:r>
      <w:r w:rsidRPr="00456AB5">
        <w:rPr>
          <w:noProof/>
          <w:lang w:eastAsia="en-GB"/>
        </w:rPr>
        <w:t>and hazards</w:t>
      </w:r>
      <w:r>
        <w:rPr>
          <w:noProof/>
          <w:lang w:eastAsia="en-GB"/>
        </w:rPr>
        <w:t>,</w:t>
      </w:r>
      <w:r w:rsidRPr="00456AB5">
        <w:rPr>
          <w:noProof/>
          <w:lang w:eastAsia="en-GB"/>
        </w:rPr>
        <w:t xml:space="preserve"> or to highlight good practice that can be transported across the business quickly.</w:t>
      </w:r>
    </w:p>
    <w:p w:rsidR="00456AB5" w:rsidRPr="00BC5F77" w:rsidRDefault="00456AB5" w:rsidP="00BC5F77">
      <w:r w:rsidRPr="00456AB5">
        <w:t>Incident reporting enables prompt remedial action to be taken</w:t>
      </w:r>
      <w:r>
        <w:t xml:space="preserve"> with authority</w:t>
      </w:r>
      <w:r w:rsidRPr="00456AB5">
        <w:t>, thus reducing t</w:t>
      </w:r>
      <w:r>
        <w:t xml:space="preserve">he chances of further incidents, and </w:t>
      </w:r>
      <w:r w:rsidRPr="00456AB5">
        <w:t>develop</w:t>
      </w:r>
      <w:r>
        <w:t>ing</w:t>
      </w:r>
      <w:r w:rsidRPr="00456AB5">
        <w:t xml:space="preserve"> improved safe syst</w:t>
      </w:r>
      <w:r>
        <w:t xml:space="preserve">ems of work. It also assists </w:t>
      </w:r>
      <w:r w:rsidRPr="00456AB5">
        <w:t>the implementation o</w:t>
      </w:r>
      <w:r>
        <w:t>f policies,</w:t>
      </w:r>
      <w:r w:rsidRPr="00456AB5">
        <w:t xml:space="preserve"> future decision making, </w:t>
      </w:r>
      <w:proofErr w:type="gramStart"/>
      <w:r w:rsidR="00C111E7" w:rsidRPr="00456AB5">
        <w:t>planning</w:t>
      </w:r>
      <w:proofErr w:type="gramEnd"/>
      <w:r w:rsidRPr="00456AB5">
        <w:t xml:space="preserve"> and resource allocation.</w:t>
      </w:r>
      <w:r>
        <w:t xml:space="preserve"> This system also</w:t>
      </w:r>
      <w:r w:rsidRPr="00456AB5">
        <w:t xml:space="preserve"> ensures </w:t>
      </w:r>
      <w:r>
        <w:t xml:space="preserve">that </w:t>
      </w:r>
      <w:r w:rsidRPr="00456AB5">
        <w:t>QinetiQ meets its statutory obligations and reporting requirements.</w:t>
      </w:r>
    </w:p>
    <w:p w:rsidR="00911C6D" w:rsidRDefault="00525F27" w:rsidP="00911C6D">
      <w:pPr>
        <w:pStyle w:val="Heading2"/>
        <w:numPr>
          <w:ilvl w:val="1"/>
          <w:numId w:val="1"/>
        </w:numPr>
        <w:spacing w:after="240"/>
      </w:pPr>
      <w:bookmarkStart w:id="21" w:name="_Toc481996790"/>
      <w:r>
        <w:t>Equipment</w:t>
      </w:r>
      <w:r w:rsidR="00911C6D">
        <w:t xml:space="preserve"> Safety</w:t>
      </w:r>
      <w:bookmarkEnd w:id="21"/>
    </w:p>
    <w:p w:rsidR="00D91B24" w:rsidRDefault="00525F27" w:rsidP="00D91B24">
      <w:r>
        <w:t xml:space="preserve">The term “reasonably practicable” when applied to QinetiQ, is very different to the “reasonably practicable” measures that may be applied to another company of a different capacity or capability. Specialising in Defence Engineering determines that QinetiQ often maintain and develop equipment specific to the business.  As a result, the safety of equipment within QinetiQ is of the highest priority. </w:t>
      </w:r>
    </w:p>
    <w:p w:rsidR="00525F27" w:rsidRPr="00D91B24" w:rsidRDefault="00525F27" w:rsidP="00D91B24">
      <w:r>
        <w:t xml:space="preserve">Maintenance tasks on all assets is meticulously recorded and </w:t>
      </w:r>
      <w:r w:rsidR="000A793D">
        <w:t>monitored</w:t>
      </w:r>
      <w:r>
        <w:t xml:space="preserve"> through the use of </w:t>
      </w:r>
      <w:r w:rsidR="000A793D">
        <w:t xml:space="preserve">the Strategic Maintenance Information System (SMIS). This program generates email prompts to </w:t>
      </w:r>
      <w:r w:rsidR="000A793D">
        <w:lastRenderedPageBreak/>
        <w:t>engineers to ensure that equipment maintenance is carried out according to schedule. It also “Red flags” conflicts between this schedule and trials activities. As such, engineers only ever have access to serviceable safe equipment.</w:t>
      </w:r>
    </w:p>
    <w:p w:rsidR="00911C6D" w:rsidRDefault="00911C6D" w:rsidP="00911C6D">
      <w:pPr>
        <w:pStyle w:val="Heading2"/>
        <w:numPr>
          <w:ilvl w:val="1"/>
          <w:numId w:val="1"/>
        </w:numPr>
        <w:spacing w:after="240"/>
      </w:pPr>
      <w:bookmarkStart w:id="22" w:name="_Toc481996791"/>
      <w:r>
        <w:t>Process Safety</w:t>
      </w:r>
      <w:bookmarkEnd w:id="22"/>
    </w:p>
    <w:p w:rsidR="000A793D" w:rsidRPr="00BC5F77" w:rsidRDefault="000A793D" w:rsidP="00911C6D">
      <w:r>
        <w:t>To safeguard our processes and procedures, each site employs a Trials Safety Manager</w:t>
      </w:r>
      <w:r w:rsidR="00382D95">
        <w:t xml:space="preserve"> (TSM)</w:t>
      </w:r>
      <w:r>
        <w:t xml:space="preserve">. This individual holds the authority to permit or restrict any activity with regards to testing. </w:t>
      </w:r>
      <w:r w:rsidR="00382D95">
        <w:t>The TSM</w:t>
      </w:r>
      <w:r>
        <w:t xml:space="preserve"> is also responsible for the production and maintenance of</w:t>
      </w:r>
      <w:r w:rsidR="00382D95">
        <w:t xml:space="preserve"> a comprehensive Fault Tree Analysis document</w:t>
      </w:r>
      <w:r>
        <w:t xml:space="preserve"> for all Test &amp; Evaluation activities. (An example of this can be seen in Appendix B.) This document forms a key part of the corporate probabilistic approach to quantifying risk against reward. It also provides delivery teams with </w:t>
      </w:r>
      <w:r w:rsidR="00E617E7">
        <w:t xml:space="preserve">a </w:t>
      </w:r>
      <w:r>
        <w:t>specific focus to minimise the</w:t>
      </w:r>
      <w:r w:rsidR="00E617E7">
        <w:t xml:space="preserve"> probability of</w:t>
      </w:r>
      <w:r>
        <w:t xml:space="preserve"> risk to </w:t>
      </w:r>
      <w:r w:rsidR="00E617E7">
        <w:t>personnel health</w:t>
      </w:r>
      <w:r>
        <w:t xml:space="preserve"> and to the business.</w:t>
      </w:r>
    </w:p>
    <w:p w:rsidR="00D91B24" w:rsidRDefault="00911C6D" w:rsidP="00D91B24">
      <w:pPr>
        <w:pStyle w:val="Heading1"/>
        <w:numPr>
          <w:ilvl w:val="0"/>
          <w:numId w:val="1"/>
        </w:numPr>
      </w:pPr>
      <w:bookmarkStart w:id="23" w:name="_Toc481996792"/>
      <w:r>
        <w:t>Trial Closure</w:t>
      </w:r>
      <w:bookmarkEnd w:id="23"/>
    </w:p>
    <w:p w:rsidR="00911C6D" w:rsidRDefault="009C4A44" w:rsidP="009C4A44">
      <w:pPr>
        <w:jc w:val="center"/>
        <w:rPr>
          <w:i/>
        </w:rPr>
      </w:pPr>
      <w:r w:rsidRPr="009C4A44">
        <w:rPr>
          <w:i/>
        </w:rPr>
        <w:t>“I have no desire to suffer twice, in reality and then in retrospect.”  ― Sophocles, Oedipus Rex</w:t>
      </w:r>
    </w:p>
    <w:p w:rsidR="00A62FBD" w:rsidRDefault="009C4A44" w:rsidP="009C4A44">
      <w:r>
        <w:t>Upon the delivery of an activity, all risk outcomes have been reali</w:t>
      </w:r>
      <w:r w:rsidR="00382D95">
        <w:t xml:space="preserve">sed. It is known at this stage </w:t>
      </w:r>
      <w:r>
        <w:t>whether the risk mitigat</w:t>
      </w:r>
      <w:r w:rsidR="00382D95">
        <w:t xml:space="preserve">ion applied to an activity was </w:t>
      </w:r>
      <w:r>
        <w:t>suitable and sufficient</w:t>
      </w:r>
      <w:r w:rsidR="00A62FBD">
        <w:t>. It is entirely possible that undue controls</w:t>
      </w:r>
      <w:r>
        <w:t xml:space="preserve"> caused to activity to be </w:t>
      </w:r>
      <w:r w:rsidR="00A62FBD">
        <w:t xml:space="preserve">delivered inefficiently </w:t>
      </w:r>
      <w:r w:rsidR="00382D95">
        <w:t xml:space="preserve">or </w:t>
      </w:r>
      <w:r w:rsidR="00A62FBD">
        <w:t>generated further hazards; or perhaps the applied methods did not go far enough, and are in need of revision.</w:t>
      </w:r>
    </w:p>
    <w:p w:rsidR="009C4A44" w:rsidRPr="009C4A44" w:rsidRDefault="00A62FBD" w:rsidP="009C4A44">
      <w:r>
        <w:t xml:space="preserve">Trial Closure is </w:t>
      </w:r>
      <w:r w:rsidR="00712E3A">
        <w:t>an</w:t>
      </w:r>
      <w:r>
        <w:t xml:space="preserve"> appropriate time to evaluate the successes and failures of the risk management system. This occurs in tw</w:t>
      </w:r>
      <w:r w:rsidR="00712E3A">
        <w:t>o ways. The first</w:t>
      </w:r>
      <w:r>
        <w:t xml:space="preserve"> is the Trial Closure meeting, providing a retrospective of the task delivery. The second; is the Technical Data Quality Review, which provides a retrospective of the data capture methods and quality of result, in relation to the Customer Requirement.</w:t>
      </w:r>
    </w:p>
    <w:p w:rsidR="00911C6D" w:rsidRDefault="00785E8E" w:rsidP="00911C6D">
      <w:pPr>
        <w:pStyle w:val="Heading2"/>
        <w:numPr>
          <w:ilvl w:val="1"/>
          <w:numId w:val="1"/>
        </w:numPr>
        <w:spacing w:after="240"/>
      </w:pPr>
      <w:bookmarkStart w:id="24" w:name="_Toc481996793"/>
      <w:r>
        <w:t>Trial Closure Meeting</w:t>
      </w:r>
      <w:bookmarkEnd w:id="24"/>
    </w:p>
    <w:p w:rsidR="00911C6D" w:rsidRPr="00BC5F77" w:rsidRDefault="00712E3A" w:rsidP="00911C6D">
      <w:r>
        <w:t>Bringing together Technicians, Team Leaders, Range Foreman, Resources managers, Trials Managers and Trials Safety Managers</w:t>
      </w:r>
      <w:r w:rsidR="00AC22FB">
        <w:t>; the Trial closure meeting is seen as a key step in the Hazardous activity management process. The meeting agenda follows a strict routine; Risk Assessment review, STOP Moments, Lessons Learnt, with an open forum towards the end of the schedule to allow for any other comments or observations to be captured.</w:t>
      </w:r>
      <w:r w:rsidR="00F16B25">
        <w:t xml:space="preserve"> The output of this meeting is recorded within the lessons learnt database, to be implemented in future work.</w:t>
      </w:r>
    </w:p>
    <w:p w:rsidR="00911C6D" w:rsidRDefault="00263E2B" w:rsidP="00911C6D">
      <w:pPr>
        <w:pStyle w:val="Heading2"/>
        <w:numPr>
          <w:ilvl w:val="1"/>
          <w:numId w:val="1"/>
        </w:numPr>
        <w:spacing w:after="240"/>
      </w:pPr>
      <w:bookmarkStart w:id="25" w:name="_Toc481996794"/>
      <w:r>
        <w:t xml:space="preserve">Technical </w:t>
      </w:r>
      <w:r w:rsidR="00911C6D">
        <w:t>Data Quality Review</w:t>
      </w:r>
      <w:bookmarkEnd w:id="25"/>
    </w:p>
    <w:p w:rsidR="00911C6D" w:rsidRPr="00BC5F77" w:rsidRDefault="00F16B25" w:rsidP="00911C6D">
      <w:r>
        <w:t>Before the trials data is sent to the customer, a senior instrumentation technician reviews the measured results. The instrumentation technicians are then subject to scrutiny to ensure that the equipment used was set-up correctly, within calibration date, and any issues with measurement are recorded. If the Technical reviewer realises a trend with regards to instrumentation failures, a meeting is called to determine alternative processes or mitigations to limit such problems.</w:t>
      </w:r>
    </w:p>
    <w:p w:rsidR="00F16B25" w:rsidRDefault="00F16B25" w:rsidP="00F16B25">
      <w:pPr>
        <w:pStyle w:val="Heading1"/>
        <w:numPr>
          <w:ilvl w:val="0"/>
          <w:numId w:val="1"/>
        </w:numPr>
      </w:pPr>
      <w:bookmarkStart w:id="26" w:name="_Toc481996795"/>
      <w:r>
        <w:lastRenderedPageBreak/>
        <w:t>Conclusion</w:t>
      </w:r>
      <w:bookmarkEnd w:id="26"/>
    </w:p>
    <w:p w:rsidR="00C111E7" w:rsidRDefault="00C111E7" w:rsidP="00C111E7">
      <w:r>
        <w:t>In this document, the author has defined the processes and design methods used by QinetiQ staff to deliver a Small Scale Weapons Trial to a customer. This analysis has covered all aspects of product delivery from customer specification to system evaluation; stating how risk is managed at each stage of the process.</w:t>
      </w:r>
    </w:p>
    <w:p w:rsidR="00CD12BF" w:rsidRDefault="00CD12BF" w:rsidP="00C111E7"/>
    <w:p w:rsidR="00CD12BF" w:rsidRDefault="00CD12BF" w:rsidP="00C111E7"/>
    <w:p w:rsidR="00CD12BF" w:rsidRDefault="00CD12BF" w:rsidP="00C111E7"/>
    <w:p w:rsidR="00CD12BF" w:rsidRDefault="00CD12BF" w:rsidP="00C111E7"/>
    <w:p w:rsidR="00CD12BF" w:rsidRDefault="00CD12BF" w:rsidP="00C111E7"/>
    <w:p w:rsidR="00CD12BF" w:rsidRDefault="00CD12BF" w:rsidP="00C111E7"/>
    <w:p w:rsidR="00CD12BF" w:rsidRDefault="00CD12BF" w:rsidP="00C111E7"/>
    <w:p w:rsidR="00CD12BF" w:rsidRDefault="00CD12BF" w:rsidP="00C111E7"/>
    <w:p w:rsidR="00CD12BF" w:rsidRDefault="00CD12BF" w:rsidP="00C111E7"/>
    <w:p w:rsidR="00CD12BF" w:rsidRDefault="00CD12BF" w:rsidP="00C111E7"/>
    <w:p w:rsidR="00CD12BF" w:rsidRDefault="00CD12BF" w:rsidP="00C111E7"/>
    <w:p w:rsidR="00CD12BF" w:rsidRDefault="00CD12BF" w:rsidP="00C111E7">
      <w:bookmarkStart w:id="27" w:name="_GoBack"/>
      <w:bookmarkEnd w:id="27"/>
    </w:p>
    <w:bookmarkStart w:id="28" w:name="_Toc481996796" w:displacedByCustomXml="next"/>
    <w:sdt>
      <w:sdtPr>
        <w:rPr>
          <w:rFonts w:asciiTheme="minorHAnsi" w:eastAsiaTheme="minorHAnsi" w:hAnsiTheme="minorHAnsi" w:cstheme="minorBidi"/>
          <w:b w:val="0"/>
          <w:bCs w:val="0"/>
          <w:color w:val="auto"/>
          <w:sz w:val="22"/>
          <w:szCs w:val="22"/>
        </w:rPr>
        <w:id w:val="2002546533"/>
        <w:docPartObj>
          <w:docPartGallery w:val="Bibliographies"/>
          <w:docPartUnique/>
        </w:docPartObj>
      </w:sdtPr>
      <w:sdtEndPr/>
      <w:sdtContent>
        <w:p w:rsidR="00B44D19" w:rsidRDefault="0002354A" w:rsidP="0002354A">
          <w:pPr>
            <w:pStyle w:val="Heading1"/>
            <w:numPr>
              <w:ilvl w:val="0"/>
              <w:numId w:val="0"/>
            </w:numPr>
            <w:ind w:left="432" w:hanging="432"/>
          </w:pPr>
          <w:r>
            <w:t>References</w:t>
          </w:r>
          <w:bookmarkEnd w:id="28"/>
        </w:p>
        <w:sdt>
          <w:sdtPr>
            <w:id w:val="111145805"/>
            <w:bibliography/>
          </w:sdtPr>
          <w:sdtEndPr/>
          <w:sdtContent>
            <w:p w:rsidR="00C111E7" w:rsidRDefault="00B44D19" w:rsidP="00C111E7">
              <w:pPr>
                <w:pStyle w:val="Bibliography"/>
                <w:rPr>
                  <w:noProof/>
                </w:rPr>
              </w:pPr>
              <w:r>
                <w:fldChar w:fldCharType="begin"/>
              </w:r>
              <w:r>
                <w:instrText xml:space="preserve"> BIBLIOGRAPHY </w:instrText>
              </w:r>
              <w:r>
                <w:fldChar w:fldCharType="separate"/>
              </w:r>
              <w:r w:rsidR="00C111E7">
                <w:rPr>
                  <w:noProof/>
                </w:rPr>
                <w:t xml:space="preserve">1. </w:t>
              </w:r>
              <w:r w:rsidR="00C111E7">
                <w:rPr>
                  <w:b/>
                  <w:bCs/>
                  <w:noProof/>
                </w:rPr>
                <w:t>Royal School of Artillery.</w:t>
              </w:r>
              <w:r w:rsidR="00C111E7">
                <w:rPr>
                  <w:noProof/>
                </w:rPr>
                <w:t xml:space="preserve"> </w:t>
              </w:r>
              <w:r w:rsidR="00C111E7">
                <w:rPr>
                  <w:i/>
                  <w:iCs/>
                  <w:noProof/>
                </w:rPr>
                <w:t xml:space="preserve">. Pamphlet 19 - Regulations for Planning, Control, Conduct and Safety for Firing Practices. . </w:t>
              </w:r>
              <w:r w:rsidR="00C111E7">
                <w:rPr>
                  <w:noProof/>
                </w:rPr>
                <w:t>Larkhill : UK MoD, 2012.</w:t>
              </w:r>
            </w:p>
            <w:p w:rsidR="00C111E7" w:rsidRPr="00C111E7" w:rsidRDefault="00C111E7" w:rsidP="00C111E7">
              <w:pPr>
                <w:pStyle w:val="Bibliography"/>
                <w:rPr>
                  <w:noProof/>
                  <w:lang w:val="de-DE"/>
                </w:rPr>
              </w:pPr>
              <w:r>
                <w:rPr>
                  <w:noProof/>
                </w:rPr>
                <w:t xml:space="preserve">2. </w:t>
              </w:r>
              <w:r>
                <w:rPr>
                  <w:b/>
                  <w:bCs/>
                  <w:noProof/>
                </w:rPr>
                <w:t>Health and Safety Executive.</w:t>
              </w:r>
              <w:r>
                <w:rPr>
                  <w:noProof/>
                </w:rPr>
                <w:t xml:space="preserve"> Risk Management: ALARP at a glance. </w:t>
              </w:r>
              <w:r w:rsidRPr="00C111E7">
                <w:rPr>
                  <w:noProof/>
                  <w:lang w:val="de-DE"/>
                </w:rPr>
                <w:t>[Online] http://www.hse.gov.uk/risk/theory/alarpglance.htm.</w:t>
              </w:r>
            </w:p>
            <w:p w:rsidR="00C111E7" w:rsidRDefault="00C111E7" w:rsidP="00C111E7">
              <w:pPr>
                <w:pStyle w:val="Bibliography"/>
                <w:rPr>
                  <w:noProof/>
                </w:rPr>
              </w:pPr>
              <w:r>
                <w:rPr>
                  <w:noProof/>
                </w:rPr>
                <w:t xml:space="preserve">3. </w:t>
              </w:r>
              <w:r>
                <w:rPr>
                  <w:b/>
                  <w:bCs/>
                  <w:noProof/>
                </w:rPr>
                <w:t>Act of Parliament.</w:t>
              </w:r>
              <w:r>
                <w:rPr>
                  <w:noProof/>
                </w:rPr>
                <w:t xml:space="preserve"> Health and Safety at Work etc. Act 1974. London : s.n., 1974.</w:t>
              </w:r>
            </w:p>
            <w:p w:rsidR="00C111E7" w:rsidRDefault="00C111E7" w:rsidP="00C111E7">
              <w:pPr>
                <w:pStyle w:val="Bibliography"/>
                <w:rPr>
                  <w:noProof/>
                </w:rPr>
              </w:pPr>
              <w:r>
                <w:rPr>
                  <w:noProof/>
                </w:rPr>
                <w:t xml:space="preserve">4. </w:t>
              </w:r>
              <w:r>
                <w:rPr>
                  <w:b/>
                  <w:bCs/>
                  <w:noProof/>
                </w:rPr>
                <w:t>HSE: ILGRA.</w:t>
              </w:r>
              <w:r>
                <w:rPr>
                  <w:noProof/>
                </w:rPr>
                <w:t xml:space="preserve"> </w:t>
              </w:r>
              <w:r>
                <w:rPr>
                  <w:i/>
                  <w:iCs/>
                  <w:noProof/>
                </w:rPr>
                <w:t xml:space="preserve">Risk Communication: A Guide to Regulatory Practice. </w:t>
              </w:r>
              <w:r>
                <w:rPr>
                  <w:noProof/>
                </w:rPr>
                <w:t>2002.</w:t>
              </w:r>
            </w:p>
            <w:p w:rsidR="00B44D19" w:rsidRDefault="00B44D19" w:rsidP="00C111E7">
              <w:pPr>
                <w:pStyle w:val="Bibliography"/>
                <w:rPr>
                  <w:noProof/>
                </w:rPr>
              </w:pPr>
              <w:r>
                <w:rPr>
                  <w:b/>
                  <w:bCs/>
                  <w:noProof/>
                </w:rPr>
                <w:fldChar w:fldCharType="end"/>
              </w:r>
            </w:p>
          </w:sdtContent>
        </w:sdt>
      </w:sdtContent>
    </w:sdt>
    <w:p w:rsidR="0002354A" w:rsidRDefault="0002354A" w:rsidP="00B44D19">
      <w:pPr>
        <w:spacing w:after="0"/>
        <w:contextualSpacing/>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t>Bibliography</w:t>
      </w:r>
    </w:p>
    <w:p w:rsidR="0002354A" w:rsidRDefault="0002354A" w:rsidP="0002354A">
      <w:pPr>
        <w:pStyle w:val="Bibliography"/>
        <w:rPr>
          <w:noProof/>
        </w:rPr>
      </w:pPr>
      <w:r>
        <w:rPr>
          <w:noProof/>
        </w:rPr>
        <w:t xml:space="preserve">1. </w:t>
      </w:r>
      <w:r>
        <w:rPr>
          <w:b/>
          <w:bCs/>
          <w:noProof/>
        </w:rPr>
        <w:t>Ministry of Defence.</w:t>
      </w:r>
      <w:r>
        <w:rPr>
          <w:noProof/>
        </w:rPr>
        <w:t xml:space="preserve"> JSP 403 Handbook of Defence Ranges Safety. London, 2016</w:t>
      </w:r>
    </w:p>
    <w:p w:rsidR="00362374" w:rsidRPr="00362374" w:rsidRDefault="0002354A" w:rsidP="00362374">
      <w:r w:rsidRPr="0002354A">
        <w:rPr>
          <w:bCs/>
          <w:noProof/>
        </w:rPr>
        <w:t>2.</w:t>
      </w:r>
      <w:r w:rsidRPr="0002354A">
        <w:t xml:space="preserve"> </w:t>
      </w:r>
      <w:r w:rsidR="00362374">
        <w:rPr>
          <w:b/>
        </w:rPr>
        <w:t xml:space="preserve">QinetiQ Operating Framework. </w:t>
      </w:r>
      <w:proofErr w:type="gramStart"/>
      <w:r w:rsidR="00362374">
        <w:t>OME Explosives Risk Assessment.</w:t>
      </w:r>
      <w:proofErr w:type="gramEnd"/>
      <w:r w:rsidR="00362374">
        <w:t xml:space="preserve"> Shoeburyness, 2017</w:t>
      </w:r>
    </w:p>
    <w:p w:rsidR="00525F27" w:rsidRDefault="00525F27">
      <w:pPr>
        <w:rPr>
          <w:rFonts w:asciiTheme="majorHAnsi" w:eastAsiaTheme="majorEastAsia" w:hAnsiTheme="majorHAnsi" w:cstheme="majorBidi"/>
          <w:b/>
          <w:bCs/>
          <w:color w:val="365F91" w:themeColor="accent1" w:themeShade="BF"/>
          <w:sz w:val="28"/>
          <w:szCs w:val="28"/>
        </w:rPr>
      </w:pPr>
      <w:r>
        <w:br w:type="page"/>
      </w:r>
    </w:p>
    <w:p w:rsidR="000224C6" w:rsidRDefault="005B6A47" w:rsidP="00351DAC">
      <w:pPr>
        <w:pStyle w:val="Heading1"/>
        <w:numPr>
          <w:ilvl w:val="0"/>
          <w:numId w:val="0"/>
        </w:numPr>
        <w:spacing w:after="240"/>
        <w:ind w:left="432" w:hanging="432"/>
      </w:pPr>
      <w:bookmarkStart w:id="29" w:name="_Toc481996797"/>
      <w:r>
        <w:lastRenderedPageBreak/>
        <w:t>Appendices</w:t>
      </w:r>
      <w:bookmarkEnd w:id="29"/>
    </w:p>
    <w:p w:rsidR="00D91B24" w:rsidRDefault="009D2B6D" w:rsidP="00D91B24">
      <w:pPr>
        <w:spacing w:after="0"/>
        <w:rPr>
          <w:b/>
          <w:color w:val="1F497D" w:themeColor="text2"/>
        </w:rPr>
      </w:pPr>
      <w:r w:rsidRPr="009D2B6D">
        <w:rPr>
          <w:b/>
          <w:color w:val="1F497D" w:themeColor="text2"/>
        </w:rPr>
        <w:t xml:space="preserve">Appendix </w:t>
      </w:r>
      <w:proofErr w:type="gramStart"/>
      <w:r w:rsidRPr="009D2B6D">
        <w:rPr>
          <w:b/>
          <w:color w:val="1F497D" w:themeColor="text2"/>
        </w:rPr>
        <w:t>A</w:t>
      </w:r>
      <w:proofErr w:type="gramEnd"/>
      <w:r w:rsidR="002B613E">
        <w:rPr>
          <w:b/>
          <w:color w:val="1F497D" w:themeColor="text2"/>
        </w:rPr>
        <w:t xml:space="preserve"> – ALARP</w:t>
      </w:r>
      <w:r w:rsidR="00351DAC">
        <w:rPr>
          <w:b/>
          <w:color w:val="1F497D" w:themeColor="text2"/>
        </w:rPr>
        <w:t>;</w:t>
      </w:r>
      <w:r w:rsidR="002B613E">
        <w:rPr>
          <w:b/>
          <w:color w:val="1F497D" w:themeColor="text2"/>
        </w:rPr>
        <w:t xml:space="preserve"> </w:t>
      </w:r>
      <w:r w:rsidR="00351DAC">
        <w:rPr>
          <w:b/>
          <w:color w:val="1F497D" w:themeColor="text2"/>
        </w:rPr>
        <w:t>QinetiQ Implementation Guidance</w:t>
      </w:r>
    </w:p>
    <w:p w:rsidR="000B6D76" w:rsidRDefault="002B613E" w:rsidP="00351DAC">
      <w:pPr>
        <w:spacing w:after="0"/>
        <w:jc w:val="center"/>
        <w:rPr>
          <w:b/>
          <w:color w:val="1F497D" w:themeColor="text2"/>
        </w:rPr>
        <w:sectPr w:rsidR="000B6D76" w:rsidSect="0060568B">
          <w:headerReference w:type="default" r:id="rId12"/>
          <w:footerReference w:type="default" r:id="rId13"/>
          <w:pgSz w:w="11906" w:h="16838"/>
          <w:pgMar w:top="1440" w:right="1440" w:bottom="1440" w:left="1440" w:header="708" w:footer="708" w:gutter="0"/>
          <w:pgNumType w:start="0"/>
          <w:cols w:space="708"/>
          <w:titlePg/>
          <w:docGrid w:linePitch="360"/>
        </w:sectPr>
      </w:pPr>
      <w:r>
        <w:rPr>
          <w:noProof/>
          <w:lang w:eastAsia="en-GB"/>
        </w:rPr>
        <w:drawing>
          <wp:inline distT="0" distB="0" distL="0" distR="0" wp14:anchorId="20AF4C2C" wp14:editId="0009F061">
            <wp:extent cx="5731510" cy="7325644"/>
            <wp:effectExtent l="19050" t="19050" r="21590" b="279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7325644"/>
                    </a:xfrm>
                    <a:prstGeom prst="rect">
                      <a:avLst/>
                    </a:prstGeom>
                    <a:ln w="19050">
                      <a:solidFill>
                        <a:schemeClr val="tx2"/>
                      </a:solidFill>
                    </a:ln>
                  </pic:spPr>
                </pic:pic>
              </a:graphicData>
            </a:graphic>
          </wp:inline>
        </w:drawing>
      </w:r>
    </w:p>
    <w:p w:rsidR="002B613E" w:rsidRPr="00D91B24" w:rsidRDefault="000B6D76" w:rsidP="00BD77E2">
      <w:pPr>
        <w:spacing w:after="0"/>
        <w:rPr>
          <w:b/>
          <w:color w:val="1F497D" w:themeColor="text2"/>
        </w:rPr>
      </w:pPr>
      <w:r w:rsidRPr="00BD77E2">
        <w:rPr>
          <w:b/>
          <w:noProof/>
          <w:color w:val="1F497D" w:themeColor="text2"/>
          <w:lang w:eastAsia="en-GB"/>
        </w:rPr>
        <w:lastRenderedPageBreak/>
        <w:drawing>
          <wp:anchor distT="0" distB="0" distL="114300" distR="114300" simplePos="0" relativeHeight="251661312" behindDoc="0" locked="0" layoutInCell="1" allowOverlap="1" wp14:anchorId="1918E786" wp14:editId="6B76C8E2">
            <wp:simplePos x="0" y="0"/>
            <wp:positionH relativeFrom="column">
              <wp:posOffset>104775</wp:posOffset>
            </wp:positionH>
            <wp:positionV relativeFrom="paragraph">
              <wp:posOffset>295275</wp:posOffset>
            </wp:positionV>
            <wp:extent cx="8743950" cy="5502910"/>
            <wp:effectExtent l="0" t="0" r="0" b="2540"/>
            <wp:wrapTopAndBottom/>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t="18303" b="19150"/>
                    <a:stretch/>
                  </pic:blipFill>
                  <pic:spPr bwMode="auto">
                    <a:xfrm>
                      <a:off x="0" y="0"/>
                      <a:ext cx="8743950" cy="5502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77E2" w:rsidRPr="00BD77E2">
        <w:rPr>
          <w:b/>
          <w:color w:val="1F497D" w:themeColor="text2"/>
        </w:rPr>
        <w:t>Appedix B – Fault Tree Analysis; Death or Injury to 3rd Parties from Exposure to Dynamic Trials Activities</w:t>
      </w:r>
    </w:p>
    <w:sectPr w:rsidR="002B613E" w:rsidRPr="00D91B24" w:rsidSect="000B6D76">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8B7" w:rsidRDefault="009208B7" w:rsidP="0060568B">
      <w:pPr>
        <w:spacing w:after="0" w:line="240" w:lineRule="auto"/>
      </w:pPr>
      <w:r>
        <w:separator/>
      </w:r>
    </w:p>
  </w:endnote>
  <w:endnote w:type="continuationSeparator" w:id="0">
    <w:p w:rsidR="009208B7" w:rsidRDefault="009208B7" w:rsidP="0060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8343834"/>
      <w:docPartObj>
        <w:docPartGallery w:val="Page Numbers (Bottom of Page)"/>
        <w:docPartUnique/>
      </w:docPartObj>
    </w:sdtPr>
    <w:sdtEndPr/>
    <w:sdtContent>
      <w:sdt>
        <w:sdtPr>
          <w:id w:val="1531142957"/>
          <w:docPartObj>
            <w:docPartGallery w:val="Page Numbers (Top of Page)"/>
            <w:docPartUnique/>
          </w:docPartObj>
        </w:sdtPr>
        <w:sdtEndPr/>
        <w:sdtContent>
          <w:p w:rsidR="00014810" w:rsidRDefault="00014810">
            <w:pPr>
              <w:pStyle w:val="Footer"/>
              <w:jc w:val="right"/>
            </w:pPr>
            <w:r>
              <w:t>H G McAuliffe</w:t>
            </w:r>
            <w:r>
              <w:tab/>
            </w:r>
            <w:r>
              <w:tab/>
              <w:t xml:space="preserve">Page </w:t>
            </w:r>
            <w:r>
              <w:rPr>
                <w:b/>
                <w:bCs/>
                <w:sz w:val="24"/>
                <w:szCs w:val="24"/>
              </w:rPr>
              <w:fldChar w:fldCharType="begin"/>
            </w:r>
            <w:r>
              <w:rPr>
                <w:b/>
                <w:bCs/>
              </w:rPr>
              <w:instrText xml:space="preserve"> PAGE </w:instrText>
            </w:r>
            <w:r>
              <w:rPr>
                <w:b/>
                <w:bCs/>
                <w:sz w:val="24"/>
                <w:szCs w:val="24"/>
              </w:rPr>
              <w:fldChar w:fldCharType="separate"/>
            </w:r>
            <w:r w:rsidR="00CD12BF">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D12BF">
              <w:rPr>
                <w:b/>
                <w:bCs/>
                <w:noProof/>
              </w:rPr>
              <w:t>11</w:t>
            </w:r>
            <w:r>
              <w:rPr>
                <w:b/>
                <w:bCs/>
                <w:sz w:val="24"/>
                <w:szCs w:val="24"/>
              </w:rPr>
              <w:fldChar w:fldCharType="end"/>
            </w:r>
          </w:p>
        </w:sdtContent>
      </w:sdt>
    </w:sdtContent>
  </w:sdt>
  <w:p w:rsidR="00014810" w:rsidRDefault="000148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8B7" w:rsidRDefault="009208B7" w:rsidP="0060568B">
      <w:pPr>
        <w:spacing w:after="0" w:line="240" w:lineRule="auto"/>
      </w:pPr>
      <w:r>
        <w:separator/>
      </w:r>
    </w:p>
  </w:footnote>
  <w:footnote w:type="continuationSeparator" w:id="0">
    <w:p w:rsidR="009208B7" w:rsidRDefault="009208B7" w:rsidP="006056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10" w:rsidRPr="005D172E" w:rsidRDefault="00014810" w:rsidP="005D172E">
    <w:pPr>
      <w:pStyle w:val="Header"/>
      <w:tabs>
        <w:tab w:val="left" w:pos="8238"/>
      </w:tabs>
      <w:rPr>
        <w:sz w:val="20"/>
        <w:szCs w:val="20"/>
      </w:rPr>
    </w:pPr>
    <w:r>
      <w:rPr>
        <w:rFonts w:ascii="Calibri Light" w:eastAsiaTheme="majorEastAsia" w:hAnsi="Calibri Light" w:cstheme="majorBidi"/>
        <w:sz w:val="18"/>
        <w:szCs w:val="18"/>
      </w:rPr>
      <w:tab/>
    </w:r>
    <w:sdt>
      <w:sdtPr>
        <w:rPr>
          <w:rFonts w:ascii="Calibri Light" w:eastAsiaTheme="majorEastAsia" w:hAnsi="Calibri Light" w:cstheme="majorBidi"/>
          <w:sz w:val="20"/>
          <w:szCs w:val="20"/>
        </w:rPr>
        <w:alias w:val="Title"/>
        <w:id w:val="-465272852"/>
        <w:dataBinding w:prefixMappings="xmlns:ns0='http://schemas.openxmlformats.org/package/2006/metadata/core-properties' xmlns:ns1='http://purl.org/dc/elements/1.1/'" w:xpath="/ns0:coreProperties[1]/ns1:title[1]" w:storeItemID="{6C3C8BC8-F283-45AE-878A-BAB7291924A1}"/>
        <w:text/>
      </w:sdtPr>
      <w:sdtEndPr/>
      <w:sdtContent>
        <w:r w:rsidR="00624934">
          <w:rPr>
            <w:rFonts w:ascii="Calibri Light" w:eastAsiaTheme="majorEastAsia" w:hAnsi="Calibri Light" w:cstheme="majorBidi"/>
            <w:sz w:val="20"/>
            <w:szCs w:val="20"/>
          </w:rPr>
          <w:t>Risk Management -       Design, Development and Evaluation of a Small Scale Weapons Trial</w:t>
        </w:r>
      </w:sdtContent>
    </w:sdt>
    <w:r w:rsidRPr="005D172E">
      <w:rPr>
        <w:rFonts w:ascii="Calibri Light" w:eastAsiaTheme="majorEastAsia" w:hAnsi="Calibri Light" w:cstheme="majorBidi"/>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CA3"/>
    <w:multiLevelType w:val="multilevel"/>
    <w:tmpl w:val="8BF823D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nsid w:val="03087314"/>
    <w:multiLevelType w:val="multilevel"/>
    <w:tmpl w:val="0390139E"/>
    <w:lvl w:ilvl="0">
      <w:start w:val="1"/>
      <w:numFmt w:val="decimal"/>
      <w:pStyle w:val="Heading1"/>
      <w:lvlText w:val="%1"/>
      <w:lvlJc w:val="left"/>
      <w:pPr>
        <w:ind w:left="432" w:hanging="432"/>
      </w:pPr>
      <w:rPr>
        <w:rFonts w:asciiTheme="minorHAnsi" w:hAnsiTheme="minorHAnsi" w:hint="default"/>
        <w:b w:val="0"/>
        <w:color w:val="auto"/>
        <w:sz w:val="22"/>
        <w:szCs w:val="2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049F6A07"/>
    <w:multiLevelType w:val="hybridMultilevel"/>
    <w:tmpl w:val="D172BD8E"/>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3">
    <w:nsid w:val="1500558F"/>
    <w:multiLevelType w:val="hybridMultilevel"/>
    <w:tmpl w:val="3CD04A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EB4CCC"/>
    <w:multiLevelType w:val="multilevel"/>
    <w:tmpl w:val="E6C47176"/>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nsid w:val="1F0237ED"/>
    <w:multiLevelType w:val="hybridMultilevel"/>
    <w:tmpl w:val="787ED67E"/>
    <w:lvl w:ilvl="0" w:tplc="FCE447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892CDA"/>
    <w:multiLevelType w:val="hybridMultilevel"/>
    <w:tmpl w:val="B394D686"/>
    <w:lvl w:ilvl="0" w:tplc="FCE447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D8679D"/>
    <w:multiLevelType w:val="hybridMultilevel"/>
    <w:tmpl w:val="840648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0E0553"/>
    <w:multiLevelType w:val="multilevel"/>
    <w:tmpl w:val="8BF823D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nsid w:val="34D62246"/>
    <w:multiLevelType w:val="hybridMultilevel"/>
    <w:tmpl w:val="2F621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4763132"/>
    <w:multiLevelType w:val="hybridMultilevel"/>
    <w:tmpl w:val="35EC2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6560D82"/>
    <w:multiLevelType w:val="multilevel"/>
    <w:tmpl w:val="E6C47176"/>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nsid w:val="4C714DB7"/>
    <w:multiLevelType w:val="hybridMultilevel"/>
    <w:tmpl w:val="67CA0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F095966"/>
    <w:multiLevelType w:val="multilevel"/>
    <w:tmpl w:val="8BF823D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nsid w:val="54062DD6"/>
    <w:multiLevelType w:val="hybridMultilevel"/>
    <w:tmpl w:val="4DECA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CA62621"/>
    <w:multiLevelType w:val="hybridMultilevel"/>
    <w:tmpl w:val="13D64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D1F"/>
    <w:multiLevelType w:val="hybridMultilevel"/>
    <w:tmpl w:val="AE3A9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B944937"/>
    <w:multiLevelType w:val="hybridMultilevel"/>
    <w:tmpl w:val="295E89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C1F3C66"/>
    <w:multiLevelType w:val="hybridMultilevel"/>
    <w:tmpl w:val="8E467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2AE5A45"/>
    <w:multiLevelType w:val="hybridMultilevel"/>
    <w:tmpl w:val="9D4CE5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51F0625"/>
    <w:multiLevelType w:val="hybridMultilevel"/>
    <w:tmpl w:val="BB646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5882D52"/>
    <w:multiLevelType w:val="hybridMultilevel"/>
    <w:tmpl w:val="A8D80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6F277A9"/>
    <w:multiLevelType w:val="hybridMultilevel"/>
    <w:tmpl w:val="A0882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2"/>
  </w:num>
  <w:num w:numId="3">
    <w:abstractNumId w:val="3"/>
  </w:num>
  <w:num w:numId="4">
    <w:abstractNumId w:val="5"/>
  </w:num>
  <w:num w:numId="5">
    <w:abstractNumId w:val="6"/>
  </w:num>
  <w:num w:numId="6">
    <w:abstractNumId w:val="10"/>
  </w:num>
  <w:num w:numId="7">
    <w:abstractNumId w:val="15"/>
  </w:num>
  <w:num w:numId="8">
    <w:abstractNumId w:val="0"/>
  </w:num>
  <w:num w:numId="9">
    <w:abstractNumId w:val="9"/>
  </w:num>
  <w:num w:numId="10">
    <w:abstractNumId w:val="13"/>
  </w:num>
  <w:num w:numId="11">
    <w:abstractNumId w:val="21"/>
  </w:num>
  <w:num w:numId="12">
    <w:abstractNumId w:val="7"/>
  </w:num>
  <w:num w:numId="13">
    <w:abstractNumId w:val="19"/>
  </w:num>
  <w:num w:numId="14">
    <w:abstractNumId w:val="16"/>
  </w:num>
  <w:num w:numId="15">
    <w:abstractNumId w:val="14"/>
  </w:num>
  <w:num w:numId="16">
    <w:abstractNumId w:val="20"/>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8"/>
  </w:num>
  <w:num w:numId="38">
    <w:abstractNumId w:val="1"/>
  </w:num>
  <w:num w:numId="39">
    <w:abstractNumId w:val="1"/>
  </w:num>
  <w:num w:numId="40">
    <w:abstractNumId w:val="4"/>
  </w:num>
  <w:num w:numId="41">
    <w:abstractNumId w:val="17"/>
  </w:num>
  <w:num w:numId="42">
    <w:abstractNumId w:val="11"/>
  </w:num>
  <w:num w:numId="43">
    <w:abstractNumId w:val="1"/>
  </w:num>
  <w:num w:numId="44">
    <w:abstractNumId w:val="1"/>
  </w:num>
  <w:num w:numId="45">
    <w:abstractNumId w:val="1"/>
  </w:num>
  <w:num w:numId="46">
    <w:abstractNumId w:val="12"/>
  </w:num>
  <w:num w:numId="47">
    <w:abstractNumId w:val="1"/>
  </w:num>
  <w:num w:numId="48">
    <w:abstractNumId w:val="1"/>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35A"/>
    <w:rsid w:val="00002AC6"/>
    <w:rsid w:val="00014009"/>
    <w:rsid w:val="00014810"/>
    <w:rsid w:val="00020C63"/>
    <w:rsid w:val="000224C6"/>
    <w:rsid w:val="0002354A"/>
    <w:rsid w:val="00024322"/>
    <w:rsid w:val="000251B7"/>
    <w:rsid w:val="000347D6"/>
    <w:rsid w:val="00035A3E"/>
    <w:rsid w:val="0004361E"/>
    <w:rsid w:val="0005202F"/>
    <w:rsid w:val="00052E56"/>
    <w:rsid w:val="000560E1"/>
    <w:rsid w:val="00057B9D"/>
    <w:rsid w:val="00060E44"/>
    <w:rsid w:val="000654D7"/>
    <w:rsid w:val="00065748"/>
    <w:rsid w:val="0006734B"/>
    <w:rsid w:val="00071AE6"/>
    <w:rsid w:val="00086A5B"/>
    <w:rsid w:val="000976F4"/>
    <w:rsid w:val="000A793D"/>
    <w:rsid w:val="000B6D76"/>
    <w:rsid w:val="000B6FFE"/>
    <w:rsid w:val="000C6B1B"/>
    <w:rsid w:val="000D332C"/>
    <w:rsid w:val="000D45DD"/>
    <w:rsid w:val="000D4926"/>
    <w:rsid w:val="000D5C53"/>
    <w:rsid w:val="000D60AF"/>
    <w:rsid w:val="000E43E2"/>
    <w:rsid w:val="000F3062"/>
    <w:rsid w:val="000F6909"/>
    <w:rsid w:val="00103EB7"/>
    <w:rsid w:val="00104F27"/>
    <w:rsid w:val="00112853"/>
    <w:rsid w:val="00117CE3"/>
    <w:rsid w:val="00120DBB"/>
    <w:rsid w:val="00123ABE"/>
    <w:rsid w:val="00124010"/>
    <w:rsid w:val="00136770"/>
    <w:rsid w:val="00152D1C"/>
    <w:rsid w:val="0015692C"/>
    <w:rsid w:val="0016020E"/>
    <w:rsid w:val="0016499A"/>
    <w:rsid w:val="00176D4C"/>
    <w:rsid w:val="00176FA9"/>
    <w:rsid w:val="0019198A"/>
    <w:rsid w:val="00192850"/>
    <w:rsid w:val="00193C5F"/>
    <w:rsid w:val="001A640B"/>
    <w:rsid w:val="001B609D"/>
    <w:rsid w:val="001D28A2"/>
    <w:rsid w:val="001D4FE1"/>
    <w:rsid w:val="001E5F3D"/>
    <w:rsid w:val="001F7087"/>
    <w:rsid w:val="002126AA"/>
    <w:rsid w:val="00214DA8"/>
    <w:rsid w:val="002161D9"/>
    <w:rsid w:val="00221E4D"/>
    <w:rsid w:val="00224FFD"/>
    <w:rsid w:val="00230585"/>
    <w:rsid w:val="002334D8"/>
    <w:rsid w:val="00235F5A"/>
    <w:rsid w:val="00235FDC"/>
    <w:rsid w:val="00244328"/>
    <w:rsid w:val="00246998"/>
    <w:rsid w:val="002470E1"/>
    <w:rsid w:val="00251BEB"/>
    <w:rsid w:val="00263E2B"/>
    <w:rsid w:val="0027118C"/>
    <w:rsid w:val="00272075"/>
    <w:rsid w:val="0027429F"/>
    <w:rsid w:val="002927EF"/>
    <w:rsid w:val="002A36C6"/>
    <w:rsid w:val="002B5961"/>
    <w:rsid w:val="002B613E"/>
    <w:rsid w:val="002B7DCE"/>
    <w:rsid w:val="002C45F8"/>
    <w:rsid w:val="002D0B4E"/>
    <w:rsid w:val="002E005D"/>
    <w:rsid w:val="002E575D"/>
    <w:rsid w:val="002F0983"/>
    <w:rsid w:val="002F1DC9"/>
    <w:rsid w:val="00304971"/>
    <w:rsid w:val="00325305"/>
    <w:rsid w:val="003308AF"/>
    <w:rsid w:val="00332429"/>
    <w:rsid w:val="00333AFF"/>
    <w:rsid w:val="00335A94"/>
    <w:rsid w:val="00350941"/>
    <w:rsid w:val="00351DAC"/>
    <w:rsid w:val="00353DFA"/>
    <w:rsid w:val="00361AD1"/>
    <w:rsid w:val="00362374"/>
    <w:rsid w:val="00362CF6"/>
    <w:rsid w:val="0036730D"/>
    <w:rsid w:val="00373D24"/>
    <w:rsid w:val="00382D95"/>
    <w:rsid w:val="00382E07"/>
    <w:rsid w:val="00392CFB"/>
    <w:rsid w:val="003B02AA"/>
    <w:rsid w:val="003B06FC"/>
    <w:rsid w:val="003B1554"/>
    <w:rsid w:val="003B1D23"/>
    <w:rsid w:val="003B5AE3"/>
    <w:rsid w:val="003E441F"/>
    <w:rsid w:val="003E6DC1"/>
    <w:rsid w:val="003F2AB9"/>
    <w:rsid w:val="00433F7A"/>
    <w:rsid w:val="00434665"/>
    <w:rsid w:val="00435E5C"/>
    <w:rsid w:val="00456AB5"/>
    <w:rsid w:val="00460E2F"/>
    <w:rsid w:val="00466338"/>
    <w:rsid w:val="00470BDF"/>
    <w:rsid w:val="004713A3"/>
    <w:rsid w:val="00481222"/>
    <w:rsid w:val="00483BD1"/>
    <w:rsid w:val="0049042A"/>
    <w:rsid w:val="004A05E5"/>
    <w:rsid w:val="004A4072"/>
    <w:rsid w:val="004A45E3"/>
    <w:rsid w:val="004C1C64"/>
    <w:rsid w:val="004C24F3"/>
    <w:rsid w:val="004C48E7"/>
    <w:rsid w:val="004D1132"/>
    <w:rsid w:val="004D6818"/>
    <w:rsid w:val="004D72F9"/>
    <w:rsid w:val="004D77D2"/>
    <w:rsid w:val="004E0B2C"/>
    <w:rsid w:val="004E4655"/>
    <w:rsid w:val="004E501C"/>
    <w:rsid w:val="004F2834"/>
    <w:rsid w:val="005034DA"/>
    <w:rsid w:val="00512C0F"/>
    <w:rsid w:val="00513DE0"/>
    <w:rsid w:val="005142BA"/>
    <w:rsid w:val="00514891"/>
    <w:rsid w:val="00525F27"/>
    <w:rsid w:val="00527865"/>
    <w:rsid w:val="00532679"/>
    <w:rsid w:val="0053288F"/>
    <w:rsid w:val="00536704"/>
    <w:rsid w:val="00536F2A"/>
    <w:rsid w:val="00542DF2"/>
    <w:rsid w:val="00546CCA"/>
    <w:rsid w:val="00582951"/>
    <w:rsid w:val="0059352B"/>
    <w:rsid w:val="0059489C"/>
    <w:rsid w:val="00596080"/>
    <w:rsid w:val="00596D9E"/>
    <w:rsid w:val="00597A0E"/>
    <w:rsid w:val="005A3278"/>
    <w:rsid w:val="005B083C"/>
    <w:rsid w:val="005B168E"/>
    <w:rsid w:val="005B3302"/>
    <w:rsid w:val="005B4E88"/>
    <w:rsid w:val="005B5397"/>
    <w:rsid w:val="005B6A47"/>
    <w:rsid w:val="005D172E"/>
    <w:rsid w:val="005E1029"/>
    <w:rsid w:val="005F30D5"/>
    <w:rsid w:val="005F7CDA"/>
    <w:rsid w:val="00602563"/>
    <w:rsid w:val="00605369"/>
    <w:rsid w:val="0060568B"/>
    <w:rsid w:val="006149A9"/>
    <w:rsid w:val="00615CEA"/>
    <w:rsid w:val="00615E40"/>
    <w:rsid w:val="00617DE7"/>
    <w:rsid w:val="006213F7"/>
    <w:rsid w:val="00624934"/>
    <w:rsid w:val="00624E91"/>
    <w:rsid w:val="006302F4"/>
    <w:rsid w:val="0064666D"/>
    <w:rsid w:val="00651E7D"/>
    <w:rsid w:val="00653855"/>
    <w:rsid w:val="006621CE"/>
    <w:rsid w:val="00666F33"/>
    <w:rsid w:val="00670B7D"/>
    <w:rsid w:val="006735C8"/>
    <w:rsid w:val="00673B27"/>
    <w:rsid w:val="00675B47"/>
    <w:rsid w:val="006827D2"/>
    <w:rsid w:val="00695A6D"/>
    <w:rsid w:val="006A09FE"/>
    <w:rsid w:val="006A13B0"/>
    <w:rsid w:val="006A5730"/>
    <w:rsid w:val="006B04C2"/>
    <w:rsid w:val="006C3E38"/>
    <w:rsid w:val="006C714F"/>
    <w:rsid w:val="006D3AFE"/>
    <w:rsid w:val="006D7BA3"/>
    <w:rsid w:val="006F0EBC"/>
    <w:rsid w:val="00700C23"/>
    <w:rsid w:val="00712E3A"/>
    <w:rsid w:val="0071790C"/>
    <w:rsid w:val="00717D61"/>
    <w:rsid w:val="0075288F"/>
    <w:rsid w:val="00757A78"/>
    <w:rsid w:val="00762955"/>
    <w:rsid w:val="007649E2"/>
    <w:rsid w:val="007717E9"/>
    <w:rsid w:val="00777D8C"/>
    <w:rsid w:val="007808C8"/>
    <w:rsid w:val="007838E9"/>
    <w:rsid w:val="00785E8E"/>
    <w:rsid w:val="0079393E"/>
    <w:rsid w:val="007B1E15"/>
    <w:rsid w:val="007B27A1"/>
    <w:rsid w:val="007B30A5"/>
    <w:rsid w:val="007B34BF"/>
    <w:rsid w:val="007B6DDC"/>
    <w:rsid w:val="007C001D"/>
    <w:rsid w:val="007D2408"/>
    <w:rsid w:val="007E37AE"/>
    <w:rsid w:val="007F0C4C"/>
    <w:rsid w:val="007F63B6"/>
    <w:rsid w:val="00801EA7"/>
    <w:rsid w:val="008043DE"/>
    <w:rsid w:val="00807D14"/>
    <w:rsid w:val="00812BD9"/>
    <w:rsid w:val="00825AA7"/>
    <w:rsid w:val="008273FA"/>
    <w:rsid w:val="0083496F"/>
    <w:rsid w:val="00847851"/>
    <w:rsid w:val="00850B57"/>
    <w:rsid w:val="00851638"/>
    <w:rsid w:val="00851DA0"/>
    <w:rsid w:val="0085308F"/>
    <w:rsid w:val="0085731F"/>
    <w:rsid w:val="00857432"/>
    <w:rsid w:val="0086336E"/>
    <w:rsid w:val="008640A3"/>
    <w:rsid w:val="008668FC"/>
    <w:rsid w:val="0087248A"/>
    <w:rsid w:val="00873D71"/>
    <w:rsid w:val="00875C7A"/>
    <w:rsid w:val="00883C3F"/>
    <w:rsid w:val="00886D56"/>
    <w:rsid w:val="008938DB"/>
    <w:rsid w:val="008A05D0"/>
    <w:rsid w:val="008A1827"/>
    <w:rsid w:val="008A19E6"/>
    <w:rsid w:val="008A6C81"/>
    <w:rsid w:val="008A76E6"/>
    <w:rsid w:val="008B0FFF"/>
    <w:rsid w:val="008B4637"/>
    <w:rsid w:val="008B727A"/>
    <w:rsid w:val="008B7918"/>
    <w:rsid w:val="008C0D48"/>
    <w:rsid w:val="008D379E"/>
    <w:rsid w:val="008D3C22"/>
    <w:rsid w:val="008E3C73"/>
    <w:rsid w:val="008F5BC2"/>
    <w:rsid w:val="00905DE1"/>
    <w:rsid w:val="00911210"/>
    <w:rsid w:val="00911C6D"/>
    <w:rsid w:val="00913531"/>
    <w:rsid w:val="00914CEA"/>
    <w:rsid w:val="009208B7"/>
    <w:rsid w:val="00927183"/>
    <w:rsid w:val="00932C20"/>
    <w:rsid w:val="00941ED1"/>
    <w:rsid w:val="00970CFC"/>
    <w:rsid w:val="00987CC0"/>
    <w:rsid w:val="009915FD"/>
    <w:rsid w:val="009A16BC"/>
    <w:rsid w:val="009A1D70"/>
    <w:rsid w:val="009B155C"/>
    <w:rsid w:val="009B29A0"/>
    <w:rsid w:val="009C0578"/>
    <w:rsid w:val="009C106B"/>
    <w:rsid w:val="009C235A"/>
    <w:rsid w:val="009C3308"/>
    <w:rsid w:val="009C3F4B"/>
    <w:rsid w:val="009C4A44"/>
    <w:rsid w:val="009D2B6D"/>
    <w:rsid w:val="009D5B89"/>
    <w:rsid w:val="009D77BC"/>
    <w:rsid w:val="009E0F72"/>
    <w:rsid w:val="009E23CF"/>
    <w:rsid w:val="009E34F6"/>
    <w:rsid w:val="009E54CE"/>
    <w:rsid w:val="009F51CB"/>
    <w:rsid w:val="009F55F3"/>
    <w:rsid w:val="009F5A59"/>
    <w:rsid w:val="009F75E1"/>
    <w:rsid w:val="00A15E3A"/>
    <w:rsid w:val="00A267F8"/>
    <w:rsid w:val="00A27C77"/>
    <w:rsid w:val="00A32ECA"/>
    <w:rsid w:val="00A343F2"/>
    <w:rsid w:val="00A35B34"/>
    <w:rsid w:val="00A36063"/>
    <w:rsid w:val="00A43AC3"/>
    <w:rsid w:val="00A52914"/>
    <w:rsid w:val="00A550CE"/>
    <w:rsid w:val="00A55BA1"/>
    <w:rsid w:val="00A629EA"/>
    <w:rsid w:val="00A62FBD"/>
    <w:rsid w:val="00A66596"/>
    <w:rsid w:val="00A6696D"/>
    <w:rsid w:val="00A755F2"/>
    <w:rsid w:val="00A76FA0"/>
    <w:rsid w:val="00A822A6"/>
    <w:rsid w:val="00A91381"/>
    <w:rsid w:val="00A945AC"/>
    <w:rsid w:val="00AA0295"/>
    <w:rsid w:val="00AA1B20"/>
    <w:rsid w:val="00AA65BC"/>
    <w:rsid w:val="00AB371E"/>
    <w:rsid w:val="00AB73A8"/>
    <w:rsid w:val="00AC0079"/>
    <w:rsid w:val="00AC037D"/>
    <w:rsid w:val="00AC22FB"/>
    <w:rsid w:val="00AC5A97"/>
    <w:rsid w:val="00AD48CE"/>
    <w:rsid w:val="00AE66EB"/>
    <w:rsid w:val="00AE6949"/>
    <w:rsid w:val="00B02035"/>
    <w:rsid w:val="00B1428B"/>
    <w:rsid w:val="00B15A84"/>
    <w:rsid w:val="00B175B9"/>
    <w:rsid w:val="00B26598"/>
    <w:rsid w:val="00B302DA"/>
    <w:rsid w:val="00B32884"/>
    <w:rsid w:val="00B44D19"/>
    <w:rsid w:val="00B44D5D"/>
    <w:rsid w:val="00B45B13"/>
    <w:rsid w:val="00B54714"/>
    <w:rsid w:val="00B64AC6"/>
    <w:rsid w:val="00B82F54"/>
    <w:rsid w:val="00B83BC2"/>
    <w:rsid w:val="00B866AA"/>
    <w:rsid w:val="00B9663A"/>
    <w:rsid w:val="00BA3E7A"/>
    <w:rsid w:val="00BA5632"/>
    <w:rsid w:val="00BC5F77"/>
    <w:rsid w:val="00BC7A32"/>
    <w:rsid w:val="00BD013C"/>
    <w:rsid w:val="00BD14FA"/>
    <w:rsid w:val="00BD4F00"/>
    <w:rsid w:val="00BD77E2"/>
    <w:rsid w:val="00BD7C4D"/>
    <w:rsid w:val="00BF0AEE"/>
    <w:rsid w:val="00C03E6F"/>
    <w:rsid w:val="00C07209"/>
    <w:rsid w:val="00C111E7"/>
    <w:rsid w:val="00C12D6E"/>
    <w:rsid w:val="00C1462A"/>
    <w:rsid w:val="00C306DC"/>
    <w:rsid w:val="00C53486"/>
    <w:rsid w:val="00C54060"/>
    <w:rsid w:val="00C57E27"/>
    <w:rsid w:val="00C6440D"/>
    <w:rsid w:val="00C647A8"/>
    <w:rsid w:val="00C67841"/>
    <w:rsid w:val="00C97379"/>
    <w:rsid w:val="00CA1A4B"/>
    <w:rsid w:val="00CC04A9"/>
    <w:rsid w:val="00CC076B"/>
    <w:rsid w:val="00CC2E9B"/>
    <w:rsid w:val="00CC6F60"/>
    <w:rsid w:val="00CD05C0"/>
    <w:rsid w:val="00CD12BF"/>
    <w:rsid w:val="00CD4530"/>
    <w:rsid w:val="00CD4E3D"/>
    <w:rsid w:val="00CE4D07"/>
    <w:rsid w:val="00D01956"/>
    <w:rsid w:val="00D04592"/>
    <w:rsid w:val="00D054B5"/>
    <w:rsid w:val="00D06702"/>
    <w:rsid w:val="00D12BE6"/>
    <w:rsid w:val="00D1336A"/>
    <w:rsid w:val="00D14AB8"/>
    <w:rsid w:val="00D345AC"/>
    <w:rsid w:val="00D3556B"/>
    <w:rsid w:val="00D37F6B"/>
    <w:rsid w:val="00D4491D"/>
    <w:rsid w:val="00D47355"/>
    <w:rsid w:val="00D4745F"/>
    <w:rsid w:val="00D5275F"/>
    <w:rsid w:val="00D57D7B"/>
    <w:rsid w:val="00D70619"/>
    <w:rsid w:val="00D72930"/>
    <w:rsid w:val="00D7485E"/>
    <w:rsid w:val="00D83AB3"/>
    <w:rsid w:val="00D87D99"/>
    <w:rsid w:val="00D90910"/>
    <w:rsid w:val="00D91B24"/>
    <w:rsid w:val="00DA5B20"/>
    <w:rsid w:val="00DB15B4"/>
    <w:rsid w:val="00DB1B70"/>
    <w:rsid w:val="00DB2C0D"/>
    <w:rsid w:val="00DC197F"/>
    <w:rsid w:val="00DD31F9"/>
    <w:rsid w:val="00DD5461"/>
    <w:rsid w:val="00DD58A4"/>
    <w:rsid w:val="00DE1ED8"/>
    <w:rsid w:val="00DE2B66"/>
    <w:rsid w:val="00E07A10"/>
    <w:rsid w:val="00E21651"/>
    <w:rsid w:val="00E219AD"/>
    <w:rsid w:val="00E31FC5"/>
    <w:rsid w:val="00E34BD7"/>
    <w:rsid w:val="00E373A3"/>
    <w:rsid w:val="00E37E42"/>
    <w:rsid w:val="00E417EC"/>
    <w:rsid w:val="00E47430"/>
    <w:rsid w:val="00E51F92"/>
    <w:rsid w:val="00E617E7"/>
    <w:rsid w:val="00E63D38"/>
    <w:rsid w:val="00E8256A"/>
    <w:rsid w:val="00E82D07"/>
    <w:rsid w:val="00E87862"/>
    <w:rsid w:val="00E87C81"/>
    <w:rsid w:val="00E9194D"/>
    <w:rsid w:val="00E93D85"/>
    <w:rsid w:val="00E96309"/>
    <w:rsid w:val="00E9683A"/>
    <w:rsid w:val="00EA4B71"/>
    <w:rsid w:val="00EC37E9"/>
    <w:rsid w:val="00ED0321"/>
    <w:rsid w:val="00EE4405"/>
    <w:rsid w:val="00EE6DC5"/>
    <w:rsid w:val="00F02042"/>
    <w:rsid w:val="00F16B25"/>
    <w:rsid w:val="00F23146"/>
    <w:rsid w:val="00F25BBF"/>
    <w:rsid w:val="00F309A8"/>
    <w:rsid w:val="00F33B01"/>
    <w:rsid w:val="00F34CF0"/>
    <w:rsid w:val="00F45613"/>
    <w:rsid w:val="00F50260"/>
    <w:rsid w:val="00F51E46"/>
    <w:rsid w:val="00F60701"/>
    <w:rsid w:val="00F60E72"/>
    <w:rsid w:val="00F67C9E"/>
    <w:rsid w:val="00F70782"/>
    <w:rsid w:val="00F71228"/>
    <w:rsid w:val="00F7472B"/>
    <w:rsid w:val="00F75125"/>
    <w:rsid w:val="00F7727D"/>
    <w:rsid w:val="00F823AB"/>
    <w:rsid w:val="00F835FD"/>
    <w:rsid w:val="00F95215"/>
    <w:rsid w:val="00F954BE"/>
    <w:rsid w:val="00FA05C8"/>
    <w:rsid w:val="00FA3B5D"/>
    <w:rsid w:val="00FA4A08"/>
    <w:rsid w:val="00FB1DE3"/>
    <w:rsid w:val="00FC1A61"/>
    <w:rsid w:val="00FC6318"/>
    <w:rsid w:val="00FD590F"/>
    <w:rsid w:val="00FE0F0C"/>
    <w:rsid w:val="00FE27F4"/>
    <w:rsid w:val="00FE5180"/>
    <w:rsid w:val="00FE6247"/>
    <w:rsid w:val="00FF6109"/>
    <w:rsid w:val="00FF6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235A"/>
    <w:pPr>
      <w:keepNext/>
      <w:keepLines/>
      <w:numPr>
        <w:numId w:val="17"/>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288F"/>
    <w:pPr>
      <w:keepNext/>
      <w:keepLines/>
      <w:numPr>
        <w:ilvl w:val="1"/>
        <w:numId w:val="17"/>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1462A"/>
    <w:pPr>
      <w:keepNext/>
      <w:keepLines/>
      <w:numPr>
        <w:ilvl w:val="2"/>
        <w:numId w:val="17"/>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175B9"/>
    <w:pPr>
      <w:keepNext/>
      <w:keepLines/>
      <w:numPr>
        <w:ilvl w:val="3"/>
        <w:numId w:val="17"/>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175B9"/>
    <w:pPr>
      <w:keepNext/>
      <w:keepLines/>
      <w:numPr>
        <w:ilvl w:val="4"/>
        <w:numId w:val="1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175B9"/>
    <w:pPr>
      <w:keepNext/>
      <w:keepLines/>
      <w:numPr>
        <w:ilvl w:val="5"/>
        <w:numId w:val="1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175B9"/>
    <w:pPr>
      <w:keepNext/>
      <w:keepLines/>
      <w:numPr>
        <w:ilvl w:val="6"/>
        <w:numId w:val="1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175B9"/>
    <w:pPr>
      <w:keepNext/>
      <w:keepLines/>
      <w:numPr>
        <w:ilvl w:val="7"/>
        <w:numId w:val="1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175B9"/>
    <w:pPr>
      <w:keepNext/>
      <w:keepLines/>
      <w:numPr>
        <w:ilvl w:val="8"/>
        <w:numId w:val="1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3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C235A"/>
    <w:pPr>
      <w:outlineLvl w:val="9"/>
    </w:pPr>
    <w:rPr>
      <w:lang w:val="en-US" w:eastAsia="ja-JP"/>
    </w:rPr>
  </w:style>
  <w:style w:type="paragraph" w:styleId="BalloonText">
    <w:name w:val="Balloon Text"/>
    <w:basedOn w:val="Normal"/>
    <w:link w:val="BalloonTextChar"/>
    <w:uiPriority w:val="99"/>
    <w:semiHidden/>
    <w:unhideWhenUsed/>
    <w:rsid w:val="009C2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35A"/>
    <w:rPr>
      <w:rFonts w:ascii="Tahoma" w:hAnsi="Tahoma" w:cs="Tahoma"/>
      <w:sz w:val="16"/>
      <w:szCs w:val="16"/>
    </w:rPr>
  </w:style>
  <w:style w:type="paragraph" w:styleId="TOC1">
    <w:name w:val="toc 1"/>
    <w:basedOn w:val="Normal"/>
    <w:next w:val="Normal"/>
    <w:autoRedefine/>
    <w:uiPriority w:val="39"/>
    <w:unhideWhenUsed/>
    <w:qFormat/>
    <w:rsid w:val="005A3278"/>
    <w:pPr>
      <w:tabs>
        <w:tab w:val="left" w:pos="440"/>
        <w:tab w:val="right" w:leader="dot" w:pos="9016"/>
      </w:tabs>
      <w:spacing w:before="240" w:after="0"/>
    </w:pPr>
    <w:rPr>
      <w:b/>
      <w:noProof/>
    </w:rPr>
  </w:style>
  <w:style w:type="character" w:styleId="Hyperlink">
    <w:name w:val="Hyperlink"/>
    <w:basedOn w:val="DefaultParagraphFont"/>
    <w:uiPriority w:val="99"/>
    <w:unhideWhenUsed/>
    <w:rsid w:val="009C235A"/>
    <w:rPr>
      <w:color w:val="0000FF" w:themeColor="hyperlink"/>
      <w:u w:val="single"/>
    </w:rPr>
  </w:style>
  <w:style w:type="character" w:customStyle="1" w:styleId="Heading2Char">
    <w:name w:val="Heading 2 Char"/>
    <w:basedOn w:val="DefaultParagraphFont"/>
    <w:link w:val="Heading2"/>
    <w:uiPriority w:val="9"/>
    <w:rsid w:val="0053288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3288F"/>
    <w:pPr>
      <w:ind w:left="720"/>
      <w:contextualSpacing/>
    </w:pPr>
  </w:style>
  <w:style w:type="paragraph" w:styleId="TOC2">
    <w:name w:val="toc 2"/>
    <w:basedOn w:val="Normal"/>
    <w:next w:val="Normal"/>
    <w:autoRedefine/>
    <w:uiPriority w:val="39"/>
    <w:unhideWhenUsed/>
    <w:qFormat/>
    <w:rsid w:val="0053288F"/>
    <w:pPr>
      <w:spacing w:after="100"/>
      <w:ind w:left="220"/>
    </w:pPr>
  </w:style>
  <w:style w:type="paragraph" w:styleId="NoSpacing">
    <w:name w:val="No Spacing"/>
    <w:link w:val="NoSpacingChar"/>
    <w:uiPriority w:val="1"/>
    <w:qFormat/>
    <w:rsid w:val="0060568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0568B"/>
    <w:rPr>
      <w:rFonts w:eastAsiaTheme="minorEastAsia"/>
      <w:lang w:val="en-US" w:eastAsia="ja-JP"/>
    </w:rPr>
  </w:style>
  <w:style w:type="paragraph" w:styleId="Header">
    <w:name w:val="header"/>
    <w:basedOn w:val="Normal"/>
    <w:link w:val="HeaderChar"/>
    <w:uiPriority w:val="99"/>
    <w:unhideWhenUsed/>
    <w:rsid w:val="00605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68B"/>
  </w:style>
  <w:style w:type="paragraph" w:styleId="Footer">
    <w:name w:val="footer"/>
    <w:basedOn w:val="Normal"/>
    <w:link w:val="FooterChar"/>
    <w:uiPriority w:val="99"/>
    <w:unhideWhenUsed/>
    <w:rsid w:val="00605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68B"/>
  </w:style>
  <w:style w:type="paragraph" w:styleId="Bibliography">
    <w:name w:val="Bibliography"/>
    <w:basedOn w:val="Normal"/>
    <w:next w:val="Normal"/>
    <w:uiPriority w:val="37"/>
    <w:unhideWhenUsed/>
    <w:rsid w:val="00D1336A"/>
  </w:style>
  <w:style w:type="table" w:styleId="TableGrid">
    <w:name w:val="Table Grid"/>
    <w:basedOn w:val="TableNormal"/>
    <w:uiPriority w:val="59"/>
    <w:rsid w:val="005B5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FB1DE3"/>
  </w:style>
  <w:style w:type="character" w:styleId="FollowedHyperlink">
    <w:name w:val="FollowedHyperlink"/>
    <w:basedOn w:val="DefaultParagraphFont"/>
    <w:uiPriority w:val="99"/>
    <w:semiHidden/>
    <w:unhideWhenUsed/>
    <w:rsid w:val="00244328"/>
    <w:rPr>
      <w:color w:val="800080" w:themeColor="followedHyperlink"/>
      <w:u w:val="single"/>
    </w:rPr>
  </w:style>
  <w:style w:type="paragraph" w:styleId="PlainText">
    <w:name w:val="Plain Text"/>
    <w:basedOn w:val="Normal"/>
    <w:link w:val="PlainTextChar"/>
    <w:uiPriority w:val="99"/>
    <w:unhideWhenUsed/>
    <w:rsid w:val="006A13B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6A13B0"/>
    <w:rPr>
      <w:rFonts w:ascii="Calibri" w:hAnsi="Calibri"/>
      <w:szCs w:val="21"/>
    </w:rPr>
  </w:style>
  <w:style w:type="paragraph" w:customStyle="1" w:styleId="Modcode">
    <w:name w:val="Modcode"/>
    <w:basedOn w:val="Normal"/>
    <w:rsid w:val="00333AFF"/>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333AFF"/>
    <w:pPr>
      <w:spacing w:after="240" w:line="240" w:lineRule="auto"/>
      <w:jc w:val="center"/>
    </w:pPr>
    <w:rPr>
      <w:rFonts w:ascii="Times New Roman" w:eastAsia="Times New Roman" w:hAnsi="Times New Roman" w:cs="Times New Roman"/>
      <w:b/>
      <w:sz w:val="28"/>
      <w:szCs w:val="20"/>
      <w:lang w:eastAsia="en-GB"/>
    </w:rPr>
  </w:style>
  <w:style w:type="character" w:customStyle="1" w:styleId="Heading3Char">
    <w:name w:val="Heading 3 Char"/>
    <w:basedOn w:val="DefaultParagraphFont"/>
    <w:link w:val="Heading3"/>
    <w:uiPriority w:val="9"/>
    <w:rsid w:val="00C1462A"/>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DD5461"/>
    <w:rPr>
      <w:b/>
      <w:bCs/>
      <w:i w:val="0"/>
      <w:iCs w:val="0"/>
    </w:rPr>
  </w:style>
  <w:style w:type="character" w:customStyle="1" w:styleId="st1">
    <w:name w:val="st1"/>
    <w:basedOn w:val="DefaultParagraphFont"/>
    <w:rsid w:val="00DD5461"/>
  </w:style>
  <w:style w:type="paragraph" w:styleId="TOC3">
    <w:name w:val="toc 3"/>
    <w:basedOn w:val="Normal"/>
    <w:next w:val="Normal"/>
    <w:autoRedefine/>
    <w:uiPriority w:val="39"/>
    <w:unhideWhenUsed/>
    <w:qFormat/>
    <w:rsid w:val="00F02042"/>
    <w:pPr>
      <w:spacing w:after="100"/>
      <w:ind w:left="440"/>
    </w:pPr>
  </w:style>
  <w:style w:type="character" w:customStyle="1" w:styleId="Heading4Char">
    <w:name w:val="Heading 4 Char"/>
    <w:basedOn w:val="DefaultParagraphFont"/>
    <w:link w:val="Heading4"/>
    <w:uiPriority w:val="9"/>
    <w:semiHidden/>
    <w:rsid w:val="00B175B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175B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175B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175B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175B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175B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071AE6"/>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071AE6"/>
    <w:pPr>
      <w:spacing w:after="0"/>
    </w:pPr>
  </w:style>
  <w:style w:type="character" w:styleId="PlaceholderText">
    <w:name w:val="Placeholder Text"/>
    <w:basedOn w:val="DefaultParagraphFont"/>
    <w:uiPriority w:val="99"/>
    <w:semiHidden/>
    <w:rsid w:val="00EA4B7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235A"/>
    <w:pPr>
      <w:keepNext/>
      <w:keepLines/>
      <w:numPr>
        <w:numId w:val="17"/>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288F"/>
    <w:pPr>
      <w:keepNext/>
      <w:keepLines/>
      <w:numPr>
        <w:ilvl w:val="1"/>
        <w:numId w:val="17"/>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1462A"/>
    <w:pPr>
      <w:keepNext/>
      <w:keepLines/>
      <w:numPr>
        <w:ilvl w:val="2"/>
        <w:numId w:val="17"/>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175B9"/>
    <w:pPr>
      <w:keepNext/>
      <w:keepLines/>
      <w:numPr>
        <w:ilvl w:val="3"/>
        <w:numId w:val="17"/>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175B9"/>
    <w:pPr>
      <w:keepNext/>
      <w:keepLines/>
      <w:numPr>
        <w:ilvl w:val="4"/>
        <w:numId w:val="1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175B9"/>
    <w:pPr>
      <w:keepNext/>
      <w:keepLines/>
      <w:numPr>
        <w:ilvl w:val="5"/>
        <w:numId w:val="1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175B9"/>
    <w:pPr>
      <w:keepNext/>
      <w:keepLines/>
      <w:numPr>
        <w:ilvl w:val="6"/>
        <w:numId w:val="1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175B9"/>
    <w:pPr>
      <w:keepNext/>
      <w:keepLines/>
      <w:numPr>
        <w:ilvl w:val="7"/>
        <w:numId w:val="1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175B9"/>
    <w:pPr>
      <w:keepNext/>
      <w:keepLines/>
      <w:numPr>
        <w:ilvl w:val="8"/>
        <w:numId w:val="1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3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C235A"/>
    <w:pPr>
      <w:outlineLvl w:val="9"/>
    </w:pPr>
    <w:rPr>
      <w:lang w:val="en-US" w:eastAsia="ja-JP"/>
    </w:rPr>
  </w:style>
  <w:style w:type="paragraph" w:styleId="BalloonText">
    <w:name w:val="Balloon Text"/>
    <w:basedOn w:val="Normal"/>
    <w:link w:val="BalloonTextChar"/>
    <w:uiPriority w:val="99"/>
    <w:semiHidden/>
    <w:unhideWhenUsed/>
    <w:rsid w:val="009C2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35A"/>
    <w:rPr>
      <w:rFonts w:ascii="Tahoma" w:hAnsi="Tahoma" w:cs="Tahoma"/>
      <w:sz w:val="16"/>
      <w:szCs w:val="16"/>
    </w:rPr>
  </w:style>
  <w:style w:type="paragraph" w:styleId="TOC1">
    <w:name w:val="toc 1"/>
    <w:basedOn w:val="Normal"/>
    <w:next w:val="Normal"/>
    <w:autoRedefine/>
    <w:uiPriority w:val="39"/>
    <w:unhideWhenUsed/>
    <w:qFormat/>
    <w:rsid w:val="005A3278"/>
    <w:pPr>
      <w:tabs>
        <w:tab w:val="left" w:pos="440"/>
        <w:tab w:val="right" w:leader="dot" w:pos="9016"/>
      </w:tabs>
      <w:spacing w:before="240" w:after="0"/>
    </w:pPr>
    <w:rPr>
      <w:b/>
      <w:noProof/>
    </w:rPr>
  </w:style>
  <w:style w:type="character" w:styleId="Hyperlink">
    <w:name w:val="Hyperlink"/>
    <w:basedOn w:val="DefaultParagraphFont"/>
    <w:uiPriority w:val="99"/>
    <w:unhideWhenUsed/>
    <w:rsid w:val="009C235A"/>
    <w:rPr>
      <w:color w:val="0000FF" w:themeColor="hyperlink"/>
      <w:u w:val="single"/>
    </w:rPr>
  </w:style>
  <w:style w:type="character" w:customStyle="1" w:styleId="Heading2Char">
    <w:name w:val="Heading 2 Char"/>
    <w:basedOn w:val="DefaultParagraphFont"/>
    <w:link w:val="Heading2"/>
    <w:uiPriority w:val="9"/>
    <w:rsid w:val="0053288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3288F"/>
    <w:pPr>
      <w:ind w:left="720"/>
      <w:contextualSpacing/>
    </w:pPr>
  </w:style>
  <w:style w:type="paragraph" w:styleId="TOC2">
    <w:name w:val="toc 2"/>
    <w:basedOn w:val="Normal"/>
    <w:next w:val="Normal"/>
    <w:autoRedefine/>
    <w:uiPriority w:val="39"/>
    <w:unhideWhenUsed/>
    <w:qFormat/>
    <w:rsid w:val="0053288F"/>
    <w:pPr>
      <w:spacing w:after="100"/>
      <w:ind w:left="220"/>
    </w:pPr>
  </w:style>
  <w:style w:type="paragraph" w:styleId="NoSpacing">
    <w:name w:val="No Spacing"/>
    <w:link w:val="NoSpacingChar"/>
    <w:uiPriority w:val="1"/>
    <w:qFormat/>
    <w:rsid w:val="0060568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0568B"/>
    <w:rPr>
      <w:rFonts w:eastAsiaTheme="minorEastAsia"/>
      <w:lang w:val="en-US" w:eastAsia="ja-JP"/>
    </w:rPr>
  </w:style>
  <w:style w:type="paragraph" w:styleId="Header">
    <w:name w:val="header"/>
    <w:basedOn w:val="Normal"/>
    <w:link w:val="HeaderChar"/>
    <w:uiPriority w:val="99"/>
    <w:unhideWhenUsed/>
    <w:rsid w:val="00605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68B"/>
  </w:style>
  <w:style w:type="paragraph" w:styleId="Footer">
    <w:name w:val="footer"/>
    <w:basedOn w:val="Normal"/>
    <w:link w:val="FooterChar"/>
    <w:uiPriority w:val="99"/>
    <w:unhideWhenUsed/>
    <w:rsid w:val="00605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68B"/>
  </w:style>
  <w:style w:type="paragraph" w:styleId="Bibliography">
    <w:name w:val="Bibliography"/>
    <w:basedOn w:val="Normal"/>
    <w:next w:val="Normal"/>
    <w:uiPriority w:val="37"/>
    <w:unhideWhenUsed/>
    <w:rsid w:val="00D1336A"/>
  </w:style>
  <w:style w:type="table" w:styleId="TableGrid">
    <w:name w:val="Table Grid"/>
    <w:basedOn w:val="TableNormal"/>
    <w:uiPriority w:val="59"/>
    <w:rsid w:val="005B5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FB1DE3"/>
  </w:style>
  <w:style w:type="character" w:styleId="FollowedHyperlink">
    <w:name w:val="FollowedHyperlink"/>
    <w:basedOn w:val="DefaultParagraphFont"/>
    <w:uiPriority w:val="99"/>
    <w:semiHidden/>
    <w:unhideWhenUsed/>
    <w:rsid w:val="00244328"/>
    <w:rPr>
      <w:color w:val="800080" w:themeColor="followedHyperlink"/>
      <w:u w:val="single"/>
    </w:rPr>
  </w:style>
  <w:style w:type="paragraph" w:styleId="PlainText">
    <w:name w:val="Plain Text"/>
    <w:basedOn w:val="Normal"/>
    <w:link w:val="PlainTextChar"/>
    <w:uiPriority w:val="99"/>
    <w:unhideWhenUsed/>
    <w:rsid w:val="006A13B0"/>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6A13B0"/>
    <w:rPr>
      <w:rFonts w:ascii="Calibri" w:hAnsi="Calibri"/>
      <w:szCs w:val="21"/>
    </w:rPr>
  </w:style>
  <w:style w:type="paragraph" w:customStyle="1" w:styleId="Modcode">
    <w:name w:val="Modcode"/>
    <w:basedOn w:val="Normal"/>
    <w:rsid w:val="00333AFF"/>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Normal"/>
    <w:rsid w:val="00333AFF"/>
    <w:pPr>
      <w:spacing w:after="240" w:line="240" w:lineRule="auto"/>
      <w:jc w:val="center"/>
    </w:pPr>
    <w:rPr>
      <w:rFonts w:ascii="Times New Roman" w:eastAsia="Times New Roman" w:hAnsi="Times New Roman" w:cs="Times New Roman"/>
      <w:b/>
      <w:sz w:val="28"/>
      <w:szCs w:val="20"/>
      <w:lang w:eastAsia="en-GB"/>
    </w:rPr>
  </w:style>
  <w:style w:type="character" w:customStyle="1" w:styleId="Heading3Char">
    <w:name w:val="Heading 3 Char"/>
    <w:basedOn w:val="DefaultParagraphFont"/>
    <w:link w:val="Heading3"/>
    <w:uiPriority w:val="9"/>
    <w:rsid w:val="00C1462A"/>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DD5461"/>
    <w:rPr>
      <w:b/>
      <w:bCs/>
      <w:i w:val="0"/>
      <w:iCs w:val="0"/>
    </w:rPr>
  </w:style>
  <w:style w:type="character" w:customStyle="1" w:styleId="st1">
    <w:name w:val="st1"/>
    <w:basedOn w:val="DefaultParagraphFont"/>
    <w:rsid w:val="00DD5461"/>
  </w:style>
  <w:style w:type="paragraph" w:styleId="TOC3">
    <w:name w:val="toc 3"/>
    <w:basedOn w:val="Normal"/>
    <w:next w:val="Normal"/>
    <w:autoRedefine/>
    <w:uiPriority w:val="39"/>
    <w:unhideWhenUsed/>
    <w:qFormat/>
    <w:rsid w:val="00F02042"/>
    <w:pPr>
      <w:spacing w:after="100"/>
      <w:ind w:left="440"/>
    </w:pPr>
  </w:style>
  <w:style w:type="character" w:customStyle="1" w:styleId="Heading4Char">
    <w:name w:val="Heading 4 Char"/>
    <w:basedOn w:val="DefaultParagraphFont"/>
    <w:link w:val="Heading4"/>
    <w:uiPriority w:val="9"/>
    <w:semiHidden/>
    <w:rsid w:val="00B175B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175B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B175B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175B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175B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175B9"/>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071AE6"/>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071AE6"/>
    <w:pPr>
      <w:spacing w:after="0"/>
    </w:pPr>
  </w:style>
  <w:style w:type="character" w:styleId="PlaceholderText">
    <w:name w:val="Placeholder Text"/>
    <w:basedOn w:val="DefaultParagraphFont"/>
    <w:uiPriority w:val="99"/>
    <w:semiHidden/>
    <w:rsid w:val="00EA4B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62846">
      <w:bodyDiv w:val="1"/>
      <w:marLeft w:val="0"/>
      <w:marRight w:val="0"/>
      <w:marTop w:val="0"/>
      <w:marBottom w:val="0"/>
      <w:divBdr>
        <w:top w:val="none" w:sz="0" w:space="0" w:color="auto"/>
        <w:left w:val="none" w:sz="0" w:space="0" w:color="auto"/>
        <w:bottom w:val="none" w:sz="0" w:space="0" w:color="auto"/>
        <w:right w:val="none" w:sz="0" w:space="0" w:color="auto"/>
      </w:divBdr>
    </w:div>
    <w:div w:id="328795949">
      <w:bodyDiv w:val="1"/>
      <w:marLeft w:val="0"/>
      <w:marRight w:val="0"/>
      <w:marTop w:val="0"/>
      <w:marBottom w:val="0"/>
      <w:divBdr>
        <w:top w:val="none" w:sz="0" w:space="0" w:color="auto"/>
        <w:left w:val="none" w:sz="0" w:space="0" w:color="auto"/>
        <w:bottom w:val="none" w:sz="0" w:space="0" w:color="auto"/>
        <w:right w:val="none" w:sz="0" w:space="0" w:color="auto"/>
      </w:divBdr>
    </w:div>
    <w:div w:id="566036782">
      <w:bodyDiv w:val="1"/>
      <w:marLeft w:val="0"/>
      <w:marRight w:val="0"/>
      <w:marTop w:val="0"/>
      <w:marBottom w:val="0"/>
      <w:divBdr>
        <w:top w:val="none" w:sz="0" w:space="0" w:color="auto"/>
        <w:left w:val="none" w:sz="0" w:space="0" w:color="auto"/>
        <w:bottom w:val="none" w:sz="0" w:space="0" w:color="auto"/>
        <w:right w:val="none" w:sz="0" w:space="0" w:color="auto"/>
      </w:divBdr>
    </w:div>
    <w:div w:id="1126655061">
      <w:bodyDiv w:val="1"/>
      <w:marLeft w:val="0"/>
      <w:marRight w:val="0"/>
      <w:marTop w:val="0"/>
      <w:marBottom w:val="0"/>
      <w:divBdr>
        <w:top w:val="none" w:sz="0" w:space="0" w:color="auto"/>
        <w:left w:val="none" w:sz="0" w:space="0" w:color="auto"/>
        <w:bottom w:val="none" w:sz="0" w:space="0" w:color="auto"/>
        <w:right w:val="none" w:sz="0" w:space="0" w:color="auto"/>
      </w:divBdr>
    </w:div>
    <w:div w:id="1129277736">
      <w:bodyDiv w:val="1"/>
      <w:marLeft w:val="0"/>
      <w:marRight w:val="0"/>
      <w:marTop w:val="0"/>
      <w:marBottom w:val="0"/>
      <w:divBdr>
        <w:top w:val="none" w:sz="0" w:space="0" w:color="auto"/>
        <w:left w:val="none" w:sz="0" w:space="0" w:color="auto"/>
        <w:bottom w:val="none" w:sz="0" w:space="0" w:color="auto"/>
        <w:right w:val="none" w:sz="0" w:space="0" w:color="auto"/>
      </w:divBdr>
    </w:div>
    <w:div w:id="1361584146">
      <w:bodyDiv w:val="1"/>
      <w:marLeft w:val="0"/>
      <w:marRight w:val="0"/>
      <w:marTop w:val="0"/>
      <w:marBottom w:val="0"/>
      <w:divBdr>
        <w:top w:val="none" w:sz="0" w:space="0" w:color="auto"/>
        <w:left w:val="none" w:sz="0" w:space="0" w:color="auto"/>
        <w:bottom w:val="none" w:sz="0" w:space="0" w:color="auto"/>
        <w:right w:val="none" w:sz="0" w:space="0" w:color="auto"/>
      </w:divBdr>
    </w:div>
    <w:div w:id="1451319286">
      <w:bodyDiv w:val="1"/>
      <w:marLeft w:val="0"/>
      <w:marRight w:val="0"/>
      <w:marTop w:val="0"/>
      <w:marBottom w:val="0"/>
      <w:divBdr>
        <w:top w:val="none" w:sz="0" w:space="0" w:color="auto"/>
        <w:left w:val="none" w:sz="0" w:space="0" w:color="auto"/>
        <w:bottom w:val="none" w:sz="0" w:space="0" w:color="auto"/>
        <w:right w:val="none" w:sz="0" w:space="0" w:color="auto"/>
      </w:divBdr>
    </w:div>
    <w:div w:id="1483043198">
      <w:bodyDiv w:val="1"/>
      <w:marLeft w:val="0"/>
      <w:marRight w:val="0"/>
      <w:marTop w:val="0"/>
      <w:marBottom w:val="0"/>
      <w:divBdr>
        <w:top w:val="none" w:sz="0" w:space="0" w:color="auto"/>
        <w:left w:val="none" w:sz="0" w:space="0" w:color="auto"/>
        <w:bottom w:val="none" w:sz="0" w:space="0" w:color="auto"/>
        <w:right w:val="none" w:sz="0" w:space="0" w:color="auto"/>
      </w:divBdr>
    </w:div>
    <w:div w:id="1498960207">
      <w:bodyDiv w:val="1"/>
      <w:marLeft w:val="0"/>
      <w:marRight w:val="0"/>
      <w:marTop w:val="0"/>
      <w:marBottom w:val="0"/>
      <w:divBdr>
        <w:top w:val="none" w:sz="0" w:space="0" w:color="auto"/>
        <w:left w:val="none" w:sz="0" w:space="0" w:color="auto"/>
        <w:bottom w:val="none" w:sz="0" w:space="0" w:color="auto"/>
        <w:right w:val="none" w:sz="0" w:space="0" w:color="auto"/>
      </w:divBdr>
    </w:div>
    <w:div w:id="1880582682">
      <w:bodyDiv w:val="1"/>
      <w:marLeft w:val="0"/>
      <w:marRight w:val="0"/>
      <w:marTop w:val="0"/>
      <w:marBottom w:val="0"/>
      <w:divBdr>
        <w:top w:val="none" w:sz="0" w:space="0" w:color="auto"/>
        <w:left w:val="none" w:sz="0" w:space="0" w:color="auto"/>
        <w:bottom w:val="none" w:sz="0" w:space="0" w:color="auto"/>
        <w:right w:val="none" w:sz="0" w:space="0" w:color="auto"/>
      </w:divBdr>
    </w:div>
    <w:div w:id="1999570876">
      <w:bodyDiv w:val="1"/>
      <w:marLeft w:val="0"/>
      <w:marRight w:val="0"/>
      <w:marTop w:val="0"/>
      <w:marBottom w:val="0"/>
      <w:divBdr>
        <w:top w:val="none" w:sz="0" w:space="0" w:color="auto"/>
        <w:left w:val="none" w:sz="0" w:space="0" w:color="auto"/>
        <w:bottom w:val="none" w:sz="0" w:space="0" w:color="auto"/>
        <w:right w:val="none" w:sz="0" w:space="0" w:color="auto"/>
      </w:divBdr>
    </w:div>
    <w:div w:id="212291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b:Source>
    <b:Tag>Hea</b:Tag>
    <b:SourceType>InternetSite</b:SourceType>
    <b:Guid>{63317239-648B-4EE4-9A61-2A3C57C31E14}</b:Guid>
    <b:Author>
      <b:Author>
        <b:Corporate>Health and Safety Executive</b:Corporate>
      </b:Author>
    </b:Author>
    <b:Title>Risk Management: ALARP at a glance</b:Title>
    <b:URL>http://www.hse.gov.uk/risk/theory/alarpglance.htm</b:URL>
    <b:RefOrder>2</b:RefOrder>
  </b:Source>
  <b:Source>
    <b:Tag>ELI74</b:Tag>
    <b:SourceType>Misc</b:SourceType>
    <b:Guid>{F51310A2-8709-4564-A324-1D3B1CE0B27A}</b:Guid>
    <b:Title>Health and Safety at Work etc. Act 1974</b:Title>
    <b:Year>1974</b:Year>
    <b:City>London</b:City>
    <b:Author>
      <b:Author>
        <b:Corporate>Act of Parliament</b:Corporate>
      </b:Author>
    </b:Author>
    <b:RefOrder>3</b:RefOrder>
  </b:Source>
  <b:Source>
    <b:Tag>HSE02</b:Tag>
    <b:SourceType>Report</b:SourceType>
    <b:Guid>{6EBE2D1D-0F2E-4CAA-9619-40958E48E3FD}</b:Guid>
    <b:Title>Risk Communication: A Guide to Regulatory Practice</b:Title>
    <b:Year>2002</b:Year>
    <b:Author>
      <b:Author>
        <b:Corporate>HSE: ILGRA</b:Corporate>
      </b:Author>
    </b:Author>
    <b:RefOrder>4</b:RefOrder>
  </b:Source>
  <b:Source>
    <b:Tag>Roy12</b:Tag>
    <b:SourceType>Book</b:SourceType>
    <b:Guid>{6FE550D3-D3C3-4557-A2A4-395D64700B28}</b:Guid>
    <b:Title>. Pamphlet 19 - Regulations for Planning, Control, Conduct and Safety for Firing Practices. </b:Title>
    <b:Year>2012</b:Year>
    <b:Publisher>UK MoD</b:Publisher>
    <b:City>Larkhill</b:City>
    <b:Author>
      <b:Author>
        <b:Corporate>Royal School of Artillery</b:Corporate>
      </b:Author>
    </b:Author>
    <b:RefOrder>1</b:RefOrder>
  </b:Source>
</b:Sources>
</file>

<file path=customXml/itemProps1.xml><?xml version="1.0" encoding="utf-8"?>
<ds:datastoreItem xmlns:ds="http://schemas.openxmlformats.org/officeDocument/2006/customXml" ds:itemID="{45535648-57C4-498B-994D-8C5F61CA7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3729</TotalTime>
  <Pages>12</Pages>
  <Words>2957</Words>
  <Characters>16856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Risk Management -       Design, Development and Evaluation of a Small Scale Weapons Trial</vt:lpstr>
    </vt:vector>
  </TitlesOfParts>
  <Company>Microsoft</Company>
  <LinksUpToDate>false</LinksUpToDate>
  <CharactersWithSpaces>19774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Management -       Design, Development and Evaluation of a Small Scale Weapons Trial</dc:title>
  <dc:subject>This document will document the processes followed in the delivery of a large caliber, high-explosive shell proof. This report will detail each step of the process, from Customer Specification through to the Trial Closure Procedure. </dc:subject>
  <dc:creator>Mr Harry McAuliffe</dc:creator>
  <cp:lastModifiedBy>Mr Harry George McAuliffe</cp:lastModifiedBy>
  <cp:revision>44</cp:revision>
  <cp:lastPrinted>2015-06-23T14:41:00Z</cp:lastPrinted>
  <dcterms:created xsi:type="dcterms:W3CDTF">2017-01-03T08:28:00Z</dcterms:created>
  <dcterms:modified xsi:type="dcterms:W3CDTF">2017-05-10T14:00:00Z</dcterms:modified>
</cp:coreProperties>
</file>