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5BE3D" w14:textId="77777777" w:rsidR="00946C14" w:rsidRPr="00946C14" w:rsidRDefault="00946C14" w:rsidP="00E3213D">
      <w:pPr>
        <w:spacing w:line="360" w:lineRule="auto"/>
        <w:rPr>
          <w:rFonts w:ascii="Arial" w:hAnsi="Arial" w:cs="Arial"/>
          <w:b/>
          <w:bCs/>
          <w:sz w:val="22"/>
          <w:szCs w:val="22"/>
        </w:rPr>
      </w:pPr>
      <w:proofErr w:type="spellStart"/>
      <w:r w:rsidRPr="00946C14">
        <w:rPr>
          <w:rFonts w:ascii="Arial" w:hAnsi="Arial" w:cs="Arial"/>
          <w:b/>
          <w:bCs/>
          <w:sz w:val="22"/>
          <w:szCs w:val="22"/>
        </w:rPr>
        <w:t>OmniWatch</w:t>
      </w:r>
      <w:proofErr w:type="spellEnd"/>
      <w:r w:rsidRPr="00946C14">
        <w:rPr>
          <w:rFonts w:ascii="Arial" w:hAnsi="Arial" w:cs="Arial"/>
          <w:b/>
          <w:bCs/>
          <w:sz w:val="22"/>
          <w:szCs w:val="22"/>
        </w:rPr>
        <w:t xml:space="preserve"> Stakeholder Engagement Report</w:t>
      </w:r>
    </w:p>
    <w:p w14:paraId="0AC0147D" w14:textId="70C2D867" w:rsidR="00946C14" w:rsidRPr="00946C14" w:rsidRDefault="00946C14" w:rsidP="00E3213D">
      <w:pPr>
        <w:spacing w:line="360" w:lineRule="auto"/>
        <w:rPr>
          <w:rFonts w:ascii="Arial" w:hAnsi="Arial" w:cs="Arial"/>
          <w:sz w:val="22"/>
          <w:szCs w:val="22"/>
        </w:rPr>
      </w:pPr>
      <w:r w:rsidRPr="00946C14">
        <w:rPr>
          <w:rFonts w:ascii="Arial" w:hAnsi="Arial" w:cs="Arial"/>
          <w:b/>
          <w:bCs/>
          <w:sz w:val="22"/>
          <w:szCs w:val="22"/>
        </w:rPr>
        <w:t>Student Name:</w:t>
      </w:r>
      <w:r w:rsidRPr="00946C14">
        <w:rPr>
          <w:rFonts w:ascii="Arial" w:hAnsi="Arial" w:cs="Arial"/>
          <w:sz w:val="22"/>
          <w:szCs w:val="22"/>
        </w:rPr>
        <w:t xml:space="preserve"> </w:t>
      </w:r>
      <w:r>
        <w:rPr>
          <w:rFonts w:ascii="Arial" w:hAnsi="Arial" w:cs="Arial"/>
          <w:sz w:val="22"/>
          <w:szCs w:val="22"/>
        </w:rPr>
        <w:tab/>
      </w:r>
      <w:r w:rsidRPr="00946C14">
        <w:rPr>
          <w:rFonts w:ascii="Arial" w:hAnsi="Arial" w:cs="Arial"/>
          <w:sz w:val="22"/>
          <w:szCs w:val="22"/>
        </w:rPr>
        <w:t>Abdul Bashar</w:t>
      </w:r>
      <w:r w:rsidRPr="00946C14">
        <w:rPr>
          <w:rFonts w:ascii="Arial" w:hAnsi="Arial" w:cs="Arial"/>
          <w:sz w:val="22"/>
          <w:szCs w:val="22"/>
        </w:rPr>
        <w:br/>
      </w:r>
      <w:r w:rsidRPr="00946C14">
        <w:rPr>
          <w:rFonts w:ascii="Arial" w:hAnsi="Arial" w:cs="Arial"/>
          <w:b/>
          <w:bCs/>
          <w:sz w:val="22"/>
          <w:szCs w:val="22"/>
        </w:rPr>
        <w:t>Student Number:</w:t>
      </w:r>
      <w:r w:rsidRPr="00946C14">
        <w:rPr>
          <w:rFonts w:ascii="Arial" w:hAnsi="Arial" w:cs="Arial"/>
          <w:sz w:val="22"/>
          <w:szCs w:val="22"/>
        </w:rPr>
        <w:t xml:space="preserve"> </w:t>
      </w:r>
      <w:r>
        <w:rPr>
          <w:rFonts w:ascii="Arial" w:hAnsi="Arial" w:cs="Arial"/>
          <w:sz w:val="22"/>
          <w:szCs w:val="22"/>
        </w:rPr>
        <w:tab/>
      </w:r>
      <w:r w:rsidRPr="00946C14">
        <w:rPr>
          <w:rFonts w:ascii="Arial" w:hAnsi="Arial" w:cs="Arial"/>
          <w:sz w:val="22"/>
          <w:szCs w:val="22"/>
        </w:rPr>
        <w:t>2407308</w:t>
      </w:r>
      <w:r w:rsidRPr="00946C14">
        <w:rPr>
          <w:rFonts w:ascii="Arial" w:hAnsi="Arial" w:cs="Arial"/>
          <w:sz w:val="22"/>
          <w:szCs w:val="22"/>
        </w:rPr>
        <w:br/>
      </w:r>
      <w:r w:rsidRPr="00946C14">
        <w:rPr>
          <w:rFonts w:ascii="Arial" w:hAnsi="Arial" w:cs="Arial"/>
          <w:b/>
          <w:bCs/>
          <w:sz w:val="22"/>
          <w:szCs w:val="22"/>
        </w:rPr>
        <w:t>Module:</w:t>
      </w:r>
      <w:r w:rsidRPr="00946C14">
        <w:rPr>
          <w:rFonts w:ascii="Arial" w:hAnsi="Arial" w:cs="Arial"/>
          <w:sz w:val="22"/>
          <w:szCs w:val="22"/>
        </w:rPr>
        <w:t xml:space="preserve"> </w:t>
      </w:r>
      <w:r>
        <w:rPr>
          <w:rFonts w:ascii="Arial" w:hAnsi="Arial" w:cs="Arial"/>
          <w:sz w:val="22"/>
          <w:szCs w:val="22"/>
        </w:rPr>
        <w:tab/>
      </w:r>
      <w:r>
        <w:rPr>
          <w:rFonts w:ascii="Arial" w:hAnsi="Arial" w:cs="Arial"/>
          <w:sz w:val="22"/>
          <w:szCs w:val="22"/>
        </w:rPr>
        <w:tab/>
      </w:r>
      <w:r w:rsidRPr="00946C14">
        <w:rPr>
          <w:rFonts w:ascii="Arial" w:hAnsi="Arial" w:cs="Arial"/>
          <w:sz w:val="22"/>
          <w:szCs w:val="22"/>
        </w:rPr>
        <w:t>Understanding and Engaging Stakeholders</w:t>
      </w:r>
      <w:r w:rsidRPr="00946C14">
        <w:rPr>
          <w:rFonts w:ascii="Arial" w:hAnsi="Arial" w:cs="Arial"/>
          <w:sz w:val="22"/>
          <w:szCs w:val="22"/>
        </w:rPr>
        <w:br/>
      </w:r>
      <w:r w:rsidRPr="00946C14">
        <w:rPr>
          <w:rFonts w:ascii="Arial" w:hAnsi="Arial" w:cs="Arial"/>
          <w:b/>
          <w:bCs/>
          <w:sz w:val="22"/>
          <w:szCs w:val="22"/>
        </w:rPr>
        <w:t>Module Code:</w:t>
      </w:r>
      <w:r w:rsidRPr="00946C14">
        <w:rPr>
          <w:rFonts w:ascii="Arial" w:hAnsi="Arial" w:cs="Arial"/>
          <w:sz w:val="22"/>
          <w:szCs w:val="22"/>
        </w:rPr>
        <w:t xml:space="preserve"> </w:t>
      </w:r>
      <w:r>
        <w:rPr>
          <w:rFonts w:ascii="Arial" w:hAnsi="Arial" w:cs="Arial"/>
          <w:sz w:val="22"/>
          <w:szCs w:val="22"/>
        </w:rPr>
        <w:tab/>
      </w:r>
      <w:r w:rsidRPr="00946C14">
        <w:rPr>
          <w:rFonts w:ascii="Arial" w:hAnsi="Arial" w:cs="Arial"/>
          <w:sz w:val="22"/>
          <w:szCs w:val="22"/>
        </w:rPr>
        <w:t>LCLM5001 C2</w:t>
      </w:r>
      <w:r w:rsidRPr="00946C14">
        <w:rPr>
          <w:rFonts w:ascii="Arial" w:hAnsi="Arial" w:cs="Arial"/>
          <w:sz w:val="22"/>
          <w:szCs w:val="22"/>
        </w:rPr>
        <w:br/>
      </w:r>
      <w:r w:rsidRPr="00946C14">
        <w:rPr>
          <w:rFonts w:ascii="Arial" w:hAnsi="Arial" w:cs="Arial"/>
          <w:b/>
          <w:bCs/>
          <w:sz w:val="22"/>
          <w:szCs w:val="22"/>
        </w:rPr>
        <w:t>Lecturer:</w:t>
      </w:r>
      <w:r w:rsidRPr="00946C14">
        <w:rPr>
          <w:rFonts w:ascii="Arial" w:hAnsi="Arial" w:cs="Arial"/>
          <w:sz w:val="22"/>
          <w:szCs w:val="22"/>
        </w:rPr>
        <w:t xml:space="preserve"> </w:t>
      </w:r>
      <w:r>
        <w:rPr>
          <w:rFonts w:ascii="Arial" w:hAnsi="Arial" w:cs="Arial"/>
          <w:sz w:val="22"/>
          <w:szCs w:val="22"/>
        </w:rPr>
        <w:tab/>
      </w:r>
      <w:r>
        <w:rPr>
          <w:rFonts w:ascii="Arial" w:hAnsi="Arial" w:cs="Arial"/>
          <w:sz w:val="22"/>
          <w:szCs w:val="22"/>
        </w:rPr>
        <w:tab/>
      </w:r>
      <w:r w:rsidRPr="00946C14">
        <w:rPr>
          <w:rFonts w:ascii="Arial" w:hAnsi="Arial" w:cs="Arial"/>
          <w:sz w:val="22"/>
          <w:szCs w:val="22"/>
        </w:rPr>
        <w:t xml:space="preserve">Sharin </w:t>
      </w:r>
      <w:proofErr w:type="spellStart"/>
      <w:r w:rsidRPr="00946C14">
        <w:rPr>
          <w:rFonts w:ascii="Arial" w:hAnsi="Arial" w:cs="Arial"/>
          <w:sz w:val="22"/>
          <w:szCs w:val="22"/>
        </w:rPr>
        <w:t>Mcdowell-Emefiele</w:t>
      </w:r>
      <w:proofErr w:type="spellEnd"/>
      <w:r w:rsidRPr="00946C14">
        <w:rPr>
          <w:rFonts w:ascii="Arial" w:hAnsi="Arial" w:cs="Arial"/>
          <w:sz w:val="22"/>
          <w:szCs w:val="22"/>
        </w:rPr>
        <w:br/>
      </w:r>
      <w:r w:rsidRPr="00946C14">
        <w:rPr>
          <w:rFonts w:ascii="Arial" w:hAnsi="Arial" w:cs="Arial"/>
          <w:b/>
          <w:bCs/>
          <w:sz w:val="22"/>
          <w:szCs w:val="22"/>
        </w:rPr>
        <w:t>Date:</w:t>
      </w:r>
      <w:r w:rsidRPr="00946C14">
        <w:rPr>
          <w:rFonts w:ascii="Arial" w:hAnsi="Arial" w:cs="Arial"/>
          <w:sz w:val="22"/>
          <w:szCs w:val="22"/>
        </w:rPr>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r>
      <w:r w:rsidRPr="00946C14">
        <w:rPr>
          <w:rFonts w:ascii="Arial" w:hAnsi="Arial" w:cs="Arial"/>
          <w:sz w:val="22"/>
          <w:szCs w:val="22"/>
        </w:rPr>
        <w:t>16/11/2025</w:t>
      </w:r>
    </w:p>
    <w:p w14:paraId="05DEA94D"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pict w14:anchorId="56DD2685">
          <v:rect id="_x0000_i1319" style="width:0;height:1.5pt" o:hralign="center" o:hrstd="t" o:hr="t" fillcolor="#a0a0a0" stroked="f"/>
        </w:pict>
      </w:r>
    </w:p>
    <w:p w14:paraId="4A1190B1" w14:textId="77777777" w:rsidR="00946C14" w:rsidRPr="00946C14" w:rsidRDefault="00946C14" w:rsidP="00E3213D">
      <w:pPr>
        <w:spacing w:line="360" w:lineRule="auto"/>
        <w:rPr>
          <w:rFonts w:ascii="Arial" w:hAnsi="Arial" w:cs="Arial"/>
          <w:b/>
          <w:bCs/>
          <w:sz w:val="22"/>
          <w:szCs w:val="22"/>
        </w:rPr>
      </w:pPr>
      <w:r w:rsidRPr="00946C14">
        <w:rPr>
          <w:rFonts w:ascii="Arial" w:hAnsi="Arial" w:cs="Arial"/>
          <w:b/>
          <w:bCs/>
          <w:sz w:val="22"/>
          <w:szCs w:val="22"/>
        </w:rPr>
        <w:t>Table of Contents</w:t>
      </w:r>
    </w:p>
    <w:p w14:paraId="1EE8A61A" w14:textId="77777777" w:rsidR="00946C14" w:rsidRPr="00946C14" w:rsidRDefault="00946C14" w:rsidP="00E3213D">
      <w:pPr>
        <w:numPr>
          <w:ilvl w:val="0"/>
          <w:numId w:val="65"/>
        </w:numPr>
        <w:spacing w:line="360" w:lineRule="auto"/>
        <w:rPr>
          <w:rFonts w:ascii="Arial" w:hAnsi="Arial" w:cs="Arial"/>
          <w:sz w:val="22"/>
          <w:szCs w:val="22"/>
        </w:rPr>
      </w:pPr>
      <w:r w:rsidRPr="00946C14">
        <w:rPr>
          <w:rFonts w:ascii="Arial" w:hAnsi="Arial" w:cs="Arial"/>
          <w:sz w:val="22"/>
          <w:szCs w:val="22"/>
        </w:rPr>
        <w:t>Introduction</w:t>
      </w:r>
    </w:p>
    <w:p w14:paraId="5E38F814" w14:textId="77777777" w:rsidR="00946C14" w:rsidRPr="00946C14" w:rsidRDefault="00946C14" w:rsidP="00E3213D">
      <w:pPr>
        <w:numPr>
          <w:ilvl w:val="0"/>
          <w:numId w:val="65"/>
        </w:numPr>
        <w:spacing w:line="360" w:lineRule="auto"/>
        <w:rPr>
          <w:rFonts w:ascii="Arial" w:hAnsi="Arial" w:cs="Arial"/>
          <w:sz w:val="22"/>
          <w:szCs w:val="22"/>
        </w:rPr>
      </w:pPr>
      <w:r w:rsidRPr="00946C14">
        <w:rPr>
          <w:rFonts w:ascii="Arial" w:hAnsi="Arial" w:cs="Arial"/>
          <w:sz w:val="22"/>
          <w:szCs w:val="22"/>
        </w:rPr>
        <w:t>Project Overview</w:t>
      </w:r>
    </w:p>
    <w:p w14:paraId="4A91FFCA" w14:textId="77777777" w:rsidR="00946C14" w:rsidRPr="00946C14" w:rsidRDefault="00946C14" w:rsidP="00E3213D">
      <w:pPr>
        <w:numPr>
          <w:ilvl w:val="0"/>
          <w:numId w:val="65"/>
        </w:numPr>
        <w:spacing w:line="360" w:lineRule="auto"/>
        <w:rPr>
          <w:rFonts w:ascii="Arial" w:hAnsi="Arial" w:cs="Arial"/>
          <w:sz w:val="22"/>
          <w:szCs w:val="22"/>
        </w:rPr>
      </w:pPr>
      <w:r w:rsidRPr="00946C14">
        <w:rPr>
          <w:rFonts w:ascii="Arial" w:hAnsi="Arial" w:cs="Arial"/>
          <w:sz w:val="22"/>
          <w:szCs w:val="22"/>
        </w:rPr>
        <w:t>Situational Analysis</w:t>
      </w:r>
      <w:r w:rsidRPr="00946C14">
        <w:rPr>
          <w:rFonts w:ascii="Arial" w:hAnsi="Arial" w:cs="Arial"/>
          <w:sz w:val="22"/>
          <w:szCs w:val="22"/>
        </w:rPr>
        <w:br/>
      </w:r>
      <w:r w:rsidRPr="00946C14">
        <w:rPr>
          <w:rFonts w:ascii="Arial" w:hAnsi="Arial" w:cs="Arial"/>
          <w:sz w:val="22"/>
          <w:szCs w:val="22"/>
        </w:rPr>
        <w:t> </w:t>
      </w:r>
      <w:r w:rsidRPr="00946C14">
        <w:rPr>
          <w:rFonts w:ascii="Arial" w:hAnsi="Arial" w:cs="Arial"/>
          <w:sz w:val="22"/>
          <w:szCs w:val="22"/>
        </w:rPr>
        <w:t>3.1 SWOT Analysis</w:t>
      </w:r>
      <w:r w:rsidRPr="00946C14">
        <w:rPr>
          <w:rFonts w:ascii="Arial" w:hAnsi="Arial" w:cs="Arial"/>
          <w:sz w:val="22"/>
          <w:szCs w:val="22"/>
        </w:rPr>
        <w:br/>
      </w:r>
      <w:r w:rsidRPr="00946C14">
        <w:rPr>
          <w:rFonts w:ascii="Arial" w:hAnsi="Arial" w:cs="Arial"/>
          <w:sz w:val="22"/>
          <w:szCs w:val="22"/>
        </w:rPr>
        <w:t> </w:t>
      </w:r>
      <w:r w:rsidRPr="00946C14">
        <w:rPr>
          <w:rFonts w:ascii="Arial" w:hAnsi="Arial" w:cs="Arial"/>
          <w:sz w:val="22"/>
          <w:szCs w:val="22"/>
        </w:rPr>
        <w:t>3.2 PESTLE Analysis</w:t>
      </w:r>
      <w:r w:rsidRPr="00946C14">
        <w:rPr>
          <w:rFonts w:ascii="Arial" w:hAnsi="Arial" w:cs="Arial"/>
          <w:sz w:val="22"/>
          <w:szCs w:val="22"/>
        </w:rPr>
        <w:br/>
      </w:r>
      <w:r w:rsidRPr="00946C14">
        <w:rPr>
          <w:rFonts w:ascii="Arial" w:hAnsi="Arial" w:cs="Arial"/>
          <w:sz w:val="22"/>
          <w:szCs w:val="22"/>
        </w:rPr>
        <w:t> </w:t>
      </w:r>
      <w:r w:rsidRPr="00946C14">
        <w:rPr>
          <w:rFonts w:ascii="Arial" w:hAnsi="Arial" w:cs="Arial"/>
          <w:sz w:val="22"/>
          <w:szCs w:val="22"/>
        </w:rPr>
        <w:t>3.3 SMART Objectives</w:t>
      </w:r>
    </w:p>
    <w:p w14:paraId="5E0ED122" w14:textId="77777777" w:rsidR="00946C14" w:rsidRPr="00946C14" w:rsidRDefault="00946C14" w:rsidP="00E3213D">
      <w:pPr>
        <w:numPr>
          <w:ilvl w:val="0"/>
          <w:numId w:val="65"/>
        </w:numPr>
        <w:spacing w:line="360" w:lineRule="auto"/>
        <w:rPr>
          <w:rFonts w:ascii="Arial" w:hAnsi="Arial" w:cs="Arial"/>
          <w:sz w:val="22"/>
          <w:szCs w:val="22"/>
        </w:rPr>
      </w:pPr>
      <w:r w:rsidRPr="00946C14">
        <w:rPr>
          <w:rFonts w:ascii="Arial" w:hAnsi="Arial" w:cs="Arial"/>
          <w:sz w:val="22"/>
          <w:szCs w:val="22"/>
        </w:rPr>
        <w:t>Stakeholder Identification and Analysis</w:t>
      </w:r>
      <w:r w:rsidRPr="00946C14">
        <w:rPr>
          <w:rFonts w:ascii="Arial" w:hAnsi="Arial" w:cs="Arial"/>
          <w:sz w:val="22"/>
          <w:szCs w:val="22"/>
        </w:rPr>
        <w:br/>
      </w:r>
      <w:r w:rsidRPr="00946C14">
        <w:rPr>
          <w:rFonts w:ascii="Arial" w:hAnsi="Arial" w:cs="Arial"/>
          <w:sz w:val="22"/>
          <w:szCs w:val="22"/>
        </w:rPr>
        <w:t> </w:t>
      </w:r>
      <w:r w:rsidRPr="00946C14">
        <w:rPr>
          <w:rFonts w:ascii="Arial" w:hAnsi="Arial" w:cs="Arial"/>
          <w:sz w:val="22"/>
          <w:szCs w:val="22"/>
        </w:rPr>
        <w:t>4.1 Stakeholder Groups</w:t>
      </w:r>
      <w:r w:rsidRPr="00946C14">
        <w:rPr>
          <w:rFonts w:ascii="Arial" w:hAnsi="Arial" w:cs="Arial"/>
          <w:sz w:val="22"/>
          <w:szCs w:val="22"/>
        </w:rPr>
        <w:br/>
      </w:r>
      <w:r w:rsidRPr="00946C14">
        <w:rPr>
          <w:rFonts w:ascii="Arial" w:hAnsi="Arial" w:cs="Arial"/>
          <w:sz w:val="22"/>
          <w:szCs w:val="22"/>
        </w:rPr>
        <w:t> </w:t>
      </w:r>
      <w:r w:rsidRPr="00946C14">
        <w:rPr>
          <w:rFonts w:ascii="Arial" w:hAnsi="Arial" w:cs="Arial"/>
          <w:sz w:val="22"/>
          <w:szCs w:val="22"/>
        </w:rPr>
        <w:t>4.2 Roles and Responsibilities</w:t>
      </w:r>
      <w:r w:rsidRPr="00946C14">
        <w:rPr>
          <w:rFonts w:ascii="Arial" w:hAnsi="Arial" w:cs="Arial"/>
          <w:sz w:val="22"/>
          <w:szCs w:val="22"/>
        </w:rPr>
        <w:br/>
      </w:r>
      <w:r w:rsidRPr="00946C14">
        <w:rPr>
          <w:rFonts w:ascii="Arial" w:hAnsi="Arial" w:cs="Arial"/>
          <w:sz w:val="22"/>
          <w:szCs w:val="22"/>
        </w:rPr>
        <w:t> </w:t>
      </w:r>
      <w:r w:rsidRPr="00946C14">
        <w:rPr>
          <w:rFonts w:ascii="Arial" w:hAnsi="Arial" w:cs="Arial"/>
          <w:sz w:val="22"/>
          <w:szCs w:val="22"/>
        </w:rPr>
        <w:t>4.3 RACI Matrix</w:t>
      </w:r>
    </w:p>
    <w:p w14:paraId="7979DCA4" w14:textId="77777777" w:rsidR="00946C14" w:rsidRPr="00946C14" w:rsidRDefault="00946C14" w:rsidP="00E3213D">
      <w:pPr>
        <w:numPr>
          <w:ilvl w:val="0"/>
          <w:numId w:val="65"/>
        </w:numPr>
        <w:spacing w:line="360" w:lineRule="auto"/>
        <w:rPr>
          <w:rFonts w:ascii="Arial" w:hAnsi="Arial" w:cs="Arial"/>
          <w:sz w:val="22"/>
          <w:szCs w:val="22"/>
        </w:rPr>
      </w:pPr>
      <w:r w:rsidRPr="00946C14">
        <w:rPr>
          <w:rFonts w:ascii="Arial" w:hAnsi="Arial" w:cs="Arial"/>
          <w:sz w:val="22"/>
          <w:szCs w:val="22"/>
        </w:rPr>
        <w:t>Stakeholder Engagement Frameworks</w:t>
      </w:r>
    </w:p>
    <w:p w14:paraId="531270DE" w14:textId="77777777" w:rsidR="00946C14" w:rsidRPr="00946C14" w:rsidRDefault="00946C14" w:rsidP="00E3213D">
      <w:pPr>
        <w:numPr>
          <w:ilvl w:val="0"/>
          <w:numId w:val="65"/>
        </w:numPr>
        <w:spacing w:line="360" w:lineRule="auto"/>
        <w:rPr>
          <w:rFonts w:ascii="Arial" w:hAnsi="Arial" w:cs="Arial"/>
          <w:sz w:val="22"/>
          <w:szCs w:val="22"/>
        </w:rPr>
      </w:pPr>
      <w:r w:rsidRPr="00946C14">
        <w:rPr>
          <w:rFonts w:ascii="Arial" w:hAnsi="Arial" w:cs="Arial"/>
          <w:sz w:val="22"/>
          <w:szCs w:val="22"/>
        </w:rPr>
        <w:t>Stakeholder Engagement Process &amp; Conflict Management (4Cs Model)</w:t>
      </w:r>
    </w:p>
    <w:p w14:paraId="0580E711" w14:textId="77777777" w:rsidR="00946C14" w:rsidRPr="00946C14" w:rsidRDefault="00946C14" w:rsidP="00E3213D">
      <w:pPr>
        <w:numPr>
          <w:ilvl w:val="0"/>
          <w:numId w:val="65"/>
        </w:numPr>
        <w:spacing w:line="360" w:lineRule="auto"/>
        <w:rPr>
          <w:rFonts w:ascii="Arial" w:hAnsi="Arial" w:cs="Arial"/>
          <w:sz w:val="22"/>
          <w:szCs w:val="22"/>
        </w:rPr>
      </w:pPr>
      <w:r w:rsidRPr="00946C14">
        <w:rPr>
          <w:rFonts w:ascii="Arial" w:hAnsi="Arial" w:cs="Arial"/>
          <w:sz w:val="22"/>
          <w:szCs w:val="22"/>
        </w:rPr>
        <w:t>Evaluation of Stakeholder Engagement Impact</w:t>
      </w:r>
    </w:p>
    <w:p w14:paraId="3D2D38AA" w14:textId="77777777" w:rsidR="00946C14" w:rsidRPr="00946C14" w:rsidRDefault="00946C14" w:rsidP="00E3213D">
      <w:pPr>
        <w:numPr>
          <w:ilvl w:val="0"/>
          <w:numId w:val="65"/>
        </w:numPr>
        <w:spacing w:line="360" w:lineRule="auto"/>
        <w:rPr>
          <w:rFonts w:ascii="Arial" w:hAnsi="Arial" w:cs="Arial"/>
          <w:sz w:val="22"/>
          <w:szCs w:val="22"/>
        </w:rPr>
      </w:pPr>
      <w:r w:rsidRPr="00946C14">
        <w:rPr>
          <w:rFonts w:ascii="Arial" w:hAnsi="Arial" w:cs="Arial"/>
          <w:sz w:val="22"/>
          <w:szCs w:val="22"/>
        </w:rPr>
        <w:t>Recommendations</w:t>
      </w:r>
    </w:p>
    <w:p w14:paraId="0AE3A229" w14:textId="77777777" w:rsidR="00946C14" w:rsidRPr="00946C14" w:rsidRDefault="00946C14" w:rsidP="00E3213D">
      <w:pPr>
        <w:numPr>
          <w:ilvl w:val="0"/>
          <w:numId w:val="65"/>
        </w:numPr>
        <w:spacing w:line="360" w:lineRule="auto"/>
        <w:rPr>
          <w:rFonts w:ascii="Arial" w:hAnsi="Arial" w:cs="Arial"/>
          <w:sz w:val="22"/>
          <w:szCs w:val="22"/>
        </w:rPr>
      </w:pPr>
      <w:r w:rsidRPr="00946C14">
        <w:rPr>
          <w:rFonts w:ascii="Arial" w:hAnsi="Arial" w:cs="Arial"/>
          <w:sz w:val="22"/>
          <w:szCs w:val="22"/>
        </w:rPr>
        <w:t>Conclusion</w:t>
      </w:r>
    </w:p>
    <w:p w14:paraId="59D0AE8C" w14:textId="77777777" w:rsidR="00946C14" w:rsidRPr="00946C14" w:rsidRDefault="00946C14" w:rsidP="00E3213D">
      <w:pPr>
        <w:numPr>
          <w:ilvl w:val="0"/>
          <w:numId w:val="65"/>
        </w:numPr>
        <w:spacing w:line="360" w:lineRule="auto"/>
        <w:rPr>
          <w:rFonts w:ascii="Arial" w:hAnsi="Arial" w:cs="Arial"/>
          <w:sz w:val="22"/>
          <w:szCs w:val="22"/>
        </w:rPr>
      </w:pPr>
      <w:r w:rsidRPr="00946C14">
        <w:rPr>
          <w:rFonts w:ascii="Arial" w:hAnsi="Arial" w:cs="Arial"/>
          <w:sz w:val="22"/>
          <w:szCs w:val="22"/>
        </w:rPr>
        <w:t>References</w:t>
      </w:r>
    </w:p>
    <w:p w14:paraId="35C51EC8"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pict w14:anchorId="7D1BA54A">
          <v:rect id="_x0000_i1320" style="width:0;height:1.5pt" o:hralign="center" o:hrstd="t" o:hr="t" fillcolor="#a0a0a0" stroked="f"/>
        </w:pict>
      </w:r>
    </w:p>
    <w:p w14:paraId="663AA40A"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1. Introduction</w:t>
      </w:r>
    </w:p>
    <w:p w14:paraId="72B3F51D"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Digital health technologies continue to transform how individuals understand, manage, and monitor their wellbeing. Within this evolving landscape, OMRON Healthcare UK plays a central role, advancing clinically validated medical devices that support long</w:t>
      </w:r>
      <w:r w:rsidRPr="00946C14">
        <w:rPr>
          <w:rFonts w:ascii="Arial" w:hAnsi="Arial" w:cs="Arial"/>
          <w:sz w:val="22"/>
          <w:szCs w:val="22"/>
        </w:rPr>
        <w:noBreakHyphen/>
        <w:t xml:space="preserve">term health </w:t>
      </w:r>
      <w:r w:rsidRPr="00946C14">
        <w:rPr>
          <w:rFonts w:ascii="Arial" w:hAnsi="Arial" w:cs="Arial"/>
          <w:sz w:val="22"/>
          <w:szCs w:val="22"/>
        </w:rPr>
        <w:lastRenderedPageBreak/>
        <w:t>management, early detection of chronic illnesses, and preventive self</w:t>
      </w:r>
      <w:r w:rsidRPr="00946C14">
        <w:rPr>
          <w:rFonts w:ascii="Arial" w:hAnsi="Arial" w:cs="Arial"/>
          <w:sz w:val="22"/>
          <w:szCs w:val="22"/>
        </w:rPr>
        <w:noBreakHyphen/>
        <w:t>care. As part of a global organisation operating in more than 120 countries, OMRON benefits from a strong foundation of scientific expertise, technological innovation, and a long-standing reputation for accuracy.</w:t>
      </w:r>
    </w:p>
    <w:p w14:paraId="7CCF3F6F"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The UK healthcare market has seen increasing adoption of wearables due to rising chronic illnesses, NHS digitisation initiatives, and heightened public awareness of preventive health strategies. Consumers now expect wearable devices to deliver credible medical insights rather than solely fitness-based metrics. This shift reinforces the need for medical-grade devices that combine usability, accuracy, and integration with clinical pathways.</w:t>
      </w:r>
    </w:p>
    <w:p w14:paraId="35C186BA"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The </w:t>
      </w:r>
      <w:proofErr w:type="spellStart"/>
      <w:r w:rsidRPr="00946C14">
        <w:rPr>
          <w:rFonts w:ascii="Arial" w:hAnsi="Arial" w:cs="Arial"/>
          <w:sz w:val="22"/>
          <w:szCs w:val="22"/>
        </w:rPr>
        <w:t>OmniWatch</w:t>
      </w:r>
      <w:proofErr w:type="spellEnd"/>
      <w:r w:rsidRPr="00946C14">
        <w:rPr>
          <w:rFonts w:ascii="Arial" w:hAnsi="Arial" w:cs="Arial"/>
          <w:sz w:val="22"/>
          <w:szCs w:val="22"/>
        </w:rPr>
        <w:t xml:space="preserve"> project reflects OMRON’s strategic ambition to expand into the rapidly growing digital health ecosystem. However, launching a clinically oriented wearable within a constrained six</w:t>
      </w:r>
      <w:r w:rsidRPr="00946C14">
        <w:rPr>
          <w:rFonts w:ascii="Arial" w:hAnsi="Arial" w:cs="Arial"/>
          <w:sz w:val="22"/>
          <w:szCs w:val="22"/>
        </w:rPr>
        <w:noBreakHyphen/>
        <w:t>month timeframe introduces complexities across technical development, regulatory approval, clinical validation, market readiness, and supply chain coordination. As such, effective stakeholder engagement becomes a critical determinant of project success.</w:t>
      </w:r>
    </w:p>
    <w:p w14:paraId="117D8CFF"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pict w14:anchorId="28A0F415">
          <v:rect id="_x0000_i1321" style="width:0;height:1.5pt" o:hralign="center" o:hrstd="t" o:hr="t" fillcolor="#a0a0a0" stroked="f"/>
        </w:pict>
      </w:r>
    </w:p>
    <w:p w14:paraId="1896BC60"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2. Project Overview</w:t>
      </w:r>
    </w:p>
    <w:p w14:paraId="69C56904"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The </w:t>
      </w:r>
      <w:proofErr w:type="spellStart"/>
      <w:r w:rsidRPr="00946C14">
        <w:rPr>
          <w:rFonts w:ascii="Arial" w:hAnsi="Arial" w:cs="Arial"/>
          <w:sz w:val="22"/>
          <w:szCs w:val="22"/>
        </w:rPr>
        <w:t>OmniWatch</w:t>
      </w:r>
      <w:proofErr w:type="spellEnd"/>
      <w:r w:rsidRPr="00946C14">
        <w:rPr>
          <w:rFonts w:ascii="Arial" w:hAnsi="Arial" w:cs="Arial"/>
          <w:sz w:val="22"/>
          <w:szCs w:val="22"/>
        </w:rPr>
        <w:t xml:space="preserve"> project represents a strategically significant initiative within OMRON’s broader digital transformation agenda. Its goal is to introduce a medically credible wearable device capable of producing accurate physiological insights for both consumers and healthcare professionals. Unlike typical fitness trackers, </w:t>
      </w:r>
      <w:proofErr w:type="spellStart"/>
      <w:r w:rsidRPr="00946C14">
        <w:rPr>
          <w:rFonts w:ascii="Arial" w:hAnsi="Arial" w:cs="Arial"/>
          <w:sz w:val="22"/>
          <w:szCs w:val="22"/>
        </w:rPr>
        <w:t>OmniWatch</w:t>
      </w:r>
      <w:proofErr w:type="spellEnd"/>
      <w:r w:rsidRPr="00946C14">
        <w:rPr>
          <w:rFonts w:ascii="Arial" w:hAnsi="Arial" w:cs="Arial"/>
          <w:sz w:val="22"/>
          <w:szCs w:val="22"/>
        </w:rPr>
        <w:t xml:space="preserve"> is positioned as a clinical</w:t>
      </w:r>
      <w:r w:rsidRPr="00946C14">
        <w:rPr>
          <w:rFonts w:ascii="Arial" w:hAnsi="Arial" w:cs="Arial"/>
          <w:sz w:val="22"/>
          <w:szCs w:val="22"/>
        </w:rPr>
        <w:noBreakHyphen/>
        <w:t>grade monitoring solution, making the development process more complex and regulated.</w:t>
      </w:r>
    </w:p>
    <w:p w14:paraId="555ABCDB" w14:textId="7DF4EC56"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Project Scope</w:t>
      </w:r>
    </w:p>
    <w:p w14:paraId="150C07CF"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The project integrates multidisciplinary elements—engineering, clinical science, user</w:t>
      </w:r>
      <w:r w:rsidRPr="00946C14">
        <w:rPr>
          <w:rFonts w:ascii="Arial" w:hAnsi="Arial" w:cs="Arial"/>
          <w:sz w:val="22"/>
          <w:szCs w:val="22"/>
        </w:rPr>
        <w:noBreakHyphen/>
        <w:t>experience design, data analytics, and commercial strategy. As such, it functions as a cross</w:t>
      </w:r>
      <w:r w:rsidRPr="00946C14">
        <w:rPr>
          <w:rFonts w:ascii="Arial" w:hAnsi="Arial" w:cs="Arial"/>
          <w:sz w:val="22"/>
          <w:szCs w:val="22"/>
        </w:rPr>
        <w:noBreakHyphen/>
        <w:t>functional programme rather than a single</w:t>
      </w:r>
      <w:r w:rsidRPr="00946C14">
        <w:rPr>
          <w:rFonts w:ascii="Arial" w:hAnsi="Arial" w:cs="Arial"/>
          <w:sz w:val="22"/>
          <w:szCs w:val="22"/>
        </w:rPr>
        <w:noBreakHyphen/>
        <w:t>department initiative. The successful execution of the project requires:</w:t>
      </w:r>
    </w:p>
    <w:p w14:paraId="09945968" w14:textId="77777777" w:rsidR="00946C14" w:rsidRPr="00946C14" w:rsidRDefault="00946C14" w:rsidP="00E3213D">
      <w:pPr>
        <w:numPr>
          <w:ilvl w:val="0"/>
          <w:numId w:val="66"/>
        </w:numPr>
        <w:spacing w:line="360" w:lineRule="auto"/>
        <w:jc w:val="both"/>
        <w:rPr>
          <w:rFonts w:ascii="Arial" w:hAnsi="Arial" w:cs="Arial"/>
          <w:sz w:val="22"/>
          <w:szCs w:val="22"/>
        </w:rPr>
      </w:pPr>
      <w:r w:rsidRPr="00946C14">
        <w:rPr>
          <w:rFonts w:ascii="Arial" w:hAnsi="Arial" w:cs="Arial"/>
          <w:b/>
          <w:bCs/>
          <w:sz w:val="22"/>
          <w:szCs w:val="22"/>
        </w:rPr>
        <w:t>Technical innovation</w:t>
      </w:r>
      <w:r w:rsidRPr="00946C14">
        <w:rPr>
          <w:rFonts w:ascii="Arial" w:hAnsi="Arial" w:cs="Arial"/>
          <w:sz w:val="22"/>
          <w:szCs w:val="22"/>
        </w:rPr>
        <w:t>, ensuring advanced sensor accuracy and device interoperability.</w:t>
      </w:r>
    </w:p>
    <w:p w14:paraId="1B36B004" w14:textId="77777777" w:rsidR="00946C14" w:rsidRPr="00946C14" w:rsidRDefault="00946C14" w:rsidP="00E3213D">
      <w:pPr>
        <w:numPr>
          <w:ilvl w:val="0"/>
          <w:numId w:val="66"/>
        </w:numPr>
        <w:spacing w:line="360" w:lineRule="auto"/>
        <w:jc w:val="both"/>
        <w:rPr>
          <w:rFonts w:ascii="Arial" w:hAnsi="Arial" w:cs="Arial"/>
          <w:sz w:val="22"/>
          <w:szCs w:val="22"/>
        </w:rPr>
      </w:pPr>
      <w:r w:rsidRPr="00946C14">
        <w:rPr>
          <w:rFonts w:ascii="Arial" w:hAnsi="Arial" w:cs="Arial"/>
          <w:b/>
          <w:bCs/>
          <w:sz w:val="22"/>
          <w:szCs w:val="22"/>
        </w:rPr>
        <w:t>Clinical robustness</w:t>
      </w:r>
      <w:r w:rsidRPr="00946C14">
        <w:rPr>
          <w:rFonts w:ascii="Arial" w:hAnsi="Arial" w:cs="Arial"/>
          <w:sz w:val="22"/>
          <w:szCs w:val="22"/>
        </w:rPr>
        <w:t>, validated through controlled trials and real</w:t>
      </w:r>
      <w:r w:rsidRPr="00946C14">
        <w:rPr>
          <w:rFonts w:ascii="Arial" w:hAnsi="Arial" w:cs="Arial"/>
          <w:sz w:val="22"/>
          <w:szCs w:val="22"/>
        </w:rPr>
        <w:noBreakHyphen/>
        <w:t>world testing.</w:t>
      </w:r>
    </w:p>
    <w:p w14:paraId="1C0B5D00" w14:textId="77777777" w:rsidR="00946C14" w:rsidRPr="00946C14" w:rsidRDefault="00946C14" w:rsidP="00E3213D">
      <w:pPr>
        <w:numPr>
          <w:ilvl w:val="0"/>
          <w:numId w:val="66"/>
        </w:numPr>
        <w:spacing w:line="360" w:lineRule="auto"/>
        <w:jc w:val="both"/>
        <w:rPr>
          <w:rFonts w:ascii="Arial" w:hAnsi="Arial" w:cs="Arial"/>
          <w:sz w:val="22"/>
          <w:szCs w:val="22"/>
        </w:rPr>
      </w:pPr>
      <w:r w:rsidRPr="00946C14">
        <w:rPr>
          <w:rFonts w:ascii="Arial" w:hAnsi="Arial" w:cs="Arial"/>
          <w:b/>
          <w:bCs/>
          <w:sz w:val="22"/>
          <w:szCs w:val="22"/>
        </w:rPr>
        <w:t>Regulatory compliance</w:t>
      </w:r>
      <w:r w:rsidRPr="00946C14">
        <w:rPr>
          <w:rFonts w:ascii="Arial" w:hAnsi="Arial" w:cs="Arial"/>
          <w:sz w:val="22"/>
          <w:szCs w:val="22"/>
        </w:rPr>
        <w:t>, aligning with MHRA and UKCA standards.</w:t>
      </w:r>
    </w:p>
    <w:p w14:paraId="7AFB90C7" w14:textId="77777777" w:rsidR="00946C14" w:rsidRPr="00946C14" w:rsidRDefault="00946C14" w:rsidP="00E3213D">
      <w:pPr>
        <w:numPr>
          <w:ilvl w:val="0"/>
          <w:numId w:val="66"/>
        </w:numPr>
        <w:spacing w:line="360" w:lineRule="auto"/>
        <w:jc w:val="both"/>
        <w:rPr>
          <w:rFonts w:ascii="Arial" w:hAnsi="Arial" w:cs="Arial"/>
          <w:sz w:val="22"/>
          <w:szCs w:val="22"/>
        </w:rPr>
      </w:pPr>
      <w:r w:rsidRPr="00946C14">
        <w:rPr>
          <w:rFonts w:ascii="Arial" w:hAnsi="Arial" w:cs="Arial"/>
          <w:b/>
          <w:bCs/>
          <w:sz w:val="22"/>
          <w:szCs w:val="22"/>
        </w:rPr>
        <w:t>Consumer</w:t>
      </w:r>
      <w:r w:rsidRPr="00946C14">
        <w:rPr>
          <w:rFonts w:ascii="Arial" w:hAnsi="Arial" w:cs="Arial"/>
          <w:b/>
          <w:bCs/>
          <w:sz w:val="22"/>
          <w:szCs w:val="22"/>
        </w:rPr>
        <w:noBreakHyphen/>
        <w:t>centric design</w:t>
      </w:r>
      <w:r w:rsidRPr="00946C14">
        <w:rPr>
          <w:rFonts w:ascii="Arial" w:hAnsi="Arial" w:cs="Arial"/>
          <w:sz w:val="22"/>
          <w:szCs w:val="22"/>
        </w:rPr>
        <w:t>, guided by UX principles and user feedback.</w:t>
      </w:r>
    </w:p>
    <w:p w14:paraId="1FEE22F2" w14:textId="77777777" w:rsidR="00946C14" w:rsidRPr="00946C14" w:rsidRDefault="00946C14" w:rsidP="00E3213D">
      <w:pPr>
        <w:numPr>
          <w:ilvl w:val="0"/>
          <w:numId w:val="66"/>
        </w:numPr>
        <w:spacing w:line="360" w:lineRule="auto"/>
        <w:jc w:val="both"/>
        <w:rPr>
          <w:rFonts w:ascii="Arial" w:hAnsi="Arial" w:cs="Arial"/>
          <w:sz w:val="22"/>
          <w:szCs w:val="22"/>
        </w:rPr>
      </w:pPr>
      <w:r w:rsidRPr="00946C14">
        <w:rPr>
          <w:rFonts w:ascii="Arial" w:hAnsi="Arial" w:cs="Arial"/>
          <w:b/>
          <w:bCs/>
          <w:sz w:val="22"/>
          <w:szCs w:val="22"/>
        </w:rPr>
        <w:t>Operational readiness</w:t>
      </w:r>
      <w:r w:rsidRPr="00946C14">
        <w:rPr>
          <w:rFonts w:ascii="Arial" w:hAnsi="Arial" w:cs="Arial"/>
          <w:sz w:val="22"/>
          <w:szCs w:val="22"/>
        </w:rPr>
        <w:t>, including supply chain reliability and quality assurance.</w:t>
      </w:r>
    </w:p>
    <w:p w14:paraId="0DBF731C" w14:textId="77777777" w:rsidR="00946C14" w:rsidRPr="00946C14" w:rsidRDefault="00946C14" w:rsidP="00E3213D">
      <w:pPr>
        <w:numPr>
          <w:ilvl w:val="0"/>
          <w:numId w:val="66"/>
        </w:numPr>
        <w:spacing w:line="360" w:lineRule="auto"/>
        <w:jc w:val="both"/>
        <w:rPr>
          <w:rFonts w:ascii="Arial" w:hAnsi="Arial" w:cs="Arial"/>
          <w:sz w:val="22"/>
          <w:szCs w:val="22"/>
        </w:rPr>
      </w:pPr>
      <w:r w:rsidRPr="00946C14">
        <w:rPr>
          <w:rFonts w:ascii="Arial" w:hAnsi="Arial" w:cs="Arial"/>
          <w:b/>
          <w:bCs/>
          <w:sz w:val="22"/>
          <w:szCs w:val="22"/>
        </w:rPr>
        <w:lastRenderedPageBreak/>
        <w:t>Market and stakeholder alignment</w:t>
      </w:r>
      <w:r w:rsidRPr="00946C14">
        <w:rPr>
          <w:rFonts w:ascii="Arial" w:hAnsi="Arial" w:cs="Arial"/>
          <w:sz w:val="22"/>
          <w:szCs w:val="22"/>
        </w:rPr>
        <w:t>, ensuring the product enters the market with strong positioning and support.</w:t>
      </w:r>
    </w:p>
    <w:p w14:paraId="04AFC0CF" w14:textId="381BA870"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Phase Descriptions</w:t>
      </w:r>
    </w:p>
    <w:p w14:paraId="65846B30" w14:textId="77777777" w:rsidR="00946C14" w:rsidRPr="00946C14" w:rsidRDefault="00946C14" w:rsidP="00E3213D">
      <w:pPr>
        <w:numPr>
          <w:ilvl w:val="0"/>
          <w:numId w:val="67"/>
        </w:numPr>
        <w:spacing w:line="360" w:lineRule="auto"/>
        <w:jc w:val="both"/>
        <w:rPr>
          <w:rFonts w:ascii="Arial" w:hAnsi="Arial" w:cs="Arial"/>
          <w:sz w:val="22"/>
          <w:szCs w:val="22"/>
        </w:rPr>
      </w:pPr>
      <w:r w:rsidRPr="00946C14">
        <w:rPr>
          <w:rFonts w:ascii="Arial" w:hAnsi="Arial" w:cs="Arial"/>
          <w:b/>
          <w:bCs/>
          <w:sz w:val="22"/>
          <w:szCs w:val="22"/>
        </w:rPr>
        <w:t>Conceptualisation:</w:t>
      </w:r>
      <w:r w:rsidRPr="00946C14">
        <w:rPr>
          <w:rFonts w:ascii="Arial" w:hAnsi="Arial" w:cs="Arial"/>
          <w:sz w:val="22"/>
          <w:szCs w:val="22"/>
        </w:rPr>
        <w:t xml:space="preserve"> Includes competitor benchmarking, feasibility analysis, stakeholder mapping, and identification of clinical indicators most valuable for chronic disease management. This phase benefits from early healthcare professional input to ensure clinical relevance.</w:t>
      </w:r>
    </w:p>
    <w:p w14:paraId="2410EDCD" w14:textId="77777777" w:rsidR="00946C14" w:rsidRPr="00946C14" w:rsidRDefault="00946C14" w:rsidP="00E3213D">
      <w:pPr>
        <w:numPr>
          <w:ilvl w:val="0"/>
          <w:numId w:val="67"/>
        </w:numPr>
        <w:spacing w:line="360" w:lineRule="auto"/>
        <w:jc w:val="both"/>
        <w:rPr>
          <w:rFonts w:ascii="Arial" w:hAnsi="Arial" w:cs="Arial"/>
          <w:sz w:val="22"/>
          <w:szCs w:val="22"/>
        </w:rPr>
      </w:pPr>
      <w:r w:rsidRPr="00946C14">
        <w:rPr>
          <w:rFonts w:ascii="Arial" w:hAnsi="Arial" w:cs="Arial"/>
          <w:b/>
          <w:bCs/>
          <w:sz w:val="22"/>
          <w:szCs w:val="22"/>
        </w:rPr>
        <w:t>Product Development:</w:t>
      </w:r>
      <w:r w:rsidRPr="00946C14">
        <w:rPr>
          <w:rFonts w:ascii="Arial" w:hAnsi="Arial" w:cs="Arial"/>
          <w:sz w:val="22"/>
          <w:szCs w:val="22"/>
        </w:rPr>
        <w:t xml:space="preserve"> Involves iterative prototyping, sensor calibration, stress</w:t>
      </w:r>
      <w:r w:rsidRPr="00946C14">
        <w:rPr>
          <w:rFonts w:ascii="Arial" w:hAnsi="Arial" w:cs="Arial"/>
          <w:sz w:val="22"/>
          <w:szCs w:val="22"/>
        </w:rPr>
        <w:noBreakHyphen/>
        <w:t>testing, battery optimisation, and ergonomic refinement. Collaborative reviews between R&amp;D and regulatory teams ensure early risk identification.</w:t>
      </w:r>
    </w:p>
    <w:p w14:paraId="387F9163" w14:textId="77777777" w:rsidR="00946C14" w:rsidRPr="00946C14" w:rsidRDefault="00946C14" w:rsidP="00E3213D">
      <w:pPr>
        <w:numPr>
          <w:ilvl w:val="0"/>
          <w:numId w:val="67"/>
        </w:numPr>
        <w:spacing w:line="360" w:lineRule="auto"/>
        <w:jc w:val="both"/>
        <w:rPr>
          <w:rFonts w:ascii="Arial" w:hAnsi="Arial" w:cs="Arial"/>
          <w:sz w:val="22"/>
          <w:szCs w:val="22"/>
        </w:rPr>
      </w:pPr>
      <w:r w:rsidRPr="00946C14">
        <w:rPr>
          <w:rFonts w:ascii="Arial" w:hAnsi="Arial" w:cs="Arial"/>
          <w:b/>
          <w:bCs/>
          <w:sz w:val="22"/>
          <w:szCs w:val="22"/>
        </w:rPr>
        <w:t>Software Development:</w:t>
      </w:r>
      <w:r w:rsidRPr="00946C14">
        <w:rPr>
          <w:rFonts w:ascii="Arial" w:hAnsi="Arial" w:cs="Arial"/>
          <w:sz w:val="22"/>
          <w:szCs w:val="22"/>
        </w:rPr>
        <w:t xml:space="preserve"> Encompasses algorithm training, machine</w:t>
      </w:r>
      <w:r w:rsidRPr="00946C14">
        <w:rPr>
          <w:rFonts w:ascii="Arial" w:hAnsi="Arial" w:cs="Arial"/>
          <w:sz w:val="22"/>
          <w:szCs w:val="22"/>
        </w:rPr>
        <w:noBreakHyphen/>
        <w:t>learning optimisation, data validation, encryption protocols, app architecture development, and seamless integration with OMRON Connect. Cybersecurity partners play a key role here.</w:t>
      </w:r>
    </w:p>
    <w:p w14:paraId="10F95A7C" w14:textId="77777777" w:rsidR="00946C14" w:rsidRPr="00946C14" w:rsidRDefault="00946C14" w:rsidP="00E3213D">
      <w:pPr>
        <w:numPr>
          <w:ilvl w:val="0"/>
          <w:numId w:val="67"/>
        </w:numPr>
        <w:spacing w:line="360" w:lineRule="auto"/>
        <w:jc w:val="both"/>
        <w:rPr>
          <w:rFonts w:ascii="Arial" w:hAnsi="Arial" w:cs="Arial"/>
          <w:sz w:val="22"/>
          <w:szCs w:val="22"/>
        </w:rPr>
      </w:pPr>
      <w:r w:rsidRPr="00946C14">
        <w:rPr>
          <w:rFonts w:ascii="Arial" w:hAnsi="Arial" w:cs="Arial"/>
          <w:b/>
          <w:bCs/>
          <w:sz w:val="22"/>
          <w:szCs w:val="22"/>
        </w:rPr>
        <w:t>Clinical Validation and Testing:</w:t>
      </w:r>
      <w:r w:rsidRPr="00946C14">
        <w:rPr>
          <w:rFonts w:ascii="Arial" w:hAnsi="Arial" w:cs="Arial"/>
          <w:sz w:val="22"/>
          <w:szCs w:val="22"/>
        </w:rPr>
        <w:t xml:space="preserve"> Includes controlled laboratory testing, user acceptance trials, benchmark comparisons with approved medical devices, and ongoing risk assessment. Clinical trials generate evidence required for UKCA classification.</w:t>
      </w:r>
    </w:p>
    <w:p w14:paraId="49110084" w14:textId="77777777" w:rsidR="00946C14" w:rsidRPr="00946C14" w:rsidRDefault="00946C14" w:rsidP="00E3213D">
      <w:pPr>
        <w:numPr>
          <w:ilvl w:val="0"/>
          <w:numId w:val="67"/>
        </w:numPr>
        <w:spacing w:line="360" w:lineRule="auto"/>
        <w:jc w:val="both"/>
        <w:rPr>
          <w:rFonts w:ascii="Arial" w:hAnsi="Arial" w:cs="Arial"/>
          <w:sz w:val="22"/>
          <w:szCs w:val="22"/>
        </w:rPr>
      </w:pPr>
      <w:r w:rsidRPr="00946C14">
        <w:rPr>
          <w:rFonts w:ascii="Arial" w:hAnsi="Arial" w:cs="Arial"/>
          <w:b/>
          <w:bCs/>
          <w:sz w:val="22"/>
          <w:szCs w:val="22"/>
        </w:rPr>
        <w:t>Regulatory Approval:</w:t>
      </w:r>
      <w:r w:rsidRPr="00946C14">
        <w:rPr>
          <w:rFonts w:ascii="Arial" w:hAnsi="Arial" w:cs="Arial"/>
          <w:sz w:val="22"/>
          <w:szCs w:val="22"/>
        </w:rPr>
        <w:t xml:space="preserve"> A comprehensive stage that requires producing technical files, safety documentation, labelling compliance, cybersecurity validation, post</w:t>
      </w:r>
      <w:r w:rsidRPr="00946C14">
        <w:rPr>
          <w:rFonts w:ascii="Arial" w:hAnsi="Arial" w:cs="Arial"/>
          <w:sz w:val="22"/>
          <w:szCs w:val="22"/>
        </w:rPr>
        <w:noBreakHyphen/>
        <w:t>market surveillance plans, and quality management system alignment.</w:t>
      </w:r>
    </w:p>
    <w:p w14:paraId="2C4DAE02" w14:textId="77777777" w:rsidR="00946C14" w:rsidRPr="00946C14" w:rsidRDefault="00946C14" w:rsidP="00E3213D">
      <w:pPr>
        <w:numPr>
          <w:ilvl w:val="0"/>
          <w:numId w:val="67"/>
        </w:numPr>
        <w:spacing w:line="360" w:lineRule="auto"/>
        <w:jc w:val="both"/>
        <w:rPr>
          <w:rFonts w:ascii="Arial" w:hAnsi="Arial" w:cs="Arial"/>
          <w:sz w:val="22"/>
          <w:szCs w:val="22"/>
        </w:rPr>
      </w:pPr>
      <w:r w:rsidRPr="00946C14">
        <w:rPr>
          <w:rFonts w:ascii="Arial" w:hAnsi="Arial" w:cs="Arial"/>
          <w:b/>
          <w:bCs/>
          <w:sz w:val="22"/>
          <w:szCs w:val="22"/>
        </w:rPr>
        <w:t>Marketing and Launch:</w:t>
      </w:r>
      <w:r w:rsidRPr="00946C14">
        <w:rPr>
          <w:rFonts w:ascii="Arial" w:hAnsi="Arial" w:cs="Arial"/>
          <w:sz w:val="22"/>
          <w:szCs w:val="22"/>
        </w:rPr>
        <w:t xml:space="preserve"> Combines digital marketing, retailer negotiations, clinician outreach campaigns, training for customer support teams, product education materials, and launch</w:t>
      </w:r>
      <w:r w:rsidRPr="00946C14">
        <w:rPr>
          <w:rFonts w:ascii="Arial" w:hAnsi="Arial" w:cs="Arial"/>
          <w:sz w:val="22"/>
          <w:szCs w:val="22"/>
        </w:rPr>
        <w:noBreakHyphen/>
        <w:t>day logistics.</w:t>
      </w:r>
    </w:p>
    <w:p w14:paraId="3B194557" w14:textId="18199AA5"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Project Manager Responsibilities</w:t>
      </w:r>
    </w:p>
    <w:p w14:paraId="5385E070" w14:textId="294E6A22"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As project manager, the central coordinator responsible for:</w:t>
      </w:r>
    </w:p>
    <w:p w14:paraId="52000D9D" w14:textId="77777777" w:rsidR="00946C14" w:rsidRPr="00946C14" w:rsidRDefault="00946C14" w:rsidP="00E3213D">
      <w:pPr>
        <w:numPr>
          <w:ilvl w:val="0"/>
          <w:numId w:val="68"/>
        </w:numPr>
        <w:spacing w:line="360" w:lineRule="auto"/>
        <w:jc w:val="both"/>
        <w:rPr>
          <w:rFonts w:ascii="Arial" w:hAnsi="Arial" w:cs="Arial"/>
          <w:sz w:val="22"/>
          <w:szCs w:val="22"/>
        </w:rPr>
      </w:pPr>
      <w:r w:rsidRPr="00946C14">
        <w:rPr>
          <w:rFonts w:ascii="Arial" w:hAnsi="Arial" w:cs="Arial"/>
          <w:sz w:val="22"/>
          <w:szCs w:val="22"/>
        </w:rPr>
        <w:t>Maintaining cross</w:t>
      </w:r>
      <w:r w:rsidRPr="00946C14">
        <w:rPr>
          <w:rFonts w:ascii="Arial" w:hAnsi="Arial" w:cs="Arial"/>
          <w:sz w:val="22"/>
          <w:szCs w:val="22"/>
        </w:rPr>
        <w:noBreakHyphen/>
        <w:t>departmental alignment and communication.</w:t>
      </w:r>
    </w:p>
    <w:p w14:paraId="67173393" w14:textId="77777777" w:rsidR="00946C14" w:rsidRPr="00946C14" w:rsidRDefault="00946C14" w:rsidP="00E3213D">
      <w:pPr>
        <w:numPr>
          <w:ilvl w:val="0"/>
          <w:numId w:val="68"/>
        </w:numPr>
        <w:spacing w:line="360" w:lineRule="auto"/>
        <w:jc w:val="both"/>
        <w:rPr>
          <w:rFonts w:ascii="Arial" w:hAnsi="Arial" w:cs="Arial"/>
          <w:sz w:val="22"/>
          <w:szCs w:val="22"/>
        </w:rPr>
      </w:pPr>
      <w:r w:rsidRPr="00946C14">
        <w:rPr>
          <w:rFonts w:ascii="Arial" w:hAnsi="Arial" w:cs="Arial"/>
          <w:sz w:val="22"/>
          <w:szCs w:val="22"/>
        </w:rPr>
        <w:t>Managing dependencies across engineering, clinical testing, and regulatory processes.</w:t>
      </w:r>
    </w:p>
    <w:p w14:paraId="00226BB1" w14:textId="77777777" w:rsidR="00946C14" w:rsidRPr="00946C14" w:rsidRDefault="00946C14" w:rsidP="00E3213D">
      <w:pPr>
        <w:numPr>
          <w:ilvl w:val="0"/>
          <w:numId w:val="68"/>
        </w:numPr>
        <w:spacing w:line="360" w:lineRule="auto"/>
        <w:jc w:val="both"/>
        <w:rPr>
          <w:rFonts w:ascii="Arial" w:hAnsi="Arial" w:cs="Arial"/>
          <w:sz w:val="22"/>
          <w:szCs w:val="22"/>
        </w:rPr>
      </w:pPr>
      <w:r w:rsidRPr="00946C14">
        <w:rPr>
          <w:rFonts w:ascii="Arial" w:hAnsi="Arial" w:cs="Arial"/>
          <w:sz w:val="22"/>
          <w:szCs w:val="22"/>
        </w:rPr>
        <w:t>Escalating risks and introducing mitigation strategies.</w:t>
      </w:r>
    </w:p>
    <w:p w14:paraId="438A1E3F" w14:textId="77777777" w:rsidR="00946C14" w:rsidRPr="00946C14" w:rsidRDefault="00946C14" w:rsidP="00E3213D">
      <w:pPr>
        <w:numPr>
          <w:ilvl w:val="0"/>
          <w:numId w:val="68"/>
        </w:numPr>
        <w:spacing w:line="360" w:lineRule="auto"/>
        <w:jc w:val="both"/>
        <w:rPr>
          <w:rFonts w:ascii="Arial" w:hAnsi="Arial" w:cs="Arial"/>
          <w:sz w:val="22"/>
          <w:szCs w:val="22"/>
        </w:rPr>
      </w:pPr>
      <w:r w:rsidRPr="00946C14">
        <w:rPr>
          <w:rFonts w:ascii="Arial" w:hAnsi="Arial" w:cs="Arial"/>
          <w:sz w:val="22"/>
          <w:szCs w:val="22"/>
        </w:rPr>
        <w:t>Ensuring budget discipline and resource allocation.</w:t>
      </w:r>
    </w:p>
    <w:p w14:paraId="24B73287" w14:textId="77777777" w:rsidR="00946C14" w:rsidRPr="00946C14" w:rsidRDefault="00946C14" w:rsidP="00E3213D">
      <w:pPr>
        <w:numPr>
          <w:ilvl w:val="0"/>
          <w:numId w:val="68"/>
        </w:numPr>
        <w:spacing w:line="360" w:lineRule="auto"/>
        <w:jc w:val="both"/>
        <w:rPr>
          <w:rFonts w:ascii="Arial" w:hAnsi="Arial" w:cs="Arial"/>
          <w:sz w:val="22"/>
          <w:szCs w:val="22"/>
        </w:rPr>
      </w:pPr>
      <w:r w:rsidRPr="00946C14">
        <w:rPr>
          <w:rFonts w:ascii="Arial" w:hAnsi="Arial" w:cs="Arial"/>
          <w:sz w:val="22"/>
          <w:szCs w:val="22"/>
        </w:rPr>
        <w:lastRenderedPageBreak/>
        <w:t>Facilitating stakeholder engagement workshops and conflict</w:t>
      </w:r>
      <w:r w:rsidRPr="00946C14">
        <w:rPr>
          <w:rFonts w:ascii="Arial" w:hAnsi="Arial" w:cs="Arial"/>
          <w:sz w:val="22"/>
          <w:szCs w:val="22"/>
        </w:rPr>
        <w:noBreakHyphen/>
        <w:t>resolution sessions.</w:t>
      </w:r>
    </w:p>
    <w:p w14:paraId="231A2C87" w14:textId="77777777" w:rsidR="00946C14" w:rsidRPr="00946C14" w:rsidRDefault="00946C14" w:rsidP="00E3213D">
      <w:pPr>
        <w:numPr>
          <w:ilvl w:val="0"/>
          <w:numId w:val="68"/>
        </w:numPr>
        <w:spacing w:line="360" w:lineRule="auto"/>
        <w:jc w:val="both"/>
        <w:rPr>
          <w:rFonts w:ascii="Arial" w:hAnsi="Arial" w:cs="Arial"/>
          <w:sz w:val="22"/>
          <w:szCs w:val="22"/>
        </w:rPr>
      </w:pPr>
      <w:r w:rsidRPr="00946C14">
        <w:rPr>
          <w:rFonts w:ascii="Arial" w:hAnsi="Arial" w:cs="Arial"/>
          <w:sz w:val="22"/>
          <w:szCs w:val="22"/>
        </w:rPr>
        <w:t>Tracking progress using PM tools (Gantt charts, Kanban boards, RACI matrix).</w:t>
      </w:r>
    </w:p>
    <w:p w14:paraId="3E2AF575"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This holistic, structured approach strengthens accountability and increases the likelihood of delivering </w:t>
      </w:r>
      <w:proofErr w:type="spellStart"/>
      <w:r w:rsidRPr="00946C14">
        <w:rPr>
          <w:rFonts w:ascii="Arial" w:hAnsi="Arial" w:cs="Arial"/>
          <w:sz w:val="22"/>
          <w:szCs w:val="22"/>
        </w:rPr>
        <w:t>OmniWatch</w:t>
      </w:r>
      <w:proofErr w:type="spellEnd"/>
      <w:r w:rsidRPr="00946C14">
        <w:rPr>
          <w:rFonts w:ascii="Arial" w:hAnsi="Arial" w:cs="Arial"/>
          <w:sz w:val="22"/>
          <w:szCs w:val="22"/>
        </w:rPr>
        <w:t xml:space="preserve"> within the six</w:t>
      </w:r>
      <w:r w:rsidRPr="00946C14">
        <w:rPr>
          <w:rFonts w:ascii="Arial" w:hAnsi="Arial" w:cs="Arial"/>
          <w:sz w:val="22"/>
          <w:szCs w:val="22"/>
        </w:rPr>
        <w:noBreakHyphen/>
        <w:t>month target timeline.</w:t>
      </w:r>
    </w:p>
    <w:p w14:paraId="11176F1C"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pict w14:anchorId="41C08832">
          <v:rect id="_x0000_i1322" style="width:0;height:1.5pt" o:hralign="center" o:hrstd="t" o:hr="t" fillcolor="#a0a0a0" stroked="f"/>
        </w:pict>
      </w:r>
    </w:p>
    <w:p w14:paraId="4B0E4456"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3. Situational Analysis</w:t>
      </w:r>
    </w:p>
    <w:p w14:paraId="7D6075CC"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A comprehensive situational analysis is essential for understanding the internal and external factors that influence the </w:t>
      </w:r>
      <w:proofErr w:type="spellStart"/>
      <w:r w:rsidRPr="00946C14">
        <w:rPr>
          <w:rFonts w:ascii="Arial" w:hAnsi="Arial" w:cs="Arial"/>
          <w:sz w:val="22"/>
          <w:szCs w:val="22"/>
        </w:rPr>
        <w:t>OmniWatch</w:t>
      </w:r>
      <w:proofErr w:type="spellEnd"/>
      <w:r w:rsidRPr="00946C14">
        <w:rPr>
          <w:rFonts w:ascii="Arial" w:hAnsi="Arial" w:cs="Arial"/>
          <w:sz w:val="22"/>
          <w:szCs w:val="22"/>
        </w:rPr>
        <w:t xml:space="preserve"> project. By applying strategic analytical tools such as SWOT, PESTLE and SMART frameworks, the project team gains a clearer picture of opportunities, risks, and strategic priorities.</w:t>
      </w:r>
    </w:p>
    <w:p w14:paraId="78941C26" w14:textId="77777777" w:rsidR="00946C14" w:rsidRPr="00946C14" w:rsidRDefault="00946C14" w:rsidP="00946C14">
      <w:pPr>
        <w:spacing w:line="360" w:lineRule="auto"/>
        <w:rPr>
          <w:rFonts w:ascii="Arial" w:hAnsi="Arial" w:cs="Arial"/>
          <w:b/>
          <w:bCs/>
          <w:sz w:val="22"/>
          <w:szCs w:val="22"/>
        </w:rPr>
      </w:pPr>
      <w:r w:rsidRPr="00946C14">
        <w:rPr>
          <w:rFonts w:ascii="Arial" w:hAnsi="Arial" w:cs="Arial"/>
          <w:b/>
          <w:bCs/>
          <w:sz w:val="22"/>
          <w:szCs w:val="22"/>
        </w:rPr>
        <w:t>3.1 SWOT Analysis</w:t>
      </w:r>
    </w:p>
    <w:tbl>
      <w:tblPr>
        <w:tblW w:w="9209"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31"/>
        <w:gridCol w:w="4678"/>
      </w:tblGrid>
      <w:tr w:rsidR="00946C14" w:rsidRPr="00946C14" w14:paraId="7E8E5DD9" w14:textId="77777777" w:rsidTr="00946C14">
        <w:trPr>
          <w:tblCellSpacing w:w="15" w:type="dxa"/>
        </w:trPr>
        <w:tc>
          <w:tcPr>
            <w:tcW w:w="4486" w:type="dxa"/>
            <w:shd w:val="clear" w:color="auto" w:fill="E8E8E8" w:themeFill="background2"/>
            <w:vAlign w:val="center"/>
            <w:hideMark/>
          </w:tcPr>
          <w:p w14:paraId="6508E68C" w14:textId="77777777" w:rsidR="00946C14" w:rsidRPr="00946C14" w:rsidRDefault="00946C14" w:rsidP="00946C14">
            <w:pPr>
              <w:spacing w:line="360" w:lineRule="auto"/>
              <w:rPr>
                <w:rFonts w:ascii="Arial" w:hAnsi="Arial" w:cs="Arial"/>
                <w:b/>
                <w:bCs/>
                <w:sz w:val="22"/>
                <w:szCs w:val="22"/>
              </w:rPr>
            </w:pPr>
            <w:r w:rsidRPr="00946C14">
              <w:rPr>
                <w:rFonts w:ascii="Arial" w:hAnsi="Arial" w:cs="Arial"/>
                <w:b/>
                <w:bCs/>
                <w:sz w:val="22"/>
                <w:szCs w:val="22"/>
              </w:rPr>
              <w:t>Strengths</w:t>
            </w:r>
          </w:p>
        </w:tc>
        <w:tc>
          <w:tcPr>
            <w:tcW w:w="4633" w:type="dxa"/>
            <w:shd w:val="clear" w:color="auto" w:fill="E8E8E8" w:themeFill="background2"/>
            <w:vAlign w:val="center"/>
            <w:hideMark/>
          </w:tcPr>
          <w:p w14:paraId="218175BB" w14:textId="77777777" w:rsidR="00946C14" w:rsidRPr="00946C14" w:rsidRDefault="00946C14" w:rsidP="00946C14">
            <w:pPr>
              <w:spacing w:line="360" w:lineRule="auto"/>
              <w:rPr>
                <w:rFonts w:ascii="Arial" w:hAnsi="Arial" w:cs="Arial"/>
                <w:b/>
                <w:bCs/>
                <w:sz w:val="22"/>
                <w:szCs w:val="22"/>
              </w:rPr>
            </w:pPr>
            <w:r w:rsidRPr="00946C14">
              <w:rPr>
                <w:rFonts w:ascii="Arial" w:hAnsi="Arial" w:cs="Arial"/>
                <w:b/>
                <w:bCs/>
                <w:sz w:val="22"/>
                <w:szCs w:val="22"/>
              </w:rPr>
              <w:t>Weaknesses</w:t>
            </w:r>
          </w:p>
        </w:tc>
      </w:tr>
      <w:tr w:rsidR="00946C14" w:rsidRPr="00946C14" w14:paraId="1524776F" w14:textId="77777777" w:rsidTr="00946C14">
        <w:trPr>
          <w:tblCellSpacing w:w="15" w:type="dxa"/>
        </w:trPr>
        <w:tc>
          <w:tcPr>
            <w:tcW w:w="4486" w:type="dxa"/>
            <w:vAlign w:val="center"/>
            <w:hideMark/>
          </w:tcPr>
          <w:p w14:paraId="36B342A5"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Strong clinical reputation</w:t>
            </w:r>
          </w:p>
        </w:tc>
        <w:tc>
          <w:tcPr>
            <w:tcW w:w="4633" w:type="dxa"/>
            <w:vAlign w:val="center"/>
            <w:hideMark/>
          </w:tcPr>
          <w:p w14:paraId="161094AD"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Limited mass-market appeal</w:t>
            </w:r>
          </w:p>
        </w:tc>
      </w:tr>
      <w:tr w:rsidR="00946C14" w:rsidRPr="00946C14" w14:paraId="0BB0ECEE" w14:textId="77777777" w:rsidTr="00946C14">
        <w:trPr>
          <w:tblCellSpacing w:w="15" w:type="dxa"/>
        </w:trPr>
        <w:tc>
          <w:tcPr>
            <w:tcW w:w="4486" w:type="dxa"/>
            <w:vAlign w:val="center"/>
            <w:hideMark/>
          </w:tcPr>
          <w:p w14:paraId="330694D9"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Robust R&amp;D and supplier network</w:t>
            </w:r>
          </w:p>
        </w:tc>
        <w:tc>
          <w:tcPr>
            <w:tcW w:w="4633" w:type="dxa"/>
            <w:vAlign w:val="center"/>
            <w:hideMark/>
          </w:tcPr>
          <w:p w14:paraId="1E89132A"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Long regulatory approval cycles</w:t>
            </w:r>
          </w:p>
        </w:tc>
      </w:tr>
      <w:tr w:rsidR="00946C14" w:rsidRPr="00946C14" w14:paraId="2AAEABBD" w14:textId="77777777" w:rsidTr="00946C14">
        <w:trPr>
          <w:tblCellSpacing w:w="15" w:type="dxa"/>
        </w:trPr>
        <w:tc>
          <w:tcPr>
            <w:tcW w:w="4486" w:type="dxa"/>
            <w:vAlign w:val="center"/>
            <w:hideMark/>
          </w:tcPr>
          <w:p w14:paraId="1D7E228E"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Established distribution channels</w:t>
            </w:r>
          </w:p>
        </w:tc>
        <w:tc>
          <w:tcPr>
            <w:tcW w:w="4633" w:type="dxa"/>
            <w:vAlign w:val="center"/>
            <w:hideMark/>
          </w:tcPr>
          <w:p w14:paraId="0B006EFE"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Conservative marketing approach</w:t>
            </w:r>
          </w:p>
        </w:tc>
      </w:tr>
      <w:tr w:rsidR="00946C14" w:rsidRPr="00946C14" w14:paraId="5D36466E" w14:textId="77777777" w:rsidTr="00946C14">
        <w:trPr>
          <w:tblCellSpacing w:w="15" w:type="dxa"/>
        </w:trPr>
        <w:tc>
          <w:tcPr>
            <w:tcW w:w="4486" w:type="dxa"/>
            <w:vAlign w:val="center"/>
            <w:hideMark/>
          </w:tcPr>
          <w:p w14:paraId="09FF449C"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Strong data accuracy credentials</w:t>
            </w:r>
          </w:p>
        </w:tc>
        <w:tc>
          <w:tcPr>
            <w:tcW w:w="4633" w:type="dxa"/>
            <w:vAlign w:val="center"/>
            <w:hideMark/>
          </w:tcPr>
          <w:p w14:paraId="20F7CB12"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Higher production costs</w:t>
            </w:r>
          </w:p>
        </w:tc>
      </w:tr>
    </w:tbl>
    <w:p w14:paraId="0638E273" w14:textId="77777777" w:rsidR="00946C14" w:rsidRPr="00946C14" w:rsidRDefault="00946C14" w:rsidP="00946C14">
      <w:pPr>
        <w:spacing w:line="360" w:lineRule="auto"/>
        <w:rPr>
          <w:rFonts w:ascii="Arial" w:hAnsi="Arial" w:cs="Arial"/>
          <w:vanish/>
          <w:sz w:val="22"/>
          <w:szCs w:val="22"/>
        </w:rPr>
      </w:pPr>
    </w:p>
    <w:tbl>
      <w:tblPr>
        <w:tblW w:w="9209"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82"/>
        <w:gridCol w:w="4627"/>
      </w:tblGrid>
      <w:tr w:rsidR="00946C14" w:rsidRPr="00946C14" w14:paraId="1124598A" w14:textId="77777777" w:rsidTr="00946C14">
        <w:trPr>
          <w:tblCellSpacing w:w="15" w:type="dxa"/>
        </w:trPr>
        <w:tc>
          <w:tcPr>
            <w:tcW w:w="4537" w:type="dxa"/>
            <w:shd w:val="clear" w:color="auto" w:fill="E8E8E8" w:themeFill="background2"/>
            <w:vAlign w:val="center"/>
            <w:hideMark/>
          </w:tcPr>
          <w:p w14:paraId="4F540C40" w14:textId="77777777" w:rsidR="00946C14" w:rsidRPr="00946C14" w:rsidRDefault="00946C14" w:rsidP="00946C14">
            <w:pPr>
              <w:spacing w:line="360" w:lineRule="auto"/>
              <w:rPr>
                <w:rFonts w:ascii="Arial" w:hAnsi="Arial" w:cs="Arial"/>
                <w:sz w:val="22"/>
                <w:szCs w:val="22"/>
              </w:rPr>
            </w:pPr>
            <w:r w:rsidRPr="00946C14">
              <w:rPr>
                <w:rFonts w:ascii="Arial" w:hAnsi="Arial" w:cs="Arial"/>
                <w:b/>
                <w:bCs/>
                <w:sz w:val="22"/>
                <w:szCs w:val="22"/>
              </w:rPr>
              <w:t>Opportunities</w:t>
            </w:r>
          </w:p>
        </w:tc>
        <w:tc>
          <w:tcPr>
            <w:tcW w:w="4582" w:type="dxa"/>
            <w:shd w:val="clear" w:color="auto" w:fill="E8E8E8" w:themeFill="background2"/>
            <w:vAlign w:val="center"/>
            <w:hideMark/>
          </w:tcPr>
          <w:p w14:paraId="6666CF1C" w14:textId="77777777" w:rsidR="00946C14" w:rsidRPr="00946C14" w:rsidRDefault="00946C14" w:rsidP="00946C14">
            <w:pPr>
              <w:spacing w:line="360" w:lineRule="auto"/>
              <w:rPr>
                <w:rFonts w:ascii="Arial" w:hAnsi="Arial" w:cs="Arial"/>
                <w:sz w:val="22"/>
                <w:szCs w:val="22"/>
              </w:rPr>
            </w:pPr>
            <w:r w:rsidRPr="00946C14">
              <w:rPr>
                <w:rFonts w:ascii="Arial" w:hAnsi="Arial" w:cs="Arial"/>
                <w:b/>
                <w:bCs/>
                <w:sz w:val="22"/>
                <w:szCs w:val="22"/>
              </w:rPr>
              <w:t>Threats</w:t>
            </w:r>
          </w:p>
        </w:tc>
      </w:tr>
      <w:tr w:rsidR="00946C14" w:rsidRPr="00946C14" w14:paraId="201CB671" w14:textId="77777777" w:rsidTr="00946C14">
        <w:trPr>
          <w:tblCellSpacing w:w="15" w:type="dxa"/>
        </w:trPr>
        <w:tc>
          <w:tcPr>
            <w:tcW w:w="4537" w:type="dxa"/>
            <w:vAlign w:val="center"/>
            <w:hideMark/>
          </w:tcPr>
          <w:p w14:paraId="3A8BB9FB"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Growth in wearable and remote health monitoring</w:t>
            </w:r>
          </w:p>
        </w:tc>
        <w:tc>
          <w:tcPr>
            <w:tcW w:w="4582" w:type="dxa"/>
            <w:vAlign w:val="center"/>
            <w:hideMark/>
          </w:tcPr>
          <w:p w14:paraId="1D6AAA87"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Intense competition from Apple, Fitbit, Samsung</w:t>
            </w:r>
          </w:p>
        </w:tc>
      </w:tr>
      <w:tr w:rsidR="00946C14" w:rsidRPr="00946C14" w14:paraId="1ED05638" w14:textId="77777777" w:rsidTr="00946C14">
        <w:trPr>
          <w:tblCellSpacing w:w="15" w:type="dxa"/>
        </w:trPr>
        <w:tc>
          <w:tcPr>
            <w:tcW w:w="4537" w:type="dxa"/>
            <w:vAlign w:val="center"/>
            <w:hideMark/>
          </w:tcPr>
          <w:p w14:paraId="088FC5C6"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Ageing population &amp; rise in chronic conditions</w:t>
            </w:r>
          </w:p>
        </w:tc>
        <w:tc>
          <w:tcPr>
            <w:tcW w:w="4582" w:type="dxa"/>
            <w:vAlign w:val="center"/>
            <w:hideMark/>
          </w:tcPr>
          <w:p w14:paraId="0EA303AA"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Data privacy and cybersecurity risks</w:t>
            </w:r>
          </w:p>
        </w:tc>
      </w:tr>
      <w:tr w:rsidR="00946C14" w:rsidRPr="00946C14" w14:paraId="4A8CA170" w14:textId="77777777" w:rsidTr="00946C14">
        <w:trPr>
          <w:tblCellSpacing w:w="15" w:type="dxa"/>
        </w:trPr>
        <w:tc>
          <w:tcPr>
            <w:tcW w:w="4537" w:type="dxa"/>
            <w:vAlign w:val="center"/>
            <w:hideMark/>
          </w:tcPr>
          <w:p w14:paraId="3988646E"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AI-driven analytics and telehealth adoption</w:t>
            </w:r>
          </w:p>
        </w:tc>
        <w:tc>
          <w:tcPr>
            <w:tcW w:w="4582" w:type="dxa"/>
            <w:vAlign w:val="center"/>
            <w:hideMark/>
          </w:tcPr>
          <w:p w14:paraId="4081B1BE"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Supply chain disruptions &amp; fast tech cycles</w:t>
            </w:r>
          </w:p>
        </w:tc>
      </w:tr>
      <w:tr w:rsidR="00946C14" w:rsidRPr="00946C14" w14:paraId="0C3A972E" w14:textId="77777777" w:rsidTr="00946C14">
        <w:trPr>
          <w:tblCellSpacing w:w="15" w:type="dxa"/>
        </w:trPr>
        <w:tc>
          <w:tcPr>
            <w:tcW w:w="4537" w:type="dxa"/>
            <w:vAlign w:val="center"/>
            <w:hideMark/>
          </w:tcPr>
          <w:p w14:paraId="101A103F"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Growing NHS interest in remote monitoring</w:t>
            </w:r>
          </w:p>
        </w:tc>
        <w:tc>
          <w:tcPr>
            <w:tcW w:w="4582" w:type="dxa"/>
            <w:vAlign w:val="center"/>
            <w:hideMark/>
          </w:tcPr>
          <w:p w14:paraId="52EDEA19"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Regulatory changes</w:t>
            </w:r>
          </w:p>
        </w:tc>
      </w:tr>
    </w:tbl>
    <w:p w14:paraId="7169F67E" w14:textId="77777777" w:rsidR="00946C14" w:rsidRDefault="00946C14" w:rsidP="00946C14">
      <w:pPr>
        <w:spacing w:line="360" w:lineRule="auto"/>
        <w:rPr>
          <w:rFonts w:ascii="Arial" w:hAnsi="Arial" w:cs="Arial"/>
          <w:b/>
          <w:bCs/>
          <w:sz w:val="22"/>
          <w:szCs w:val="22"/>
        </w:rPr>
      </w:pPr>
    </w:p>
    <w:p w14:paraId="41262914" w14:textId="77777777" w:rsidR="00E3213D" w:rsidRDefault="00E3213D" w:rsidP="00946C14">
      <w:pPr>
        <w:spacing w:line="360" w:lineRule="auto"/>
        <w:rPr>
          <w:rFonts w:ascii="Arial" w:hAnsi="Arial" w:cs="Arial"/>
          <w:b/>
          <w:bCs/>
          <w:sz w:val="22"/>
          <w:szCs w:val="22"/>
        </w:rPr>
      </w:pPr>
    </w:p>
    <w:p w14:paraId="33BFA96E" w14:textId="77777777" w:rsidR="00E3213D" w:rsidRDefault="00E3213D" w:rsidP="00946C14">
      <w:pPr>
        <w:spacing w:line="360" w:lineRule="auto"/>
        <w:rPr>
          <w:rFonts w:ascii="Arial" w:hAnsi="Arial" w:cs="Arial"/>
          <w:b/>
          <w:bCs/>
          <w:sz w:val="22"/>
          <w:szCs w:val="22"/>
        </w:rPr>
      </w:pPr>
    </w:p>
    <w:p w14:paraId="074AA0CE" w14:textId="77777777" w:rsidR="00E3213D" w:rsidRDefault="00E3213D" w:rsidP="00946C14">
      <w:pPr>
        <w:spacing w:line="360" w:lineRule="auto"/>
        <w:rPr>
          <w:rFonts w:ascii="Arial" w:hAnsi="Arial" w:cs="Arial"/>
          <w:b/>
          <w:bCs/>
          <w:sz w:val="22"/>
          <w:szCs w:val="22"/>
        </w:rPr>
      </w:pPr>
    </w:p>
    <w:p w14:paraId="3EC667DF" w14:textId="5AD3B81A" w:rsidR="00946C14" w:rsidRPr="00946C14" w:rsidRDefault="00946C14" w:rsidP="00946C14">
      <w:pPr>
        <w:spacing w:line="360" w:lineRule="auto"/>
        <w:rPr>
          <w:rFonts w:ascii="Arial" w:hAnsi="Arial" w:cs="Arial"/>
          <w:b/>
          <w:bCs/>
          <w:sz w:val="22"/>
          <w:szCs w:val="22"/>
        </w:rPr>
      </w:pPr>
      <w:r w:rsidRPr="00946C14">
        <w:rPr>
          <w:rFonts w:ascii="Arial" w:hAnsi="Arial" w:cs="Arial"/>
          <w:b/>
          <w:bCs/>
          <w:sz w:val="22"/>
          <w:szCs w:val="22"/>
        </w:rPr>
        <w:lastRenderedPageBreak/>
        <w:t>SWOT Discussion</w:t>
      </w:r>
    </w:p>
    <w:p w14:paraId="5C8BBDA3"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OMRON’s key strength lies in its long-standing clinical credibility. This differentiates </w:t>
      </w:r>
      <w:proofErr w:type="spellStart"/>
      <w:r w:rsidRPr="00946C14">
        <w:rPr>
          <w:rFonts w:ascii="Arial" w:hAnsi="Arial" w:cs="Arial"/>
          <w:sz w:val="22"/>
          <w:szCs w:val="22"/>
        </w:rPr>
        <w:t>OmniWatch</w:t>
      </w:r>
      <w:proofErr w:type="spellEnd"/>
      <w:r w:rsidRPr="00946C14">
        <w:rPr>
          <w:rFonts w:ascii="Arial" w:hAnsi="Arial" w:cs="Arial"/>
          <w:sz w:val="22"/>
          <w:szCs w:val="22"/>
        </w:rPr>
        <w:t xml:space="preserve"> from consumer-focused competitors whose products may prioritise lifestyle features over medical validity. OMRON’s strong supplier network and established relationships with major retailers streamline market entry.</w:t>
      </w:r>
    </w:p>
    <w:p w14:paraId="77F6F811"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However, the company has a weaker position in lifestyle branding, making it less appealing to trend-driven consumer segments. Regulatory demands also increase development timelines and costs.</w:t>
      </w:r>
    </w:p>
    <w:p w14:paraId="5897ACEB"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Opportunities arise from a strong societal shift toward preventive care and chronic disease management. The NHS’s support for digital monitoring enhances opportunities for B2B partnerships. At the same time, threats from fast-moving competitors and cybersecurity challenges require proactive mitigation.</w:t>
      </w:r>
    </w:p>
    <w:p w14:paraId="4DD1A03E" w14:textId="77777777" w:rsidR="00946C14" w:rsidRPr="00946C14" w:rsidRDefault="00946C14" w:rsidP="00946C14">
      <w:pPr>
        <w:spacing w:line="360" w:lineRule="auto"/>
        <w:rPr>
          <w:rFonts w:ascii="Arial" w:hAnsi="Arial" w:cs="Arial"/>
          <w:b/>
          <w:bCs/>
          <w:sz w:val="22"/>
          <w:szCs w:val="22"/>
        </w:rPr>
      </w:pPr>
      <w:r w:rsidRPr="00946C14">
        <w:rPr>
          <w:rFonts w:ascii="Arial" w:hAnsi="Arial" w:cs="Arial"/>
          <w:b/>
          <w:bCs/>
          <w:sz w:val="22"/>
          <w:szCs w:val="22"/>
        </w:rPr>
        <w:t>3.2 PESTLE Analysis</w:t>
      </w:r>
    </w:p>
    <w:tbl>
      <w:tblPr>
        <w:tblW w:w="906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85"/>
        <w:gridCol w:w="7382"/>
      </w:tblGrid>
      <w:tr w:rsidR="00946C14" w:rsidRPr="00946C14" w14:paraId="42D0C13C" w14:textId="77777777" w:rsidTr="00E3213D">
        <w:trPr>
          <w:tblCellSpacing w:w="15" w:type="dxa"/>
        </w:trPr>
        <w:tc>
          <w:tcPr>
            <w:tcW w:w="0" w:type="auto"/>
            <w:shd w:val="clear" w:color="auto" w:fill="E8E8E8" w:themeFill="background2"/>
            <w:vAlign w:val="center"/>
            <w:hideMark/>
          </w:tcPr>
          <w:p w14:paraId="7DFD4170" w14:textId="77777777" w:rsidR="00946C14" w:rsidRPr="00946C14" w:rsidRDefault="00946C14" w:rsidP="00946C14">
            <w:pPr>
              <w:spacing w:line="360" w:lineRule="auto"/>
              <w:rPr>
                <w:rFonts w:ascii="Arial" w:hAnsi="Arial" w:cs="Arial"/>
                <w:sz w:val="22"/>
                <w:szCs w:val="22"/>
              </w:rPr>
            </w:pPr>
            <w:r w:rsidRPr="00946C14">
              <w:rPr>
                <w:rFonts w:ascii="Arial" w:hAnsi="Arial" w:cs="Arial"/>
                <w:b/>
                <w:bCs/>
                <w:sz w:val="22"/>
                <w:szCs w:val="22"/>
              </w:rPr>
              <w:t>PESTLE Factor</w:t>
            </w:r>
          </w:p>
        </w:tc>
        <w:tc>
          <w:tcPr>
            <w:tcW w:w="7337" w:type="dxa"/>
            <w:shd w:val="clear" w:color="auto" w:fill="E8E8E8" w:themeFill="background2"/>
            <w:vAlign w:val="center"/>
            <w:hideMark/>
          </w:tcPr>
          <w:p w14:paraId="77C45A7F" w14:textId="77777777" w:rsidR="00946C14" w:rsidRPr="00946C14" w:rsidRDefault="00946C14" w:rsidP="00946C14">
            <w:pPr>
              <w:spacing w:line="360" w:lineRule="auto"/>
              <w:rPr>
                <w:rFonts w:ascii="Arial" w:hAnsi="Arial" w:cs="Arial"/>
                <w:sz w:val="22"/>
                <w:szCs w:val="22"/>
              </w:rPr>
            </w:pPr>
            <w:r w:rsidRPr="00946C14">
              <w:rPr>
                <w:rFonts w:ascii="Arial" w:hAnsi="Arial" w:cs="Arial"/>
                <w:b/>
                <w:bCs/>
                <w:sz w:val="22"/>
                <w:szCs w:val="22"/>
              </w:rPr>
              <w:t>Key Insights</w:t>
            </w:r>
          </w:p>
        </w:tc>
      </w:tr>
      <w:tr w:rsidR="00946C14" w:rsidRPr="00946C14" w14:paraId="7D3D13D7" w14:textId="77777777" w:rsidTr="00E3213D">
        <w:trPr>
          <w:tblCellSpacing w:w="15" w:type="dxa"/>
        </w:trPr>
        <w:tc>
          <w:tcPr>
            <w:tcW w:w="0" w:type="auto"/>
            <w:vAlign w:val="center"/>
            <w:hideMark/>
          </w:tcPr>
          <w:p w14:paraId="5D91E174" w14:textId="77777777" w:rsidR="00946C14" w:rsidRPr="00946C14" w:rsidRDefault="00946C14" w:rsidP="00946C14">
            <w:pPr>
              <w:spacing w:line="360" w:lineRule="auto"/>
              <w:rPr>
                <w:rFonts w:ascii="Arial" w:hAnsi="Arial" w:cs="Arial"/>
                <w:sz w:val="22"/>
                <w:szCs w:val="22"/>
              </w:rPr>
            </w:pPr>
            <w:r w:rsidRPr="00946C14">
              <w:rPr>
                <w:rFonts w:ascii="Arial" w:hAnsi="Arial" w:cs="Arial"/>
                <w:b/>
                <w:bCs/>
                <w:sz w:val="22"/>
                <w:szCs w:val="22"/>
              </w:rPr>
              <w:t>Political</w:t>
            </w:r>
          </w:p>
        </w:tc>
        <w:tc>
          <w:tcPr>
            <w:tcW w:w="7337" w:type="dxa"/>
            <w:vAlign w:val="center"/>
            <w:hideMark/>
          </w:tcPr>
          <w:p w14:paraId="408303FF"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NHS digitisation strategies; UKCA regulatory demands</w:t>
            </w:r>
          </w:p>
        </w:tc>
      </w:tr>
      <w:tr w:rsidR="00946C14" w:rsidRPr="00946C14" w14:paraId="70AA3BDB" w14:textId="77777777" w:rsidTr="00E3213D">
        <w:trPr>
          <w:tblCellSpacing w:w="15" w:type="dxa"/>
        </w:trPr>
        <w:tc>
          <w:tcPr>
            <w:tcW w:w="0" w:type="auto"/>
            <w:vAlign w:val="center"/>
            <w:hideMark/>
          </w:tcPr>
          <w:p w14:paraId="2B2F26E1" w14:textId="77777777" w:rsidR="00946C14" w:rsidRPr="00946C14" w:rsidRDefault="00946C14" w:rsidP="00946C14">
            <w:pPr>
              <w:spacing w:line="360" w:lineRule="auto"/>
              <w:rPr>
                <w:rFonts w:ascii="Arial" w:hAnsi="Arial" w:cs="Arial"/>
                <w:sz w:val="22"/>
                <w:szCs w:val="22"/>
              </w:rPr>
            </w:pPr>
            <w:r w:rsidRPr="00946C14">
              <w:rPr>
                <w:rFonts w:ascii="Arial" w:hAnsi="Arial" w:cs="Arial"/>
                <w:b/>
                <w:bCs/>
                <w:sz w:val="22"/>
                <w:szCs w:val="22"/>
              </w:rPr>
              <w:t>Economic</w:t>
            </w:r>
          </w:p>
        </w:tc>
        <w:tc>
          <w:tcPr>
            <w:tcW w:w="7337" w:type="dxa"/>
            <w:vAlign w:val="center"/>
            <w:hideMark/>
          </w:tcPr>
          <w:p w14:paraId="4AF33E4F"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Health tech resilience despite inflation; fluctuating production costs</w:t>
            </w:r>
          </w:p>
        </w:tc>
      </w:tr>
      <w:tr w:rsidR="00946C14" w:rsidRPr="00946C14" w14:paraId="5A073A90" w14:textId="77777777" w:rsidTr="00E3213D">
        <w:trPr>
          <w:tblCellSpacing w:w="15" w:type="dxa"/>
        </w:trPr>
        <w:tc>
          <w:tcPr>
            <w:tcW w:w="0" w:type="auto"/>
            <w:vAlign w:val="center"/>
            <w:hideMark/>
          </w:tcPr>
          <w:p w14:paraId="4DC7349F" w14:textId="77777777" w:rsidR="00946C14" w:rsidRPr="00946C14" w:rsidRDefault="00946C14" w:rsidP="00946C14">
            <w:pPr>
              <w:spacing w:line="360" w:lineRule="auto"/>
              <w:rPr>
                <w:rFonts w:ascii="Arial" w:hAnsi="Arial" w:cs="Arial"/>
                <w:sz w:val="22"/>
                <w:szCs w:val="22"/>
              </w:rPr>
            </w:pPr>
            <w:r w:rsidRPr="00946C14">
              <w:rPr>
                <w:rFonts w:ascii="Arial" w:hAnsi="Arial" w:cs="Arial"/>
                <w:b/>
                <w:bCs/>
                <w:sz w:val="22"/>
                <w:szCs w:val="22"/>
              </w:rPr>
              <w:t>Social</w:t>
            </w:r>
          </w:p>
        </w:tc>
        <w:tc>
          <w:tcPr>
            <w:tcW w:w="7337" w:type="dxa"/>
            <w:vAlign w:val="center"/>
            <w:hideMark/>
          </w:tcPr>
          <w:p w14:paraId="6E3A9F89"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Ageing population, lifestyle illnesses, rising preventive health culture</w:t>
            </w:r>
          </w:p>
        </w:tc>
      </w:tr>
      <w:tr w:rsidR="00946C14" w:rsidRPr="00946C14" w14:paraId="6FD69E0E" w14:textId="77777777" w:rsidTr="00E3213D">
        <w:trPr>
          <w:tblCellSpacing w:w="15" w:type="dxa"/>
        </w:trPr>
        <w:tc>
          <w:tcPr>
            <w:tcW w:w="0" w:type="auto"/>
            <w:vAlign w:val="center"/>
            <w:hideMark/>
          </w:tcPr>
          <w:p w14:paraId="625E8073" w14:textId="77777777" w:rsidR="00946C14" w:rsidRPr="00946C14" w:rsidRDefault="00946C14" w:rsidP="00946C14">
            <w:pPr>
              <w:spacing w:line="360" w:lineRule="auto"/>
              <w:rPr>
                <w:rFonts w:ascii="Arial" w:hAnsi="Arial" w:cs="Arial"/>
                <w:sz w:val="22"/>
                <w:szCs w:val="22"/>
              </w:rPr>
            </w:pPr>
            <w:r w:rsidRPr="00946C14">
              <w:rPr>
                <w:rFonts w:ascii="Arial" w:hAnsi="Arial" w:cs="Arial"/>
                <w:b/>
                <w:bCs/>
                <w:sz w:val="22"/>
                <w:szCs w:val="22"/>
              </w:rPr>
              <w:t>Technological</w:t>
            </w:r>
          </w:p>
        </w:tc>
        <w:tc>
          <w:tcPr>
            <w:tcW w:w="7337" w:type="dxa"/>
            <w:vAlign w:val="center"/>
            <w:hideMark/>
          </w:tcPr>
          <w:p w14:paraId="5E72A952"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Fast innovation cycles; IoT and AI integration; cybersecurity challenges</w:t>
            </w:r>
          </w:p>
        </w:tc>
      </w:tr>
      <w:tr w:rsidR="00946C14" w:rsidRPr="00946C14" w14:paraId="781048BC" w14:textId="77777777" w:rsidTr="00E3213D">
        <w:trPr>
          <w:tblCellSpacing w:w="15" w:type="dxa"/>
        </w:trPr>
        <w:tc>
          <w:tcPr>
            <w:tcW w:w="0" w:type="auto"/>
            <w:vAlign w:val="center"/>
            <w:hideMark/>
          </w:tcPr>
          <w:p w14:paraId="177A752D" w14:textId="77777777" w:rsidR="00946C14" w:rsidRPr="00946C14" w:rsidRDefault="00946C14" w:rsidP="00946C14">
            <w:pPr>
              <w:spacing w:line="360" w:lineRule="auto"/>
              <w:rPr>
                <w:rFonts w:ascii="Arial" w:hAnsi="Arial" w:cs="Arial"/>
                <w:sz w:val="22"/>
                <w:szCs w:val="22"/>
              </w:rPr>
            </w:pPr>
            <w:r w:rsidRPr="00946C14">
              <w:rPr>
                <w:rFonts w:ascii="Arial" w:hAnsi="Arial" w:cs="Arial"/>
                <w:b/>
                <w:bCs/>
                <w:sz w:val="22"/>
                <w:szCs w:val="22"/>
              </w:rPr>
              <w:t>Legal</w:t>
            </w:r>
          </w:p>
        </w:tc>
        <w:tc>
          <w:tcPr>
            <w:tcW w:w="7337" w:type="dxa"/>
            <w:vAlign w:val="center"/>
            <w:hideMark/>
          </w:tcPr>
          <w:p w14:paraId="4FEDFD03"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GDPR compliance; UKCA certification; data protection regulations</w:t>
            </w:r>
          </w:p>
        </w:tc>
      </w:tr>
      <w:tr w:rsidR="00946C14" w:rsidRPr="00946C14" w14:paraId="2F9FBC04" w14:textId="77777777" w:rsidTr="00E3213D">
        <w:trPr>
          <w:tblCellSpacing w:w="15" w:type="dxa"/>
        </w:trPr>
        <w:tc>
          <w:tcPr>
            <w:tcW w:w="0" w:type="auto"/>
            <w:vAlign w:val="center"/>
            <w:hideMark/>
          </w:tcPr>
          <w:p w14:paraId="23C33CAD" w14:textId="77777777" w:rsidR="00946C14" w:rsidRPr="00946C14" w:rsidRDefault="00946C14" w:rsidP="00946C14">
            <w:pPr>
              <w:spacing w:line="360" w:lineRule="auto"/>
              <w:rPr>
                <w:rFonts w:ascii="Arial" w:hAnsi="Arial" w:cs="Arial"/>
                <w:sz w:val="22"/>
                <w:szCs w:val="22"/>
              </w:rPr>
            </w:pPr>
            <w:r w:rsidRPr="00946C14">
              <w:rPr>
                <w:rFonts w:ascii="Arial" w:hAnsi="Arial" w:cs="Arial"/>
                <w:b/>
                <w:bCs/>
                <w:sz w:val="22"/>
                <w:szCs w:val="22"/>
              </w:rPr>
              <w:t>Environmental</w:t>
            </w:r>
          </w:p>
        </w:tc>
        <w:tc>
          <w:tcPr>
            <w:tcW w:w="7337" w:type="dxa"/>
            <w:vAlign w:val="center"/>
            <w:hideMark/>
          </w:tcPr>
          <w:p w14:paraId="13FB6D60"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Sustainable materials, ethical sourcing, e-waste reduction expectations</w:t>
            </w:r>
          </w:p>
        </w:tc>
      </w:tr>
    </w:tbl>
    <w:p w14:paraId="25D2D6DB" w14:textId="77777777" w:rsidR="00E3213D" w:rsidRDefault="00E3213D" w:rsidP="00946C14">
      <w:pPr>
        <w:spacing w:line="360" w:lineRule="auto"/>
        <w:rPr>
          <w:rFonts w:ascii="Arial" w:hAnsi="Arial" w:cs="Arial"/>
          <w:b/>
          <w:bCs/>
          <w:sz w:val="22"/>
          <w:szCs w:val="22"/>
        </w:rPr>
      </w:pPr>
    </w:p>
    <w:p w14:paraId="1DFCAB83" w14:textId="4030A911"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PESTLE Discussion</w:t>
      </w:r>
    </w:p>
    <w:p w14:paraId="014C9410"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Politically, UK health policy increasingly supports digital-first NHS initiatives. This creates favourable conditions for wearable adoption but requires strict compliance documentation.</w:t>
      </w:r>
    </w:p>
    <w:p w14:paraId="71D8EA9F"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Economically, despite inflation impacting consumer spending, healthcare devices remain resilient because they are viewed as essential investments. Nonetheless, supply chain instability can affect component pricing.</w:t>
      </w:r>
    </w:p>
    <w:p w14:paraId="29ADDA8A"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lastRenderedPageBreak/>
        <w:t>Socially, an ageing population and growing awareness of cardiovascular and respiratory conditions increase demand for accurate, easy-to-use devices. Younger consumers also show interest in self-monitoring.</w:t>
      </w:r>
    </w:p>
    <w:p w14:paraId="0DA59A0E"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Technologically, advancements in biosensors, AI-driven analytics, and cloud integration allow </w:t>
      </w:r>
      <w:proofErr w:type="spellStart"/>
      <w:r w:rsidRPr="00946C14">
        <w:rPr>
          <w:rFonts w:ascii="Arial" w:hAnsi="Arial" w:cs="Arial"/>
          <w:sz w:val="22"/>
          <w:szCs w:val="22"/>
        </w:rPr>
        <w:t>OmniWatch</w:t>
      </w:r>
      <w:proofErr w:type="spellEnd"/>
      <w:r w:rsidRPr="00946C14">
        <w:rPr>
          <w:rFonts w:ascii="Arial" w:hAnsi="Arial" w:cs="Arial"/>
          <w:sz w:val="22"/>
          <w:szCs w:val="22"/>
        </w:rPr>
        <w:t xml:space="preserve"> to deliver deeper insights. However, these advancements shorten product life cycles, requiring constant innovations.</w:t>
      </w:r>
    </w:p>
    <w:p w14:paraId="2513CE39"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Legal factors such as GDPR and medical device legislation impose significant responsibility on OMRON to implement robust cybersecurity and data governance.</w:t>
      </w:r>
    </w:p>
    <w:p w14:paraId="03DB30F6"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Environmentally, consumers expect sustainable packaging, efficient battery life, and responsible sourcing, which influence procurement decisions.</w:t>
      </w:r>
    </w:p>
    <w:p w14:paraId="0AF1EF17"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3.3 SMART Objectives</w:t>
      </w:r>
    </w:p>
    <w:p w14:paraId="7E6DEECA" w14:textId="77777777" w:rsidR="00946C14" w:rsidRPr="00946C14" w:rsidRDefault="00946C14" w:rsidP="00E3213D">
      <w:pPr>
        <w:numPr>
          <w:ilvl w:val="0"/>
          <w:numId w:val="69"/>
        </w:numPr>
        <w:spacing w:line="360" w:lineRule="auto"/>
        <w:jc w:val="both"/>
        <w:rPr>
          <w:rFonts w:ascii="Arial" w:hAnsi="Arial" w:cs="Arial"/>
          <w:sz w:val="22"/>
          <w:szCs w:val="22"/>
        </w:rPr>
      </w:pPr>
      <w:r w:rsidRPr="00946C14">
        <w:rPr>
          <w:rFonts w:ascii="Arial" w:hAnsi="Arial" w:cs="Arial"/>
          <w:b/>
          <w:bCs/>
          <w:sz w:val="22"/>
          <w:szCs w:val="22"/>
        </w:rPr>
        <w:t>Specific:</w:t>
      </w:r>
      <w:r w:rsidRPr="00946C14">
        <w:rPr>
          <w:rFonts w:ascii="Arial" w:hAnsi="Arial" w:cs="Arial"/>
          <w:sz w:val="22"/>
          <w:szCs w:val="22"/>
        </w:rPr>
        <w:t xml:space="preserve"> Launch </w:t>
      </w:r>
      <w:proofErr w:type="spellStart"/>
      <w:r w:rsidRPr="00946C14">
        <w:rPr>
          <w:rFonts w:ascii="Arial" w:hAnsi="Arial" w:cs="Arial"/>
          <w:sz w:val="22"/>
          <w:szCs w:val="22"/>
        </w:rPr>
        <w:t>OmniWatch</w:t>
      </w:r>
      <w:proofErr w:type="spellEnd"/>
      <w:r w:rsidRPr="00946C14">
        <w:rPr>
          <w:rFonts w:ascii="Arial" w:hAnsi="Arial" w:cs="Arial"/>
          <w:sz w:val="22"/>
          <w:szCs w:val="22"/>
        </w:rPr>
        <w:t xml:space="preserve"> with clinically validated accuracy, fully integrated with OMRON Connect.</w:t>
      </w:r>
    </w:p>
    <w:p w14:paraId="5A6EA661" w14:textId="77777777" w:rsidR="00946C14" w:rsidRPr="00946C14" w:rsidRDefault="00946C14" w:rsidP="00E3213D">
      <w:pPr>
        <w:numPr>
          <w:ilvl w:val="0"/>
          <w:numId w:val="69"/>
        </w:numPr>
        <w:spacing w:line="360" w:lineRule="auto"/>
        <w:jc w:val="both"/>
        <w:rPr>
          <w:rFonts w:ascii="Arial" w:hAnsi="Arial" w:cs="Arial"/>
          <w:sz w:val="22"/>
          <w:szCs w:val="22"/>
        </w:rPr>
      </w:pPr>
      <w:r w:rsidRPr="00946C14">
        <w:rPr>
          <w:rFonts w:ascii="Arial" w:hAnsi="Arial" w:cs="Arial"/>
          <w:b/>
          <w:bCs/>
          <w:sz w:val="22"/>
          <w:szCs w:val="22"/>
        </w:rPr>
        <w:t>Measurable:</w:t>
      </w:r>
      <w:r w:rsidRPr="00946C14">
        <w:rPr>
          <w:rFonts w:ascii="Arial" w:hAnsi="Arial" w:cs="Arial"/>
          <w:sz w:val="22"/>
          <w:szCs w:val="22"/>
        </w:rPr>
        <w:t xml:space="preserve"> Achieve at least 50,000 sales and secure three retail partnerships within six months.</w:t>
      </w:r>
    </w:p>
    <w:p w14:paraId="61F1BFC3" w14:textId="77777777" w:rsidR="00946C14" w:rsidRPr="00946C14" w:rsidRDefault="00946C14" w:rsidP="00E3213D">
      <w:pPr>
        <w:numPr>
          <w:ilvl w:val="0"/>
          <w:numId w:val="69"/>
        </w:numPr>
        <w:spacing w:line="360" w:lineRule="auto"/>
        <w:jc w:val="both"/>
        <w:rPr>
          <w:rFonts w:ascii="Arial" w:hAnsi="Arial" w:cs="Arial"/>
          <w:sz w:val="22"/>
          <w:szCs w:val="22"/>
        </w:rPr>
      </w:pPr>
      <w:r w:rsidRPr="00946C14">
        <w:rPr>
          <w:rFonts w:ascii="Arial" w:hAnsi="Arial" w:cs="Arial"/>
          <w:b/>
          <w:bCs/>
          <w:sz w:val="22"/>
          <w:szCs w:val="22"/>
        </w:rPr>
        <w:t>Achievable:</w:t>
      </w:r>
      <w:r w:rsidRPr="00946C14">
        <w:rPr>
          <w:rFonts w:ascii="Arial" w:hAnsi="Arial" w:cs="Arial"/>
          <w:sz w:val="22"/>
          <w:szCs w:val="22"/>
        </w:rPr>
        <w:t xml:space="preserve"> Supported by established R&amp;D expertise, cloud infrastructure, and supplier networks.</w:t>
      </w:r>
    </w:p>
    <w:p w14:paraId="12568498" w14:textId="77777777" w:rsidR="00946C14" w:rsidRPr="00946C14" w:rsidRDefault="00946C14" w:rsidP="00E3213D">
      <w:pPr>
        <w:numPr>
          <w:ilvl w:val="0"/>
          <w:numId w:val="69"/>
        </w:numPr>
        <w:spacing w:line="360" w:lineRule="auto"/>
        <w:jc w:val="both"/>
        <w:rPr>
          <w:rFonts w:ascii="Arial" w:hAnsi="Arial" w:cs="Arial"/>
          <w:sz w:val="22"/>
          <w:szCs w:val="22"/>
        </w:rPr>
      </w:pPr>
      <w:r w:rsidRPr="00946C14">
        <w:rPr>
          <w:rFonts w:ascii="Arial" w:hAnsi="Arial" w:cs="Arial"/>
          <w:b/>
          <w:bCs/>
          <w:sz w:val="22"/>
          <w:szCs w:val="22"/>
        </w:rPr>
        <w:t>Relevant:</w:t>
      </w:r>
      <w:r w:rsidRPr="00946C14">
        <w:rPr>
          <w:rFonts w:ascii="Arial" w:hAnsi="Arial" w:cs="Arial"/>
          <w:sz w:val="22"/>
          <w:szCs w:val="22"/>
        </w:rPr>
        <w:t xml:space="preserve"> Aligns with OMRON’s global strategy to expand digital health offerings.</w:t>
      </w:r>
    </w:p>
    <w:p w14:paraId="1C296C26" w14:textId="77777777" w:rsidR="00946C14" w:rsidRPr="00946C14" w:rsidRDefault="00946C14" w:rsidP="00E3213D">
      <w:pPr>
        <w:numPr>
          <w:ilvl w:val="0"/>
          <w:numId w:val="69"/>
        </w:numPr>
        <w:spacing w:line="360" w:lineRule="auto"/>
        <w:jc w:val="both"/>
        <w:rPr>
          <w:rFonts w:ascii="Arial" w:hAnsi="Arial" w:cs="Arial"/>
          <w:sz w:val="22"/>
          <w:szCs w:val="22"/>
        </w:rPr>
      </w:pPr>
      <w:r w:rsidRPr="00946C14">
        <w:rPr>
          <w:rFonts w:ascii="Arial" w:hAnsi="Arial" w:cs="Arial"/>
          <w:b/>
          <w:bCs/>
          <w:sz w:val="22"/>
          <w:szCs w:val="22"/>
        </w:rPr>
        <w:t>Time-bound:</w:t>
      </w:r>
      <w:r w:rsidRPr="00946C14">
        <w:rPr>
          <w:rFonts w:ascii="Arial" w:hAnsi="Arial" w:cs="Arial"/>
          <w:sz w:val="22"/>
          <w:szCs w:val="22"/>
        </w:rPr>
        <w:t xml:space="preserve"> Deliver within six months.</w:t>
      </w:r>
    </w:p>
    <w:p w14:paraId="7C26B8BB" w14:textId="248955B2"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SMART Rationale</w:t>
      </w:r>
    </w:p>
    <w:p w14:paraId="7489D059"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The objectives align tightly with both organisational strategy and market expectations. They ensure the project maintains a disciplined schedule, supports commercial viability, and reinforces OMRON’s leadership in clinically validated wearables. The balanced mixture of technical, commercial, and organisational KPIs ensures accountability across departments, strengthening cross-functional performance.</w:t>
      </w:r>
    </w:p>
    <w:p w14:paraId="660ACE41"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pict w14:anchorId="1235B358">
          <v:rect id="_x0000_i1323" style="width:0;height:1.5pt" o:hralign="center" o:hrstd="t" o:hr="t" fillcolor="#a0a0a0" stroked="f"/>
        </w:pict>
      </w:r>
    </w:p>
    <w:p w14:paraId="4797916B" w14:textId="77777777" w:rsidR="00946C14" w:rsidRPr="00946C14" w:rsidRDefault="00946C14" w:rsidP="00946C14">
      <w:pPr>
        <w:spacing w:line="360" w:lineRule="auto"/>
        <w:rPr>
          <w:rFonts w:ascii="Arial" w:hAnsi="Arial" w:cs="Arial"/>
          <w:b/>
          <w:bCs/>
          <w:sz w:val="22"/>
          <w:szCs w:val="22"/>
        </w:rPr>
      </w:pPr>
      <w:r w:rsidRPr="00946C14">
        <w:rPr>
          <w:rFonts w:ascii="Arial" w:hAnsi="Arial" w:cs="Arial"/>
          <w:b/>
          <w:bCs/>
          <w:sz w:val="22"/>
          <w:szCs w:val="22"/>
        </w:rPr>
        <w:t>4. Stakeholder Identification and Analysis</w:t>
      </w:r>
    </w:p>
    <w:p w14:paraId="1CB28EBD"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Stakeholders represent individuals, groups, or organisations that can influence—or be influenced by—the </w:t>
      </w:r>
      <w:proofErr w:type="spellStart"/>
      <w:r w:rsidRPr="00946C14">
        <w:rPr>
          <w:rFonts w:ascii="Arial" w:hAnsi="Arial" w:cs="Arial"/>
          <w:sz w:val="22"/>
          <w:szCs w:val="22"/>
        </w:rPr>
        <w:t>OmniWatch</w:t>
      </w:r>
      <w:proofErr w:type="spellEnd"/>
      <w:r w:rsidRPr="00946C14">
        <w:rPr>
          <w:rFonts w:ascii="Arial" w:hAnsi="Arial" w:cs="Arial"/>
          <w:sz w:val="22"/>
          <w:szCs w:val="22"/>
        </w:rPr>
        <w:t xml:space="preserve"> project. Effective stakeholder identification is crucial for ensuring engagement strategies are targeted, context</w:t>
      </w:r>
      <w:r w:rsidRPr="00946C14">
        <w:rPr>
          <w:rFonts w:ascii="Arial" w:hAnsi="Arial" w:cs="Arial"/>
          <w:sz w:val="22"/>
          <w:szCs w:val="22"/>
        </w:rPr>
        <w:noBreakHyphen/>
        <w:t xml:space="preserve">appropriate, and aligned with project </w:t>
      </w:r>
      <w:r w:rsidRPr="00946C14">
        <w:rPr>
          <w:rFonts w:ascii="Arial" w:hAnsi="Arial" w:cs="Arial"/>
          <w:sz w:val="22"/>
          <w:szCs w:val="22"/>
        </w:rPr>
        <w:lastRenderedPageBreak/>
        <w:t>outcomes. This expanded section incorporates stakeholder theory, salience models, and detailed role analysis.</w:t>
      </w:r>
    </w:p>
    <w:p w14:paraId="091AAC79"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4.1 Stakeholder Groups</w:t>
      </w:r>
    </w:p>
    <w:p w14:paraId="5F576031"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Stakeholders are categorised as internal or external based on their organisational proximity and impact on the project.</w:t>
      </w:r>
    </w:p>
    <w:p w14:paraId="36122785"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Internal Stakeholders</w:t>
      </w:r>
    </w:p>
    <w:p w14:paraId="7182EC7C" w14:textId="77777777" w:rsidR="00946C14" w:rsidRPr="00946C14" w:rsidRDefault="00946C14" w:rsidP="00E3213D">
      <w:pPr>
        <w:numPr>
          <w:ilvl w:val="0"/>
          <w:numId w:val="70"/>
        </w:numPr>
        <w:spacing w:line="360" w:lineRule="auto"/>
        <w:jc w:val="both"/>
        <w:rPr>
          <w:rFonts w:ascii="Arial" w:hAnsi="Arial" w:cs="Arial"/>
          <w:sz w:val="22"/>
          <w:szCs w:val="22"/>
        </w:rPr>
      </w:pPr>
      <w:r w:rsidRPr="00946C14">
        <w:rPr>
          <w:rFonts w:ascii="Arial" w:hAnsi="Arial" w:cs="Arial"/>
          <w:b/>
          <w:bCs/>
          <w:sz w:val="22"/>
          <w:szCs w:val="22"/>
        </w:rPr>
        <w:t>R&amp;D Engineers:</w:t>
      </w:r>
      <w:r w:rsidRPr="00946C14">
        <w:rPr>
          <w:rFonts w:ascii="Arial" w:hAnsi="Arial" w:cs="Arial"/>
          <w:sz w:val="22"/>
          <w:szCs w:val="22"/>
        </w:rPr>
        <w:t xml:space="preserve"> Lead sensor selection, hardware optimisation, and prototype development.</w:t>
      </w:r>
    </w:p>
    <w:p w14:paraId="46B742B7" w14:textId="77777777" w:rsidR="00946C14" w:rsidRPr="00946C14" w:rsidRDefault="00946C14" w:rsidP="00E3213D">
      <w:pPr>
        <w:numPr>
          <w:ilvl w:val="0"/>
          <w:numId w:val="70"/>
        </w:numPr>
        <w:spacing w:line="360" w:lineRule="auto"/>
        <w:jc w:val="both"/>
        <w:rPr>
          <w:rFonts w:ascii="Arial" w:hAnsi="Arial" w:cs="Arial"/>
          <w:sz w:val="22"/>
          <w:szCs w:val="22"/>
        </w:rPr>
      </w:pPr>
      <w:r w:rsidRPr="00946C14">
        <w:rPr>
          <w:rFonts w:ascii="Arial" w:hAnsi="Arial" w:cs="Arial"/>
          <w:b/>
          <w:bCs/>
          <w:sz w:val="22"/>
          <w:szCs w:val="22"/>
        </w:rPr>
        <w:t>Software Developers:</w:t>
      </w:r>
      <w:r w:rsidRPr="00946C14">
        <w:rPr>
          <w:rFonts w:ascii="Arial" w:hAnsi="Arial" w:cs="Arial"/>
          <w:sz w:val="22"/>
          <w:szCs w:val="22"/>
        </w:rPr>
        <w:t xml:space="preserve"> Responsible for app performance, data accuracy, and cloud integration.</w:t>
      </w:r>
    </w:p>
    <w:p w14:paraId="7F872F15" w14:textId="77777777" w:rsidR="00946C14" w:rsidRPr="00946C14" w:rsidRDefault="00946C14" w:rsidP="00E3213D">
      <w:pPr>
        <w:numPr>
          <w:ilvl w:val="0"/>
          <w:numId w:val="70"/>
        </w:numPr>
        <w:spacing w:line="360" w:lineRule="auto"/>
        <w:jc w:val="both"/>
        <w:rPr>
          <w:rFonts w:ascii="Arial" w:hAnsi="Arial" w:cs="Arial"/>
          <w:sz w:val="22"/>
          <w:szCs w:val="22"/>
        </w:rPr>
      </w:pPr>
      <w:r w:rsidRPr="00946C14">
        <w:rPr>
          <w:rFonts w:ascii="Arial" w:hAnsi="Arial" w:cs="Arial"/>
          <w:b/>
          <w:bCs/>
          <w:sz w:val="22"/>
          <w:szCs w:val="22"/>
        </w:rPr>
        <w:t>Regulatory Affairs:</w:t>
      </w:r>
      <w:r w:rsidRPr="00946C14">
        <w:rPr>
          <w:rFonts w:ascii="Arial" w:hAnsi="Arial" w:cs="Arial"/>
          <w:sz w:val="22"/>
          <w:szCs w:val="22"/>
        </w:rPr>
        <w:t xml:space="preserve"> Ensure compliance with MHRA and UKCA standards.</w:t>
      </w:r>
    </w:p>
    <w:p w14:paraId="00263936" w14:textId="77777777" w:rsidR="00946C14" w:rsidRPr="00946C14" w:rsidRDefault="00946C14" w:rsidP="00E3213D">
      <w:pPr>
        <w:numPr>
          <w:ilvl w:val="0"/>
          <w:numId w:val="70"/>
        </w:numPr>
        <w:spacing w:line="360" w:lineRule="auto"/>
        <w:jc w:val="both"/>
        <w:rPr>
          <w:rFonts w:ascii="Arial" w:hAnsi="Arial" w:cs="Arial"/>
          <w:sz w:val="22"/>
          <w:szCs w:val="22"/>
        </w:rPr>
      </w:pPr>
      <w:r w:rsidRPr="00946C14">
        <w:rPr>
          <w:rFonts w:ascii="Arial" w:hAnsi="Arial" w:cs="Arial"/>
          <w:b/>
          <w:bCs/>
          <w:sz w:val="22"/>
          <w:szCs w:val="22"/>
        </w:rPr>
        <w:t>Marketing Team:</w:t>
      </w:r>
      <w:r w:rsidRPr="00946C14">
        <w:rPr>
          <w:rFonts w:ascii="Arial" w:hAnsi="Arial" w:cs="Arial"/>
          <w:sz w:val="22"/>
          <w:szCs w:val="22"/>
        </w:rPr>
        <w:t xml:space="preserve"> Manage brand positioning, consumer segmentation, and promotional strategy.</w:t>
      </w:r>
    </w:p>
    <w:p w14:paraId="556D7467" w14:textId="77777777" w:rsidR="00946C14" w:rsidRPr="00946C14" w:rsidRDefault="00946C14" w:rsidP="00E3213D">
      <w:pPr>
        <w:numPr>
          <w:ilvl w:val="0"/>
          <w:numId w:val="70"/>
        </w:numPr>
        <w:spacing w:line="360" w:lineRule="auto"/>
        <w:jc w:val="both"/>
        <w:rPr>
          <w:rFonts w:ascii="Arial" w:hAnsi="Arial" w:cs="Arial"/>
          <w:sz w:val="22"/>
          <w:szCs w:val="22"/>
        </w:rPr>
      </w:pPr>
      <w:r w:rsidRPr="00946C14">
        <w:rPr>
          <w:rFonts w:ascii="Arial" w:hAnsi="Arial" w:cs="Arial"/>
          <w:b/>
          <w:bCs/>
          <w:sz w:val="22"/>
          <w:szCs w:val="22"/>
        </w:rPr>
        <w:t>Sales Department:</w:t>
      </w:r>
      <w:r w:rsidRPr="00946C14">
        <w:rPr>
          <w:rFonts w:ascii="Arial" w:hAnsi="Arial" w:cs="Arial"/>
          <w:sz w:val="22"/>
          <w:szCs w:val="22"/>
        </w:rPr>
        <w:t xml:space="preserve"> Handle retailer partnerships, pricing structures, and distribution.</w:t>
      </w:r>
    </w:p>
    <w:p w14:paraId="63177E91" w14:textId="77777777" w:rsidR="00946C14" w:rsidRPr="00946C14" w:rsidRDefault="00946C14" w:rsidP="00E3213D">
      <w:pPr>
        <w:numPr>
          <w:ilvl w:val="0"/>
          <w:numId w:val="70"/>
        </w:numPr>
        <w:spacing w:line="360" w:lineRule="auto"/>
        <w:jc w:val="both"/>
        <w:rPr>
          <w:rFonts w:ascii="Arial" w:hAnsi="Arial" w:cs="Arial"/>
          <w:sz w:val="22"/>
          <w:szCs w:val="22"/>
        </w:rPr>
      </w:pPr>
      <w:r w:rsidRPr="00946C14">
        <w:rPr>
          <w:rFonts w:ascii="Arial" w:hAnsi="Arial" w:cs="Arial"/>
          <w:b/>
          <w:bCs/>
          <w:sz w:val="22"/>
          <w:szCs w:val="22"/>
        </w:rPr>
        <w:t>Customer Support:</w:t>
      </w:r>
      <w:r w:rsidRPr="00946C14">
        <w:rPr>
          <w:rFonts w:ascii="Arial" w:hAnsi="Arial" w:cs="Arial"/>
          <w:sz w:val="22"/>
          <w:szCs w:val="22"/>
        </w:rPr>
        <w:t xml:space="preserve"> Prepare training, FAQs, and issue-resolution frameworks.</w:t>
      </w:r>
    </w:p>
    <w:p w14:paraId="175F5F2A" w14:textId="77777777" w:rsidR="00946C14" w:rsidRPr="00946C14" w:rsidRDefault="00946C14" w:rsidP="00E3213D">
      <w:pPr>
        <w:numPr>
          <w:ilvl w:val="0"/>
          <w:numId w:val="70"/>
        </w:numPr>
        <w:spacing w:line="360" w:lineRule="auto"/>
        <w:jc w:val="both"/>
        <w:rPr>
          <w:rFonts w:ascii="Arial" w:hAnsi="Arial" w:cs="Arial"/>
          <w:sz w:val="22"/>
          <w:szCs w:val="22"/>
        </w:rPr>
      </w:pPr>
      <w:r w:rsidRPr="00946C14">
        <w:rPr>
          <w:rFonts w:ascii="Arial" w:hAnsi="Arial" w:cs="Arial"/>
          <w:b/>
          <w:bCs/>
          <w:sz w:val="22"/>
          <w:szCs w:val="22"/>
        </w:rPr>
        <w:t>Finance Team:</w:t>
      </w:r>
      <w:r w:rsidRPr="00946C14">
        <w:rPr>
          <w:rFonts w:ascii="Arial" w:hAnsi="Arial" w:cs="Arial"/>
          <w:sz w:val="22"/>
          <w:szCs w:val="22"/>
        </w:rPr>
        <w:t xml:space="preserve"> Monitor budgets, risk exposure, and resource allocation.</w:t>
      </w:r>
    </w:p>
    <w:p w14:paraId="40D2839B" w14:textId="77777777" w:rsidR="00946C14" w:rsidRPr="00946C14" w:rsidRDefault="00946C14" w:rsidP="00E3213D">
      <w:pPr>
        <w:numPr>
          <w:ilvl w:val="0"/>
          <w:numId w:val="70"/>
        </w:numPr>
        <w:spacing w:line="360" w:lineRule="auto"/>
        <w:jc w:val="both"/>
        <w:rPr>
          <w:rFonts w:ascii="Arial" w:hAnsi="Arial" w:cs="Arial"/>
          <w:sz w:val="22"/>
          <w:szCs w:val="22"/>
        </w:rPr>
      </w:pPr>
      <w:r w:rsidRPr="00946C14">
        <w:rPr>
          <w:rFonts w:ascii="Arial" w:hAnsi="Arial" w:cs="Arial"/>
          <w:b/>
          <w:bCs/>
          <w:sz w:val="22"/>
          <w:szCs w:val="22"/>
        </w:rPr>
        <w:t>Senior Leadership:</w:t>
      </w:r>
      <w:r w:rsidRPr="00946C14">
        <w:rPr>
          <w:rFonts w:ascii="Arial" w:hAnsi="Arial" w:cs="Arial"/>
          <w:sz w:val="22"/>
          <w:szCs w:val="22"/>
        </w:rPr>
        <w:t xml:space="preserve"> Set strategic direction and authorise major decisions.</w:t>
      </w:r>
    </w:p>
    <w:p w14:paraId="670FB7BC"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External Stakeholders</w:t>
      </w:r>
    </w:p>
    <w:p w14:paraId="61088CC0" w14:textId="77777777" w:rsidR="00946C14" w:rsidRPr="00946C14" w:rsidRDefault="00946C14" w:rsidP="00E3213D">
      <w:pPr>
        <w:numPr>
          <w:ilvl w:val="0"/>
          <w:numId w:val="71"/>
        </w:numPr>
        <w:spacing w:line="360" w:lineRule="auto"/>
        <w:jc w:val="both"/>
        <w:rPr>
          <w:rFonts w:ascii="Arial" w:hAnsi="Arial" w:cs="Arial"/>
          <w:sz w:val="22"/>
          <w:szCs w:val="22"/>
        </w:rPr>
      </w:pPr>
      <w:r w:rsidRPr="00946C14">
        <w:rPr>
          <w:rFonts w:ascii="Arial" w:hAnsi="Arial" w:cs="Arial"/>
          <w:b/>
          <w:bCs/>
          <w:sz w:val="22"/>
          <w:szCs w:val="22"/>
        </w:rPr>
        <w:t>Consumers:</w:t>
      </w:r>
      <w:r w:rsidRPr="00946C14">
        <w:rPr>
          <w:rFonts w:ascii="Arial" w:hAnsi="Arial" w:cs="Arial"/>
          <w:sz w:val="22"/>
          <w:szCs w:val="22"/>
        </w:rPr>
        <w:t xml:space="preserve"> End users whose adoption determines commercial success.</w:t>
      </w:r>
    </w:p>
    <w:p w14:paraId="200C7958" w14:textId="77777777" w:rsidR="00946C14" w:rsidRPr="00946C14" w:rsidRDefault="00946C14" w:rsidP="00E3213D">
      <w:pPr>
        <w:numPr>
          <w:ilvl w:val="0"/>
          <w:numId w:val="71"/>
        </w:numPr>
        <w:spacing w:line="360" w:lineRule="auto"/>
        <w:jc w:val="both"/>
        <w:rPr>
          <w:rFonts w:ascii="Arial" w:hAnsi="Arial" w:cs="Arial"/>
          <w:sz w:val="22"/>
          <w:szCs w:val="22"/>
        </w:rPr>
      </w:pPr>
      <w:r w:rsidRPr="00946C14">
        <w:rPr>
          <w:rFonts w:ascii="Arial" w:hAnsi="Arial" w:cs="Arial"/>
          <w:b/>
          <w:bCs/>
          <w:sz w:val="22"/>
          <w:szCs w:val="22"/>
        </w:rPr>
        <w:t>Suppliers &amp; Manufacturers:</w:t>
      </w:r>
      <w:r w:rsidRPr="00946C14">
        <w:rPr>
          <w:rFonts w:ascii="Arial" w:hAnsi="Arial" w:cs="Arial"/>
          <w:sz w:val="22"/>
          <w:szCs w:val="22"/>
        </w:rPr>
        <w:t xml:space="preserve"> Provide critical components and assembly.</w:t>
      </w:r>
    </w:p>
    <w:p w14:paraId="1997E569" w14:textId="77777777" w:rsidR="00946C14" w:rsidRPr="00946C14" w:rsidRDefault="00946C14" w:rsidP="00E3213D">
      <w:pPr>
        <w:numPr>
          <w:ilvl w:val="0"/>
          <w:numId w:val="71"/>
        </w:numPr>
        <w:spacing w:line="360" w:lineRule="auto"/>
        <w:jc w:val="both"/>
        <w:rPr>
          <w:rFonts w:ascii="Arial" w:hAnsi="Arial" w:cs="Arial"/>
          <w:sz w:val="22"/>
          <w:szCs w:val="22"/>
        </w:rPr>
      </w:pPr>
      <w:r w:rsidRPr="00946C14">
        <w:rPr>
          <w:rFonts w:ascii="Arial" w:hAnsi="Arial" w:cs="Arial"/>
          <w:b/>
          <w:bCs/>
          <w:sz w:val="22"/>
          <w:szCs w:val="22"/>
        </w:rPr>
        <w:t>Retailers:</w:t>
      </w:r>
      <w:r w:rsidRPr="00946C14">
        <w:rPr>
          <w:rFonts w:ascii="Arial" w:hAnsi="Arial" w:cs="Arial"/>
          <w:sz w:val="22"/>
          <w:szCs w:val="22"/>
        </w:rPr>
        <w:t xml:space="preserve"> Serve as primary distribution partners.</w:t>
      </w:r>
    </w:p>
    <w:p w14:paraId="7348A8B6" w14:textId="77777777" w:rsidR="00946C14" w:rsidRPr="00946C14" w:rsidRDefault="00946C14" w:rsidP="00E3213D">
      <w:pPr>
        <w:numPr>
          <w:ilvl w:val="0"/>
          <w:numId w:val="71"/>
        </w:numPr>
        <w:spacing w:line="360" w:lineRule="auto"/>
        <w:jc w:val="both"/>
        <w:rPr>
          <w:rFonts w:ascii="Arial" w:hAnsi="Arial" w:cs="Arial"/>
          <w:sz w:val="22"/>
          <w:szCs w:val="22"/>
        </w:rPr>
      </w:pPr>
      <w:r w:rsidRPr="00946C14">
        <w:rPr>
          <w:rFonts w:ascii="Arial" w:hAnsi="Arial" w:cs="Arial"/>
          <w:b/>
          <w:bCs/>
          <w:sz w:val="22"/>
          <w:szCs w:val="22"/>
        </w:rPr>
        <w:t>Healthcare Professionals:</w:t>
      </w:r>
      <w:r w:rsidRPr="00946C14">
        <w:rPr>
          <w:rFonts w:ascii="Arial" w:hAnsi="Arial" w:cs="Arial"/>
          <w:sz w:val="22"/>
          <w:szCs w:val="22"/>
        </w:rPr>
        <w:t xml:space="preserve"> Offer clinical validation and usability insights.</w:t>
      </w:r>
    </w:p>
    <w:p w14:paraId="457D3777" w14:textId="77777777" w:rsidR="00946C14" w:rsidRPr="00946C14" w:rsidRDefault="00946C14" w:rsidP="00E3213D">
      <w:pPr>
        <w:numPr>
          <w:ilvl w:val="0"/>
          <w:numId w:val="71"/>
        </w:numPr>
        <w:spacing w:line="360" w:lineRule="auto"/>
        <w:jc w:val="both"/>
        <w:rPr>
          <w:rFonts w:ascii="Arial" w:hAnsi="Arial" w:cs="Arial"/>
          <w:sz w:val="22"/>
          <w:szCs w:val="22"/>
        </w:rPr>
      </w:pPr>
      <w:r w:rsidRPr="00946C14">
        <w:rPr>
          <w:rFonts w:ascii="Arial" w:hAnsi="Arial" w:cs="Arial"/>
          <w:b/>
          <w:bCs/>
          <w:sz w:val="22"/>
          <w:szCs w:val="22"/>
        </w:rPr>
        <w:t>Regulatory Bodies (MHRA):</w:t>
      </w:r>
      <w:r w:rsidRPr="00946C14">
        <w:rPr>
          <w:rFonts w:ascii="Arial" w:hAnsi="Arial" w:cs="Arial"/>
          <w:sz w:val="22"/>
          <w:szCs w:val="22"/>
        </w:rPr>
        <w:t xml:space="preserve"> Govern safety, performance, and compliance.</w:t>
      </w:r>
    </w:p>
    <w:p w14:paraId="6FC5B90D" w14:textId="77777777" w:rsidR="00946C14" w:rsidRPr="00946C14" w:rsidRDefault="00946C14" w:rsidP="00E3213D">
      <w:pPr>
        <w:numPr>
          <w:ilvl w:val="0"/>
          <w:numId w:val="71"/>
        </w:numPr>
        <w:spacing w:line="360" w:lineRule="auto"/>
        <w:jc w:val="both"/>
        <w:rPr>
          <w:rFonts w:ascii="Arial" w:hAnsi="Arial" w:cs="Arial"/>
          <w:sz w:val="22"/>
          <w:szCs w:val="22"/>
        </w:rPr>
      </w:pPr>
      <w:r w:rsidRPr="00946C14">
        <w:rPr>
          <w:rFonts w:ascii="Arial" w:hAnsi="Arial" w:cs="Arial"/>
          <w:b/>
          <w:bCs/>
          <w:sz w:val="22"/>
          <w:szCs w:val="22"/>
        </w:rPr>
        <w:t>Technology Partners:</w:t>
      </w:r>
      <w:r w:rsidRPr="00946C14">
        <w:rPr>
          <w:rFonts w:ascii="Arial" w:hAnsi="Arial" w:cs="Arial"/>
          <w:sz w:val="22"/>
          <w:szCs w:val="22"/>
        </w:rPr>
        <w:t xml:space="preserve"> Support cybersecurity, cloud hosting, and app integration.</w:t>
      </w:r>
    </w:p>
    <w:p w14:paraId="0F592C59" w14:textId="77777777" w:rsidR="00946C14" w:rsidRPr="00946C14" w:rsidRDefault="00946C14" w:rsidP="00946C14">
      <w:pPr>
        <w:spacing w:line="360" w:lineRule="auto"/>
        <w:rPr>
          <w:rFonts w:ascii="Arial" w:hAnsi="Arial" w:cs="Arial"/>
          <w:b/>
          <w:bCs/>
          <w:sz w:val="22"/>
          <w:szCs w:val="22"/>
        </w:rPr>
      </w:pPr>
      <w:r w:rsidRPr="00946C14">
        <w:rPr>
          <w:rFonts w:ascii="Arial" w:hAnsi="Arial" w:cs="Arial"/>
          <w:b/>
          <w:bCs/>
          <w:sz w:val="22"/>
          <w:szCs w:val="22"/>
        </w:rPr>
        <w:t>Expanded Stakeholder Theory Application</w:t>
      </w:r>
    </w:p>
    <w:p w14:paraId="6B071949"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The project aligns strongly with </w:t>
      </w:r>
      <w:r w:rsidRPr="00946C14">
        <w:rPr>
          <w:rFonts w:ascii="Arial" w:hAnsi="Arial" w:cs="Arial"/>
          <w:b/>
          <w:bCs/>
          <w:sz w:val="22"/>
          <w:szCs w:val="22"/>
        </w:rPr>
        <w:t>Freeman’s (1984) Stakeholder Theory</w:t>
      </w:r>
      <w:r w:rsidRPr="00946C14">
        <w:rPr>
          <w:rFonts w:ascii="Arial" w:hAnsi="Arial" w:cs="Arial"/>
          <w:sz w:val="22"/>
          <w:szCs w:val="22"/>
        </w:rPr>
        <w:t xml:space="preserve">, which argues organisations must account for the interests of groups beyond shareholders. </w:t>
      </w:r>
      <w:proofErr w:type="spellStart"/>
      <w:r w:rsidRPr="00946C14">
        <w:rPr>
          <w:rFonts w:ascii="Arial" w:hAnsi="Arial" w:cs="Arial"/>
          <w:sz w:val="22"/>
          <w:szCs w:val="22"/>
        </w:rPr>
        <w:t>OmniWatch</w:t>
      </w:r>
      <w:proofErr w:type="spellEnd"/>
      <w:r w:rsidRPr="00946C14">
        <w:rPr>
          <w:rFonts w:ascii="Arial" w:hAnsi="Arial" w:cs="Arial"/>
          <w:sz w:val="22"/>
          <w:szCs w:val="22"/>
        </w:rPr>
        <w:t xml:space="preserve"> requires active involvement from all categories due to the medical nature of the device.</w:t>
      </w:r>
    </w:p>
    <w:p w14:paraId="0A620640"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lastRenderedPageBreak/>
        <w:t xml:space="preserve">Additionally, </w:t>
      </w:r>
      <w:r w:rsidRPr="00946C14">
        <w:rPr>
          <w:rFonts w:ascii="Arial" w:hAnsi="Arial" w:cs="Arial"/>
          <w:b/>
          <w:bCs/>
          <w:sz w:val="22"/>
          <w:szCs w:val="22"/>
        </w:rPr>
        <w:t>Mitchell, Agle and Wood’s (1997) Stakeholder Salience Model</w:t>
      </w:r>
      <w:r w:rsidRPr="00946C14">
        <w:rPr>
          <w:rFonts w:ascii="Arial" w:hAnsi="Arial" w:cs="Arial"/>
          <w:sz w:val="22"/>
          <w:szCs w:val="22"/>
        </w:rPr>
        <w:t xml:space="preserve"> helps prioritise engagement using:</w:t>
      </w:r>
    </w:p>
    <w:p w14:paraId="6D967B1F" w14:textId="77777777" w:rsidR="00946C14" w:rsidRPr="00946C14" w:rsidRDefault="00946C14" w:rsidP="00946C14">
      <w:pPr>
        <w:numPr>
          <w:ilvl w:val="0"/>
          <w:numId w:val="72"/>
        </w:numPr>
        <w:spacing w:line="360" w:lineRule="auto"/>
        <w:rPr>
          <w:rFonts w:ascii="Arial" w:hAnsi="Arial" w:cs="Arial"/>
          <w:sz w:val="22"/>
          <w:szCs w:val="22"/>
        </w:rPr>
      </w:pPr>
      <w:r w:rsidRPr="00946C14">
        <w:rPr>
          <w:rFonts w:ascii="Arial" w:hAnsi="Arial" w:cs="Arial"/>
          <w:b/>
          <w:bCs/>
          <w:sz w:val="22"/>
          <w:szCs w:val="22"/>
        </w:rPr>
        <w:t>Power:</w:t>
      </w:r>
      <w:r w:rsidRPr="00946C14">
        <w:rPr>
          <w:rFonts w:ascii="Arial" w:hAnsi="Arial" w:cs="Arial"/>
          <w:sz w:val="22"/>
          <w:szCs w:val="22"/>
        </w:rPr>
        <w:t xml:space="preserve"> Ability to influence decisions.</w:t>
      </w:r>
    </w:p>
    <w:p w14:paraId="40FE451B" w14:textId="77777777" w:rsidR="00946C14" w:rsidRPr="00946C14" w:rsidRDefault="00946C14" w:rsidP="00946C14">
      <w:pPr>
        <w:numPr>
          <w:ilvl w:val="0"/>
          <w:numId w:val="72"/>
        </w:numPr>
        <w:spacing w:line="360" w:lineRule="auto"/>
        <w:rPr>
          <w:rFonts w:ascii="Arial" w:hAnsi="Arial" w:cs="Arial"/>
          <w:sz w:val="22"/>
          <w:szCs w:val="22"/>
        </w:rPr>
      </w:pPr>
      <w:r w:rsidRPr="00946C14">
        <w:rPr>
          <w:rFonts w:ascii="Arial" w:hAnsi="Arial" w:cs="Arial"/>
          <w:b/>
          <w:bCs/>
          <w:sz w:val="22"/>
          <w:szCs w:val="22"/>
        </w:rPr>
        <w:t>Legitimacy:</w:t>
      </w:r>
      <w:r w:rsidRPr="00946C14">
        <w:rPr>
          <w:rFonts w:ascii="Arial" w:hAnsi="Arial" w:cs="Arial"/>
          <w:sz w:val="22"/>
          <w:szCs w:val="22"/>
        </w:rPr>
        <w:t xml:space="preserve"> Appropriateness of the stakeholder’s involvement.</w:t>
      </w:r>
    </w:p>
    <w:p w14:paraId="75ADE590" w14:textId="77777777" w:rsidR="00946C14" w:rsidRPr="00946C14" w:rsidRDefault="00946C14" w:rsidP="00946C14">
      <w:pPr>
        <w:numPr>
          <w:ilvl w:val="0"/>
          <w:numId w:val="72"/>
        </w:numPr>
        <w:spacing w:line="360" w:lineRule="auto"/>
        <w:rPr>
          <w:rFonts w:ascii="Arial" w:hAnsi="Arial" w:cs="Arial"/>
          <w:sz w:val="22"/>
          <w:szCs w:val="22"/>
        </w:rPr>
      </w:pPr>
      <w:r w:rsidRPr="00946C14">
        <w:rPr>
          <w:rFonts w:ascii="Arial" w:hAnsi="Arial" w:cs="Arial"/>
          <w:b/>
          <w:bCs/>
          <w:sz w:val="22"/>
          <w:szCs w:val="22"/>
        </w:rPr>
        <w:t>Urgency:</w:t>
      </w:r>
      <w:r w:rsidRPr="00946C14">
        <w:rPr>
          <w:rFonts w:ascii="Arial" w:hAnsi="Arial" w:cs="Arial"/>
          <w:sz w:val="22"/>
          <w:szCs w:val="22"/>
        </w:rPr>
        <w:t xml:space="preserve"> Time sensitivity of stakeholder claims.</w:t>
      </w:r>
    </w:p>
    <w:p w14:paraId="2B4CAD77"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Using this model:</w:t>
      </w:r>
    </w:p>
    <w:p w14:paraId="37A7744A" w14:textId="77777777" w:rsidR="00946C14" w:rsidRPr="00946C14" w:rsidRDefault="00946C14" w:rsidP="00946C14">
      <w:pPr>
        <w:numPr>
          <w:ilvl w:val="0"/>
          <w:numId w:val="73"/>
        </w:numPr>
        <w:spacing w:line="360" w:lineRule="auto"/>
        <w:rPr>
          <w:rFonts w:ascii="Arial" w:hAnsi="Arial" w:cs="Arial"/>
          <w:sz w:val="22"/>
          <w:szCs w:val="22"/>
        </w:rPr>
      </w:pPr>
      <w:r w:rsidRPr="00946C14">
        <w:rPr>
          <w:rFonts w:ascii="Arial" w:hAnsi="Arial" w:cs="Arial"/>
          <w:b/>
          <w:bCs/>
          <w:sz w:val="22"/>
          <w:szCs w:val="22"/>
        </w:rPr>
        <w:t>High-salience stakeholders</w:t>
      </w:r>
      <w:r w:rsidRPr="00946C14">
        <w:rPr>
          <w:rFonts w:ascii="Arial" w:hAnsi="Arial" w:cs="Arial"/>
          <w:sz w:val="22"/>
          <w:szCs w:val="22"/>
        </w:rPr>
        <w:t xml:space="preserve"> include regulatory bodies, leadership, and R&amp;D.</w:t>
      </w:r>
    </w:p>
    <w:p w14:paraId="2E250E5B" w14:textId="77777777" w:rsidR="00946C14" w:rsidRPr="00946C14" w:rsidRDefault="00946C14" w:rsidP="00946C14">
      <w:pPr>
        <w:numPr>
          <w:ilvl w:val="0"/>
          <w:numId w:val="73"/>
        </w:numPr>
        <w:spacing w:line="360" w:lineRule="auto"/>
        <w:rPr>
          <w:rFonts w:ascii="Arial" w:hAnsi="Arial" w:cs="Arial"/>
          <w:sz w:val="22"/>
          <w:szCs w:val="22"/>
        </w:rPr>
      </w:pPr>
      <w:r w:rsidRPr="00946C14">
        <w:rPr>
          <w:rFonts w:ascii="Arial" w:hAnsi="Arial" w:cs="Arial"/>
          <w:b/>
          <w:bCs/>
          <w:sz w:val="22"/>
          <w:szCs w:val="22"/>
        </w:rPr>
        <w:t>Moderate-salience stakeholders</w:t>
      </w:r>
      <w:r w:rsidRPr="00946C14">
        <w:rPr>
          <w:rFonts w:ascii="Arial" w:hAnsi="Arial" w:cs="Arial"/>
          <w:sz w:val="22"/>
          <w:szCs w:val="22"/>
        </w:rPr>
        <w:t xml:space="preserve"> include marketing, retailers, and consumers.</w:t>
      </w:r>
    </w:p>
    <w:p w14:paraId="5EA479DF" w14:textId="4F4BD2B7" w:rsidR="00946C14" w:rsidRPr="00946C14" w:rsidRDefault="00E3213D" w:rsidP="00946C14">
      <w:pPr>
        <w:numPr>
          <w:ilvl w:val="0"/>
          <w:numId w:val="73"/>
        </w:numPr>
        <w:spacing w:line="360" w:lineRule="auto"/>
        <w:rPr>
          <w:rFonts w:ascii="Arial" w:hAnsi="Arial" w:cs="Arial"/>
          <w:sz w:val="22"/>
          <w:szCs w:val="22"/>
        </w:rPr>
      </w:pPr>
      <w:r w:rsidRPr="00946C14">
        <w:rPr>
          <w:rFonts w:ascii="Arial" w:hAnsi="Arial" w:cs="Arial"/>
          <w:b/>
          <w:bCs/>
          <w:sz w:val="22"/>
          <w:szCs w:val="22"/>
        </w:rPr>
        <w:t>Low salience</w:t>
      </w:r>
      <w:r w:rsidR="00946C14" w:rsidRPr="00946C14">
        <w:rPr>
          <w:rFonts w:ascii="Arial" w:hAnsi="Arial" w:cs="Arial"/>
          <w:b/>
          <w:bCs/>
          <w:sz w:val="22"/>
          <w:szCs w:val="22"/>
        </w:rPr>
        <w:t xml:space="preserve"> but important stakeholders</w:t>
      </w:r>
      <w:r w:rsidR="00946C14" w:rsidRPr="00946C14">
        <w:rPr>
          <w:rFonts w:ascii="Arial" w:hAnsi="Arial" w:cs="Arial"/>
          <w:sz w:val="22"/>
          <w:szCs w:val="22"/>
        </w:rPr>
        <w:t xml:space="preserve"> include minor suppliers and external tech partners.</w:t>
      </w:r>
    </w:p>
    <w:p w14:paraId="66E43E6B" w14:textId="77777777" w:rsidR="00946C14" w:rsidRPr="00946C14" w:rsidRDefault="00946C14" w:rsidP="00946C14">
      <w:pPr>
        <w:spacing w:line="360" w:lineRule="auto"/>
        <w:rPr>
          <w:rFonts w:ascii="Arial" w:hAnsi="Arial" w:cs="Arial"/>
          <w:b/>
          <w:bCs/>
          <w:sz w:val="22"/>
          <w:szCs w:val="22"/>
        </w:rPr>
      </w:pPr>
      <w:r w:rsidRPr="00946C14">
        <w:rPr>
          <w:rFonts w:ascii="Arial" w:hAnsi="Arial" w:cs="Arial"/>
          <w:b/>
          <w:bCs/>
          <w:sz w:val="22"/>
          <w:szCs w:val="22"/>
        </w:rPr>
        <w:t>4.2 Roles, Responsibilities, Benefits, Challenges</w:t>
      </w:r>
    </w:p>
    <w:p w14:paraId="5D3B89FA"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This expanded analysis clarifies each group’s value, challenges faced, and dependencies.</w:t>
      </w:r>
    </w:p>
    <w:p w14:paraId="5029265E" w14:textId="77777777" w:rsidR="00946C14" w:rsidRPr="00946C14" w:rsidRDefault="00946C14" w:rsidP="00946C14">
      <w:pPr>
        <w:spacing w:line="360" w:lineRule="auto"/>
        <w:rPr>
          <w:rFonts w:ascii="Arial" w:hAnsi="Arial" w:cs="Arial"/>
          <w:b/>
          <w:bCs/>
          <w:sz w:val="22"/>
          <w:szCs w:val="22"/>
        </w:rPr>
      </w:pPr>
      <w:r w:rsidRPr="00946C14">
        <w:rPr>
          <w:rFonts w:ascii="Arial" w:hAnsi="Arial" w:cs="Arial"/>
          <w:b/>
          <w:bCs/>
          <w:sz w:val="22"/>
          <w:szCs w:val="22"/>
        </w:rPr>
        <w:t>R&amp;D Team</w:t>
      </w:r>
    </w:p>
    <w:p w14:paraId="55B1C93A" w14:textId="77777777" w:rsidR="00946C14" w:rsidRPr="00946C14" w:rsidRDefault="00946C14" w:rsidP="00946C14">
      <w:pPr>
        <w:numPr>
          <w:ilvl w:val="0"/>
          <w:numId w:val="74"/>
        </w:numPr>
        <w:spacing w:line="360" w:lineRule="auto"/>
        <w:rPr>
          <w:rFonts w:ascii="Arial" w:hAnsi="Arial" w:cs="Arial"/>
          <w:sz w:val="22"/>
          <w:szCs w:val="22"/>
        </w:rPr>
      </w:pPr>
      <w:r w:rsidRPr="00946C14">
        <w:rPr>
          <w:rFonts w:ascii="Arial" w:hAnsi="Arial" w:cs="Arial"/>
          <w:b/>
          <w:bCs/>
          <w:sz w:val="22"/>
          <w:szCs w:val="22"/>
        </w:rPr>
        <w:t>Benefits:</w:t>
      </w:r>
      <w:r w:rsidRPr="00946C14">
        <w:rPr>
          <w:rFonts w:ascii="Arial" w:hAnsi="Arial" w:cs="Arial"/>
          <w:sz w:val="22"/>
          <w:szCs w:val="22"/>
        </w:rPr>
        <w:t xml:space="preserve"> Ensures scientific and technical reliability.</w:t>
      </w:r>
    </w:p>
    <w:p w14:paraId="2081912F" w14:textId="77777777" w:rsidR="00946C14" w:rsidRPr="00946C14" w:rsidRDefault="00946C14" w:rsidP="00946C14">
      <w:pPr>
        <w:numPr>
          <w:ilvl w:val="0"/>
          <w:numId w:val="74"/>
        </w:numPr>
        <w:spacing w:line="360" w:lineRule="auto"/>
        <w:rPr>
          <w:rFonts w:ascii="Arial" w:hAnsi="Arial" w:cs="Arial"/>
          <w:sz w:val="22"/>
          <w:szCs w:val="22"/>
        </w:rPr>
      </w:pPr>
      <w:r w:rsidRPr="00946C14">
        <w:rPr>
          <w:rFonts w:ascii="Arial" w:hAnsi="Arial" w:cs="Arial"/>
          <w:b/>
          <w:bCs/>
          <w:sz w:val="22"/>
          <w:szCs w:val="22"/>
        </w:rPr>
        <w:t>Challenges:</w:t>
      </w:r>
      <w:r w:rsidRPr="00946C14">
        <w:rPr>
          <w:rFonts w:ascii="Arial" w:hAnsi="Arial" w:cs="Arial"/>
          <w:sz w:val="22"/>
          <w:szCs w:val="22"/>
        </w:rPr>
        <w:t xml:space="preserve"> Balancing precision with cost and time pressures.</w:t>
      </w:r>
    </w:p>
    <w:p w14:paraId="25AB8D1F" w14:textId="77777777" w:rsidR="00946C14" w:rsidRPr="00946C14" w:rsidRDefault="00946C14" w:rsidP="00946C14">
      <w:pPr>
        <w:numPr>
          <w:ilvl w:val="0"/>
          <w:numId w:val="74"/>
        </w:numPr>
        <w:spacing w:line="360" w:lineRule="auto"/>
        <w:rPr>
          <w:rFonts w:ascii="Arial" w:hAnsi="Arial" w:cs="Arial"/>
          <w:sz w:val="22"/>
          <w:szCs w:val="22"/>
        </w:rPr>
      </w:pPr>
      <w:r w:rsidRPr="00946C14">
        <w:rPr>
          <w:rFonts w:ascii="Arial" w:hAnsi="Arial" w:cs="Arial"/>
          <w:b/>
          <w:bCs/>
          <w:sz w:val="22"/>
          <w:szCs w:val="22"/>
        </w:rPr>
        <w:t>Dependencies:</w:t>
      </w:r>
      <w:r w:rsidRPr="00946C14">
        <w:rPr>
          <w:rFonts w:ascii="Arial" w:hAnsi="Arial" w:cs="Arial"/>
          <w:sz w:val="22"/>
          <w:szCs w:val="22"/>
        </w:rPr>
        <w:t xml:space="preserve"> Software team, suppliers, regulatory feedback.</w:t>
      </w:r>
    </w:p>
    <w:p w14:paraId="415197F5" w14:textId="77777777" w:rsidR="00946C14" w:rsidRPr="00946C14" w:rsidRDefault="00946C14" w:rsidP="00946C14">
      <w:pPr>
        <w:spacing w:line="360" w:lineRule="auto"/>
        <w:rPr>
          <w:rFonts w:ascii="Arial" w:hAnsi="Arial" w:cs="Arial"/>
          <w:b/>
          <w:bCs/>
          <w:sz w:val="22"/>
          <w:szCs w:val="22"/>
        </w:rPr>
      </w:pPr>
      <w:r w:rsidRPr="00946C14">
        <w:rPr>
          <w:rFonts w:ascii="Arial" w:hAnsi="Arial" w:cs="Arial"/>
          <w:b/>
          <w:bCs/>
          <w:sz w:val="22"/>
          <w:szCs w:val="22"/>
        </w:rPr>
        <w:t>Software Development</w:t>
      </w:r>
    </w:p>
    <w:p w14:paraId="723F6698" w14:textId="77777777" w:rsidR="00946C14" w:rsidRPr="00946C14" w:rsidRDefault="00946C14" w:rsidP="00946C14">
      <w:pPr>
        <w:numPr>
          <w:ilvl w:val="0"/>
          <w:numId w:val="75"/>
        </w:numPr>
        <w:spacing w:line="360" w:lineRule="auto"/>
        <w:rPr>
          <w:rFonts w:ascii="Arial" w:hAnsi="Arial" w:cs="Arial"/>
          <w:sz w:val="22"/>
          <w:szCs w:val="22"/>
        </w:rPr>
      </w:pPr>
      <w:r w:rsidRPr="00946C14">
        <w:rPr>
          <w:rFonts w:ascii="Arial" w:hAnsi="Arial" w:cs="Arial"/>
          <w:b/>
          <w:bCs/>
          <w:sz w:val="22"/>
          <w:szCs w:val="22"/>
        </w:rPr>
        <w:t>Benefits:</w:t>
      </w:r>
      <w:r w:rsidRPr="00946C14">
        <w:rPr>
          <w:rFonts w:ascii="Arial" w:hAnsi="Arial" w:cs="Arial"/>
          <w:sz w:val="22"/>
          <w:szCs w:val="22"/>
        </w:rPr>
        <w:t xml:space="preserve"> Drives user satisfaction and device functionality.</w:t>
      </w:r>
    </w:p>
    <w:p w14:paraId="054FD833" w14:textId="77777777" w:rsidR="00946C14" w:rsidRPr="00946C14" w:rsidRDefault="00946C14" w:rsidP="00946C14">
      <w:pPr>
        <w:numPr>
          <w:ilvl w:val="0"/>
          <w:numId w:val="75"/>
        </w:numPr>
        <w:spacing w:line="360" w:lineRule="auto"/>
        <w:rPr>
          <w:rFonts w:ascii="Arial" w:hAnsi="Arial" w:cs="Arial"/>
          <w:sz w:val="22"/>
          <w:szCs w:val="22"/>
        </w:rPr>
      </w:pPr>
      <w:r w:rsidRPr="00946C14">
        <w:rPr>
          <w:rFonts w:ascii="Arial" w:hAnsi="Arial" w:cs="Arial"/>
          <w:b/>
          <w:bCs/>
          <w:sz w:val="22"/>
          <w:szCs w:val="22"/>
        </w:rPr>
        <w:t>Challenges:</w:t>
      </w:r>
      <w:r w:rsidRPr="00946C14">
        <w:rPr>
          <w:rFonts w:ascii="Arial" w:hAnsi="Arial" w:cs="Arial"/>
          <w:sz w:val="22"/>
          <w:szCs w:val="22"/>
        </w:rPr>
        <w:t xml:space="preserve"> Ensuring cybersecurity, data accuracy, multi-device compatibility.</w:t>
      </w:r>
    </w:p>
    <w:p w14:paraId="6325BD1F" w14:textId="77777777" w:rsidR="00946C14" w:rsidRPr="00946C14" w:rsidRDefault="00946C14" w:rsidP="00946C14">
      <w:pPr>
        <w:numPr>
          <w:ilvl w:val="0"/>
          <w:numId w:val="75"/>
        </w:numPr>
        <w:spacing w:line="360" w:lineRule="auto"/>
        <w:rPr>
          <w:rFonts w:ascii="Arial" w:hAnsi="Arial" w:cs="Arial"/>
          <w:sz w:val="22"/>
          <w:szCs w:val="22"/>
        </w:rPr>
      </w:pPr>
      <w:r w:rsidRPr="00946C14">
        <w:rPr>
          <w:rFonts w:ascii="Arial" w:hAnsi="Arial" w:cs="Arial"/>
          <w:b/>
          <w:bCs/>
          <w:sz w:val="22"/>
          <w:szCs w:val="22"/>
        </w:rPr>
        <w:t>Dependencies:</w:t>
      </w:r>
      <w:r w:rsidRPr="00946C14">
        <w:rPr>
          <w:rFonts w:ascii="Arial" w:hAnsi="Arial" w:cs="Arial"/>
          <w:sz w:val="22"/>
          <w:szCs w:val="22"/>
        </w:rPr>
        <w:t xml:space="preserve"> R&amp;D data, cloud providers, regulatory constraints.</w:t>
      </w:r>
    </w:p>
    <w:p w14:paraId="39D528A0" w14:textId="77777777" w:rsidR="00946C14" w:rsidRPr="00946C14" w:rsidRDefault="00946C14" w:rsidP="00946C14">
      <w:pPr>
        <w:spacing w:line="360" w:lineRule="auto"/>
        <w:rPr>
          <w:rFonts w:ascii="Arial" w:hAnsi="Arial" w:cs="Arial"/>
          <w:b/>
          <w:bCs/>
          <w:sz w:val="22"/>
          <w:szCs w:val="22"/>
        </w:rPr>
      </w:pPr>
      <w:r w:rsidRPr="00946C14">
        <w:rPr>
          <w:rFonts w:ascii="Arial" w:hAnsi="Arial" w:cs="Arial"/>
          <w:b/>
          <w:bCs/>
          <w:sz w:val="22"/>
          <w:szCs w:val="22"/>
        </w:rPr>
        <w:t>Marketing Team</w:t>
      </w:r>
    </w:p>
    <w:p w14:paraId="41845E36" w14:textId="77777777" w:rsidR="00946C14" w:rsidRPr="00946C14" w:rsidRDefault="00946C14" w:rsidP="00946C14">
      <w:pPr>
        <w:numPr>
          <w:ilvl w:val="0"/>
          <w:numId w:val="76"/>
        </w:numPr>
        <w:spacing w:line="360" w:lineRule="auto"/>
        <w:rPr>
          <w:rFonts w:ascii="Arial" w:hAnsi="Arial" w:cs="Arial"/>
          <w:sz w:val="22"/>
          <w:szCs w:val="22"/>
        </w:rPr>
      </w:pPr>
      <w:r w:rsidRPr="00946C14">
        <w:rPr>
          <w:rFonts w:ascii="Arial" w:hAnsi="Arial" w:cs="Arial"/>
          <w:b/>
          <w:bCs/>
          <w:sz w:val="22"/>
          <w:szCs w:val="22"/>
        </w:rPr>
        <w:t>Benefits:</w:t>
      </w:r>
      <w:r w:rsidRPr="00946C14">
        <w:rPr>
          <w:rFonts w:ascii="Arial" w:hAnsi="Arial" w:cs="Arial"/>
          <w:sz w:val="22"/>
          <w:szCs w:val="22"/>
        </w:rPr>
        <w:t xml:space="preserve"> Shapes consumer perception and market entry.</w:t>
      </w:r>
    </w:p>
    <w:p w14:paraId="0E1F2087" w14:textId="77777777" w:rsidR="00946C14" w:rsidRPr="00946C14" w:rsidRDefault="00946C14" w:rsidP="00946C14">
      <w:pPr>
        <w:numPr>
          <w:ilvl w:val="0"/>
          <w:numId w:val="76"/>
        </w:numPr>
        <w:spacing w:line="360" w:lineRule="auto"/>
        <w:rPr>
          <w:rFonts w:ascii="Arial" w:hAnsi="Arial" w:cs="Arial"/>
          <w:sz w:val="22"/>
          <w:szCs w:val="22"/>
        </w:rPr>
      </w:pPr>
      <w:r w:rsidRPr="00946C14">
        <w:rPr>
          <w:rFonts w:ascii="Arial" w:hAnsi="Arial" w:cs="Arial"/>
          <w:b/>
          <w:bCs/>
          <w:sz w:val="22"/>
          <w:szCs w:val="22"/>
        </w:rPr>
        <w:t>Challenges:</w:t>
      </w:r>
      <w:r w:rsidRPr="00946C14">
        <w:rPr>
          <w:rFonts w:ascii="Arial" w:hAnsi="Arial" w:cs="Arial"/>
          <w:sz w:val="22"/>
          <w:szCs w:val="22"/>
        </w:rPr>
        <w:t xml:space="preserve"> Competing with major lifestyle brands.</w:t>
      </w:r>
    </w:p>
    <w:p w14:paraId="5B2F8587" w14:textId="77777777" w:rsidR="00946C14" w:rsidRPr="00946C14" w:rsidRDefault="00946C14" w:rsidP="00946C14">
      <w:pPr>
        <w:numPr>
          <w:ilvl w:val="0"/>
          <w:numId w:val="76"/>
        </w:numPr>
        <w:spacing w:line="360" w:lineRule="auto"/>
        <w:rPr>
          <w:rFonts w:ascii="Arial" w:hAnsi="Arial" w:cs="Arial"/>
          <w:sz w:val="22"/>
          <w:szCs w:val="22"/>
        </w:rPr>
      </w:pPr>
      <w:r w:rsidRPr="00946C14">
        <w:rPr>
          <w:rFonts w:ascii="Arial" w:hAnsi="Arial" w:cs="Arial"/>
          <w:b/>
          <w:bCs/>
          <w:sz w:val="22"/>
          <w:szCs w:val="22"/>
        </w:rPr>
        <w:t>Dependencies:</w:t>
      </w:r>
      <w:r w:rsidRPr="00946C14">
        <w:rPr>
          <w:rFonts w:ascii="Arial" w:hAnsi="Arial" w:cs="Arial"/>
          <w:sz w:val="22"/>
          <w:szCs w:val="22"/>
        </w:rPr>
        <w:t xml:space="preserve"> Regulatory-approved claims, sales forecasting.</w:t>
      </w:r>
    </w:p>
    <w:p w14:paraId="49226582" w14:textId="77777777" w:rsidR="00946C14" w:rsidRPr="00946C14" w:rsidRDefault="00946C14" w:rsidP="00946C14">
      <w:pPr>
        <w:spacing w:line="360" w:lineRule="auto"/>
        <w:rPr>
          <w:rFonts w:ascii="Arial" w:hAnsi="Arial" w:cs="Arial"/>
          <w:b/>
          <w:bCs/>
          <w:sz w:val="22"/>
          <w:szCs w:val="22"/>
        </w:rPr>
      </w:pPr>
      <w:r w:rsidRPr="00946C14">
        <w:rPr>
          <w:rFonts w:ascii="Arial" w:hAnsi="Arial" w:cs="Arial"/>
          <w:b/>
          <w:bCs/>
          <w:sz w:val="22"/>
          <w:szCs w:val="22"/>
        </w:rPr>
        <w:t>Sales Department</w:t>
      </w:r>
    </w:p>
    <w:p w14:paraId="479D016B" w14:textId="77777777" w:rsidR="00946C14" w:rsidRPr="00946C14" w:rsidRDefault="00946C14" w:rsidP="00946C14">
      <w:pPr>
        <w:numPr>
          <w:ilvl w:val="0"/>
          <w:numId w:val="77"/>
        </w:numPr>
        <w:spacing w:line="360" w:lineRule="auto"/>
        <w:rPr>
          <w:rFonts w:ascii="Arial" w:hAnsi="Arial" w:cs="Arial"/>
          <w:sz w:val="22"/>
          <w:szCs w:val="22"/>
        </w:rPr>
      </w:pPr>
      <w:r w:rsidRPr="00946C14">
        <w:rPr>
          <w:rFonts w:ascii="Arial" w:hAnsi="Arial" w:cs="Arial"/>
          <w:b/>
          <w:bCs/>
          <w:sz w:val="22"/>
          <w:szCs w:val="22"/>
        </w:rPr>
        <w:t>Benefits:</w:t>
      </w:r>
      <w:r w:rsidRPr="00946C14">
        <w:rPr>
          <w:rFonts w:ascii="Arial" w:hAnsi="Arial" w:cs="Arial"/>
          <w:sz w:val="22"/>
          <w:szCs w:val="22"/>
        </w:rPr>
        <w:t xml:space="preserve"> Generates revenue and retail access.</w:t>
      </w:r>
    </w:p>
    <w:p w14:paraId="6D4C53DD" w14:textId="77777777" w:rsidR="00946C14" w:rsidRPr="00946C14" w:rsidRDefault="00946C14" w:rsidP="00946C14">
      <w:pPr>
        <w:numPr>
          <w:ilvl w:val="0"/>
          <w:numId w:val="77"/>
        </w:numPr>
        <w:spacing w:line="360" w:lineRule="auto"/>
        <w:rPr>
          <w:rFonts w:ascii="Arial" w:hAnsi="Arial" w:cs="Arial"/>
          <w:sz w:val="22"/>
          <w:szCs w:val="22"/>
        </w:rPr>
      </w:pPr>
      <w:r w:rsidRPr="00946C14">
        <w:rPr>
          <w:rFonts w:ascii="Arial" w:hAnsi="Arial" w:cs="Arial"/>
          <w:b/>
          <w:bCs/>
          <w:sz w:val="22"/>
          <w:szCs w:val="22"/>
        </w:rPr>
        <w:lastRenderedPageBreak/>
        <w:t>Challenges:</w:t>
      </w:r>
      <w:r w:rsidRPr="00946C14">
        <w:rPr>
          <w:rFonts w:ascii="Arial" w:hAnsi="Arial" w:cs="Arial"/>
          <w:sz w:val="22"/>
          <w:szCs w:val="22"/>
        </w:rPr>
        <w:t xml:space="preserve"> Competitive negotiations, stock availability.</w:t>
      </w:r>
    </w:p>
    <w:p w14:paraId="243A3801" w14:textId="77777777" w:rsidR="00946C14" w:rsidRPr="00946C14" w:rsidRDefault="00946C14" w:rsidP="00946C14">
      <w:pPr>
        <w:numPr>
          <w:ilvl w:val="0"/>
          <w:numId w:val="77"/>
        </w:numPr>
        <w:spacing w:line="360" w:lineRule="auto"/>
        <w:rPr>
          <w:rFonts w:ascii="Arial" w:hAnsi="Arial" w:cs="Arial"/>
          <w:sz w:val="22"/>
          <w:szCs w:val="22"/>
        </w:rPr>
      </w:pPr>
      <w:r w:rsidRPr="00946C14">
        <w:rPr>
          <w:rFonts w:ascii="Arial" w:hAnsi="Arial" w:cs="Arial"/>
          <w:b/>
          <w:bCs/>
          <w:sz w:val="22"/>
          <w:szCs w:val="22"/>
        </w:rPr>
        <w:t>Dependencies:</w:t>
      </w:r>
      <w:r w:rsidRPr="00946C14">
        <w:rPr>
          <w:rFonts w:ascii="Arial" w:hAnsi="Arial" w:cs="Arial"/>
          <w:sz w:val="22"/>
          <w:szCs w:val="22"/>
        </w:rPr>
        <w:t xml:space="preserve"> Marketing alignment, supply chain.</w:t>
      </w:r>
    </w:p>
    <w:p w14:paraId="6883356F" w14:textId="77777777" w:rsidR="00946C14" w:rsidRPr="00946C14" w:rsidRDefault="00946C14" w:rsidP="00946C14">
      <w:pPr>
        <w:spacing w:line="360" w:lineRule="auto"/>
        <w:rPr>
          <w:rFonts w:ascii="Arial" w:hAnsi="Arial" w:cs="Arial"/>
          <w:b/>
          <w:bCs/>
          <w:sz w:val="22"/>
          <w:szCs w:val="22"/>
        </w:rPr>
      </w:pPr>
      <w:r w:rsidRPr="00946C14">
        <w:rPr>
          <w:rFonts w:ascii="Arial" w:hAnsi="Arial" w:cs="Arial"/>
          <w:b/>
          <w:bCs/>
          <w:sz w:val="22"/>
          <w:szCs w:val="22"/>
        </w:rPr>
        <w:t>Regulatory Affairs</w:t>
      </w:r>
    </w:p>
    <w:p w14:paraId="0CA5D093" w14:textId="77777777" w:rsidR="00946C14" w:rsidRPr="00946C14" w:rsidRDefault="00946C14" w:rsidP="00946C14">
      <w:pPr>
        <w:numPr>
          <w:ilvl w:val="0"/>
          <w:numId w:val="78"/>
        </w:numPr>
        <w:spacing w:line="360" w:lineRule="auto"/>
        <w:rPr>
          <w:rFonts w:ascii="Arial" w:hAnsi="Arial" w:cs="Arial"/>
          <w:sz w:val="22"/>
          <w:szCs w:val="22"/>
        </w:rPr>
      </w:pPr>
      <w:r w:rsidRPr="00946C14">
        <w:rPr>
          <w:rFonts w:ascii="Arial" w:hAnsi="Arial" w:cs="Arial"/>
          <w:b/>
          <w:bCs/>
          <w:sz w:val="22"/>
          <w:szCs w:val="22"/>
        </w:rPr>
        <w:t>Benefits:</w:t>
      </w:r>
      <w:r w:rsidRPr="00946C14">
        <w:rPr>
          <w:rFonts w:ascii="Arial" w:hAnsi="Arial" w:cs="Arial"/>
          <w:sz w:val="22"/>
          <w:szCs w:val="22"/>
        </w:rPr>
        <w:t xml:space="preserve"> Protects the organisation from legal risks.</w:t>
      </w:r>
    </w:p>
    <w:p w14:paraId="503F446F" w14:textId="77777777" w:rsidR="00946C14" w:rsidRPr="00946C14" w:rsidRDefault="00946C14" w:rsidP="00946C14">
      <w:pPr>
        <w:numPr>
          <w:ilvl w:val="0"/>
          <w:numId w:val="78"/>
        </w:numPr>
        <w:spacing w:line="360" w:lineRule="auto"/>
        <w:rPr>
          <w:rFonts w:ascii="Arial" w:hAnsi="Arial" w:cs="Arial"/>
          <w:sz w:val="22"/>
          <w:szCs w:val="22"/>
        </w:rPr>
      </w:pPr>
      <w:r w:rsidRPr="00946C14">
        <w:rPr>
          <w:rFonts w:ascii="Arial" w:hAnsi="Arial" w:cs="Arial"/>
          <w:b/>
          <w:bCs/>
          <w:sz w:val="22"/>
          <w:szCs w:val="22"/>
        </w:rPr>
        <w:t>Challenges:</w:t>
      </w:r>
      <w:r w:rsidRPr="00946C14">
        <w:rPr>
          <w:rFonts w:ascii="Arial" w:hAnsi="Arial" w:cs="Arial"/>
          <w:sz w:val="22"/>
          <w:szCs w:val="22"/>
        </w:rPr>
        <w:t xml:space="preserve"> Time-intensive documentation and evidence gathering.</w:t>
      </w:r>
    </w:p>
    <w:p w14:paraId="26313689" w14:textId="77777777" w:rsidR="00946C14" w:rsidRPr="00946C14" w:rsidRDefault="00946C14" w:rsidP="00946C14">
      <w:pPr>
        <w:numPr>
          <w:ilvl w:val="0"/>
          <w:numId w:val="78"/>
        </w:numPr>
        <w:spacing w:line="360" w:lineRule="auto"/>
        <w:rPr>
          <w:rFonts w:ascii="Arial" w:hAnsi="Arial" w:cs="Arial"/>
          <w:sz w:val="22"/>
          <w:szCs w:val="22"/>
        </w:rPr>
      </w:pPr>
      <w:r w:rsidRPr="00946C14">
        <w:rPr>
          <w:rFonts w:ascii="Arial" w:hAnsi="Arial" w:cs="Arial"/>
          <w:b/>
          <w:bCs/>
          <w:sz w:val="22"/>
          <w:szCs w:val="22"/>
        </w:rPr>
        <w:t>Dependencies:</w:t>
      </w:r>
      <w:r w:rsidRPr="00946C14">
        <w:rPr>
          <w:rFonts w:ascii="Arial" w:hAnsi="Arial" w:cs="Arial"/>
          <w:sz w:val="22"/>
          <w:szCs w:val="22"/>
        </w:rPr>
        <w:t xml:space="preserve"> R&amp;D data, clinical trial outcomes.</w:t>
      </w:r>
    </w:p>
    <w:p w14:paraId="4905E1F0" w14:textId="77777777" w:rsidR="00946C14" w:rsidRPr="00946C14" w:rsidRDefault="00946C14" w:rsidP="00946C14">
      <w:pPr>
        <w:spacing w:line="360" w:lineRule="auto"/>
        <w:rPr>
          <w:rFonts w:ascii="Arial" w:hAnsi="Arial" w:cs="Arial"/>
          <w:b/>
          <w:bCs/>
          <w:sz w:val="22"/>
          <w:szCs w:val="22"/>
        </w:rPr>
      </w:pPr>
      <w:r w:rsidRPr="00946C14">
        <w:rPr>
          <w:rFonts w:ascii="Arial" w:hAnsi="Arial" w:cs="Arial"/>
          <w:b/>
          <w:bCs/>
          <w:sz w:val="22"/>
          <w:szCs w:val="22"/>
        </w:rPr>
        <w:t>Consumers</w:t>
      </w:r>
    </w:p>
    <w:p w14:paraId="01B98890" w14:textId="77777777" w:rsidR="00946C14" w:rsidRPr="00946C14" w:rsidRDefault="00946C14" w:rsidP="00946C14">
      <w:pPr>
        <w:numPr>
          <w:ilvl w:val="0"/>
          <w:numId w:val="79"/>
        </w:numPr>
        <w:spacing w:line="360" w:lineRule="auto"/>
        <w:rPr>
          <w:rFonts w:ascii="Arial" w:hAnsi="Arial" w:cs="Arial"/>
          <w:sz w:val="22"/>
          <w:szCs w:val="22"/>
        </w:rPr>
      </w:pPr>
      <w:r w:rsidRPr="00946C14">
        <w:rPr>
          <w:rFonts w:ascii="Arial" w:hAnsi="Arial" w:cs="Arial"/>
          <w:b/>
          <w:bCs/>
          <w:sz w:val="22"/>
          <w:szCs w:val="22"/>
        </w:rPr>
        <w:t>Benefits:</w:t>
      </w:r>
      <w:r w:rsidRPr="00946C14">
        <w:rPr>
          <w:rFonts w:ascii="Arial" w:hAnsi="Arial" w:cs="Arial"/>
          <w:sz w:val="22"/>
          <w:szCs w:val="22"/>
        </w:rPr>
        <w:t xml:space="preserve"> Improved health tracking and insights.</w:t>
      </w:r>
    </w:p>
    <w:p w14:paraId="45B89DA8" w14:textId="77777777" w:rsidR="00946C14" w:rsidRPr="00946C14" w:rsidRDefault="00946C14" w:rsidP="00946C14">
      <w:pPr>
        <w:numPr>
          <w:ilvl w:val="0"/>
          <w:numId w:val="79"/>
        </w:numPr>
        <w:spacing w:line="360" w:lineRule="auto"/>
        <w:rPr>
          <w:rFonts w:ascii="Arial" w:hAnsi="Arial" w:cs="Arial"/>
          <w:sz w:val="22"/>
          <w:szCs w:val="22"/>
        </w:rPr>
      </w:pPr>
      <w:r w:rsidRPr="00946C14">
        <w:rPr>
          <w:rFonts w:ascii="Arial" w:hAnsi="Arial" w:cs="Arial"/>
          <w:b/>
          <w:bCs/>
          <w:sz w:val="22"/>
          <w:szCs w:val="22"/>
        </w:rPr>
        <w:t>Challenges:</w:t>
      </w:r>
      <w:r w:rsidRPr="00946C14">
        <w:rPr>
          <w:rFonts w:ascii="Arial" w:hAnsi="Arial" w:cs="Arial"/>
          <w:sz w:val="22"/>
          <w:szCs w:val="22"/>
        </w:rPr>
        <w:t xml:space="preserve"> Data privacy concerns.</w:t>
      </w:r>
    </w:p>
    <w:p w14:paraId="5685095A" w14:textId="77777777" w:rsidR="00946C14" w:rsidRPr="00946C14" w:rsidRDefault="00946C14" w:rsidP="00946C14">
      <w:pPr>
        <w:numPr>
          <w:ilvl w:val="0"/>
          <w:numId w:val="79"/>
        </w:numPr>
        <w:spacing w:line="360" w:lineRule="auto"/>
        <w:rPr>
          <w:rFonts w:ascii="Arial" w:hAnsi="Arial" w:cs="Arial"/>
          <w:sz w:val="22"/>
          <w:szCs w:val="22"/>
        </w:rPr>
      </w:pPr>
      <w:r w:rsidRPr="00946C14">
        <w:rPr>
          <w:rFonts w:ascii="Arial" w:hAnsi="Arial" w:cs="Arial"/>
          <w:b/>
          <w:bCs/>
          <w:sz w:val="22"/>
          <w:szCs w:val="22"/>
        </w:rPr>
        <w:t>Dependencies:</w:t>
      </w:r>
      <w:r w:rsidRPr="00946C14">
        <w:rPr>
          <w:rFonts w:ascii="Arial" w:hAnsi="Arial" w:cs="Arial"/>
          <w:sz w:val="22"/>
          <w:szCs w:val="22"/>
        </w:rPr>
        <w:t xml:space="preserve"> Clear instructions, responsive support.</w:t>
      </w:r>
    </w:p>
    <w:p w14:paraId="48C4B1F0" w14:textId="77777777" w:rsidR="00946C14" w:rsidRPr="00946C14" w:rsidRDefault="00946C14" w:rsidP="00946C14">
      <w:pPr>
        <w:spacing w:line="360" w:lineRule="auto"/>
        <w:rPr>
          <w:rFonts w:ascii="Arial" w:hAnsi="Arial" w:cs="Arial"/>
          <w:b/>
          <w:bCs/>
          <w:sz w:val="22"/>
          <w:szCs w:val="22"/>
        </w:rPr>
      </w:pPr>
      <w:r w:rsidRPr="00946C14">
        <w:rPr>
          <w:rFonts w:ascii="Arial" w:hAnsi="Arial" w:cs="Arial"/>
          <w:b/>
          <w:bCs/>
          <w:sz w:val="22"/>
          <w:szCs w:val="22"/>
        </w:rPr>
        <w:t>Suppliers</w:t>
      </w:r>
    </w:p>
    <w:p w14:paraId="3CEB21C6" w14:textId="77777777" w:rsidR="00946C14" w:rsidRPr="00946C14" w:rsidRDefault="00946C14" w:rsidP="00946C14">
      <w:pPr>
        <w:numPr>
          <w:ilvl w:val="0"/>
          <w:numId w:val="80"/>
        </w:numPr>
        <w:spacing w:line="360" w:lineRule="auto"/>
        <w:rPr>
          <w:rFonts w:ascii="Arial" w:hAnsi="Arial" w:cs="Arial"/>
          <w:sz w:val="22"/>
          <w:szCs w:val="22"/>
        </w:rPr>
      </w:pPr>
      <w:r w:rsidRPr="00946C14">
        <w:rPr>
          <w:rFonts w:ascii="Arial" w:hAnsi="Arial" w:cs="Arial"/>
          <w:b/>
          <w:bCs/>
          <w:sz w:val="22"/>
          <w:szCs w:val="22"/>
        </w:rPr>
        <w:t>Benefits:</w:t>
      </w:r>
      <w:r w:rsidRPr="00946C14">
        <w:rPr>
          <w:rFonts w:ascii="Arial" w:hAnsi="Arial" w:cs="Arial"/>
          <w:sz w:val="22"/>
          <w:szCs w:val="22"/>
        </w:rPr>
        <w:t xml:space="preserve"> Stable contracts.</w:t>
      </w:r>
    </w:p>
    <w:p w14:paraId="237B7DC0" w14:textId="77777777" w:rsidR="00946C14" w:rsidRPr="00946C14" w:rsidRDefault="00946C14" w:rsidP="00946C14">
      <w:pPr>
        <w:numPr>
          <w:ilvl w:val="0"/>
          <w:numId w:val="80"/>
        </w:numPr>
        <w:spacing w:line="360" w:lineRule="auto"/>
        <w:rPr>
          <w:rFonts w:ascii="Arial" w:hAnsi="Arial" w:cs="Arial"/>
          <w:sz w:val="22"/>
          <w:szCs w:val="22"/>
        </w:rPr>
      </w:pPr>
      <w:r w:rsidRPr="00946C14">
        <w:rPr>
          <w:rFonts w:ascii="Arial" w:hAnsi="Arial" w:cs="Arial"/>
          <w:b/>
          <w:bCs/>
          <w:sz w:val="22"/>
          <w:szCs w:val="22"/>
        </w:rPr>
        <w:t>Challenges:</w:t>
      </w:r>
      <w:r w:rsidRPr="00946C14">
        <w:rPr>
          <w:rFonts w:ascii="Arial" w:hAnsi="Arial" w:cs="Arial"/>
          <w:sz w:val="22"/>
          <w:szCs w:val="22"/>
        </w:rPr>
        <w:t xml:space="preserve"> Component shortages.</w:t>
      </w:r>
    </w:p>
    <w:p w14:paraId="5393F9E7" w14:textId="77777777" w:rsidR="00946C14" w:rsidRPr="00946C14" w:rsidRDefault="00946C14" w:rsidP="00946C14">
      <w:pPr>
        <w:numPr>
          <w:ilvl w:val="0"/>
          <w:numId w:val="80"/>
        </w:numPr>
        <w:spacing w:line="360" w:lineRule="auto"/>
        <w:rPr>
          <w:rFonts w:ascii="Arial" w:hAnsi="Arial" w:cs="Arial"/>
          <w:sz w:val="22"/>
          <w:szCs w:val="22"/>
        </w:rPr>
      </w:pPr>
      <w:r w:rsidRPr="00946C14">
        <w:rPr>
          <w:rFonts w:ascii="Arial" w:hAnsi="Arial" w:cs="Arial"/>
          <w:b/>
          <w:bCs/>
          <w:sz w:val="22"/>
          <w:szCs w:val="22"/>
        </w:rPr>
        <w:t>Dependencies:</w:t>
      </w:r>
      <w:r w:rsidRPr="00946C14">
        <w:rPr>
          <w:rFonts w:ascii="Arial" w:hAnsi="Arial" w:cs="Arial"/>
          <w:sz w:val="22"/>
          <w:szCs w:val="22"/>
        </w:rPr>
        <w:t xml:space="preserve"> Forecasting and communication.</w:t>
      </w:r>
    </w:p>
    <w:p w14:paraId="6EE6F3DF" w14:textId="77777777" w:rsidR="00946C14" w:rsidRPr="00946C14" w:rsidRDefault="00946C14" w:rsidP="00946C14">
      <w:pPr>
        <w:spacing w:line="360" w:lineRule="auto"/>
        <w:rPr>
          <w:rFonts w:ascii="Arial" w:hAnsi="Arial" w:cs="Arial"/>
          <w:b/>
          <w:bCs/>
          <w:sz w:val="22"/>
          <w:szCs w:val="22"/>
        </w:rPr>
      </w:pPr>
      <w:r w:rsidRPr="00946C14">
        <w:rPr>
          <w:rFonts w:ascii="Arial" w:hAnsi="Arial" w:cs="Arial"/>
          <w:b/>
          <w:bCs/>
          <w:sz w:val="22"/>
          <w:szCs w:val="22"/>
        </w:rPr>
        <w:t>Healthcare Professionals</w:t>
      </w:r>
    </w:p>
    <w:p w14:paraId="2D26B3DD" w14:textId="77777777" w:rsidR="00946C14" w:rsidRPr="00946C14" w:rsidRDefault="00946C14" w:rsidP="00946C14">
      <w:pPr>
        <w:numPr>
          <w:ilvl w:val="0"/>
          <w:numId w:val="81"/>
        </w:numPr>
        <w:spacing w:line="360" w:lineRule="auto"/>
        <w:rPr>
          <w:rFonts w:ascii="Arial" w:hAnsi="Arial" w:cs="Arial"/>
          <w:sz w:val="22"/>
          <w:szCs w:val="22"/>
        </w:rPr>
      </w:pPr>
      <w:r w:rsidRPr="00946C14">
        <w:rPr>
          <w:rFonts w:ascii="Arial" w:hAnsi="Arial" w:cs="Arial"/>
          <w:b/>
          <w:bCs/>
          <w:sz w:val="22"/>
          <w:szCs w:val="22"/>
        </w:rPr>
        <w:t>Benefits:</w:t>
      </w:r>
      <w:r w:rsidRPr="00946C14">
        <w:rPr>
          <w:rFonts w:ascii="Arial" w:hAnsi="Arial" w:cs="Arial"/>
          <w:sz w:val="22"/>
          <w:szCs w:val="22"/>
        </w:rPr>
        <w:t xml:space="preserve"> Better patient monitoring.</w:t>
      </w:r>
    </w:p>
    <w:p w14:paraId="40CEF6E2" w14:textId="77777777" w:rsidR="00946C14" w:rsidRPr="00946C14" w:rsidRDefault="00946C14" w:rsidP="00946C14">
      <w:pPr>
        <w:numPr>
          <w:ilvl w:val="0"/>
          <w:numId w:val="81"/>
        </w:numPr>
        <w:spacing w:line="360" w:lineRule="auto"/>
        <w:rPr>
          <w:rFonts w:ascii="Arial" w:hAnsi="Arial" w:cs="Arial"/>
          <w:sz w:val="22"/>
          <w:szCs w:val="22"/>
        </w:rPr>
      </w:pPr>
      <w:r w:rsidRPr="00946C14">
        <w:rPr>
          <w:rFonts w:ascii="Arial" w:hAnsi="Arial" w:cs="Arial"/>
          <w:b/>
          <w:bCs/>
          <w:sz w:val="22"/>
          <w:szCs w:val="22"/>
        </w:rPr>
        <w:t>Challenges:</w:t>
      </w:r>
      <w:r w:rsidRPr="00946C14">
        <w:rPr>
          <w:rFonts w:ascii="Arial" w:hAnsi="Arial" w:cs="Arial"/>
          <w:sz w:val="22"/>
          <w:szCs w:val="22"/>
        </w:rPr>
        <w:t xml:space="preserve"> Require strong clinical evidence.</w:t>
      </w:r>
    </w:p>
    <w:p w14:paraId="5EE20E85" w14:textId="77777777" w:rsidR="00946C14" w:rsidRPr="00946C14" w:rsidRDefault="00946C14" w:rsidP="00946C14">
      <w:pPr>
        <w:numPr>
          <w:ilvl w:val="0"/>
          <w:numId w:val="81"/>
        </w:numPr>
        <w:spacing w:line="360" w:lineRule="auto"/>
        <w:rPr>
          <w:rFonts w:ascii="Arial" w:hAnsi="Arial" w:cs="Arial"/>
          <w:sz w:val="22"/>
          <w:szCs w:val="22"/>
        </w:rPr>
      </w:pPr>
      <w:r w:rsidRPr="00946C14">
        <w:rPr>
          <w:rFonts w:ascii="Arial" w:hAnsi="Arial" w:cs="Arial"/>
          <w:b/>
          <w:bCs/>
          <w:sz w:val="22"/>
          <w:szCs w:val="22"/>
        </w:rPr>
        <w:t>Dependencies:</w:t>
      </w:r>
      <w:r w:rsidRPr="00946C14">
        <w:rPr>
          <w:rFonts w:ascii="Arial" w:hAnsi="Arial" w:cs="Arial"/>
          <w:sz w:val="22"/>
          <w:szCs w:val="22"/>
        </w:rPr>
        <w:t xml:space="preserve"> Validation studies, device accuracy.</w:t>
      </w:r>
    </w:p>
    <w:p w14:paraId="2153FD07" w14:textId="77777777" w:rsidR="00946C14" w:rsidRPr="00946C14" w:rsidRDefault="00946C14" w:rsidP="00946C14">
      <w:pPr>
        <w:spacing w:line="360" w:lineRule="auto"/>
        <w:rPr>
          <w:rFonts w:ascii="Arial" w:hAnsi="Arial" w:cs="Arial"/>
          <w:b/>
          <w:bCs/>
          <w:sz w:val="22"/>
          <w:szCs w:val="22"/>
        </w:rPr>
      </w:pPr>
      <w:r w:rsidRPr="00946C14">
        <w:rPr>
          <w:rFonts w:ascii="Arial" w:hAnsi="Arial" w:cs="Arial"/>
          <w:b/>
          <w:bCs/>
          <w:sz w:val="22"/>
          <w:szCs w:val="22"/>
        </w:rPr>
        <w:t>4.3 RACI Matrix</w:t>
      </w:r>
    </w:p>
    <w:tbl>
      <w:tblPr>
        <w:tblW w:w="8926"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99"/>
        <w:gridCol w:w="1542"/>
        <w:gridCol w:w="1401"/>
        <w:gridCol w:w="1156"/>
        <w:gridCol w:w="2328"/>
      </w:tblGrid>
      <w:tr w:rsidR="00946C14" w:rsidRPr="00946C14" w14:paraId="71B179C9" w14:textId="77777777" w:rsidTr="00E3213D">
        <w:trPr>
          <w:tblCellSpacing w:w="15" w:type="dxa"/>
        </w:trPr>
        <w:tc>
          <w:tcPr>
            <w:tcW w:w="0" w:type="auto"/>
            <w:shd w:val="clear" w:color="auto" w:fill="E8E8E8" w:themeFill="background2"/>
            <w:vAlign w:val="center"/>
            <w:hideMark/>
          </w:tcPr>
          <w:p w14:paraId="2E1EC0EC" w14:textId="77777777" w:rsidR="00946C14" w:rsidRPr="00946C14" w:rsidRDefault="00946C14" w:rsidP="00946C14">
            <w:pPr>
              <w:spacing w:line="360" w:lineRule="auto"/>
              <w:rPr>
                <w:rFonts w:ascii="Arial" w:hAnsi="Arial" w:cs="Arial"/>
                <w:sz w:val="22"/>
                <w:szCs w:val="22"/>
              </w:rPr>
            </w:pPr>
            <w:r w:rsidRPr="00946C14">
              <w:rPr>
                <w:rFonts w:ascii="Arial" w:hAnsi="Arial" w:cs="Arial"/>
                <w:b/>
                <w:bCs/>
                <w:sz w:val="22"/>
                <w:szCs w:val="22"/>
              </w:rPr>
              <w:t>Task</w:t>
            </w:r>
          </w:p>
        </w:tc>
        <w:tc>
          <w:tcPr>
            <w:tcW w:w="0" w:type="auto"/>
            <w:shd w:val="clear" w:color="auto" w:fill="E8E8E8" w:themeFill="background2"/>
            <w:vAlign w:val="center"/>
            <w:hideMark/>
          </w:tcPr>
          <w:p w14:paraId="6CDBED3B" w14:textId="77777777" w:rsidR="00946C14" w:rsidRPr="00946C14" w:rsidRDefault="00946C14" w:rsidP="00946C14">
            <w:pPr>
              <w:spacing w:line="360" w:lineRule="auto"/>
              <w:rPr>
                <w:rFonts w:ascii="Arial" w:hAnsi="Arial" w:cs="Arial"/>
                <w:sz w:val="22"/>
                <w:szCs w:val="22"/>
              </w:rPr>
            </w:pPr>
            <w:r w:rsidRPr="00946C14">
              <w:rPr>
                <w:rFonts w:ascii="Arial" w:hAnsi="Arial" w:cs="Arial"/>
                <w:b/>
                <w:bCs/>
                <w:sz w:val="22"/>
                <w:szCs w:val="22"/>
              </w:rPr>
              <w:t>Responsible</w:t>
            </w:r>
          </w:p>
        </w:tc>
        <w:tc>
          <w:tcPr>
            <w:tcW w:w="0" w:type="auto"/>
            <w:shd w:val="clear" w:color="auto" w:fill="E8E8E8" w:themeFill="background2"/>
            <w:vAlign w:val="center"/>
            <w:hideMark/>
          </w:tcPr>
          <w:p w14:paraId="4C28E5EC" w14:textId="77777777" w:rsidR="00946C14" w:rsidRPr="00946C14" w:rsidRDefault="00946C14" w:rsidP="00946C14">
            <w:pPr>
              <w:spacing w:line="360" w:lineRule="auto"/>
              <w:rPr>
                <w:rFonts w:ascii="Arial" w:hAnsi="Arial" w:cs="Arial"/>
                <w:sz w:val="22"/>
                <w:szCs w:val="22"/>
              </w:rPr>
            </w:pPr>
            <w:r w:rsidRPr="00946C14">
              <w:rPr>
                <w:rFonts w:ascii="Arial" w:hAnsi="Arial" w:cs="Arial"/>
                <w:b/>
                <w:bCs/>
                <w:sz w:val="22"/>
                <w:szCs w:val="22"/>
              </w:rPr>
              <w:t>Accountable</w:t>
            </w:r>
          </w:p>
        </w:tc>
        <w:tc>
          <w:tcPr>
            <w:tcW w:w="0" w:type="auto"/>
            <w:shd w:val="clear" w:color="auto" w:fill="E8E8E8" w:themeFill="background2"/>
            <w:vAlign w:val="center"/>
            <w:hideMark/>
          </w:tcPr>
          <w:p w14:paraId="58096161" w14:textId="77777777" w:rsidR="00946C14" w:rsidRPr="00946C14" w:rsidRDefault="00946C14" w:rsidP="00946C14">
            <w:pPr>
              <w:spacing w:line="360" w:lineRule="auto"/>
              <w:rPr>
                <w:rFonts w:ascii="Arial" w:hAnsi="Arial" w:cs="Arial"/>
                <w:sz w:val="22"/>
                <w:szCs w:val="22"/>
              </w:rPr>
            </w:pPr>
            <w:r w:rsidRPr="00946C14">
              <w:rPr>
                <w:rFonts w:ascii="Arial" w:hAnsi="Arial" w:cs="Arial"/>
                <w:b/>
                <w:bCs/>
                <w:sz w:val="22"/>
                <w:szCs w:val="22"/>
              </w:rPr>
              <w:t>Consulted</w:t>
            </w:r>
          </w:p>
        </w:tc>
        <w:tc>
          <w:tcPr>
            <w:tcW w:w="2283" w:type="dxa"/>
            <w:shd w:val="clear" w:color="auto" w:fill="E8E8E8" w:themeFill="background2"/>
            <w:vAlign w:val="center"/>
            <w:hideMark/>
          </w:tcPr>
          <w:p w14:paraId="7AE9AD7C" w14:textId="77777777" w:rsidR="00946C14" w:rsidRPr="00946C14" w:rsidRDefault="00946C14" w:rsidP="00946C14">
            <w:pPr>
              <w:spacing w:line="360" w:lineRule="auto"/>
              <w:rPr>
                <w:rFonts w:ascii="Arial" w:hAnsi="Arial" w:cs="Arial"/>
                <w:sz w:val="22"/>
                <w:szCs w:val="22"/>
              </w:rPr>
            </w:pPr>
            <w:r w:rsidRPr="00946C14">
              <w:rPr>
                <w:rFonts w:ascii="Arial" w:hAnsi="Arial" w:cs="Arial"/>
                <w:b/>
                <w:bCs/>
                <w:sz w:val="22"/>
                <w:szCs w:val="22"/>
              </w:rPr>
              <w:t>Informed</w:t>
            </w:r>
          </w:p>
        </w:tc>
      </w:tr>
      <w:tr w:rsidR="00946C14" w:rsidRPr="00946C14" w14:paraId="10805E6E" w14:textId="77777777" w:rsidTr="00E3213D">
        <w:trPr>
          <w:tblCellSpacing w:w="15" w:type="dxa"/>
        </w:trPr>
        <w:tc>
          <w:tcPr>
            <w:tcW w:w="0" w:type="auto"/>
            <w:vAlign w:val="center"/>
            <w:hideMark/>
          </w:tcPr>
          <w:p w14:paraId="409A0B15"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Hardware Engineering</w:t>
            </w:r>
          </w:p>
        </w:tc>
        <w:tc>
          <w:tcPr>
            <w:tcW w:w="0" w:type="auto"/>
            <w:vAlign w:val="center"/>
            <w:hideMark/>
          </w:tcPr>
          <w:p w14:paraId="70A7F03B"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R&amp;D</w:t>
            </w:r>
          </w:p>
        </w:tc>
        <w:tc>
          <w:tcPr>
            <w:tcW w:w="0" w:type="auto"/>
            <w:vAlign w:val="center"/>
            <w:hideMark/>
          </w:tcPr>
          <w:p w14:paraId="75B7EBD6"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Leadership</w:t>
            </w:r>
          </w:p>
        </w:tc>
        <w:tc>
          <w:tcPr>
            <w:tcW w:w="0" w:type="auto"/>
            <w:vAlign w:val="center"/>
            <w:hideMark/>
          </w:tcPr>
          <w:p w14:paraId="2BDF59DE"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Regulatory</w:t>
            </w:r>
          </w:p>
        </w:tc>
        <w:tc>
          <w:tcPr>
            <w:tcW w:w="2283" w:type="dxa"/>
            <w:vAlign w:val="center"/>
            <w:hideMark/>
          </w:tcPr>
          <w:p w14:paraId="32876D7F"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All Departments</w:t>
            </w:r>
          </w:p>
        </w:tc>
      </w:tr>
      <w:tr w:rsidR="00946C14" w:rsidRPr="00946C14" w14:paraId="1A4A2FD0" w14:textId="77777777" w:rsidTr="00E3213D">
        <w:trPr>
          <w:tblCellSpacing w:w="15" w:type="dxa"/>
        </w:trPr>
        <w:tc>
          <w:tcPr>
            <w:tcW w:w="0" w:type="auto"/>
            <w:vAlign w:val="center"/>
            <w:hideMark/>
          </w:tcPr>
          <w:p w14:paraId="27B36BC4"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Software Integration</w:t>
            </w:r>
          </w:p>
        </w:tc>
        <w:tc>
          <w:tcPr>
            <w:tcW w:w="0" w:type="auto"/>
            <w:vAlign w:val="center"/>
            <w:hideMark/>
          </w:tcPr>
          <w:p w14:paraId="293A14D2"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Software Team</w:t>
            </w:r>
          </w:p>
        </w:tc>
        <w:tc>
          <w:tcPr>
            <w:tcW w:w="0" w:type="auto"/>
            <w:vAlign w:val="center"/>
            <w:hideMark/>
          </w:tcPr>
          <w:p w14:paraId="343D953B"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PM</w:t>
            </w:r>
          </w:p>
        </w:tc>
        <w:tc>
          <w:tcPr>
            <w:tcW w:w="0" w:type="auto"/>
            <w:vAlign w:val="center"/>
            <w:hideMark/>
          </w:tcPr>
          <w:p w14:paraId="3992C336"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R&amp;D</w:t>
            </w:r>
          </w:p>
        </w:tc>
        <w:tc>
          <w:tcPr>
            <w:tcW w:w="2283" w:type="dxa"/>
            <w:vAlign w:val="center"/>
            <w:hideMark/>
          </w:tcPr>
          <w:p w14:paraId="4E57D318"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Leadership</w:t>
            </w:r>
          </w:p>
        </w:tc>
      </w:tr>
      <w:tr w:rsidR="00946C14" w:rsidRPr="00946C14" w14:paraId="66780EF9" w14:textId="77777777" w:rsidTr="00E3213D">
        <w:trPr>
          <w:tblCellSpacing w:w="15" w:type="dxa"/>
        </w:trPr>
        <w:tc>
          <w:tcPr>
            <w:tcW w:w="0" w:type="auto"/>
            <w:vAlign w:val="center"/>
            <w:hideMark/>
          </w:tcPr>
          <w:p w14:paraId="2B190E36"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UKCA Certification</w:t>
            </w:r>
          </w:p>
        </w:tc>
        <w:tc>
          <w:tcPr>
            <w:tcW w:w="0" w:type="auto"/>
            <w:vAlign w:val="center"/>
            <w:hideMark/>
          </w:tcPr>
          <w:p w14:paraId="7B430AAD"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Regulatory</w:t>
            </w:r>
          </w:p>
        </w:tc>
        <w:tc>
          <w:tcPr>
            <w:tcW w:w="0" w:type="auto"/>
            <w:vAlign w:val="center"/>
            <w:hideMark/>
          </w:tcPr>
          <w:p w14:paraId="55FD7F9D"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Leadership</w:t>
            </w:r>
          </w:p>
        </w:tc>
        <w:tc>
          <w:tcPr>
            <w:tcW w:w="0" w:type="auto"/>
            <w:vAlign w:val="center"/>
            <w:hideMark/>
          </w:tcPr>
          <w:p w14:paraId="7915921B"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R&amp;D</w:t>
            </w:r>
          </w:p>
        </w:tc>
        <w:tc>
          <w:tcPr>
            <w:tcW w:w="2283" w:type="dxa"/>
            <w:vAlign w:val="center"/>
            <w:hideMark/>
          </w:tcPr>
          <w:p w14:paraId="4B932179"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All Departments</w:t>
            </w:r>
          </w:p>
        </w:tc>
      </w:tr>
      <w:tr w:rsidR="00946C14" w:rsidRPr="00946C14" w14:paraId="49AA4D5A" w14:textId="77777777" w:rsidTr="00E3213D">
        <w:trPr>
          <w:tblCellSpacing w:w="15" w:type="dxa"/>
        </w:trPr>
        <w:tc>
          <w:tcPr>
            <w:tcW w:w="0" w:type="auto"/>
            <w:vAlign w:val="center"/>
            <w:hideMark/>
          </w:tcPr>
          <w:p w14:paraId="26E35581"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Marketing Campaign</w:t>
            </w:r>
          </w:p>
        </w:tc>
        <w:tc>
          <w:tcPr>
            <w:tcW w:w="0" w:type="auto"/>
            <w:vAlign w:val="center"/>
            <w:hideMark/>
          </w:tcPr>
          <w:p w14:paraId="7A53F0AE"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Marketing</w:t>
            </w:r>
          </w:p>
        </w:tc>
        <w:tc>
          <w:tcPr>
            <w:tcW w:w="0" w:type="auto"/>
            <w:vAlign w:val="center"/>
            <w:hideMark/>
          </w:tcPr>
          <w:p w14:paraId="0145339C"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Director</w:t>
            </w:r>
          </w:p>
        </w:tc>
        <w:tc>
          <w:tcPr>
            <w:tcW w:w="0" w:type="auto"/>
            <w:vAlign w:val="center"/>
            <w:hideMark/>
          </w:tcPr>
          <w:p w14:paraId="56D98677"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Sales</w:t>
            </w:r>
          </w:p>
        </w:tc>
        <w:tc>
          <w:tcPr>
            <w:tcW w:w="2283" w:type="dxa"/>
            <w:vAlign w:val="center"/>
            <w:hideMark/>
          </w:tcPr>
          <w:p w14:paraId="7208762B"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Staff</w:t>
            </w:r>
          </w:p>
        </w:tc>
      </w:tr>
      <w:tr w:rsidR="00946C14" w:rsidRPr="00946C14" w14:paraId="0E0F0492" w14:textId="77777777" w:rsidTr="00E3213D">
        <w:trPr>
          <w:tblCellSpacing w:w="15" w:type="dxa"/>
        </w:trPr>
        <w:tc>
          <w:tcPr>
            <w:tcW w:w="0" w:type="auto"/>
            <w:vAlign w:val="center"/>
            <w:hideMark/>
          </w:tcPr>
          <w:p w14:paraId="256647BE"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lastRenderedPageBreak/>
              <w:t>Retail Launch</w:t>
            </w:r>
          </w:p>
        </w:tc>
        <w:tc>
          <w:tcPr>
            <w:tcW w:w="0" w:type="auto"/>
            <w:vAlign w:val="center"/>
            <w:hideMark/>
          </w:tcPr>
          <w:p w14:paraId="5FDB19E4"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Sales</w:t>
            </w:r>
          </w:p>
        </w:tc>
        <w:tc>
          <w:tcPr>
            <w:tcW w:w="0" w:type="auto"/>
            <w:vAlign w:val="center"/>
            <w:hideMark/>
          </w:tcPr>
          <w:p w14:paraId="737D1FCF"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Director</w:t>
            </w:r>
          </w:p>
        </w:tc>
        <w:tc>
          <w:tcPr>
            <w:tcW w:w="0" w:type="auto"/>
            <w:vAlign w:val="center"/>
            <w:hideMark/>
          </w:tcPr>
          <w:p w14:paraId="223A3C31"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Marketing</w:t>
            </w:r>
          </w:p>
        </w:tc>
        <w:tc>
          <w:tcPr>
            <w:tcW w:w="2283" w:type="dxa"/>
            <w:vAlign w:val="center"/>
            <w:hideMark/>
          </w:tcPr>
          <w:p w14:paraId="2F23DE2C"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Finance</w:t>
            </w:r>
          </w:p>
        </w:tc>
      </w:tr>
      <w:tr w:rsidR="00946C14" w:rsidRPr="00946C14" w14:paraId="4371E428" w14:textId="77777777" w:rsidTr="00E3213D">
        <w:trPr>
          <w:trHeight w:val="749"/>
          <w:tblCellSpacing w:w="15" w:type="dxa"/>
        </w:trPr>
        <w:tc>
          <w:tcPr>
            <w:tcW w:w="0" w:type="auto"/>
            <w:vAlign w:val="center"/>
            <w:hideMark/>
          </w:tcPr>
          <w:p w14:paraId="712F0C8F"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Customer Support Setup</w:t>
            </w:r>
          </w:p>
        </w:tc>
        <w:tc>
          <w:tcPr>
            <w:tcW w:w="0" w:type="auto"/>
            <w:vAlign w:val="center"/>
            <w:hideMark/>
          </w:tcPr>
          <w:p w14:paraId="3501BAA4"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Support</w:t>
            </w:r>
          </w:p>
        </w:tc>
        <w:tc>
          <w:tcPr>
            <w:tcW w:w="0" w:type="auto"/>
            <w:vAlign w:val="center"/>
            <w:hideMark/>
          </w:tcPr>
          <w:p w14:paraId="1E62069D"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CS Lead</w:t>
            </w:r>
          </w:p>
        </w:tc>
        <w:tc>
          <w:tcPr>
            <w:tcW w:w="0" w:type="auto"/>
            <w:vAlign w:val="center"/>
            <w:hideMark/>
          </w:tcPr>
          <w:p w14:paraId="31A47121"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Software</w:t>
            </w:r>
          </w:p>
        </w:tc>
        <w:tc>
          <w:tcPr>
            <w:tcW w:w="2283" w:type="dxa"/>
            <w:vAlign w:val="center"/>
            <w:hideMark/>
          </w:tcPr>
          <w:p w14:paraId="0C94CC65"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Leadership</w:t>
            </w:r>
          </w:p>
        </w:tc>
      </w:tr>
    </w:tbl>
    <w:p w14:paraId="35A272E9" w14:textId="77777777" w:rsidR="00E3213D" w:rsidRDefault="00E3213D" w:rsidP="00946C14">
      <w:pPr>
        <w:spacing w:line="360" w:lineRule="auto"/>
        <w:rPr>
          <w:rFonts w:ascii="Arial" w:hAnsi="Arial" w:cs="Arial"/>
          <w:b/>
          <w:bCs/>
          <w:sz w:val="22"/>
          <w:szCs w:val="22"/>
        </w:rPr>
      </w:pPr>
    </w:p>
    <w:p w14:paraId="034AA57B" w14:textId="2539CE0C" w:rsidR="00946C14" w:rsidRPr="00946C14" w:rsidRDefault="00946C14" w:rsidP="00946C14">
      <w:pPr>
        <w:spacing w:line="360" w:lineRule="auto"/>
        <w:rPr>
          <w:rFonts w:ascii="Arial" w:hAnsi="Arial" w:cs="Arial"/>
          <w:b/>
          <w:bCs/>
          <w:sz w:val="22"/>
          <w:szCs w:val="22"/>
        </w:rPr>
      </w:pPr>
      <w:r w:rsidRPr="00946C14">
        <w:rPr>
          <w:rFonts w:ascii="Arial" w:hAnsi="Arial" w:cs="Arial"/>
          <w:b/>
          <w:bCs/>
          <w:sz w:val="22"/>
          <w:szCs w:val="22"/>
        </w:rPr>
        <w:t>RACI Explanation</w:t>
      </w:r>
    </w:p>
    <w:p w14:paraId="61BB1614"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The RACI matrix clarifies ownership and prevents duplication. It also reduces conflict by ensuring each team understands their decision-making authority. For example, while R&amp;D is responsible for hardware development, regulatory affairs must be consulted to verify compliance, and leadership remains accountable for approving design changes.</w:t>
      </w:r>
    </w:p>
    <w:p w14:paraId="614AF886"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pict w14:anchorId="312DEDE4">
          <v:rect id="_x0000_i1324" style="width:0;height:1.5pt" o:hralign="center" o:hrstd="t" o:hr="t" fillcolor="#a0a0a0" stroked="f"/>
        </w:pict>
      </w:r>
    </w:p>
    <w:p w14:paraId="142D15CF" w14:textId="77777777" w:rsidR="00946C14" w:rsidRPr="00946C14" w:rsidRDefault="00946C14" w:rsidP="00946C14">
      <w:pPr>
        <w:spacing w:line="360" w:lineRule="auto"/>
        <w:rPr>
          <w:rFonts w:ascii="Arial" w:hAnsi="Arial" w:cs="Arial"/>
          <w:b/>
          <w:bCs/>
          <w:sz w:val="22"/>
          <w:szCs w:val="22"/>
        </w:rPr>
      </w:pPr>
      <w:r w:rsidRPr="00946C14">
        <w:rPr>
          <w:rFonts w:ascii="Arial" w:hAnsi="Arial" w:cs="Arial"/>
          <w:b/>
          <w:bCs/>
          <w:sz w:val="22"/>
          <w:szCs w:val="22"/>
        </w:rPr>
        <w:t>5. Stakeholder Engagement Frameworks</w:t>
      </w:r>
    </w:p>
    <w:p w14:paraId="20AA539C"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Effective stakeholder engagement requires structured frameworks that guide communication, collaboration, influence management, and decision-making. This section expands on the tools and models that support systematic engagement throughout the </w:t>
      </w:r>
      <w:proofErr w:type="spellStart"/>
      <w:r w:rsidRPr="00946C14">
        <w:rPr>
          <w:rFonts w:ascii="Arial" w:hAnsi="Arial" w:cs="Arial"/>
          <w:sz w:val="22"/>
          <w:szCs w:val="22"/>
        </w:rPr>
        <w:t>OmniWatch</w:t>
      </w:r>
      <w:proofErr w:type="spellEnd"/>
      <w:r w:rsidRPr="00946C14">
        <w:rPr>
          <w:rFonts w:ascii="Arial" w:hAnsi="Arial" w:cs="Arial"/>
          <w:sz w:val="22"/>
          <w:szCs w:val="22"/>
        </w:rPr>
        <w:t xml:space="preserve"> project lifecycle.</w:t>
      </w:r>
    </w:p>
    <w:p w14:paraId="41563DFF" w14:textId="77777777" w:rsidR="00946C14" w:rsidRPr="00946C14" w:rsidRDefault="00946C14" w:rsidP="00946C14">
      <w:pPr>
        <w:spacing w:line="360" w:lineRule="auto"/>
        <w:rPr>
          <w:rFonts w:ascii="Arial" w:hAnsi="Arial" w:cs="Arial"/>
          <w:b/>
          <w:bCs/>
          <w:sz w:val="22"/>
          <w:szCs w:val="22"/>
        </w:rPr>
      </w:pPr>
      <w:r w:rsidRPr="00946C14">
        <w:rPr>
          <w:rFonts w:ascii="Arial" w:hAnsi="Arial" w:cs="Arial"/>
          <w:b/>
          <w:bCs/>
          <w:sz w:val="22"/>
          <w:szCs w:val="22"/>
        </w:rPr>
        <w:t>5.1 Stakeholder Influence–Interest Matrix</w:t>
      </w:r>
    </w:p>
    <w:p w14:paraId="24952D90"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The Influence–Interest Matrix is a widely used tool for prioritising stakeholders based on their level of influence over the project and their interest in its outcomes.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11"/>
        <w:gridCol w:w="3610"/>
        <w:gridCol w:w="3705"/>
      </w:tblGrid>
      <w:tr w:rsidR="00946C14" w:rsidRPr="00946C14" w14:paraId="46A28DA1" w14:textId="77777777" w:rsidTr="00E3213D">
        <w:trPr>
          <w:tblCellSpacing w:w="15" w:type="dxa"/>
        </w:trPr>
        <w:tc>
          <w:tcPr>
            <w:tcW w:w="0" w:type="auto"/>
            <w:vAlign w:val="center"/>
            <w:hideMark/>
          </w:tcPr>
          <w:p w14:paraId="0A01C38F" w14:textId="77777777" w:rsidR="00946C14" w:rsidRPr="00946C14" w:rsidRDefault="00946C14" w:rsidP="00946C14">
            <w:pPr>
              <w:spacing w:line="360" w:lineRule="auto"/>
              <w:rPr>
                <w:rFonts w:ascii="Arial" w:hAnsi="Arial" w:cs="Arial"/>
                <w:sz w:val="22"/>
                <w:szCs w:val="22"/>
              </w:rPr>
            </w:pPr>
            <w:r w:rsidRPr="00946C14">
              <w:rPr>
                <w:rFonts w:ascii="Arial" w:hAnsi="Arial" w:cs="Arial"/>
                <w:b/>
                <w:bCs/>
                <w:sz w:val="22"/>
                <w:szCs w:val="22"/>
              </w:rPr>
              <w:t>Influence</w:t>
            </w:r>
          </w:p>
        </w:tc>
        <w:tc>
          <w:tcPr>
            <w:tcW w:w="0" w:type="auto"/>
            <w:vAlign w:val="center"/>
            <w:hideMark/>
          </w:tcPr>
          <w:p w14:paraId="00B7FB0D" w14:textId="77777777" w:rsidR="00946C14" w:rsidRPr="00946C14" w:rsidRDefault="00946C14" w:rsidP="00946C14">
            <w:pPr>
              <w:spacing w:line="360" w:lineRule="auto"/>
              <w:rPr>
                <w:rFonts w:ascii="Arial" w:hAnsi="Arial" w:cs="Arial"/>
                <w:sz w:val="22"/>
                <w:szCs w:val="22"/>
              </w:rPr>
            </w:pPr>
            <w:r w:rsidRPr="00946C14">
              <w:rPr>
                <w:rFonts w:ascii="Arial" w:hAnsi="Arial" w:cs="Arial"/>
                <w:b/>
                <w:bCs/>
                <w:sz w:val="22"/>
                <w:szCs w:val="22"/>
              </w:rPr>
              <w:t>High Interest</w:t>
            </w:r>
          </w:p>
        </w:tc>
        <w:tc>
          <w:tcPr>
            <w:tcW w:w="3660" w:type="dxa"/>
            <w:vAlign w:val="center"/>
            <w:hideMark/>
          </w:tcPr>
          <w:p w14:paraId="2D26DABF" w14:textId="77777777" w:rsidR="00946C14" w:rsidRPr="00946C14" w:rsidRDefault="00946C14" w:rsidP="00946C14">
            <w:pPr>
              <w:spacing w:line="360" w:lineRule="auto"/>
              <w:rPr>
                <w:rFonts w:ascii="Arial" w:hAnsi="Arial" w:cs="Arial"/>
                <w:sz w:val="22"/>
                <w:szCs w:val="22"/>
              </w:rPr>
            </w:pPr>
            <w:r w:rsidRPr="00946C14">
              <w:rPr>
                <w:rFonts w:ascii="Arial" w:hAnsi="Arial" w:cs="Arial"/>
                <w:b/>
                <w:bCs/>
                <w:sz w:val="22"/>
                <w:szCs w:val="22"/>
              </w:rPr>
              <w:t>Low Interest</w:t>
            </w:r>
          </w:p>
        </w:tc>
      </w:tr>
      <w:tr w:rsidR="00946C14" w:rsidRPr="00946C14" w14:paraId="697F6C5D" w14:textId="77777777" w:rsidTr="00E3213D">
        <w:trPr>
          <w:tblCellSpacing w:w="15" w:type="dxa"/>
        </w:trPr>
        <w:tc>
          <w:tcPr>
            <w:tcW w:w="0" w:type="auto"/>
            <w:vAlign w:val="center"/>
            <w:hideMark/>
          </w:tcPr>
          <w:p w14:paraId="65204053" w14:textId="77777777" w:rsidR="00946C14" w:rsidRPr="00946C14" w:rsidRDefault="00946C14" w:rsidP="00946C14">
            <w:pPr>
              <w:spacing w:line="360" w:lineRule="auto"/>
              <w:rPr>
                <w:rFonts w:ascii="Arial" w:hAnsi="Arial" w:cs="Arial"/>
                <w:sz w:val="22"/>
                <w:szCs w:val="22"/>
              </w:rPr>
            </w:pPr>
            <w:r w:rsidRPr="00946C14">
              <w:rPr>
                <w:rFonts w:ascii="Arial" w:hAnsi="Arial" w:cs="Arial"/>
                <w:b/>
                <w:bCs/>
                <w:sz w:val="22"/>
                <w:szCs w:val="22"/>
              </w:rPr>
              <w:t>High Influence</w:t>
            </w:r>
          </w:p>
        </w:tc>
        <w:tc>
          <w:tcPr>
            <w:tcW w:w="0" w:type="auto"/>
            <w:vAlign w:val="center"/>
            <w:hideMark/>
          </w:tcPr>
          <w:p w14:paraId="2150A8CA"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Leadership, R&amp;D, Regulatory Affairs</w:t>
            </w:r>
          </w:p>
        </w:tc>
        <w:tc>
          <w:tcPr>
            <w:tcW w:w="3660" w:type="dxa"/>
            <w:vAlign w:val="center"/>
            <w:hideMark/>
          </w:tcPr>
          <w:p w14:paraId="2E6811CB"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Finance</w:t>
            </w:r>
          </w:p>
        </w:tc>
      </w:tr>
      <w:tr w:rsidR="00946C14" w:rsidRPr="00946C14" w14:paraId="1015619C" w14:textId="77777777" w:rsidTr="00E3213D">
        <w:trPr>
          <w:tblCellSpacing w:w="15" w:type="dxa"/>
        </w:trPr>
        <w:tc>
          <w:tcPr>
            <w:tcW w:w="0" w:type="auto"/>
            <w:vAlign w:val="center"/>
            <w:hideMark/>
          </w:tcPr>
          <w:p w14:paraId="586D20E6" w14:textId="77777777" w:rsidR="00946C14" w:rsidRPr="00946C14" w:rsidRDefault="00946C14" w:rsidP="00946C14">
            <w:pPr>
              <w:spacing w:line="360" w:lineRule="auto"/>
              <w:rPr>
                <w:rFonts w:ascii="Arial" w:hAnsi="Arial" w:cs="Arial"/>
                <w:sz w:val="22"/>
                <w:szCs w:val="22"/>
              </w:rPr>
            </w:pPr>
            <w:r w:rsidRPr="00946C14">
              <w:rPr>
                <w:rFonts w:ascii="Arial" w:hAnsi="Arial" w:cs="Arial"/>
                <w:b/>
                <w:bCs/>
                <w:sz w:val="22"/>
                <w:szCs w:val="22"/>
              </w:rPr>
              <w:t>Low Influence</w:t>
            </w:r>
          </w:p>
        </w:tc>
        <w:tc>
          <w:tcPr>
            <w:tcW w:w="0" w:type="auto"/>
            <w:vAlign w:val="center"/>
            <w:hideMark/>
          </w:tcPr>
          <w:p w14:paraId="6D93EDB8"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Consumers, Customer Support</w:t>
            </w:r>
          </w:p>
        </w:tc>
        <w:tc>
          <w:tcPr>
            <w:tcW w:w="3660" w:type="dxa"/>
            <w:vAlign w:val="center"/>
            <w:hideMark/>
          </w:tcPr>
          <w:p w14:paraId="5F13A7B3"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Minor Suppliers</w:t>
            </w:r>
          </w:p>
        </w:tc>
      </w:tr>
    </w:tbl>
    <w:p w14:paraId="24955F14" w14:textId="77777777" w:rsidR="00E3213D" w:rsidRDefault="00E3213D" w:rsidP="00946C14">
      <w:pPr>
        <w:spacing w:line="360" w:lineRule="auto"/>
        <w:rPr>
          <w:rFonts w:ascii="Arial" w:hAnsi="Arial" w:cs="Arial"/>
          <w:b/>
          <w:bCs/>
          <w:sz w:val="22"/>
          <w:szCs w:val="22"/>
        </w:rPr>
      </w:pPr>
    </w:p>
    <w:p w14:paraId="1F4E6083" w14:textId="3AC14C35" w:rsidR="00946C14" w:rsidRPr="00946C14" w:rsidRDefault="00946C14" w:rsidP="00946C14">
      <w:pPr>
        <w:spacing w:line="360" w:lineRule="auto"/>
        <w:rPr>
          <w:rFonts w:ascii="Arial" w:hAnsi="Arial" w:cs="Arial"/>
          <w:b/>
          <w:bCs/>
          <w:sz w:val="22"/>
          <w:szCs w:val="22"/>
        </w:rPr>
      </w:pPr>
      <w:r w:rsidRPr="00946C14">
        <w:rPr>
          <w:rFonts w:ascii="Arial" w:hAnsi="Arial" w:cs="Arial"/>
          <w:b/>
          <w:bCs/>
          <w:sz w:val="22"/>
          <w:szCs w:val="22"/>
        </w:rPr>
        <w:t>Matrix Interpretation</w:t>
      </w:r>
    </w:p>
    <w:p w14:paraId="1CD935F8" w14:textId="77777777" w:rsidR="00946C14" w:rsidRPr="00946C14" w:rsidRDefault="00946C14" w:rsidP="00946C14">
      <w:pPr>
        <w:numPr>
          <w:ilvl w:val="0"/>
          <w:numId w:val="82"/>
        </w:numPr>
        <w:spacing w:line="360" w:lineRule="auto"/>
        <w:rPr>
          <w:rFonts w:ascii="Arial" w:hAnsi="Arial" w:cs="Arial"/>
          <w:sz w:val="22"/>
          <w:szCs w:val="22"/>
        </w:rPr>
      </w:pPr>
      <w:r w:rsidRPr="00946C14">
        <w:rPr>
          <w:rFonts w:ascii="Arial" w:hAnsi="Arial" w:cs="Arial"/>
          <w:b/>
          <w:bCs/>
          <w:sz w:val="22"/>
          <w:szCs w:val="22"/>
        </w:rPr>
        <w:t>High Influence / High Interest</w:t>
      </w:r>
      <w:r w:rsidRPr="00946C14">
        <w:rPr>
          <w:rFonts w:ascii="Arial" w:hAnsi="Arial" w:cs="Arial"/>
          <w:sz w:val="22"/>
          <w:szCs w:val="22"/>
        </w:rPr>
        <w:t xml:space="preserve"> stakeholders require continuous engagement and involvement in decision-making. This includes senior leadership responsible for strategic approval, R&amp;D teams whose outputs determine product feasibility, and regulatory affairs ensuring compliance.</w:t>
      </w:r>
    </w:p>
    <w:p w14:paraId="53F81D4B" w14:textId="77777777" w:rsidR="00946C14" w:rsidRPr="00946C14" w:rsidRDefault="00946C14" w:rsidP="00946C14">
      <w:pPr>
        <w:numPr>
          <w:ilvl w:val="0"/>
          <w:numId w:val="82"/>
        </w:numPr>
        <w:spacing w:line="360" w:lineRule="auto"/>
        <w:rPr>
          <w:rFonts w:ascii="Arial" w:hAnsi="Arial" w:cs="Arial"/>
          <w:sz w:val="22"/>
          <w:szCs w:val="22"/>
        </w:rPr>
      </w:pPr>
      <w:r w:rsidRPr="00946C14">
        <w:rPr>
          <w:rFonts w:ascii="Arial" w:hAnsi="Arial" w:cs="Arial"/>
          <w:b/>
          <w:bCs/>
          <w:sz w:val="22"/>
          <w:szCs w:val="22"/>
        </w:rPr>
        <w:t>High Influence / Low Interest</w:t>
      </w:r>
      <w:r w:rsidRPr="00946C14">
        <w:rPr>
          <w:rFonts w:ascii="Arial" w:hAnsi="Arial" w:cs="Arial"/>
          <w:sz w:val="22"/>
          <w:szCs w:val="22"/>
        </w:rPr>
        <w:t xml:space="preserve"> stakeholders, such as finance, require periodic updates to ensure financial sustainability but do not need direct involvement in daily activities.</w:t>
      </w:r>
    </w:p>
    <w:p w14:paraId="7088BAE8" w14:textId="77777777" w:rsidR="00946C14" w:rsidRPr="00946C14" w:rsidRDefault="00946C14" w:rsidP="00946C14">
      <w:pPr>
        <w:numPr>
          <w:ilvl w:val="0"/>
          <w:numId w:val="82"/>
        </w:numPr>
        <w:spacing w:line="360" w:lineRule="auto"/>
        <w:rPr>
          <w:rFonts w:ascii="Arial" w:hAnsi="Arial" w:cs="Arial"/>
          <w:sz w:val="22"/>
          <w:szCs w:val="22"/>
        </w:rPr>
      </w:pPr>
      <w:r w:rsidRPr="00946C14">
        <w:rPr>
          <w:rFonts w:ascii="Arial" w:hAnsi="Arial" w:cs="Arial"/>
          <w:b/>
          <w:bCs/>
          <w:sz w:val="22"/>
          <w:szCs w:val="22"/>
        </w:rPr>
        <w:lastRenderedPageBreak/>
        <w:t>Low Influence / High Interest</w:t>
      </w:r>
      <w:r w:rsidRPr="00946C14">
        <w:rPr>
          <w:rFonts w:ascii="Arial" w:hAnsi="Arial" w:cs="Arial"/>
          <w:sz w:val="22"/>
          <w:szCs w:val="22"/>
        </w:rPr>
        <w:t xml:space="preserve"> stakeholders, such as consumers and customer support, are highly affected by the project and provide valuable insights but do not hold decision-making power.</w:t>
      </w:r>
    </w:p>
    <w:p w14:paraId="48774F5D" w14:textId="77777777" w:rsidR="00946C14" w:rsidRPr="00946C14" w:rsidRDefault="00946C14" w:rsidP="00946C14">
      <w:pPr>
        <w:numPr>
          <w:ilvl w:val="0"/>
          <w:numId w:val="82"/>
        </w:numPr>
        <w:spacing w:line="360" w:lineRule="auto"/>
        <w:rPr>
          <w:rFonts w:ascii="Arial" w:hAnsi="Arial" w:cs="Arial"/>
          <w:sz w:val="22"/>
          <w:szCs w:val="22"/>
        </w:rPr>
      </w:pPr>
      <w:r w:rsidRPr="00946C14">
        <w:rPr>
          <w:rFonts w:ascii="Arial" w:hAnsi="Arial" w:cs="Arial"/>
          <w:b/>
          <w:bCs/>
          <w:sz w:val="22"/>
          <w:szCs w:val="22"/>
        </w:rPr>
        <w:t>Low Influence / Low Interest</w:t>
      </w:r>
      <w:r w:rsidRPr="00946C14">
        <w:rPr>
          <w:rFonts w:ascii="Arial" w:hAnsi="Arial" w:cs="Arial"/>
          <w:sz w:val="22"/>
          <w:szCs w:val="22"/>
        </w:rPr>
        <w:t xml:space="preserve"> stakeholders must be kept informed but do not require intensive management.</w:t>
      </w:r>
    </w:p>
    <w:p w14:paraId="242C9102"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This matrix aligns with </w:t>
      </w:r>
      <w:r w:rsidRPr="00946C14">
        <w:rPr>
          <w:rFonts w:ascii="Arial" w:hAnsi="Arial" w:cs="Arial"/>
          <w:b/>
          <w:bCs/>
          <w:sz w:val="22"/>
          <w:szCs w:val="22"/>
        </w:rPr>
        <w:t>Mendelow’s (1991) stakeholder prioritisation model</w:t>
      </w:r>
      <w:r w:rsidRPr="00946C14">
        <w:rPr>
          <w:rFonts w:ascii="Arial" w:hAnsi="Arial" w:cs="Arial"/>
          <w:sz w:val="22"/>
          <w:szCs w:val="22"/>
        </w:rPr>
        <w:t>, reinforcing where resources and communication efforts should be concentrated.</w:t>
      </w:r>
    </w:p>
    <w:p w14:paraId="5CC3B49E" w14:textId="77777777" w:rsidR="00946C14" w:rsidRPr="00946C14" w:rsidRDefault="00946C14" w:rsidP="00946C14">
      <w:pPr>
        <w:spacing w:line="360" w:lineRule="auto"/>
        <w:rPr>
          <w:rFonts w:ascii="Arial" w:hAnsi="Arial" w:cs="Arial"/>
          <w:b/>
          <w:bCs/>
          <w:sz w:val="22"/>
          <w:szCs w:val="22"/>
        </w:rPr>
      </w:pPr>
      <w:r w:rsidRPr="00946C14">
        <w:rPr>
          <w:rFonts w:ascii="Arial" w:hAnsi="Arial" w:cs="Arial"/>
          <w:b/>
          <w:bCs/>
          <w:sz w:val="22"/>
          <w:szCs w:val="22"/>
        </w:rPr>
        <w:t>5.2 Engagement Plan</w:t>
      </w:r>
    </w:p>
    <w:p w14:paraId="5AF508C2"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A structured stakeholder engagement plan ensures consistent, transparent communication.</w:t>
      </w:r>
    </w:p>
    <w:tbl>
      <w:tblPr>
        <w:tblW w:w="906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55"/>
        <w:gridCol w:w="2086"/>
        <w:gridCol w:w="1193"/>
        <w:gridCol w:w="4433"/>
      </w:tblGrid>
      <w:tr w:rsidR="00946C14" w:rsidRPr="00946C14" w14:paraId="3CB9415B" w14:textId="77777777" w:rsidTr="00E3213D">
        <w:trPr>
          <w:tblCellSpacing w:w="15" w:type="dxa"/>
        </w:trPr>
        <w:tc>
          <w:tcPr>
            <w:tcW w:w="0" w:type="auto"/>
            <w:shd w:val="clear" w:color="auto" w:fill="E8E8E8" w:themeFill="background2"/>
            <w:vAlign w:val="center"/>
            <w:hideMark/>
          </w:tcPr>
          <w:p w14:paraId="055DE1E2" w14:textId="77777777" w:rsidR="00946C14" w:rsidRPr="00946C14" w:rsidRDefault="00946C14" w:rsidP="00946C14">
            <w:pPr>
              <w:spacing w:line="360" w:lineRule="auto"/>
              <w:rPr>
                <w:rFonts w:ascii="Arial" w:hAnsi="Arial" w:cs="Arial"/>
                <w:sz w:val="22"/>
                <w:szCs w:val="22"/>
              </w:rPr>
            </w:pPr>
            <w:r w:rsidRPr="00946C14">
              <w:rPr>
                <w:rFonts w:ascii="Arial" w:hAnsi="Arial" w:cs="Arial"/>
                <w:b/>
                <w:bCs/>
                <w:sz w:val="22"/>
                <w:szCs w:val="22"/>
              </w:rPr>
              <w:t>Stakeholder</w:t>
            </w:r>
          </w:p>
        </w:tc>
        <w:tc>
          <w:tcPr>
            <w:tcW w:w="0" w:type="auto"/>
            <w:shd w:val="clear" w:color="auto" w:fill="E8E8E8" w:themeFill="background2"/>
            <w:vAlign w:val="center"/>
            <w:hideMark/>
          </w:tcPr>
          <w:p w14:paraId="7DAF41B0" w14:textId="77777777" w:rsidR="00946C14" w:rsidRPr="00946C14" w:rsidRDefault="00946C14" w:rsidP="00946C14">
            <w:pPr>
              <w:spacing w:line="360" w:lineRule="auto"/>
              <w:rPr>
                <w:rFonts w:ascii="Arial" w:hAnsi="Arial" w:cs="Arial"/>
                <w:sz w:val="22"/>
                <w:szCs w:val="22"/>
              </w:rPr>
            </w:pPr>
            <w:r w:rsidRPr="00946C14">
              <w:rPr>
                <w:rFonts w:ascii="Arial" w:hAnsi="Arial" w:cs="Arial"/>
                <w:b/>
                <w:bCs/>
                <w:sz w:val="22"/>
                <w:szCs w:val="22"/>
              </w:rPr>
              <w:t>Strategy</w:t>
            </w:r>
          </w:p>
        </w:tc>
        <w:tc>
          <w:tcPr>
            <w:tcW w:w="0" w:type="auto"/>
            <w:shd w:val="clear" w:color="auto" w:fill="E8E8E8" w:themeFill="background2"/>
            <w:vAlign w:val="center"/>
            <w:hideMark/>
          </w:tcPr>
          <w:p w14:paraId="4777EBAE" w14:textId="77777777" w:rsidR="00946C14" w:rsidRPr="00946C14" w:rsidRDefault="00946C14" w:rsidP="00946C14">
            <w:pPr>
              <w:spacing w:line="360" w:lineRule="auto"/>
              <w:rPr>
                <w:rFonts w:ascii="Arial" w:hAnsi="Arial" w:cs="Arial"/>
                <w:sz w:val="22"/>
                <w:szCs w:val="22"/>
              </w:rPr>
            </w:pPr>
            <w:r w:rsidRPr="00946C14">
              <w:rPr>
                <w:rFonts w:ascii="Arial" w:hAnsi="Arial" w:cs="Arial"/>
                <w:b/>
                <w:bCs/>
                <w:sz w:val="22"/>
                <w:szCs w:val="22"/>
              </w:rPr>
              <w:t>Frequency</w:t>
            </w:r>
          </w:p>
        </w:tc>
        <w:tc>
          <w:tcPr>
            <w:tcW w:w="4388" w:type="dxa"/>
            <w:shd w:val="clear" w:color="auto" w:fill="E8E8E8" w:themeFill="background2"/>
            <w:vAlign w:val="center"/>
            <w:hideMark/>
          </w:tcPr>
          <w:p w14:paraId="5E995E08" w14:textId="77777777" w:rsidR="00946C14" w:rsidRPr="00946C14" w:rsidRDefault="00946C14" w:rsidP="00946C14">
            <w:pPr>
              <w:spacing w:line="360" w:lineRule="auto"/>
              <w:rPr>
                <w:rFonts w:ascii="Arial" w:hAnsi="Arial" w:cs="Arial"/>
                <w:sz w:val="22"/>
                <w:szCs w:val="22"/>
              </w:rPr>
            </w:pPr>
            <w:r w:rsidRPr="00946C14">
              <w:rPr>
                <w:rFonts w:ascii="Arial" w:hAnsi="Arial" w:cs="Arial"/>
                <w:b/>
                <w:bCs/>
                <w:sz w:val="22"/>
                <w:szCs w:val="22"/>
              </w:rPr>
              <w:t>Method</w:t>
            </w:r>
          </w:p>
        </w:tc>
      </w:tr>
      <w:tr w:rsidR="00946C14" w:rsidRPr="00946C14" w14:paraId="38CB2ABC" w14:textId="77777777" w:rsidTr="00E3213D">
        <w:trPr>
          <w:tblCellSpacing w:w="15" w:type="dxa"/>
        </w:trPr>
        <w:tc>
          <w:tcPr>
            <w:tcW w:w="0" w:type="auto"/>
            <w:vAlign w:val="center"/>
            <w:hideMark/>
          </w:tcPr>
          <w:p w14:paraId="2A0D21D7"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Leadership</w:t>
            </w:r>
          </w:p>
        </w:tc>
        <w:tc>
          <w:tcPr>
            <w:tcW w:w="0" w:type="auto"/>
            <w:vAlign w:val="center"/>
            <w:hideMark/>
          </w:tcPr>
          <w:p w14:paraId="54D81084"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Strategic reviews</w:t>
            </w:r>
          </w:p>
        </w:tc>
        <w:tc>
          <w:tcPr>
            <w:tcW w:w="0" w:type="auto"/>
            <w:vAlign w:val="center"/>
            <w:hideMark/>
          </w:tcPr>
          <w:p w14:paraId="7FFE88DE"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Bi-weekly</w:t>
            </w:r>
          </w:p>
        </w:tc>
        <w:tc>
          <w:tcPr>
            <w:tcW w:w="4388" w:type="dxa"/>
            <w:vAlign w:val="center"/>
            <w:hideMark/>
          </w:tcPr>
          <w:p w14:paraId="62D5A295"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Meetings, dashboards</w:t>
            </w:r>
          </w:p>
        </w:tc>
      </w:tr>
      <w:tr w:rsidR="00946C14" w:rsidRPr="00946C14" w14:paraId="2715BA30" w14:textId="77777777" w:rsidTr="00E3213D">
        <w:trPr>
          <w:tblCellSpacing w:w="15" w:type="dxa"/>
        </w:trPr>
        <w:tc>
          <w:tcPr>
            <w:tcW w:w="0" w:type="auto"/>
            <w:vAlign w:val="center"/>
            <w:hideMark/>
          </w:tcPr>
          <w:p w14:paraId="65334AC2"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R&amp;D</w:t>
            </w:r>
          </w:p>
        </w:tc>
        <w:tc>
          <w:tcPr>
            <w:tcW w:w="0" w:type="auto"/>
            <w:vAlign w:val="center"/>
            <w:hideMark/>
          </w:tcPr>
          <w:p w14:paraId="7BC7D3DB"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Technical alignment</w:t>
            </w:r>
          </w:p>
        </w:tc>
        <w:tc>
          <w:tcPr>
            <w:tcW w:w="0" w:type="auto"/>
            <w:vAlign w:val="center"/>
            <w:hideMark/>
          </w:tcPr>
          <w:p w14:paraId="3C178187"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Weekly</w:t>
            </w:r>
          </w:p>
        </w:tc>
        <w:tc>
          <w:tcPr>
            <w:tcW w:w="4388" w:type="dxa"/>
            <w:vAlign w:val="center"/>
            <w:hideMark/>
          </w:tcPr>
          <w:p w14:paraId="6CD0F361"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Workshops, shared docs</w:t>
            </w:r>
          </w:p>
        </w:tc>
      </w:tr>
      <w:tr w:rsidR="00946C14" w:rsidRPr="00946C14" w14:paraId="7E0CF924" w14:textId="77777777" w:rsidTr="00E3213D">
        <w:trPr>
          <w:tblCellSpacing w:w="15" w:type="dxa"/>
        </w:trPr>
        <w:tc>
          <w:tcPr>
            <w:tcW w:w="0" w:type="auto"/>
            <w:vAlign w:val="center"/>
            <w:hideMark/>
          </w:tcPr>
          <w:p w14:paraId="07949749"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Regulatory</w:t>
            </w:r>
          </w:p>
        </w:tc>
        <w:tc>
          <w:tcPr>
            <w:tcW w:w="0" w:type="auto"/>
            <w:vAlign w:val="center"/>
            <w:hideMark/>
          </w:tcPr>
          <w:p w14:paraId="6A7C88CF"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Compliance updates</w:t>
            </w:r>
          </w:p>
        </w:tc>
        <w:tc>
          <w:tcPr>
            <w:tcW w:w="0" w:type="auto"/>
            <w:vAlign w:val="center"/>
            <w:hideMark/>
          </w:tcPr>
          <w:p w14:paraId="46995D5E"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Monthly</w:t>
            </w:r>
          </w:p>
        </w:tc>
        <w:tc>
          <w:tcPr>
            <w:tcW w:w="4388" w:type="dxa"/>
            <w:vAlign w:val="center"/>
            <w:hideMark/>
          </w:tcPr>
          <w:p w14:paraId="049FB5C5"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Reports, consultations</w:t>
            </w:r>
          </w:p>
        </w:tc>
      </w:tr>
      <w:tr w:rsidR="00946C14" w:rsidRPr="00946C14" w14:paraId="774CC274" w14:textId="77777777" w:rsidTr="00E3213D">
        <w:trPr>
          <w:tblCellSpacing w:w="15" w:type="dxa"/>
        </w:trPr>
        <w:tc>
          <w:tcPr>
            <w:tcW w:w="0" w:type="auto"/>
            <w:vAlign w:val="center"/>
            <w:hideMark/>
          </w:tcPr>
          <w:p w14:paraId="52BECB38"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Consumers</w:t>
            </w:r>
          </w:p>
        </w:tc>
        <w:tc>
          <w:tcPr>
            <w:tcW w:w="0" w:type="auto"/>
            <w:vAlign w:val="center"/>
            <w:hideMark/>
          </w:tcPr>
          <w:p w14:paraId="7C8707F8"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Feedback/testing</w:t>
            </w:r>
          </w:p>
        </w:tc>
        <w:tc>
          <w:tcPr>
            <w:tcW w:w="0" w:type="auto"/>
            <w:vAlign w:val="center"/>
            <w:hideMark/>
          </w:tcPr>
          <w:p w14:paraId="6349B31F"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Ongoing</w:t>
            </w:r>
          </w:p>
        </w:tc>
        <w:tc>
          <w:tcPr>
            <w:tcW w:w="4388" w:type="dxa"/>
            <w:vAlign w:val="center"/>
            <w:hideMark/>
          </w:tcPr>
          <w:p w14:paraId="1D699A2F"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Surveys, beta trials</w:t>
            </w:r>
          </w:p>
        </w:tc>
      </w:tr>
      <w:tr w:rsidR="00946C14" w:rsidRPr="00946C14" w14:paraId="089DBA63" w14:textId="77777777" w:rsidTr="00E3213D">
        <w:trPr>
          <w:tblCellSpacing w:w="15" w:type="dxa"/>
        </w:trPr>
        <w:tc>
          <w:tcPr>
            <w:tcW w:w="0" w:type="auto"/>
            <w:vAlign w:val="center"/>
            <w:hideMark/>
          </w:tcPr>
          <w:p w14:paraId="56CCE3FC"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Retailers</w:t>
            </w:r>
          </w:p>
        </w:tc>
        <w:tc>
          <w:tcPr>
            <w:tcW w:w="0" w:type="auto"/>
            <w:vAlign w:val="center"/>
            <w:hideMark/>
          </w:tcPr>
          <w:p w14:paraId="0D532087"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Sales planning</w:t>
            </w:r>
          </w:p>
        </w:tc>
        <w:tc>
          <w:tcPr>
            <w:tcW w:w="0" w:type="auto"/>
            <w:vAlign w:val="center"/>
            <w:hideMark/>
          </w:tcPr>
          <w:p w14:paraId="491396B0"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Monthly</w:t>
            </w:r>
          </w:p>
        </w:tc>
        <w:tc>
          <w:tcPr>
            <w:tcW w:w="4388" w:type="dxa"/>
            <w:vAlign w:val="center"/>
            <w:hideMark/>
          </w:tcPr>
          <w:p w14:paraId="0F88A7E5"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Email, calls</w:t>
            </w:r>
          </w:p>
        </w:tc>
      </w:tr>
    </w:tbl>
    <w:p w14:paraId="5E91A5E4" w14:textId="77777777" w:rsidR="00E3213D" w:rsidRDefault="00E3213D" w:rsidP="00946C14">
      <w:pPr>
        <w:spacing w:line="360" w:lineRule="auto"/>
        <w:rPr>
          <w:rFonts w:ascii="Arial" w:hAnsi="Arial" w:cs="Arial"/>
          <w:b/>
          <w:bCs/>
          <w:sz w:val="22"/>
          <w:szCs w:val="22"/>
        </w:rPr>
      </w:pPr>
    </w:p>
    <w:p w14:paraId="2604124D" w14:textId="3C6A8C35" w:rsidR="00946C14" w:rsidRPr="00946C14" w:rsidRDefault="00946C14" w:rsidP="00946C14">
      <w:pPr>
        <w:spacing w:line="360" w:lineRule="auto"/>
        <w:rPr>
          <w:rFonts w:ascii="Arial" w:hAnsi="Arial" w:cs="Arial"/>
          <w:b/>
          <w:bCs/>
          <w:sz w:val="22"/>
          <w:szCs w:val="22"/>
        </w:rPr>
      </w:pPr>
      <w:r w:rsidRPr="00946C14">
        <w:rPr>
          <w:rFonts w:ascii="Arial" w:hAnsi="Arial" w:cs="Arial"/>
          <w:b/>
          <w:bCs/>
          <w:sz w:val="22"/>
          <w:szCs w:val="22"/>
        </w:rPr>
        <w:t>Engagement Strategy Discussion</w:t>
      </w:r>
    </w:p>
    <w:p w14:paraId="053EDF81"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The engagement plan prioritises </w:t>
      </w:r>
      <w:r w:rsidRPr="00946C14">
        <w:rPr>
          <w:rFonts w:ascii="Arial" w:hAnsi="Arial" w:cs="Arial"/>
          <w:b/>
          <w:bCs/>
          <w:sz w:val="22"/>
          <w:szCs w:val="22"/>
        </w:rPr>
        <w:t>collaboration</w:t>
      </w:r>
      <w:r w:rsidRPr="00946C14">
        <w:rPr>
          <w:rFonts w:ascii="Arial" w:hAnsi="Arial" w:cs="Arial"/>
          <w:sz w:val="22"/>
          <w:szCs w:val="22"/>
        </w:rPr>
        <w:t xml:space="preserve"> with high-salience stakeholders while ensuring transparency for supporting groups. Leadership engagement ensures the project remains strategically aligned and resourced. R&amp;D requires frequent interaction due to technical dependencies, while regulatory teams benefit from structured, evidence-based communication.</w:t>
      </w:r>
    </w:p>
    <w:p w14:paraId="58110EEF"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Consumers are continuously engaged to refine UX/UI and ensure user-centred design, aligning with ISO 9241 usability principles. Retailers require aligned stock planning and promotional coordination to ensure launch readiness.</w:t>
      </w:r>
    </w:p>
    <w:p w14:paraId="2176D412" w14:textId="77777777" w:rsidR="00946C14" w:rsidRPr="00946C14" w:rsidRDefault="00946C14" w:rsidP="00946C14">
      <w:pPr>
        <w:spacing w:line="360" w:lineRule="auto"/>
        <w:rPr>
          <w:rFonts w:ascii="Arial" w:hAnsi="Arial" w:cs="Arial"/>
          <w:b/>
          <w:bCs/>
          <w:sz w:val="22"/>
          <w:szCs w:val="22"/>
        </w:rPr>
      </w:pPr>
      <w:r w:rsidRPr="00946C14">
        <w:rPr>
          <w:rFonts w:ascii="Arial" w:hAnsi="Arial" w:cs="Arial"/>
          <w:b/>
          <w:bCs/>
          <w:sz w:val="22"/>
          <w:szCs w:val="22"/>
        </w:rPr>
        <w:t>5.3 Communication Plan</w:t>
      </w:r>
    </w:p>
    <w:p w14:paraId="66B289EF"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Clear communication channels reduce misunderstandings, accelerate decision-making, and support trust-building across departments.</w:t>
      </w:r>
    </w:p>
    <w:tbl>
      <w:tblPr>
        <w:tblW w:w="906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34"/>
        <w:gridCol w:w="2661"/>
        <w:gridCol w:w="1458"/>
        <w:gridCol w:w="3414"/>
      </w:tblGrid>
      <w:tr w:rsidR="00946C14" w:rsidRPr="00946C14" w14:paraId="034660DB" w14:textId="77777777" w:rsidTr="00E3213D">
        <w:trPr>
          <w:tblCellSpacing w:w="15" w:type="dxa"/>
        </w:trPr>
        <w:tc>
          <w:tcPr>
            <w:tcW w:w="0" w:type="auto"/>
            <w:shd w:val="clear" w:color="auto" w:fill="E8E8E8" w:themeFill="background2"/>
            <w:vAlign w:val="center"/>
            <w:hideMark/>
          </w:tcPr>
          <w:p w14:paraId="6A627608" w14:textId="77777777" w:rsidR="00946C14" w:rsidRPr="00946C14" w:rsidRDefault="00946C14" w:rsidP="00946C14">
            <w:pPr>
              <w:spacing w:line="360" w:lineRule="auto"/>
              <w:rPr>
                <w:rFonts w:ascii="Arial" w:hAnsi="Arial" w:cs="Arial"/>
                <w:sz w:val="22"/>
                <w:szCs w:val="22"/>
              </w:rPr>
            </w:pPr>
            <w:r w:rsidRPr="00946C14">
              <w:rPr>
                <w:rFonts w:ascii="Arial" w:hAnsi="Arial" w:cs="Arial"/>
                <w:b/>
                <w:bCs/>
                <w:sz w:val="22"/>
                <w:szCs w:val="22"/>
              </w:rPr>
              <w:lastRenderedPageBreak/>
              <w:t>Audience</w:t>
            </w:r>
          </w:p>
        </w:tc>
        <w:tc>
          <w:tcPr>
            <w:tcW w:w="0" w:type="auto"/>
            <w:shd w:val="clear" w:color="auto" w:fill="E8E8E8" w:themeFill="background2"/>
            <w:vAlign w:val="center"/>
            <w:hideMark/>
          </w:tcPr>
          <w:p w14:paraId="5E56F36F" w14:textId="77777777" w:rsidR="00946C14" w:rsidRPr="00946C14" w:rsidRDefault="00946C14" w:rsidP="00946C14">
            <w:pPr>
              <w:spacing w:line="360" w:lineRule="auto"/>
              <w:rPr>
                <w:rFonts w:ascii="Arial" w:hAnsi="Arial" w:cs="Arial"/>
                <w:sz w:val="22"/>
                <w:szCs w:val="22"/>
              </w:rPr>
            </w:pPr>
            <w:r w:rsidRPr="00946C14">
              <w:rPr>
                <w:rFonts w:ascii="Arial" w:hAnsi="Arial" w:cs="Arial"/>
                <w:b/>
                <w:bCs/>
                <w:sz w:val="22"/>
                <w:szCs w:val="22"/>
              </w:rPr>
              <w:t>Purpose</w:t>
            </w:r>
          </w:p>
        </w:tc>
        <w:tc>
          <w:tcPr>
            <w:tcW w:w="0" w:type="auto"/>
            <w:shd w:val="clear" w:color="auto" w:fill="E8E8E8" w:themeFill="background2"/>
            <w:vAlign w:val="center"/>
            <w:hideMark/>
          </w:tcPr>
          <w:p w14:paraId="48C5E40E" w14:textId="77777777" w:rsidR="00946C14" w:rsidRPr="00946C14" w:rsidRDefault="00946C14" w:rsidP="00946C14">
            <w:pPr>
              <w:spacing w:line="360" w:lineRule="auto"/>
              <w:rPr>
                <w:rFonts w:ascii="Arial" w:hAnsi="Arial" w:cs="Arial"/>
                <w:sz w:val="22"/>
                <w:szCs w:val="22"/>
              </w:rPr>
            </w:pPr>
            <w:r w:rsidRPr="00946C14">
              <w:rPr>
                <w:rFonts w:ascii="Arial" w:hAnsi="Arial" w:cs="Arial"/>
                <w:b/>
                <w:bCs/>
                <w:sz w:val="22"/>
                <w:szCs w:val="22"/>
              </w:rPr>
              <w:t>Channel</w:t>
            </w:r>
          </w:p>
        </w:tc>
        <w:tc>
          <w:tcPr>
            <w:tcW w:w="3369" w:type="dxa"/>
            <w:shd w:val="clear" w:color="auto" w:fill="E8E8E8" w:themeFill="background2"/>
            <w:vAlign w:val="center"/>
            <w:hideMark/>
          </w:tcPr>
          <w:p w14:paraId="6ACADB27" w14:textId="77777777" w:rsidR="00946C14" w:rsidRPr="00946C14" w:rsidRDefault="00946C14" w:rsidP="00946C14">
            <w:pPr>
              <w:spacing w:line="360" w:lineRule="auto"/>
              <w:rPr>
                <w:rFonts w:ascii="Arial" w:hAnsi="Arial" w:cs="Arial"/>
                <w:sz w:val="22"/>
                <w:szCs w:val="22"/>
              </w:rPr>
            </w:pPr>
            <w:r w:rsidRPr="00946C14">
              <w:rPr>
                <w:rFonts w:ascii="Arial" w:hAnsi="Arial" w:cs="Arial"/>
                <w:b/>
                <w:bCs/>
                <w:sz w:val="22"/>
                <w:szCs w:val="22"/>
              </w:rPr>
              <w:t>Owner</w:t>
            </w:r>
          </w:p>
        </w:tc>
      </w:tr>
      <w:tr w:rsidR="00946C14" w:rsidRPr="00946C14" w14:paraId="1EB5AB9B" w14:textId="77777777" w:rsidTr="00E3213D">
        <w:trPr>
          <w:tblCellSpacing w:w="15" w:type="dxa"/>
        </w:trPr>
        <w:tc>
          <w:tcPr>
            <w:tcW w:w="0" w:type="auto"/>
            <w:vAlign w:val="center"/>
            <w:hideMark/>
          </w:tcPr>
          <w:p w14:paraId="3DFE646F"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Internal Teams</w:t>
            </w:r>
          </w:p>
        </w:tc>
        <w:tc>
          <w:tcPr>
            <w:tcW w:w="0" w:type="auto"/>
            <w:vAlign w:val="center"/>
            <w:hideMark/>
          </w:tcPr>
          <w:p w14:paraId="635FDCFA"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Task updates</w:t>
            </w:r>
          </w:p>
        </w:tc>
        <w:tc>
          <w:tcPr>
            <w:tcW w:w="0" w:type="auto"/>
            <w:vAlign w:val="center"/>
            <w:hideMark/>
          </w:tcPr>
          <w:p w14:paraId="6FAD4DD1"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Email / Teams</w:t>
            </w:r>
          </w:p>
        </w:tc>
        <w:tc>
          <w:tcPr>
            <w:tcW w:w="3369" w:type="dxa"/>
            <w:vAlign w:val="center"/>
            <w:hideMark/>
          </w:tcPr>
          <w:p w14:paraId="668F3373"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PM</w:t>
            </w:r>
          </w:p>
        </w:tc>
      </w:tr>
      <w:tr w:rsidR="00946C14" w:rsidRPr="00946C14" w14:paraId="4BCA4091" w14:textId="77777777" w:rsidTr="00E3213D">
        <w:trPr>
          <w:tblCellSpacing w:w="15" w:type="dxa"/>
        </w:trPr>
        <w:tc>
          <w:tcPr>
            <w:tcW w:w="0" w:type="auto"/>
            <w:vAlign w:val="center"/>
            <w:hideMark/>
          </w:tcPr>
          <w:p w14:paraId="3A851135"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Leadership</w:t>
            </w:r>
          </w:p>
        </w:tc>
        <w:tc>
          <w:tcPr>
            <w:tcW w:w="0" w:type="auto"/>
            <w:vAlign w:val="center"/>
            <w:hideMark/>
          </w:tcPr>
          <w:p w14:paraId="1DF1E510"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Progress reporting</w:t>
            </w:r>
          </w:p>
        </w:tc>
        <w:tc>
          <w:tcPr>
            <w:tcW w:w="0" w:type="auto"/>
            <w:vAlign w:val="center"/>
            <w:hideMark/>
          </w:tcPr>
          <w:p w14:paraId="63ED633D"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Dashboards</w:t>
            </w:r>
          </w:p>
        </w:tc>
        <w:tc>
          <w:tcPr>
            <w:tcW w:w="3369" w:type="dxa"/>
            <w:vAlign w:val="center"/>
            <w:hideMark/>
          </w:tcPr>
          <w:p w14:paraId="2504FF7E"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PM</w:t>
            </w:r>
          </w:p>
        </w:tc>
      </w:tr>
      <w:tr w:rsidR="00946C14" w:rsidRPr="00946C14" w14:paraId="68B80ADE" w14:textId="77777777" w:rsidTr="00E3213D">
        <w:trPr>
          <w:tblCellSpacing w:w="15" w:type="dxa"/>
        </w:trPr>
        <w:tc>
          <w:tcPr>
            <w:tcW w:w="0" w:type="auto"/>
            <w:vAlign w:val="center"/>
            <w:hideMark/>
          </w:tcPr>
          <w:p w14:paraId="291BD292"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Retailers</w:t>
            </w:r>
          </w:p>
        </w:tc>
        <w:tc>
          <w:tcPr>
            <w:tcW w:w="0" w:type="auto"/>
            <w:vAlign w:val="center"/>
            <w:hideMark/>
          </w:tcPr>
          <w:p w14:paraId="2B69E0FD"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Stock info</w:t>
            </w:r>
          </w:p>
        </w:tc>
        <w:tc>
          <w:tcPr>
            <w:tcW w:w="0" w:type="auto"/>
            <w:vAlign w:val="center"/>
            <w:hideMark/>
          </w:tcPr>
          <w:p w14:paraId="17E91B5C"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Email</w:t>
            </w:r>
          </w:p>
        </w:tc>
        <w:tc>
          <w:tcPr>
            <w:tcW w:w="3369" w:type="dxa"/>
            <w:vAlign w:val="center"/>
            <w:hideMark/>
          </w:tcPr>
          <w:p w14:paraId="64CB5CE8"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Sales</w:t>
            </w:r>
          </w:p>
        </w:tc>
      </w:tr>
      <w:tr w:rsidR="00946C14" w:rsidRPr="00946C14" w14:paraId="79831EA8" w14:textId="77777777" w:rsidTr="00E3213D">
        <w:trPr>
          <w:tblCellSpacing w:w="15" w:type="dxa"/>
        </w:trPr>
        <w:tc>
          <w:tcPr>
            <w:tcW w:w="0" w:type="auto"/>
            <w:vAlign w:val="center"/>
            <w:hideMark/>
          </w:tcPr>
          <w:p w14:paraId="7785D7A3"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Consumers</w:t>
            </w:r>
          </w:p>
        </w:tc>
        <w:tc>
          <w:tcPr>
            <w:tcW w:w="0" w:type="auto"/>
            <w:vAlign w:val="center"/>
            <w:hideMark/>
          </w:tcPr>
          <w:p w14:paraId="64AE851E"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Engagement &amp; awareness</w:t>
            </w:r>
          </w:p>
        </w:tc>
        <w:tc>
          <w:tcPr>
            <w:tcW w:w="0" w:type="auto"/>
            <w:vAlign w:val="center"/>
            <w:hideMark/>
          </w:tcPr>
          <w:p w14:paraId="1635C850"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Social media</w:t>
            </w:r>
          </w:p>
        </w:tc>
        <w:tc>
          <w:tcPr>
            <w:tcW w:w="3369" w:type="dxa"/>
            <w:vAlign w:val="center"/>
            <w:hideMark/>
          </w:tcPr>
          <w:p w14:paraId="28525492"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Marketing</w:t>
            </w:r>
          </w:p>
        </w:tc>
      </w:tr>
    </w:tbl>
    <w:p w14:paraId="1155BFAE" w14:textId="77777777" w:rsidR="00E3213D" w:rsidRDefault="00E3213D" w:rsidP="00946C14">
      <w:pPr>
        <w:spacing w:line="360" w:lineRule="auto"/>
        <w:rPr>
          <w:rFonts w:ascii="Arial" w:hAnsi="Arial" w:cs="Arial"/>
          <w:b/>
          <w:bCs/>
          <w:sz w:val="22"/>
          <w:szCs w:val="22"/>
        </w:rPr>
      </w:pPr>
    </w:p>
    <w:p w14:paraId="363C0705" w14:textId="285649B0" w:rsidR="00946C14" w:rsidRPr="00946C14" w:rsidRDefault="00946C14" w:rsidP="00946C14">
      <w:pPr>
        <w:spacing w:line="360" w:lineRule="auto"/>
        <w:rPr>
          <w:rFonts w:ascii="Arial" w:hAnsi="Arial" w:cs="Arial"/>
          <w:b/>
          <w:bCs/>
          <w:sz w:val="22"/>
          <w:szCs w:val="22"/>
        </w:rPr>
      </w:pPr>
      <w:r w:rsidRPr="00946C14">
        <w:rPr>
          <w:rFonts w:ascii="Arial" w:hAnsi="Arial" w:cs="Arial"/>
          <w:b/>
          <w:bCs/>
          <w:sz w:val="22"/>
          <w:szCs w:val="22"/>
        </w:rPr>
        <w:t>Communication Rationale</w:t>
      </w:r>
    </w:p>
    <w:p w14:paraId="37E62B8D"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The communication plan supports PMBOK (2021) recommendations, which emphasise structured, timely communication as a critical success factor. Using both synchronous (meetings) and asynchronous (dashboards, documents) channels ensures stakeholders receive information appropriate to their roles.</w:t>
      </w:r>
    </w:p>
    <w:p w14:paraId="142186CF"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Digital platforms like Teams and Trello enhance transparency and accountability. For external stakeholders, marketing leverages social media and digital campaigns to educate consumers and build anticipation for launch.</w:t>
      </w:r>
    </w:p>
    <w:p w14:paraId="653D6AB8" w14:textId="77777777" w:rsidR="00946C14" w:rsidRPr="00946C14" w:rsidRDefault="00946C14" w:rsidP="00946C14">
      <w:pPr>
        <w:spacing w:line="360" w:lineRule="auto"/>
        <w:rPr>
          <w:rFonts w:ascii="Arial" w:hAnsi="Arial" w:cs="Arial"/>
          <w:b/>
          <w:bCs/>
          <w:sz w:val="22"/>
          <w:szCs w:val="22"/>
        </w:rPr>
      </w:pPr>
      <w:r w:rsidRPr="00946C14">
        <w:rPr>
          <w:rFonts w:ascii="Arial" w:hAnsi="Arial" w:cs="Arial"/>
          <w:b/>
          <w:bCs/>
          <w:sz w:val="22"/>
          <w:szCs w:val="22"/>
        </w:rPr>
        <w:t>5.4 Theoretical Justification</w:t>
      </w:r>
    </w:p>
    <w:p w14:paraId="0034058A"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t>This framework aligns with:</w:t>
      </w:r>
    </w:p>
    <w:p w14:paraId="66C539CD" w14:textId="77777777" w:rsidR="00946C14" w:rsidRPr="00946C14" w:rsidRDefault="00946C14" w:rsidP="00946C14">
      <w:pPr>
        <w:numPr>
          <w:ilvl w:val="0"/>
          <w:numId w:val="83"/>
        </w:numPr>
        <w:spacing w:line="360" w:lineRule="auto"/>
        <w:rPr>
          <w:rFonts w:ascii="Arial" w:hAnsi="Arial" w:cs="Arial"/>
          <w:sz w:val="22"/>
          <w:szCs w:val="22"/>
        </w:rPr>
      </w:pPr>
      <w:r w:rsidRPr="00946C14">
        <w:rPr>
          <w:rFonts w:ascii="Arial" w:hAnsi="Arial" w:cs="Arial"/>
          <w:b/>
          <w:bCs/>
          <w:sz w:val="22"/>
          <w:szCs w:val="22"/>
        </w:rPr>
        <w:t>Freeman’s (1984) Stakeholder Theory</w:t>
      </w:r>
      <w:r w:rsidRPr="00946C14">
        <w:rPr>
          <w:rFonts w:ascii="Arial" w:hAnsi="Arial" w:cs="Arial"/>
          <w:sz w:val="22"/>
          <w:szCs w:val="22"/>
        </w:rPr>
        <w:t>, advocating the strategic management of all stakeholder relationships.</w:t>
      </w:r>
    </w:p>
    <w:p w14:paraId="37474FEE" w14:textId="77777777" w:rsidR="00946C14" w:rsidRPr="00946C14" w:rsidRDefault="00946C14" w:rsidP="00946C14">
      <w:pPr>
        <w:numPr>
          <w:ilvl w:val="0"/>
          <w:numId w:val="83"/>
        </w:numPr>
        <w:spacing w:line="360" w:lineRule="auto"/>
        <w:rPr>
          <w:rFonts w:ascii="Arial" w:hAnsi="Arial" w:cs="Arial"/>
          <w:sz w:val="22"/>
          <w:szCs w:val="22"/>
        </w:rPr>
      </w:pPr>
      <w:r w:rsidRPr="00946C14">
        <w:rPr>
          <w:rFonts w:ascii="Arial" w:hAnsi="Arial" w:cs="Arial"/>
          <w:b/>
          <w:bCs/>
          <w:sz w:val="22"/>
          <w:szCs w:val="22"/>
        </w:rPr>
        <w:t>Bourne’s (2016) SRM Model</w:t>
      </w:r>
      <w:r w:rsidRPr="00946C14">
        <w:rPr>
          <w:rFonts w:ascii="Arial" w:hAnsi="Arial" w:cs="Arial"/>
          <w:sz w:val="22"/>
          <w:szCs w:val="22"/>
        </w:rPr>
        <w:t>, reinforcing maturity in stakeholder engagement.</w:t>
      </w:r>
    </w:p>
    <w:p w14:paraId="45D23940" w14:textId="77777777" w:rsidR="00946C14" w:rsidRPr="00946C14" w:rsidRDefault="00946C14" w:rsidP="00946C14">
      <w:pPr>
        <w:numPr>
          <w:ilvl w:val="0"/>
          <w:numId w:val="83"/>
        </w:numPr>
        <w:spacing w:line="360" w:lineRule="auto"/>
        <w:rPr>
          <w:rFonts w:ascii="Arial" w:hAnsi="Arial" w:cs="Arial"/>
          <w:sz w:val="22"/>
          <w:szCs w:val="22"/>
        </w:rPr>
      </w:pPr>
      <w:r w:rsidRPr="00946C14">
        <w:rPr>
          <w:rFonts w:ascii="Arial" w:hAnsi="Arial" w:cs="Arial"/>
          <w:b/>
          <w:bCs/>
          <w:sz w:val="22"/>
          <w:szCs w:val="22"/>
        </w:rPr>
        <w:t>PMI (2021)</w:t>
      </w:r>
      <w:r w:rsidRPr="00946C14">
        <w:rPr>
          <w:rFonts w:ascii="Arial" w:hAnsi="Arial" w:cs="Arial"/>
          <w:sz w:val="22"/>
          <w:szCs w:val="22"/>
        </w:rPr>
        <w:t xml:space="preserve"> guidance on stakeholder engagement as an iterative, dynamic process.</w:t>
      </w:r>
    </w:p>
    <w:p w14:paraId="2CEB1349"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By integrating these frameworks, the </w:t>
      </w:r>
      <w:proofErr w:type="spellStart"/>
      <w:r w:rsidRPr="00946C14">
        <w:rPr>
          <w:rFonts w:ascii="Arial" w:hAnsi="Arial" w:cs="Arial"/>
          <w:sz w:val="22"/>
          <w:szCs w:val="22"/>
        </w:rPr>
        <w:t>OmniWatch</w:t>
      </w:r>
      <w:proofErr w:type="spellEnd"/>
      <w:r w:rsidRPr="00946C14">
        <w:rPr>
          <w:rFonts w:ascii="Arial" w:hAnsi="Arial" w:cs="Arial"/>
          <w:sz w:val="22"/>
          <w:szCs w:val="22"/>
        </w:rPr>
        <w:t xml:space="preserve"> project ensures stakeholder priorities remain visible, engagement remains proactive, and risks associated with poor communication are minimised.</w:t>
      </w:r>
    </w:p>
    <w:p w14:paraId="514F927D" w14:textId="77777777" w:rsidR="00946C14" w:rsidRPr="00946C14" w:rsidRDefault="00946C14" w:rsidP="00946C14">
      <w:pPr>
        <w:spacing w:line="360" w:lineRule="auto"/>
        <w:rPr>
          <w:rFonts w:ascii="Arial" w:hAnsi="Arial" w:cs="Arial"/>
          <w:sz w:val="22"/>
          <w:szCs w:val="22"/>
        </w:rPr>
      </w:pPr>
      <w:r w:rsidRPr="00946C14">
        <w:rPr>
          <w:rFonts w:ascii="Arial" w:hAnsi="Arial" w:cs="Arial"/>
          <w:sz w:val="22"/>
          <w:szCs w:val="22"/>
        </w:rPr>
        <w:pict w14:anchorId="4A0C2323">
          <v:rect id="_x0000_i1325" style="width:0;height:1.5pt" o:hralign="center" o:hrstd="t" o:hr="t" fillcolor="#a0a0a0" stroked="f"/>
        </w:pict>
      </w:r>
    </w:p>
    <w:p w14:paraId="74B39D60" w14:textId="637E2FEB" w:rsidR="00946C14" w:rsidRPr="00E3213D" w:rsidRDefault="00946C14" w:rsidP="00E3213D">
      <w:pPr>
        <w:pStyle w:val="ListParagraph"/>
        <w:numPr>
          <w:ilvl w:val="0"/>
          <w:numId w:val="100"/>
        </w:numPr>
        <w:spacing w:line="360" w:lineRule="auto"/>
        <w:jc w:val="both"/>
        <w:rPr>
          <w:rFonts w:ascii="Arial" w:hAnsi="Arial" w:cs="Arial"/>
          <w:b/>
          <w:bCs/>
          <w:sz w:val="22"/>
          <w:szCs w:val="22"/>
        </w:rPr>
      </w:pPr>
      <w:r w:rsidRPr="00E3213D">
        <w:rPr>
          <w:rFonts w:ascii="Arial" w:hAnsi="Arial" w:cs="Arial"/>
          <w:b/>
          <w:bCs/>
          <w:sz w:val="22"/>
          <w:szCs w:val="22"/>
        </w:rPr>
        <w:t>Stakeholder Engagement Process &amp; Conflict Management (4Cs Model)</w:t>
      </w:r>
    </w:p>
    <w:p w14:paraId="29A94F28"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The successful delivery of the </w:t>
      </w:r>
      <w:proofErr w:type="spellStart"/>
      <w:r w:rsidRPr="00946C14">
        <w:rPr>
          <w:rFonts w:ascii="Arial" w:hAnsi="Arial" w:cs="Arial"/>
          <w:sz w:val="22"/>
          <w:szCs w:val="22"/>
        </w:rPr>
        <w:t>OmniWatch</w:t>
      </w:r>
      <w:proofErr w:type="spellEnd"/>
      <w:r w:rsidRPr="00946C14">
        <w:rPr>
          <w:rFonts w:ascii="Arial" w:hAnsi="Arial" w:cs="Arial"/>
          <w:sz w:val="22"/>
          <w:szCs w:val="22"/>
        </w:rPr>
        <w:t xml:space="preserve"> project depends heavily on the ability to manage diverse stakeholder expectations, align cross-functional teams, and prevent issues that could delay development. The 4Cs Model—Communication, Coordination, Cooperation, and </w:t>
      </w:r>
      <w:r w:rsidRPr="00946C14">
        <w:rPr>
          <w:rFonts w:ascii="Arial" w:hAnsi="Arial" w:cs="Arial"/>
          <w:sz w:val="22"/>
          <w:szCs w:val="22"/>
        </w:rPr>
        <w:lastRenderedPageBreak/>
        <w:t>Collaboration—provides a structured and scalable approach to achieving these objectives. This expanded section incorporates project management theory, conflict-resolution models, and practical applications relevant to digital health product development.</w:t>
      </w:r>
    </w:p>
    <w:p w14:paraId="5F4E7EEE"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6.1 Communication</w:t>
      </w:r>
    </w:p>
    <w:p w14:paraId="616862A6"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Effective communication ensures clarity, transparency, and consistency across all project phases. For </w:t>
      </w:r>
      <w:proofErr w:type="spellStart"/>
      <w:r w:rsidRPr="00946C14">
        <w:rPr>
          <w:rFonts w:ascii="Arial" w:hAnsi="Arial" w:cs="Arial"/>
          <w:sz w:val="22"/>
          <w:szCs w:val="22"/>
        </w:rPr>
        <w:t>OmniWatch</w:t>
      </w:r>
      <w:proofErr w:type="spellEnd"/>
      <w:r w:rsidRPr="00946C14">
        <w:rPr>
          <w:rFonts w:ascii="Arial" w:hAnsi="Arial" w:cs="Arial"/>
          <w:sz w:val="22"/>
          <w:szCs w:val="22"/>
        </w:rPr>
        <w:t>, communication must address technical complexity, regulatory sensitivity, and cross-functional dependencies.</w:t>
      </w:r>
    </w:p>
    <w:p w14:paraId="7C9D739C"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Expanded Analysis</w:t>
      </w:r>
    </w:p>
    <w:p w14:paraId="3F692ACC" w14:textId="77777777" w:rsidR="00946C14" w:rsidRPr="00946C14" w:rsidRDefault="00946C14" w:rsidP="00E3213D">
      <w:pPr>
        <w:numPr>
          <w:ilvl w:val="0"/>
          <w:numId w:val="84"/>
        </w:numPr>
        <w:spacing w:line="360" w:lineRule="auto"/>
        <w:jc w:val="both"/>
        <w:rPr>
          <w:rFonts w:ascii="Arial" w:hAnsi="Arial" w:cs="Arial"/>
          <w:sz w:val="22"/>
          <w:szCs w:val="22"/>
        </w:rPr>
      </w:pPr>
      <w:r w:rsidRPr="00946C14">
        <w:rPr>
          <w:rFonts w:ascii="Arial" w:hAnsi="Arial" w:cs="Arial"/>
          <w:b/>
          <w:bCs/>
          <w:sz w:val="22"/>
          <w:szCs w:val="22"/>
        </w:rPr>
        <w:t>Formal communication</w:t>
      </w:r>
      <w:r w:rsidRPr="00946C14">
        <w:rPr>
          <w:rFonts w:ascii="Arial" w:hAnsi="Arial" w:cs="Arial"/>
          <w:sz w:val="22"/>
          <w:szCs w:val="22"/>
        </w:rPr>
        <w:t xml:space="preserve"> includes milestone reports, design reviews, and compliance documentation shared with leadership and regulatory teams. These ensure informed decision-making and governance alignment.</w:t>
      </w:r>
    </w:p>
    <w:p w14:paraId="409BA927" w14:textId="77777777" w:rsidR="00946C14" w:rsidRPr="00946C14" w:rsidRDefault="00946C14" w:rsidP="00E3213D">
      <w:pPr>
        <w:numPr>
          <w:ilvl w:val="0"/>
          <w:numId w:val="84"/>
        </w:numPr>
        <w:spacing w:line="360" w:lineRule="auto"/>
        <w:jc w:val="both"/>
        <w:rPr>
          <w:rFonts w:ascii="Arial" w:hAnsi="Arial" w:cs="Arial"/>
          <w:sz w:val="22"/>
          <w:szCs w:val="22"/>
        </w:rPr>
      </w:pPr>
      <w:r w:rsidRPr="00946C14">
        <w:rPr>
          <w:rFonts w:ascii="Arial" w:hAnsi="Arial" w:cs="Arial"/>
          <w:b/>
          <w:bCs/>
          <w:sz w:val="22"/>
          <w:szCs w:val="22"/>
        </w:rPr>
        <w:t>Informal communication</w:t>
      </w:r>
      <w:r w:rsidRPr="00946C14">
        <w:rPr>
          <w:rFonts w:ascii="Arial" w:hAnsi="Arial" w:cs="Arial"/>
          <w:sz w:val="22"/>
          <w:szCs w:val="22"/>
        </w:rPr>
        <w:t>, such as day-to-day updates through Teams or Trello, supports agile responses to emerging issues.</w:t>
      </w:r>
    </w:p>
    <w:p w14:paraId="2EB51D3A" w14:textId="77777777" w:rsidR="00946C14" w:rsidRPr="00946C14" w:rsidRDefault="00946C14" w:rsidP="00E3213D">
      <w:pPr>
        <w:numPr>
          <w:ilvl w:val="0"/>
          <w:numId w:val="84"/>
        </w:numPr>
        <w:spacing w:line="360" w:lineRule="auto"/>
        <w:jc w:val="both"/>
        <w:rPr>
          <w:rFonts w:ascii="Arial" w:hAnsi="Arial" w:cs="Arial"/>
          <w:sz w:val="22"/>
          <w:szCs w:val="22"/>
        </w:rPr>
      </w:pPr>
      <w:r w:rsidRPr="00946C14">
        <w:rPr>
          <w:rFonts w:ascii="Arial" w:hAnsi="Arial" w:cs="Arial"/>
          <w:b/>
          <w:bCs/>
          <w:sz w:val="22"/>
          <w:szCs w:val="22"/>
        </w:rPr>
        <w:t>Real-time communication tools</w:t>
      </w:r>
      <w:r w:rsidRPr="00946C14">
        <w:rPr>
          <w:rFonts w:ascii="Arial" w:hAnsi="Arial" w:cs="Arial"/>
          <w:sz w:val="22"/>
          <w:szCs w:val="22"/>
        </w:rPr>
        <w:t xml:space="preserve"> enhance visibility across departments, reducing misinterpretations.</w:t>
      </w:r>
    </w:p>
    <w:p w14:paraId="752F0EA9"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According to PMBOK (2021), communication accounts for 75–90% of a project manager’s role, highlighting its central importance. OMRON’s adoption of hybrid communication channels ensures structured yet flexible engagement.</w:t>
      </w:r>
    </w:p>
    <w:p w14:paraId="29526C5F"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6.2 Coordination</w:t>
      </w:r>
    </w:p>
    <w:p w14:paraId="5A143F78"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Coordination aligns tasks, schedules, and workflows across interdependent teams. The </w:t>
      </w:r>
      <w:proofErr w:type="spellStart"/>
      <w:r w:rsidRPr="00946C14">
        <w:rPr>
          <w:rFonts w:ascii="Arial" w:hAnsi="Arial" w:cs="Arial"/>
          <w:sz w:val="22"/>
          <w:szCs w:val="22"/>
        </w:rPr>
        <w:t>OmniWatch</w:t>
      </w:r>
      <w:proofErr w:type="spellEnd"/>
      <w:r w:rsidRPr="00946C14">
        <w:rPr>
          <w:rFonts w:ascii="Arial" w:hAnsi="Arial" w:cs="Arial"/>
          <w:sz w:val="22"/>
          <w:szCs w:val="22"/>
        </w:rPr>
        <w:t xml:space="preserve"> project involves numerous interlocking activities—hardware must be finalised before clinical trials, software must sync with regulatory requirements, and marketing must wait for approved product claims.</w:t>
      </w:r>
    </w:p>
    <w:p w14:paraId="55D3B8F5"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Expanded Analysis</w:t>
      </w:r>
    </w:p>
    <w:p w14:paraId="366B6B17" w14:textId="77777777" w:rsidR="00946C14" w:rsidRPr="00946C14" w:rsidRDefault="00946C14" w:rsidP="00E3213D">
      <w:pPr>
        <w:numPr>
          <w:ilvl w:val="0"/>
          <w:numId w:val="85"/>
        </w:numPr>
        <w:spacing w:line="360" w:lineRule="auto"/>
        <w:jc w:val="both"/>
        <w:rPr>
          <w:rFonts w:ascii="Arial" w:hAnsi="Arial" w:cs="Arial"/>
          <w:sz w:val="22"/>
          <w:szCs w:val="22"/>
        </w:rPr>
      </w:pPr>
      <w:r w:rsidRPr="00946C14">
        <w:rPr>
          <w:rFonts w:ascii="Arial" w:hAnsi="Arial" w:cs="Arial"/>
          <w:b/>
          <w:bCs/>
          <w:sz w:val="22"/>
          <w:szCs w:val="22"/>
        </w:rPr>
        <w:t>Coordination tools</w:t>
      </w:r>
      <w:r w:rsidRPr="00946C14">
        <w:rPr>
          <w:rFonts w:ascii="Arial" w:hAnsi="Arial" w:cs="Arial"/>
          <w:sz w:val="22"/>
          <w:szCs w:val="22"/>
        </w:rPr>
        <w:t xml:space="preserve"> include Gantt charts, Kanban boards, and cross-team calendars.</w:t>
      </w:r>
    </w:p>
    <w:p w14:paraId="51F83443" w14:textId="77777777" w:rsidR="00946C14" w:rsidRPr="00946C14" w:rsidRDefault="00946C14" w:rsidP="00E3213D">
      <w:pPr>
        <w:numPr>
          <w:ilvl w:val="0"/>
          <w:numId w:val="85"/>
        </w:numPr>
        <w:spacing w:line="360" w:lineRule="auto"/>
        <w:jc w:val="both"/>
        <w:rPr>
          <w:rFonts w:ascii="Arial" w:hAnsi="Arial" w:cs="Arial"/>
          <w:sz w:val="22"/>
          <w:szCs w:val="22"/>
        </w:rPr>
      </w:pPr>
      <w:r w:rsidRPr="00946C14">
        <w:rPr>
          <w:rFonts w:ascii="Arial" w:hAnsi="Arial" w:cs="Arial"/>
          <w:b/>
          <w:bCs/>
          <w:sz w:val="22"/>
          <w:szCs w:val="22"/>
        </w:rPr>
        <w:t>Dependency mapping</w:t>
      </w:r>
      <w:r w:rsidRPr="00946C14">
        <w:rPr>
          <w:rFonts w:ascii="Arial" w:hAnsi="Arial" w:cs="Arial"/>
          <w:sz w:val="22"/>
          <w:szCs w:val="22"/>
        </w:rPr>
        <w:t xml:space="preserve"> ensures upstream delays do not cause downstream disruptions.</w:t>
      </w:r>
    </w:p>
    <w:p w14:paraId="39F9BF30" w14:textId="77777777" w:rsidR="00946C14" w:rsidRPr="00946C14" w:rsidRDefault="00946C14" w:rsidP="00E3213D">
      <w:pPr>
        <w:numPr>
          <w:ilvl w:val="0"/>
          <w:numId w:val="85"/>
        </w:numPr>
        <w:spacing w:line="360" w:lineRule="auto"/>
        <w:jc w:val="both"/>
        <w:rPr>
          <w:rFonts w:ascii="Arial" w:hAnsi="Arial" w:cs="Arial"/>
          <w:sz w:val="22"/>
          <w:szCs w:val="22"/>
        </w:rPr>
      </w:pPr>
      <w:r w:rsidRPr="00946C14">
        <w:rPr>
          <w:rFonts w:ascii="Arial" w:hAnsi="Arial" w:cs="Arial"/>
          <w:b/>
          <w:bCs/>
          <w:sz w:val="22"/>
          <w:szCs w:val="22"/>
        </w:rPr>
        <w:t>Structured coordination meetings</w:t>
      </w:r>
      <w:r w:rsidRPr="00946C14">
        <w:rPr>
          <w:rFonts w:ascii="Arial" w:hAnsi="Arial" w:cs="Arial"/>
          <w:sz w:val="22"/>
          <w:szCs w:val="22"/>
        </w:rPr>
        <w:t xml:space="preserve"> promote alignment and early issue identification.</w:t>
      </w:r>
    </w:p>
    <w:p w14:paraId="3D286DE7"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Good coordination directly mitigates project slippage and resource bottlenecks, supporting efficient delivery within the six-month timeframe.</w:t>
      </w:r>
    </w:p>
    <w:p w14:paraId="530D0C1C"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lastRenderedPageBreak/>
        <w:t>6.3 Cooperation</w:t>
      </w:r>
    </w:p>
    <w:p w14:paraId="36967C2B"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Cooperation describes the willingness of stakeholders to support one another, share information, and work toward common goals—even when their departmental priorities differ.</w:t>
      </w:r>
    </w:p>
    <w:p w14:paraId="462649F9"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Expanded Analysis</w:t>
      </w:r>
    </w:p>
    <w:p w14:paraId="45F0B2D1" w14:textId="77777777" w:rsidR="00946C14" w:rsidRPr="00946C14" w:rsidRDefault="00946C14" w:rsidP="00E3213D">
      <w:pPr>
        <w:numPr>
          <w:ilvl w:val="0"/>
          <w:numId w:val="86"/>
        </w:numPr>
        <w:spacing w:line="360" w:lineRule="auto"/>
        <w:jc w:val="both"/>
        <w:rPr>
          <w:rFonts w:ascii="Arial" w:hAnsi="Arial" w:cs="Arial"/>
          <w:sz w:val="22"/>
          <w:szCs w:val="22"/>
        </w:rPr>
      </w:pPr>
      <w:r w:rsidRPr="00946C14">
        <w:rPr>
          <w:rFonts w:ascii="Arial" w:hAnsi="Arial" w:cs="Arial"/>
          <w:b/>
          <w:bCs/>
          <w:sz w:val="22"/>
          <w:szCs w:val="22"/>
        </w:rPr>
        <w:t>Trust-building activities</w:t>
      </w:r>
      <w:r w:rsidRPr="00946C14">
        <w:rPr>
          <w:rFonts w:ascii="Arial" w:hAnsi="Arial" w:cs="Arial"/>
          <w:sz w:val="22"/>
          <w:szCs w:val="22"/>
        </w:rPr>
        <w:t>, such as transparent decision-making and acknowledging contributions, strengthen cooperation.</w:t>
      </w:r>
    </w:p>
    <w:p w14:paraId="3E08E234" w14:textId="77777777" w:rsidR="00946C14" w:rsidRPr="00946C14" w:rsidRDefault="00946C14" w:rsidP="00E3213D">
      <w:pPr>
        <w:numPr>
          <w:ilvl w:val="0"/>
          <w:numId w:val="86"/>
        </w:numPr>
        <w:spacing w:line="360" w:lineRule="auto"/>
        <w:jc w:val="both"/>
        <w:rPr>
          <w:rFonts w:ascii="Arial" w:hAnsi="Arial" w:cs="Arial"/>
          <w:sz w:val="22"/>
          <w:szCs w:val="22"/>
        </w:rPr>
      </w:pPr>
      <w:r w:rsidRPr="00946C14">
        <w:rPr>
          <w:rFonts w:ascii="Arial" w:hAnsi="Arial" w:cs="Arial"/>
          <w:sz w:val="22"/>
          <w:szCs w:val="22"/>
        </w:rPr>
        <w:t>Cooperation reduces resistance to change—critical when conflicting priorities arise.</w:t>
      </w:r>
    </w:p>
    <w:p w14:paraId="75DABC67" w14:textId="77777777" w:rsidR="00946C14" w:rsidRPr="00946C14" w:rsidRDefault="00946C14" w:rsidP="00E3213D">
      <w:pPr>
        <w:numPr>
          <w:ilvl w:val="0"/>
          <w:numId w:val="86"/>
        </w:numPr>
        <w:spacing w:line="360" w:lineRule="auto"/>
        <w:jc w:val="both"/>
        <w:rPr>
          <w:rFonts w:ascii="Arial" w:hAnsi="Arial" w:cs="Arial"/>
          <w:sz w:val="22"/>
          <w:szCs w:val="22"/>
        </w:rPr>
      </w:pPr>
      <w:r w:rsidRPr="00946C14">
        <w:rPr>
          <w:rFonts w:ascii="Arial" w:hAnsi="Arial" w:cs="Arial"/>
          <w:sz w:val="22"/>
          <w:szCs w:val="22"/>
        </w:rPr>
        <w:t>The project manager plays a diplomatic role, ensuring each stakeholder feels heard and valued.</w:t>
      </w:r>
    </w:p>
    <w:p w14:paraId="637AC19D"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This aligns with Yukl’s (2013) leadership principles, which emphasise relational influence and empowering stakeholders to engage constructively.</w:t>
      </w:r>
    </w:p>
    <w:p w14:paraId="77628A29"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6.4 Collaboration</w:t>
      </w:r>
    </w:p>
    <w:p w14:paraId="1A5B36D7"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Collaboration represents the highest level of stakeholder engagement. It emphasises shared ownership, co-creation, and joint problem-solving.</w:t>
      </w:r>
    </w:p>
    <w:p w14:paraId="385397F8"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Expanded Analysis</w:t>
      </w:r>
    </w:p>
    <w:p w14:paraId="79F9D1F8"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For </w:t>
      </w:r>
      <w:proofErr w:type="spellStart"/>
      <w:r w:rsidRPr="00946C14">
        <w:rPr>
          <w:rFonts w:ascii="Arial" w:hAnsi="Arial" w:cs="Arial"/>
          <w:sz w:val="22"/>
          <w:szCs w:val="22"/>
        </w:rPr>
        <w:t>OmniWatch</w:t>
      </w:r>
      <w:proofErr w:type="spellEnd"/>
      <w:r w:rsidRPr="00946C14">
        <w:rPr>
          <w:rFonts w:ascii="Arial" w:hAnsi="Arial" w:cs="Arial"/>
          <w:sz w:val="22"/>
          <w:szCs w:val="22"/>
        </w:rPr>
        <w:t>, collaboration occurs through:</w:t>
      </w:r>
    </w:p>
    <w:p w14:paraId="7FF8FEDE" w14:textId="77777777" w:rsidR="00946C14" w:rsidRPr="00946C14" w:rsidRDefault="00946C14" w:rsidP="00E3213D">
      <w:pPr>
        <w:numPr>
          <w:ilvl w:val="0"/>
          <w:numId w:val="87"/>
        </w:numPr>
        <w:spacing w:line="360" w:lineRule="auto"/>
        <w:jc w:val="both"/>
        <w:rPr>
          <w:rFonts w:ascii="Arial" w:hAnsi="Arial" w:cs="Arial"/>
          <w:sz w:val="22"/>
          <w:szCs w:val="22"/>
        </w:rPr>
      </w:pPr>
      <w:r w:rsidRPr="00946C14">
        <w:rPr>
          <w:rFonts w:ascii="Arial" w:hAnsi="Arial" w:cs="Arial"/>
          <w:b/>
          <w:bCs/>
          <w:sz w:val="22"/>
          <w:szCs w:val="22"/>
        </w:rPr>
        <w:t>Co-design sessions</w:t>
      </w:r>
      <w:r w:rsidRPr="00946C14">
        <w:rPr>
          <w:rFonts w:ascii="Arial" w:hAnsi="Arial" w:cs="Arial"/>
          <w:sz w:val="22"/>
          <w:szCs w:val="22"/>
        </w:rPr>
        <w:t xml:space="preserve"> integrating clinical, engineering, and UX perspectives.</w:t>
      </w:r>
    </w:p>
    <w:p w14:paraId="0E567A85" w14:textId="77777777" w:rsidR="00946C14" w:rsidRPr="00946C14" w:rsidRDefault="00946C14" w:rsidP="00E3213D">
      <w:pPr>
        <w:numPr>
          <w:ilvl w:val="0"/>
          <w:numId w:val="87"/>
        </w:numPr>
        <w:spacing w:line="360" w:lineRule="auto"/>
        <w:jc w:val="both"/>
        <w:rPr>
          <w:rFonts w:ascii="Arial" w:hAnsi="Arial" w:cs="Arial"/>
          <w:sz w:val="22"/>
          <w:szCs w:val="22"/>
        </w:rPr>
      </w:pPr>
      <w:r w:rsidRPr="00946C14">
        <w:rPr>
          <w:rFonts w:ascii="Arial" w:hAnsi="Arial" w:cs="Arial"/>
          <w:b/>
          <w:bCs/>
          <w:sz w:val="22"/>
          <w:szCs w:val="22"/>
        </w:rPr>
        <w:t>Joint risk assessments</w:t>
      </w:r>
      <w:r w:rsidRPr="00946C14">
        <w:rPr>
          <w:rFonts w:ascii="Arial" w:hAnsi="Arial" w:cs="Arial"/>
          <w:sz w:val="22"/>
          <w:szCs w:val="22"/>
        </w:rPr>
        <w:t xml:space="preserve"> involving R&amp;D, software, and regulatory teams.</w:t>
      </w:r>
    </w:p>
    <w:p w14:paraId="26A6FB23" w14:textId="77777777" w:rsidR="00946C14" w:rsidRPr="00946C14" w:rsidRDefault="00946C14" w:rsidP="00E3213D">
      <w:pPr>
        <w:numPr>
          <w:ilvl w:val="0"/>
          <w:numId w:val="87"/>
        </w:numPr>
        <w:spacing w:line="360" w:lineRule="auto"/>
        <w:jc w:val="both"/>
        <w:rPr>
          <w:rFonts w:ascii="Arial" w:hAnsi="Arial" w:cs="Arial"/>
          <w:sz w:val="22"/>
          <w:szCs w:val="22"/>
        </w:rPr>
      </w:pPr>
      <w:r w:rsidRPr="00946C14">
        <w:rPr>
          <w:rFonts w:ascii="Arial" w:hAnsi="Arial" w:cs="Arial"/>
          <w:b/>
          <w:bCs/>
          <w:sz w:val="22"/>
          <w:szCs w:val="22"/>
        </w:rPr>
        <w:t>Innovation workshops</w:t>
      </w:r>
      <w:r w:rsidRPr="00946C14">
        <w:rPr>
          <w:rFonts w:ascii="Arial" w:hAnsi="Arial" w:cs="Arial"/>
          <w:sz w:val="22"/>
          <w:szCs w:val="22"/>
        </w:rPr>
        <w:t xml:space="preserve"> used to refine product features and resolve technical challenges.</w:t>
      </w:r>
    </w:p>
    <w:p w14:paraId="6EFD37BE"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Collaboration improves product quality by ensuring solutions are informed by multiple viewpoints. It also reduces silo-based thinking, which is a common obstacle in cross-functional projects.</w:t>
      </w:r>
    </w:p>
    <w:p w14:paraId="03505F8D"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6.5 Conflict Management</w:t>
      </w:r>
    </w:p>
    <w:p w14:paraId="3D6E4A83"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Given the complexity of the project, conflict is inevitable. Conflicts may arise from role ambiguity, resource constraints, schedule pressures, or differing interpretations of regulatory requirements.</w:t>
      </w:r>
    </w:p>
    <w:p w14:paraId="24C638CF" w14:textId="77777777" w:rsidR="00E3213D" w:rsidRDefault="00E3213D" w:rsidP="00E3213D">
      <w:pPr>
        <w:spacing w:line="360" w:lineRule="auto"/>
        <w:jc w:val="both"/>
        <w:rPr>
          <w:rFonts w:ascii="Arial" w:hAnsi="Arial" w:cs="Arial"/>
          <w:b/>
          <w:bCs/>
          <w:sz w:val="22"/>
          <w:szCs w:val="22"/>
        </w:rPr>
      </w:pPr>
    </w:p>
    <w:p w14:paraId="5B22EC85" w14:textId="77777777" w:rsidR="00E3213D" w:rsidRDefault="00E3213D" w:rsidP="00E3213D">
      <w:pPr>
        <w:spacing w:line="360" w:lineRule="auto"/>
        <w:jc w:val="both"/>
        <w:rPr>
          <w:rFonts w:ascii="Arial" w:hAnsi="Arial" w:cs="Arial"/>
          <w:b/>
          <w:bCs/>
          <w:sz w:val="22"/>
          <w:szCs w:val="22"/>
        </w:rPr>
      </w:pPr>
    </w:p>
    <w:p w14:paraId="4B2D5676" w14:textId="0B126114"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lastRenderedPageBreak/>
        <w:t>Conflict Sources</w:t>
      </w:r>
    </w:p>
    <w:p w14:paraId="255AD9AA" w14:textId="77777777" w:rsidR="00946C14" w:rsidRPr="00946C14" w:rsidRDefault="00946C14" w:rsidP="00E3213D">
      <w:pPr>
        <w:numPr>
          <w:ilvl w:val="0"/>
          <w:numId w:val="88"/>
        </w:numPr>
        <w:spacing w:line="360" w:lineRule="auto"/>
        <w:jc w:val="both"/>
        <w:rPr>
          <w:rFonts w:ascii="Arial" w:hAnsi="Arial" w:cs="Arial"/>
          <w:sz w:val="22"/>
          <w:szCs w:val="22"/>
        </w:rPr>
      </w:pPr>
      <w:r w:rsidRPr="00946C14">
        <w:rPr>
          <w:rFonts w:ascii="Arial" w:hAnsi="Arial" w:cs="Arial"/>
          <w:sz w:val="22"/>
          <w:szCs w:val="22"/>
        </w:rPr>
        <w:t>Disagreements over product specifications.</w:t>
      </w:r>
    </w:p>
    <w:p w14:paraId="295D1EB5" w14:textId="77777777" w:rsidR="00946C14" w:rsidRPr="00946C14" w:rsidRDefault="00946C14" w:rsidP="00E3213D">
      <w:pPr>
        <w:numPr>
          <w:ilvl w:val="0"/>
          <w:numId w:val="88"/>
        </w:numPr>
        <w:spacing w:line="360" w:lineRule="auto"/>
        <w:jc w:val="both"/>
        <w:rPr>
          <w:rFonts w:ascii="Arial" w:hAnsi="Arial" w:cs="Arial"/>
          <w:sz w:val="22"/>
          <w:szCs w:val="22"/>
        </w:rPr>
      </w:pPr>
      <w:r w:rsidRPr="00946C14">
        <w:rPr>
          <w:rFonts w:ascii="Arial" w:hAnsi="Arial" w:cs="Arial"/>
          <w:sz w:val="22"/>
          <w:szCs w:val="22"/>
        </w:rPr>
        <w:t>Tension between speed (marketing) and accuracy (regulatory).</w:t>
      </w:r>
    </w:p>
    <w:p w14:paraId="746FD852" w14:textId="77777777" w:rsidR="00946C14" w:rsidRPr="00946C14" w:rsidRDefault="00946C14" w:rsidP="00E3213D">
      <w:pPr>
        <w:numPr>
          <w:ilvl w:val="0"/>
          <w:numId w:val="88"/>
        </w:numPr>
        <w:spacing w:line="360" w:lineRule="auto"/>
        <w:jc w:val="both"/>
        <w:rPr>
          <w:rFonts w:ascii="Arial" w:hAnsi="Arial" w:cs="Arial"/>
          <w:sz w:val="22"/>
          <w:szCs w:val="22"/>
        </w:rPr>
      </w:pPr>
      <w:r w:rsidRPr="00946C14">
        <w:rPr>
          <w:rFonts w:ascii="Arial" w:hAnsi="Arial" w:cs="Arial"/>
          <w:sz w:val="22"/>
          <w:szCs w:val="22"/>
        </w:rPr>
        <w:t>Supplier delays creating internal pressure.</w:t>
      </w:r>
    </w:p>
    <w:p w14:paraId="01CAC870" w14:textId="77777777" w:rsidR="00946C14" w:rsidRPr="00946C14" w:rsidRDefault="00946C14" w:rsidP="00E3213D">
      <w:pPr>
        <w:numPr>
          <w:ilvl w:val="0"/>
          <w:numId w:val="88"/>
        </w:numPr>
        <w:spacing w:line="360" w:lineRule="auto"/>
        <w:jc w:val="both"/>
        <w:rPr>
          <w:rFonts w:ascii="Arial" w:hAnsi="Arial" w:cs="Arial"/>
          <w:sz w:val="22"/>
          <w:szCs w:val="22"/>
        </w:rPr>
      </w:pPr>
      <w:r w:rsidRPr="00946C14">
        <w:rPr>
          <w:rFonts w:ascii="Arial" w:hAnsi="Arial" w:cs="Arial"/>
          <w:sz w:val="22"/>
          <w:szCs w:val="22"/>
        </w:rPr>
        <w:t>Miscommunication or unclear responsibilities.</w:t>
      </w:r>
    </w:p>
    <w:p w14:paraId="5B7833E6" w14:textId="65D88341"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Conflict-Resolution Strategies</w:t>
      </w:r>
    </w:p>
    <w:p w14:paraId="2D6BD5C6" w14:textId="77777777" w:rsidR="00946C14" w:rsidRPr="00946C14" w:rsidRDefault="00946C14" w:rsidP="00E3213D">
      <w:pPr>
        <w:numPr>
          <w:ilvl w:val="0"/>
          <w:numId w:val="89"/>
        </w:numPr>
        <w:spacing w:line="360" w:lineRule="auto"/>
        <w:jc w:val="both"/>
        <w:rPr>
          <w:rFonts w:ascii="Arial" w:hAnsi="Arial" w:cs="Arial"/>
          <w:sz w:val="22"/>
          <w:szCs w:val="22"/>
        </w:rPr>
      </w:pPr>
      <w:r w:rsidRPr="00946C14">
        <w:rPr>
          <w:rFonts w:ascii="Arial" w:hAnsi="Arial" w:cs="Arial"/>
          <w:b/>
          <w:bCs/>
          <w:sz w:val="22"/>
          <w:szCs w:val="22"/>
        </w:rPr>
        <w:t>Early Identification:</w:t>
      </w:r>
      <w:r w:rsidRPr="00946C14">
        <w:rPr>
          <w:rFonts w:ascii="Arial" w:hAnsi="Arial" w:cs="Arial"/>
          <w:sz w:val="22"/>
          <w:szCs w:val="22"/>
        </w:rPr>
        <w:t xml:space="preserve"> Regular stand-ups and check-in meetings allow early detection of issues.</w:t>
      </w:r>
    </w:p>
    <w:p w14:paraId="1CF4E7E5" w14:textId="77777777" w:rsidR="00946C14" w:rsidRPr="00946C14" w:rsidRDefault="00946C14" w:rsidP="00E3213D">
      <w:pPr>
        <w:numPr>
          <w:ilvl w:val="0"/>
          <w:numId w:val="89"/>
        </w:numPr>
        <w:spacing w:line="360" w:lineRule="auto"/>
        <w:jc w:val="both"/>
        <w:rPr>
          <w:rFonts w:ascii="Arial" w:hAnsi="Arial" w:cs="Arial"/>
          <w:sz w:val="22"/>
          <w:szCs w:val="22"/>
        </w:rPr>
      </w:pPr>
      <w:r w:rsidRPr="00946C14">
        <w:rPr>
          <w:rFonts w:ascii="Arial" w:hAnsi="Arial" w:cs="Arial"/>
          <w:b/>
          <w:bCs/>
          <w:sz w:val="22"/>
          <w:szCs w:val="22"/>
        </w:rPr>
        <w:t>Active Listening:</w:t>
      </w:r>
      <w:r w:rsidRPr="00946C14">
        <w:rPr>
          <w:rFonts w:ascii="Arial" w:hAnsi="Arial" w:cs="Arial"/>
          <w:sz w:val="22"/>
          <w:szCs w:val="22"/>
        </w:rPr>
        <w:t xml:space="preserve"> Ensures stakeholders feel understood and reduces emotional escalation.</w:t>
      </w:r>
    </w:p>
    <w:p w14:paraId="7A71034C" w14:textId="77777777" w:rsidR="00946C14" w:rsidRPr="00946C14" w:rsidRDefault="00946C14" w:rsidP="00E3213D">
      <w:pPr>
        <w:numPr>
          <w:ilvl w:val="0"/>
          <w:numId w:val="89"/>
        </w:numPr>
        <w:spacing w:line="360" w:lineRule="auto"/>
        <w:jc w:val="both"/>
        <w:rPr>
          <w:rFonts w:ascii="Arial" w:hAnsi="Arial" w:cs="Arial"/>
          <w:sz w:val="22"/>
          <w:szCs w:val="22"/>
        </w:rPr>
      </w:pPr>
      <w:r w:rsidRPr="00946C14">
        <w:rPr>
          <w:rFonts w:ascii="Arial" w:hAnsi="Arial" w:cs="Arial"/>
          <w:b/>
          <w:bCs/>
          <w:sz w:val="22"/>
          <w:szCs w:val="22"/>
        </w:rPr>
        <w:t>Root Cause Analysis:</w:t>
      </w:r>
      <w:r w:rsidRPr="00946C14">
        <w:rPr>
          <w:rFonts w:ascii="Arial" w:hAnsi="Arial" w:cs="Arial"/>
          <w:sz w:val="22"/>
          <w:szCs w:val="22"/>
        </w:rPr>
        <w:t xml:space="preserve"> Prevents teams from addressing symptoms rather than structural issues.</w:t>
      </w:r>
    </w:p>
    <w:p w14:paraId="5C9862E8" w14:textId="77777777" w:rsidR="00946C14" w:rsidRPr="00946C14" w:rsidRDefault="00946C14" w:rsidP="00E3213D">
      <w:pPr>
        <w:numPr>
          <w:ilvl w:val="0"/>
          <w:numId w:val="89"/>
        </w:numPr>
        <w:spacing w:line="360" w:lineRule="auto"/>
        <w:jc w:val="both"/>
        <w:rPr>
          <w:rFonts w:ascii="Arial" w:hAnsi="Arial" w:cs="Arial"/>
          <w:sz w:val="22"/>
          <w:szCs w:val="22"/>
        </w:rPr>
      </w:pPr>
      <w:r w:rsidRPr="00946C14">
        <w:rPr>
          <w:rFonts w:ascii="Arial" w:hAnsi="Arial" w:cs="Arial"/>
          <w:b/>
          <w:bCs/>
          <w:sz w:val="22"/>
          <w:szCs w:val="22"/>
        </w:rPr>
        <w:t>Mediation by the Project Manager:</w:t>
      </w:r>
      <w:r w:rsidRPr="00946C14">
        <w:rPr>
          <w:rFonts w:ascii="Arial" w:hAnsi="Arial" w:cs="Arial"/>
          <w:sz w:val="22"/>
          <w:szCs w:val="22"/>
        </w:rPr>
        <w:t xml:space="preserve"> The PM acts as a neutral facilitator.</w:t>
      </w:r>
    </w:p>
    <w:p w14:paraId="5D17587D" w14:textId="77777777" w:rsidR="00946C14" w:rsidRPr="00946C14" w:rsidRDefault="00946C14" w:rsidP="00E3213D">
      <w:pPr>
        <w:numPr>
          <w:ilvl w:val="0"/>
          <w:numId w:val="89"/>
        </w:numPr>
        <w:spacing w:line="360" w:lineRule="auto"/>
        <w:jc w:val="both"/>
        <w:rPr>
          <w:rFonts w:ascii="Arial" w:hAnsi="Arial" w:cs="Arial"/>
          <w:sz w:val="22"/>
          <w:szCs w:val="22"/>
        </w:rPr>
      </w:pPr>
      <w:r w:rsidRPr="00946C14">
        <w:rPr>
          <w:rFonts w:ascii="Arial" w:hAnsi="Arial" w:cs="Arial"/>
          <w:b/>
          <w:bCs/>
          <w:sz w:val="22"/>
          <w:szCs w:val="22"/>
        </w:rPr>
        <w:t>Clarifying RACI Roles:</w:t>
      </w:r>
      <w:r w:rsidRPr="00946C14">
        <w:rPr>
          <w:rFonts w:ascii="Arial" w:hAnsi="Arial" w:cs="Arial"/>
          <w:sz w:val="22"/>
          <w:szCs w:val="22"/>
        </w:rPr>
        <w:t xml:space="preserve"> Eliminates confusion about accountability.</w:t>
      </w:r>
    </w:p>
    <w:p w14:paraId="63AA9710" w14:textId="77777777" w:rsidR="00946C14" w:rsidRPr="00946C14" w:rsidRDefault="00946C14" w:rsidP="00E3213D">
      <w:pPr>
        <w:numPr>
          <w:ilvl w:val="0"/>
          <w:numId w:val="89"/>
        </w:numPr>
        <w:spacing w:line="360" w:lineRule="auto"/>
        <w:jc w:val="both"/>
        <w:rPr>
          <w:rFonts w:ascii="Arial" w:hAnsi="Arial" w:cs="Arial"/>
          <w:sz w:val="22"/>
          <w:szCs w:val="22"/>
        </w:rPr>
      </w:pPr>
      <w:r w:rsidRPr="00946C14">
        <w:rPr>
          <w:rFonts w:ascii="Arial" w:hAnsi="Arial" w:cs="Arial"/>
          <w:b/>
          <w:bCs/>
          <w:sz w:val="22"/>
          <w:szCs w:val="22"/>
        </w:rPr>
        <w:t>Reframing Discussions Around Shared Goals:</w:t>
      </w:r>
      <w:r w:rsidRPr="00946C14">
        <w:rPr>
          <w:rFonts w:ascii="Arial" w:hAnsi="Arial" w:cs="Arial"/>
          <w:sz w:val="22"/>
          <w:szCs w:val="22"/>
        </w:rPr>
        <w:t xml:space="preserve"> Encourages stakeholders to prioritise project success over departmental interests.</w:t>
      </w:r>
    </w:p>
    <w:p w14:paraId="227230FB"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Integration of the Thomas–Kilmann Conflict Model</w:t>
      </w:r>
    </w:p>
    <w:p w14:paraId="11CDE3CE"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To deepen the analysis, conflict styles can be mapped using the Thomas–Kilmann Instrument (TKI):</w:t>
      </w:r>
    </w:p>
    <w:p w14:paraId="22A9086A" w14:textId="77777777" w:rsidR="00946C14" w:rsidRPr="00946C14" w:rsidRDefault="00946C14" w:rsidP="00E3213D">
      <w:pPr>
        <w:numPr>
          <w:ilvl w:val="0"/>
          <w:numId w:val="90"/>
        </w:numPr>
        <w:spacing w:line="360" w:lineRule="auto"/>
        <w:jc w:val="both"/>
        <w:rPr>
          <w:rFonts w:ascii="Arial" w:hAnsi="Arial" w:cs="Arial"/>
          <w:sz w:val="22"/>
          <w:szCs w:val="22"/>
        </w:rPr>
      </w:pPr>
      <w:r w:rsidRPr="00946C14">
        <w:rPr>
          <w:rFonts w:ascii="Arial" w:hAnsi="Arial" w:cs="Arial"/>
          <w:b/>
          <w:bCs/>
          <w:sz w:val="22"/>
          <w:szCs w:val="22"/>
        </w:rPr>
        <w:t>Competing:</w:t>
      </w:r>
      <w:r w:rsidRPr="00946C14">
        <w:rPr>
          <w:rFonts w:ascii="Arial" w:hAnsi="Arial" w:cs="Arial"/>
          <w:sz w:val="22"/>
          <w:szCs w:val="22"/>
        </w:rPr>
        <w:t xml:space="preserve"> Useful when urgent regulatory compliance decisions are needed.</w:t>
      </w:r>
    </w:p>
    <w:p w14:paraId="49B49549" w14:textId="77777777" w:rsidR="00946C14" w:rsidRPr="00946C14" w:rsidRDefault="00946C14" w:rsidP="00E3213D">
      <w:pPr>
        <w:numPr>
          <w:ilvl w:val="0"/>
          <w:numId w:val="90"/>
        </w:numPr>
        <w:spacing w:line="360" w:lineRule="auto"/>
        <w:jc w:val="both"/>
        <w:rPr>
          <w:rFonts w:ascii="Arial" w:hAnsi="Arial" w:cs="Arial"/>
          <w:sz w:val="22"/>
          <w:szCs w:val="22"/>
        </w:rPr>
      </w:pPr>
      <w:r w:rsidRPr="00946C14">
        <w:rPr>
          <w:rFonts w:ascii="Arial" w:hAnsi="Arial" w:cs="Arial"/>
          <w:b/>
          <w:bCs/>
          <w:sz w:val="22"/>
          <w:szCs w:val="22"/>
        </w:rPr>
        <w:t>Collaborating:</w:t>
      </w:r>
      <w:r w:rsidRPr="00946C14">
        <w:rPr>
          <w:rFonts w:ascii="Arial" w:hAnsi="Arial" w:cs="Arial"/>
          <w:sz w:val="22"/>
          <w:szCs w:val="22"/>
        </w:rPr>
        <w:t xml:space="preserve"> Best for cross-functional design and problem-solving.</w:t>
      </w:r>
    </w:p>
    <w:p w14:paraId="2FCFF600" w14:textId="77777777" w:rsidR="00946C14" w:rsidRPr="00946C14" w:rsidRDefault="00946C14" w:rsidP="00E3213D">
      <w:pPr>
        <w:numPr>
          <w:ilvl w:val="0"/>
          <w:numId w:val="90"/>
        </w:numPr>
        <w:spacing w:line="360" w:lineRule="auto"/>
        <w:jc w:val="both"/>
        <w:rPr>
          <w:rFonts w:ascii="Arial" w:hAnsi="Arial" w:cs="Arial"/>
          <w:sz w:val="22"/>
          <w:szCs w:val="22"/>
        </w:rPr>
      </w:pPr>
      <w:r w:rsidRPr="00946C14">
        <w:rPr>
          <w:rFonts w:ascii="Arial" w:hAnsi="Arial" w:cs="Arial"/>
          <w:b/>
          <w:bCs/>
          <w:sz w:val="22"/>
          <w:szCs w:val="22"/>
        </w:rPr>
        <w:t>Compromising:</w:t>
      </w:r>
      <w:r w:rsidRPr="00946C14">
        <w:rPr>
          <w:rFonts w:ascii="Arial" w:hAnsi="Arial" w:cs="Arial"/>
          <w:sz w:val="22"/>
          <w:szCs w:val="22"/>
        </w:rPr>
        <w:t xml:space="preserve"> Helps when departments have competing priorities (e.g., cost vs. quality).</w:t>
      </w:r>
    </w:p>
    <w:p w14:paraId="581D27BA" w14:textId="77777777" w:rsidR="00946C14" w:rsidRPr="00946C14" w:rsidRDefault="00946C14" w:rsidP="00E3213D">
      <w:pPr>
        <w:numPr>
          <w:ilvl w:val="0"/>
          <w:numId w:val="90"/>
        </w:numPr>
        <w:spacing w:line="360" w:lineRule="auto"/>
        <w:jc w:val="both"/>
        <w:rPr>
          <w:rFonts w:ascii="Arial" w:hAnsi="Arial" w:cs="Arial"/>
          <w:sz w:val="22"/>
          <w:szCs w:val="22"/>
        </w:rPr>
      </w:pPr>
      <w:r w:rsidRPr="00946C14">
        <w:rPr>
          <w:rFonts w:ascii="Arial" w:hAnsi="Arial" w:cs="Arial"/>
          <w:b/>
          <w:bCs/>
          <w:sz w:val="22"/>
          <w:szCs w:val="22"/>
        </w:rPr>
        <w:t>Avoiding:</w:t>
      </w:r>
      <w:r w:rsidRPr="00946C14">
        <w:rPr>
          <w:rFonts w:ascii="Arial" w:hAnsi="Arial" w:cs="Arial"/>
          <w:sz w:val="22"/>
          <w:szCs w:val="22"/>
        </w:rPr>
        <w:t xml:space="preserve"> Appropriate only for low-impact disputes.</w:t>
      </w:r>
    </w:p>
    <w:p w14:paraId="718A0094" w14:textId="77777777" w:rsidR="00946C14" w:rsidRPr="00946C14" w:rsidRDefault="00946C14" w:rsidP="00E3213D">
      <w:pPr>
        <w:numPr>
          <w:ilvl w:val="0"/>
          <w:numId w:val="90"/>
        </w:numPr>
        <w:spacing w:line="360" w:lineRule="auto"/>
        <w:jc w:val="both"/>
        <w:rPr>
          <w:rFonts w:ascii="Arial" w:hAnsi="Arial" w:cs="Arial"/>
          <w:sz w:val="22"/>
          <w:szCs w:val="22"/>
        </w:rPr>
      </w:pPr>
      <w:r w:rsidRPr="00946C14">
        <w:rPr>
          <w:rFonts w:ascii="Arial" w:hAnsi="Arial" w:cs="Arial"/>
          <w:b/>
          <w:bCs/>
          <w:sz w:val="22"/>
          <w:szCs w:val="22"/>
        </w:rPr>
        <w:t>Accommodating:</w:t>
      </w:r>
      <w:r w:rsidRPr="00946C14">
        <w:rPr>
          <w:rFonts w:ascii="Arial" w:hAnsi="Arial" w:cs="Arial"/>
          <w:sz w:val="22"/>
          <w:szCs w:val="22"/>
        </w:rPr>
        <w:t xml:space="preserve"> Useful when maintaining team harmony outweighs the issue.</w:t>
      </w:r>
    </w:p>
    <w:p w14:paraId="56453130"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By understanding conflict styles, the project manager can tailor interventions to the nature of the dispute, reducing delays and improving stakeholder satisfaction.</w:t>
      </w:r>
    </w:p>
    <w:p w14:paraId="5CF0E197" w14:textId="77777777" w:rsidR="00E3213D" w:rsidRDefault="00E3213D" w:rsidP="00E3213D">
      <w:pPr>
        <w:spacing w:line="360" w:lineRule="auto"/>
        <w:jc w:val="both"/>
        <w:rPr>
          <w:rFonts w:ascii="Arial" w:hAnsi="Arial" w:cs="Arial"/>
          <w:b/>
          <w:bCs/>
          <w:sz w:val="22"/>
          <w:szCs w:val="22"/>
        </w:rPr>
      </w:pPr>
    </w:p>
    <w:p w14:paraId="377CEF5B" w14:textId="3E3045C1"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lastRenderedPageBreak/>
        <w:t>6.6 Summary of 4Cs Application</w:t>
      </w:r>
    </w:p>
    <w:p w14:paraId="4EF745A2"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The 4Cs model provides OMRON with a strong framework for structured engagement. Communication ensures clarity, coordination maintains alignment, cooperation builds trust, and collaboration fuels innovation. When combined with proactive conflict management, these elements significantly increase the likelihood of delivering a clinically validated, commercially successful wearable device.</w:t>
      </w:r>
    </w:p>
    <w:p w14:paraId="7F372DF1"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pict w14:anchorId="4EACD15A">
          <v:rect id="_x0000_i1326" style="width:0;height:1.5pt" o:hralign="center" o:hrstd="t" o:hr="t" fillcolor="#a0a0a0" stroked="f"/>
        </w:pict>
      </w:r>
    </w:p>
    <w:p w14:paraId="02EA6B71"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7. Evaluation of Stakeholder Engagement Impact</w:t>
      </w:r>
    </w:p>
    <w:p w14:paraId="76288F4F"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Effective stakeholder engagement is a critical determinant of project success, particularly in complex, multidisciplinary initiatives such as the </w:t>
      </w:r>
      <w:proofErr w:type="spellStart"/>
      <w:r w:rsidRPr="00946C14">
        <w:rPr>
          <w:rFonts w:ascii="Arial" w:hAnsi="Arial" w:cs="Arial"/>
          <w:sz w:val="22"/>
          <w:szCs w:val="22"/>
        </w:rPr>
        <w:t>OmniWatch</w:t>
      </w:r>
      <w:proofErr w:type="spellEnd"/>
      <w:r w:rsidRPr="00946C14">
        <w:rPr>
          <w:rFonts w:ascii="Arial" w:hAnsi="Arial" w:cs="Arial"/>
          <w:sz w:val="22"/>
          <w:szCs w:val="22"/>
        </w:rPr>
        <w:t xml:space="preserve"> launch. This section expands the evaluation of stakeholder engagement by integrating academic theory, project management frameworks, and practical implications for OMRON Healthcare UK.</w:t>
      </w:r>
    </w:p>
    <w:p w14:paraId="0D0ED1ED"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7.1 Enhanced Cross-Functional Alignment and Efficiency</w:t>
      </w:r>
    </w:p>
    <w:p w14:paraId="0C981DD5"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Stakeholder engagement enhances internal alignment by ensuring that each department understands its role, responsibilities, and interdependencies. Tools such as the RACI matrix and weekly cross-functional meetings provide operational clarity, reducing duplication of work and preventing communication breakdowns.</w:t>
      </w:r>
    </w:p>
    <w:p w14:paraId="42BD38B7" w14:textId="200B4DF3"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Analysis</w:t>
      </w:r>
    </w:p>
    <w:p w14:paraId="70359121" w14:textId="77777777" w:rsidR="00946C14" w:rsidRPr="00946C14" w:rsidRDefault="00946C14" w:rsidP="00E3213D">
      <w:pPr>
        <w:numPr>
          <w:ilvl w:val="0"/>
          <w:numId w:val="91"/>
        </w:numPr>
        <w:spacing w:line="360" w:lineRule="auto"/>
        <w:jc w:val="both"/>
        <w:rPr>
          <w:rFonts w:ascii="Arial" w:hAnsi="Arial" w:cs="Arial"/>
          <w:sz w:val="22"/>
          <w:szCs w:val="22"/>
        </w:rPr>
      </w:pPr>
      <w:r w:rsidRPr="00946C14">
        <w:rPr>
          <w:rFonts w:ascii="Arial" w:hAnsi="Arial" w:cs="Arial"/>
          <w:b/>
          <w:bCs/>
          <w:sz w:val="22"/>
          <w:szCs w:val="22"/>
        </w:rPr>
        <w:t>Alignment with PMBOK (2021):</w:t>
      </w:r>
      <w:r w:rsidRPr="00946C14">
        <w:rPr>
          <w:rFonts w:ascii="Arial" w:hAnsi="Arial" w:cs="Arial"/>
          <w:sz w:val="22"/>
          <w:szCs w:val="22"/>
        </w:rPr>
        <w:t xml:space="preserve"> PMBOK emphasises stakeholder engagement as central to project integration management. The </w:t>
      </w:r>
      <w:proofErr w:type="spellStart"/>
      <w:r w:rsidRPr="00946C14">
        <w:rPr>
          <w:rFonts w:ascii="Arial" w:hAnsi="Arial" w:cs="Arial"/>
          <w:sz w:val="22"/>
          <w:szCs w:val="22"/>
        </w:rPr>
        <w:t>OmniWatch</w:t>
      </w:r>
      <w:proofErr w:type="spellEnd"/>
      <w:r w:rsidRPr="00946C14">
        <w:rPr>
          <w:rFonts w:ascii="Arial" w:hAnsi="Arial" w:cs="Arial"/>
          <w:sz w:val="22"/>
          <w:szCs w:val="22"/>
        </w:rPr>
        <w:t xml:space="preserve"> project demonstrates this through clear task ownership and continuous reporting.</w:t>
      </w:r>
    </w:p>
    <w:p w14:paraId="520D9839" w14:textId="77777777" w:rsidR="00946C14" w:rsidRPr="00946C14" w:rsidRDefault="00946C14" w:rsidP="00E3213D">
      <w:pPr>
        <w:numPr>
          <w:ilvl w:val="0"/>
          <w:numId w:val="91"/>
        </w:numPr>
        <w:spacing w:line="360" w:lineRule="auto"/>
        <w:jc w:val="both"/>
        <w:rPr>
          <w:rFonts w:ascii="Arial" w:hAnsi="Arial" w:cs="Arial"/>
          <w:sz w:val="22"/>
          <w:szCs w:val="22"/>
        </w:rPr>
      </w:pPr>
      <w:r w:rsidRPr="00946C14">
        <w:rPr>
          <w:rFonts w:ascii="Arial" w:hAnsi="Arial" w:cs="Arial"/>
          <w:b/>
          <w:bCs/>
          <w:sz w:val="22"/>
          <w:szCs w:val="22"/>
        </w:rPr>
        <w:t>Reduction of Rework:</w:t>
      </w:r>
      <w:r w:rsidRPr="00946C14">
        <w:rPr>
          <w:rFonts w:ascii="Arial" w:hAnsi="Arial" w:cs="Arial"/>
          <w:sz w:val="22"/>
          <w:szCs w:val="22"/>
        </w:rPr>
        <w:t xml:space="preserve"> Early involvement of R&amp;D, software, and regulatory teams prevents late-stage design changes, reducing time and cost overruns.</w:t>
      </w:r>
    </w:p>
    <w:p w14:paraId="6E9598A6" w14:textId="77777777" w:rsidR="00946C14" w:rsidRPr="00946C14" w:rsidRDefault="00946C14" w:rsidP="00E3213D">
      <w:pPr>
        <w:numPr>
          <w:ilvl w:val="0"/>
          <w:numId w:val="91"/>
        </w:numPr>
        <w:spacing w:line="360" w:lineRule="auto"/>
        <w:jc w:val="both"/>
        <w:rPr>
          <w:rFonts w:ascii="Arial" w:hAnsi="Arial" w:cs="Arial"/>
          <w:sz w:val="22"/>
          <w:szCs w:val="22"/>
        </w:rPr>
      </w:pPr>
      <w:r w:rsidRPr="00946C14">
        <w:rPr>
          <w:rFonts w:ascii="Arial" w:hAnsi="Arial" w:cs="Arial"/>
          <w:b/>
          <w:bCs/>
          <w:sz w:val="22"/>
          <w:szCs w:val="22"/>
        </w:rPr>
        <w:t>Cultural Alignment:</w:t>
      </w:r>
      <w:r w:rsidRPr="00946C14">
        <w:rPr>
          <w:rFonts w:ascii="Arial" w:hAnsi="Arial" w:cs="Arial"/>
          <w:sz w:val="22"/>
          <w:szCs w:val="22"/>
        </w:rPr>
        <w:t xml:space="preserve"> Collaborative practices help build a culture of shared responsibility, which is essential in healthcare device development.</w:t>
      </w:r>
    </w:p>
    <w:p w14:paraId="7C0DFF41"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7.2 Improved Decision-Making and Risk Management</w:t>
      </w:r>
    </w:p>
    <w:p w14:paraId="400650A2"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Engaging stakeholders early and consistently enhances the quality of decisions made throughout the project lifecycle. The diversity of expertise—clinical, technical, commercial, regulatory—enables informed and holistic decision-making.</w:t>
      </w:r>
    </w:p>
    <w:p w14:paraId="4D276E73" w14:textId="77777777" w:rsidR="00E3213D" w:rsidRDefault="00E3213D" w:rsidP="00E3213D">
      <w:pPr>
        <w:spacing w:line="360" w:lineRule="auto"/>
        <w:jc w:val="both"/>
        <w:rPr>
          <w:rFonts w:ascii="Arial" w:hAnsi="Arial" w:cs="Arial"/>
          <w:b/>
          <w:bCs/>
          <w:sz w:val="22"/>
          <w:szCs w:val="22"/>
        </w:rPr>
      </w:pPr>
    </w:p>
    <w:p w14:paraId="2CD1AFCA" w14:textId="77777777" w:rsidR="00E3213D" w:rsidRDefault="00E3213D" w:rsidP="00E3213D">
      <w:pPr>
        <w:spacing w:line="360" w:lineRule="auto"/>
        <w:jc w:val="both"/>
        <w:rPr>
          <w:rFonts w:ascii="Arial" w:hAnsi="Arial" w:cs="Arial"/>
          <w:b/>
          <w:bCs/>
          <w:sz w:val="22"/>
          <w:szCs w:val="22"/>
        </w:rPr>
      </w:pPr>
    </w:p>
    <w:p w14:paraId="4D501F9B" w14:textId="7CC50159"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lastRenderedPageBreak/>
        <w:t>Analysis</w:t>
      </w:r>
    </w:p>
    <w:p w14:paraId="15D96576" w14:textId="77777777" w:rsidR="00946C14" w:rsidRPr="00946C14" w:rsidRDefault="00946C14" w:rsidP="00E3213D">
      <w:pPr>
        <w:numPr>
          <w:ilvl w:val="0"/>
          <w:numId w:val="92"/>
        </w:numPr>
        <w:spacing w:line="360" w:lineRule="auto"/>
        <w:jc w:val="both"/>
        <w:rPr>
          <w:rFonts w:ascii="Arial" w:hAnsi="Arial" w:cs="Arial"/>
          <w:sz w:val="22"/>
          <w:szCs w:val="22"/>
        </w:rPr>
      </w:pPr>
      <w:r w:rsidRPr="00946C14">
        <w:rPr>
          <w:rFonts w:ascii="Arial" w:hAnsi="Arial" w:cs="Arial"/>
          <w:b/>
          <w:bCs/>
          <w:sz w:val="22"/>
          <w:szCs w:val="22"/>
        </w:rPr>
        <w:t>Risk Visibility:</w:t>
      </w:r>
      <w:r w:rsidRPr="00946C14">
        <w:rPr>
          <w:rFonts w:ascii="Arial" w:hAnsi="Arial" w:cs="Arial"/>
          <w:sz w:val="22"/>
          <w:szCs w:val="22"/>
        </w:rPr>
        <w:t xml:space="preserve"> Suppliers provide insights into component availability, regulatory teams highlight compliance risks, and software engineers anticipate cybersecurity issues.</w:t>
      </w:r>
    </w:p>
    <w:p w14:paraId="501625C6" w14:textId="77777777" w:rsidR="00946C14" w:rsidRPr="00946C14" w:rsidRDefault="00946C14" w:rsidP="00E3213D">
      <w:pPr>
        <w:numPr>
          <w:ilvl w:val="0"/>
          <w:numId w:val="92"/>
        </w:numPr>
        <w:spacing w:line="360" w:lineRule="auto"/>
        <w:jc w:val="both"/>
        <w:rPr>
          <w:rFonts w:ascii="Arial" w:hAnsi="Arial" w:cs="Arial"/>
          <w:sz w:val="22"/>
          <w:szCs w:val="22"/>
        </w:rPr>
      </w:pPr>
      <w:r w:rsidRPr="00946C14">
        <w:rPr>
          <w:rFonts w:ascii="Arial" w:hAnsi="Arial" w:cs="Arial"/>
          <w:b/>
          <w:bCs/>
          <w:sz w:val="22"/>
          <w:szCs w:val="22"/>
        </w:rPr>
        <w:t>Scenario Planning:</w:t>
      </w:r>
      <w:r w:rsidRPr="00946C14">
        <w:rPr>
          <w:rFonts w:ascii="Arial" w:hAnsi="Arial" w:cs="Arial"/>
          <w:sz w:val="22"/>
          <w:szCs w:val="22"/>
        </w:rPr>
        <w:t xml:space="preserve"> Cross-functional planning sessions support early identification of risks, enabling mitigation strategies before problems escalate.</w:t>
      </w:r>
    </w:p>
    <w:p w14:paraId="7CB408D3" w14:textId="77777777" w:rsidR="00946C14" w:rsidRPr="00946C14" w:rsidRDefault="00946C14" w:rsidP="00E3213D">
      <w:pPr>
        <w:numPr>
          <w:ilvl w:val="0"/>
          <w:numId w:val="92"/>
        </w:numPr>
        <w:spacing w:line="360" w:lineRule="auto"/>
        <w:jc w:val="both"/>
        <w:rPr>
          <w:rFonts w:ascii="Arial" w:hAnsi="Arial" w:cs="Arial"/>
          <w:sz w:val="22"/>
          <w:szCs w:val="22"/>
        </w:rPr>
      </w:pPr>
      <w:r w:rsidRPr="00946C14">
        <w:rPr>
          <w:rFonts w:ascii="Arial" w:hAnsi="Arial" w:cs="Arial"/>
          <w:b/>
          <w:bCs/>
          <w:sz w:val="22"/>
          <w:szCs w:val="22"/>
        </w:rPr>
        <w:t>Evidence-Based Decision-Making:</w:t>
      </w:r>
      <w:r w:rsidRPr="00946C14">
        <w:rPr>
          <w:rFonts w:ascii="Arial" w:hAnsi="Arial" w:cs="Arial"/>
          <w:sz w:val="22"/>
          <w:szCs w:val="22"/>
        </w:rPr>
        <w:t xml:space="preserve"> Clinical input ensures product features remain medically relevant, while consumer feedback supports user-centred design.</w:t>
      </w:r>
    </w:p>
    <w:p w14:paraId="21C37613"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7.3 Strengthened Innovation and Product Quality</w:t>
      </w:r>
    </w:p>
    <w:p w14:paraId="62956E46"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Stakeholder collaboration fuels innovation by combining technical expertise, clinical insight, consumer expectations, and regulatory requirements.</w:t>
      </w:r>
    </w:p>
    <w:p w14:paraId="19B45630"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Expanded Analysis</w:t>
      </w:r>
    </w:p>
    <w:p w14:paraId="365B3259" w14:textId="77777777" w:rsidR="00946C14" w:rsidRPr="00946C14" w:rsidRDefault="00946C14" w:rsidP="00E3213D">
      <w:pPr>
        <w:numPr>
          <w:ilvl w:val="0"/>
          <w:numId w:val="93"/>
        </w:numPr>
        <w:spacing w:line="360" w:lineRule="auto"/>
        <w:jc w:val="both"/>
        <w:rPr>
          <w:rFonts w:ascii="Arial" w:hAnsi="Arial" w:cs="Arial"/>
          <w:sz w:val="22"/>
          <w:szCs w:val="22"/>
        </w:rPr>
      </w:pPr>
      <w:r w:rsidRPr="00946C14">
        <w:rPr>
          <w:rFonts w:ascii="Arial" w:hAnsi="Arial" w:cs="Arial"/>
          <w:b/>
          <w:bCs/>
          <w:sz w:val="22"/>
          <w:szCs w:val="22"/>
        </w:rPr>
        <w:t>Co-Creation:</w:t>
      </w:r>
      <w:r w:rsidRPr="00946C14">
        <w:rPr>
          <w:rFonts w:ascii="Arial" w:hAnsi="Arial" w:cs="Arial"/>
          <w:sz w:val="22"/>
          <w:szCs w:val="22"/>
        </w:rPr>
        <w:t xml:space="preserve"> Workshops involving R&amp;D, UX designers, and healthcare professionals lead to better product refinement.</w:t>
      </w:r>
    </w:p>
    <w:p w14:paraId="63A76209" w14:textId="77777777" w:rsidR="00946C14" w:rsidRPr="00946C14" w:rsidRDefault="00946C14" w:rsidP="00E3213D">
      <w:pPr>
        <w:numPr>
          <w:ilvl w:val="0"/>
          <w:numId w:val="93"/>
        </w:numPr>
        <w:spacing w:line="360" w:lineRule="auto"/>
        <w:jc w:val="both"/>
        <w:rPr>
          <w:rFonts w:ascii="Arial" w:hAnsi="Arial" w:cs="Arial"/>
          <w:sz w:val="22"/>
          <w:szCs w:val="22"/>
        </w:rPr>
      </w:pPr>
      <w:r w:rsidRPr="00946C14">
        <w:rPr>
          <w:rFonts w:ascii="Arial" w:hAnsi="Arial" w:cs="Arial"/>
          <w:b/>
          <w:bCs/>
          <w:sz w:val="22"/>
          <w:szCs w:val="22"/>
        </w:rPr>
        <w:t>Iterative Testing:</w:t>
      </w:r>
      <w:r w:rsidRPr="00946C14">
        <w:rPr>
          <w:rFonts w:ascii="Arial" w:hAnsi="Arial" w:cs="Arial"/>
          <w:sz w:val="22"/>
          <w:szCs w:val="22"/>
        </w:rPr>
        <w:t xml:space="preserve"> Beta-testing cycles enhance product usability and accuracy.</w:t>
      </w:r>
    </w:p>
    <w:p w14:paraId="2768EE14" w14:textId="77777777" w:rsidR="00946C14" w:rsidRPr="00946C14" w:rsidRDefault="00946C14" w:rsidP="00E3213D">
      <w:pPr>
        <w:numPr>
          <w:ilvl w:val="0"/>
          <w:numId w:val="93"/>
        </w:numPr>
        <w:spacing w:line="360" w:lineRule="auto"/>
        <w:jc w:val="both"/>
        <w:rPr>
          <w:rFonts w:ascii="Arial" w:hAnsi="Arial" w:cs="Arial"/>
          <w:sz w:val="22"/>
          <w:szCs w:val="22"/>
        </w:rPr>
      </w:pPr>
      <w:r w:rsidRPr="00946C14">
        <w:rPr>
          <w:rFonts w:ascii="Arial" w:hAnsi="Arial" w:cs="Arial"/>
          <w:b/>
          <w:bCs/>
          <w:sz w:val="22"/>
          <w:szCs w:val="22"/>
        </w:rPr>
        <w:t>Feedback Loops:</w:t>
      </w:r>
      <w:r w:rsidRPr="00946C14">
        <w:rPr>
          <w:rFonts w:ascii="Arial" w:hAnsi="Arial" w:cs="Arial"/>
          <w:sz w:val="22"/>
          <w:szCs w:val="22"/>
        </w:rPr>
        <w:t xml:space="preserve"> Continuous user feedback improves product-market fit, aligning with design-thinking principles.</w:t>
      </w:r>
    </w:p>
    <w:p w14:paraId="7F8243F0"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7.4 Increased Consumer Trust and Market Acceptance</w:t>
      </w:r>
    </w:p>
    <w:p w14:paraId="437543C0"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Trust is a key success factor for medical-grade devices. OMRON’s transparent engagement with consumers, clinicians, and regulators enhances product credibility.</w:t>
      </w:r>
    </w:p>
    <w:p w14:paraId="04B4F671"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Expanded Analysis</w:t>
      </w:r>
    </w:p>
    <w:p w14:paraId="2D5F10CA" w14:textId="77777777" w:rsidR="00946C14" w:rsidRPr="00946C14" w:rsidRDefault="00946C14" w:rsidP="00E3213D">
      <w:pPr>
        <w:numPr>
          <w:ilvl w:val="0"/>
          <w:numId w:val="94"/>
        </w:numPr>
        <w:spacing w:line="360" w:lineRule="auto"/>
        <w:jc w:val="both"/>
        <w:rPr>
          <w:rFonts w:ascii="Arial" w:hAnsi="Arial" w:cs="Arial"/>
          <w:sz w:val="22"/>
          <w:szCs w:val="22"/>
        </w:rPr>
      </w:pPr>
      <w:r w:rsidRPr="00946C14">
        <w:rPr>
          <w:rFonts w:ascii="Arial" w:hAnsi="Arial" w:cs="Arial"/>
          <w:b/>
          <w:bCs/>
          <w:sz w:val="22"/>
          <w:szCs w:val="22"/>
        </w:rPr>
        <w:t>User-Centred Design:</w:t>
      </w:r>
      <w:r w:rsidRPr="00946C14">
        <w:rPr>
          <w:rFonts w:ascii="Arial" w:hAnsi="Arial" w:cs="Arial"/>
          <w:sz w:val="22"/>
          <w:szCs w:val="22"/>
        </w:rPr>
        <w:t xml:space="preserve"> Incorporating consumer insights ensures the device is intuitive and user-friendly.</w:t>
      </w:r>
    </w:p>
    <w:p w14:paraId="3313D0A7" w14:textId="77777777" w:rsidR="00946C14" w:rsidRPr="00946C14" w:rsidRDefault="00946C14" w:rsidP="00E3213D">
      <w:pPr>
        <w:numPr>
          <w:ilvl w:val="0"/>
          <w:numId w:val="94"/>
        </w:numPr>
        <w:spacing w:line="360" w:lineRule="auto"/>
        <w:jc w:val="both"/>
        <w:rPr>
          <w:rFonts w:ascii="Arial" w:hAnsi="Arial" w:cs="Arial"/>
          <w:sz w:val="22"/>
          <w:szCs w:val="22"/>
        </w:rPr>
      </w:pPr>
      <w:r w:rsidRPr="00946C14">
        <w:rPr>
          <w:rFonts w:ascii="Arial" w:hAnsi="Arial" w:cs="Arial"/>
          <w:b/>
          <w:bCs/>
          <w:sz w:val="22"/>
          <w:szCs w:val="22"/>
        </w:rPr>
        <w:t>Data Transparency:</w:t>
      </w:r>
      <w:r w:rsidRPr="00946C14">
        <w:rPr>
          <w:rFonts w:ascii="Arial" w:hAnsi="Arial" w:cs="Arial"/>
          <w:sz w:val="22"/>
          <w:szCs w:val="22"/>
        </w:rPr>
        <w:t xml:space="preserve"> Clear communication about privacy and security builds </w:t>
      </w:r>
      <w:proofErr w:type="gramStart"/>
      <w:r w:rsidRPr="00946C14">
        <w:rPr>
          <w:rFonts w:ascii="Arial" w:hAnsi="Arial" w:cs="Arial"/>
          <w:sz w:val="22"/>
          <w:szCs w:val="22"/>
        </w:rPr>
        <w:t>trust</w:t>
      </w:r>
      <w:proofErr w:type="gramEnd"/>
      <w:r w:rsidRPr="00946C14">
        <w:rPr>
          <w:rFonts w:ascii="Arial" w:hAnsi="Arial" w:cs="Arial"/>
          <w:sz w:val="22"/>
          <w:szCs w:val="22"/>
        </w:rPr>
        <w:t xml:space="preserve"> in an era of rising data concerns.</w:t>
      </w:r>
    </w:p>
    <w:p w14:paraId="1A386425" w14:textId="77777777" w:rsidR="00946C14" w:rsidRPr="00946C14" w:rsidRDefault="00946C14" w:rsidP="00E3213D">
      <w:pPr>
        <w:numPr>
          <w:ilvl w:val="0"/>
          <w:numId w:val="94"/>
        </w:numPr>
        <w:spacing w:line="360" w:lineRule="auto"/>
        <w:jc w:val="both"/>
        <w:rPr>
          <w:rFonts w:ascii="Arial" w:hAnsi="Arial" w:cs="Arial"/>
          <w:sz w:val="22"/>
          <w:szCs w:val="22"/>
        </w:rPr>
      </w:pPr>
      <w:r w:rsidRPr="00946C14">
        <w:rPr>
          <w:rFonts w:ascii="Arial" w:hAnsi="Arial" w:cs="Arial"/>
          <w:b/>
          <w:bCs/>
          <w:sz w:val="22"/>
          <w:szCs w:val="22"/>
        </w:rPr>
        <w:t>Brand Reputation:</w:t>
      </w:r>
      <w:r w:rsidRPr="00946C14">
        <w:rPr>
          <w:rFonts w:ascii="Arial" w:hAnsi="Arial" w:cs="Arial"/>
          <w:sz w:val="22"/>
          <w:szCs w:val="22"/>
        </w:rPr>
        <w:t xml:space="preserve"> Positive early user experiences strengthen loyalty and encourage long-term adoption.</w:t>
      </w:r>
    </w:p>
    <w:p w14:paraId="6E7FD9C6" w14:textId="77777777" w:rsidR="00E3213D" w:rsidRDefault="00E3213D" w:rsidP="00E3213D">
      <w:pPr>
        <w:spacing w:line="360" w:lineRule="auto"/>
        <w:jc w:val="both"/>
        <w:rPr>
          <w:rFonts w:ascii="Arial" w:hAnsi="Arial" w:cs="Arial"/>
          <w:b/>
          <w:bCs/>
          <w:sz w:val="22"/>
          <w:szCs w:val="22"/>
        </w:rPr>
      </w:pPr>
    </w:p>
    <w:p w14:paraId="5C46574D" w14:textId="77777777" w:rsidR="00E3213D" w:rsidRDefault="00E3213D" w:rsidP="00E3213D">
      <w:pPr>
        <w:spacing w:line="360" w:lineRule="auto"/>
        <w:jc w:val="both"/>
        <w:rPr>
          <w:rFonts w:ascii="Arial" w:hAnsi="Arial" w:cs="Arial"/>
          <w:b/>
          <w:bCs/>
          <w:sz w:val="22"/>
          <w:szCs w:val="22"/>
        </w:rPr>
      </w:pPr>
    </w:p>
    <w:p w14:paraId="0066B23E" w14:textId="39D28508"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lastRenderedPageBreak/>
        <w:t>7.5 Improved Regulatory Compliance and Reduced Legal Risks</w:t>
      </w:r>
    </w:p>
    <w:p w14:paraId="7ED09CFB"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Regulatory engagement ensures the </w:t>
      </w:r>
      <w:proofErr w:type="spellStart"/>
      <w:r w:rsidRPr="00946C14">
        <w:rPr>
          <w:rFonts w:ascii="Arial" w:hAnsi="Arial" w:cs="Arial"/>
          <w:sz w:val="22"/>
          <w:szCs w:val="22"/>
        </w:rPr>
        <w:t>OmniWatch</w:t>
      </w:r>
      <w:proofErr w:type="spellEnd"/>
      <w:r w:rsidRPr="00946C14">
        <w:rPr>
          <w:rFonts w:ascii="Arial" w:hAnsi="Arial" w:cs="Arial"/>
          <w:sz w:val="22"/>
          <w:szCs w:val="22"/>
        </w:rPr>
        <w:t xml:space="preserve"> meets UKCA and MHRA requirements. Early collaboration with regulatory affairs reduces the likelihood of non-compliance.</w:t>
      </w:r>
    </w:p>
    <w:p w14:paraId="24234CB0"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Expanded Analysis</w:t>
      </w:r>
    </w:p>
    <w:p w14:paraId="7941B568" w14:textId="77777777" w:rsidR="00946C14" w:rsidRPr="00946C14" w:rsidRDefault="00946C14" w:rsidP="00E3213D">
      <w:pPr>
        <w:numPr>
          <w:ilvl w:val="0"/>
          <w:numId w:val="95"/>
        </w:numPr>
        <w:spacing w:line="360" w:lineRule="auto"/>
        <w:jc w:val="both"/>
        <w:rPr>
          <w:rFonts w:ascii="Arial" w:hAnsi="Arial" w:cs="Arial"/>
          <w:sz w:val="22"/>
          <w:szCs w:val="22"/>
        </w:rPr>
      </w:pPr>
      <w:r w:rsidRPr="00946C14">
        <w:rPr>
          <w:rFonts w:ascii="Arial" w:hAnsi="Arial" w:cs="Arial"/>
          <w:b/>
          <w:bCs/>
          <w:sz w:val="22"/>
          <w:szCs w:val="22"/>
        </w:rPr>
        <w:t>Regulatory Integration:</w:t>
      </w:r>
      <w:r w:rsidRPr="00946C14">
        <w:rPr>
          <w:rFonts w:ascii="Arial" w:hAnsi="Arial" w:cs="Arial"/>
          <w:sz w:val="22"/>
          <w:szCs w:val="22"/>
        </w:rPr>
        <w:t xml:space="preserve"> Embedding regulatory considerations into early design phases avoids costly reengineering.</w:t>
      </w:r>
    </w:p>
    <w:p w14:paraId="68D93CD5" w14:textId="77777777" w:rsidR="00946C14" w:rsidRPr="00946C14" w:rsidRDefault="00946C14" w:rsidP="00E3213D">
      <w:pPr>
        <w:numPr>
          <w:ilvl w:val="0"/>
          <w:numId w:val="95"/>
        </w:numPr>
        <w:spacing w:line="360" w:lineRule="auto"/>
        <w:jc w:val="both"/>
        <w:rPr>
          <w:rFonts w:ascii="Arial" w:hAnsi="Arial" w:cs="Arial"/>
          <w:sz w:val="22"/>
          <w:szCs w:val="22"/>
        </w:rPr>
      </w:pPr>
      <w:r w:rsidRPr="00946C14">
        <w:rPr>
          <w:rFonts w:ascii="Arial" w:hAnsi="Arial" w:cs="Arial"/>
          <w:b/>
          <w:bCs/>
          <w:sz w:val="22"/>
          <w:szCs w:val="22"/>
        </w:rPr>
        <w:t>Enhanced Safety:</w:t>
      </w:r>
      <w:r w:rsidRPr="00946C14">
        <w:rPr>
          <w:rFonts w:ascii="Arial" w:hAnsi="Arial" w:cs="Arial"/>
          <w:sz w:val="22"/>
          <w:szCs w:val="22"/>
        </w:rPr>
        <w:t xml:space="preserve"> Robust testing and documentation practices increase device reliability.</w:t>
      </w:r>
    </w:p>
    <w:p w14:paraId="70FFA080" w14:textId="77777777" w:rsidR="00946C14" w:rsidRPr="00946C14" w:rsidRDefault="00946C14" w:rsidP="00E3213D">
      <w:pPr>
        <w:numPr>
          <w:ilvl w:val="0"/>
          <w:numId w:val="95"/>
        </w:numPr>
        <w:spacing w:line="360" w:lineRule="auto"/>
        <w:jc w:val="both"/>
        <w:rPr>
          <w:rFonts w:ascii="Arial" w:hAnsi="Arial" w:cs="Arial"/>
          <w:sz w:val="22"/>
          <w:szCs w:val="22"/>
        </w:rPr>
      </w:pPr>
      <w:r w:rsidRPr="00946C14">
        <w:rPr>
          <w:rFonts w:ascii="Arial" w:hAnsi="Arial" w:cs="Arial"/>
          <w:b/>
          <w:bCs/>
          <w:sz w:val="22"/>
          <w:szCs w:val="22"/>
        </w:rPr>
        <w:t>Market Longevity:</w:t>
      </w:r>
      <w:r w:rsidRPr="00946C14">
        <w:rPr>
          <w:rFonts w:ascii="Arial" w:hAnsi="Arial" w:cs="Arial"/>
          <w:sz w:val="22"/>
          <w:szCs w:val="22"/>
        </w:rPr>
        <w:t xml:space="preserve"> Strong compliance creates a competitive advantage by ensuring the product remains in the market without disruption.</w:t>
      </w:r>
    </w:p>
    <w:p w14:paraId="19BD48A3"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7.6 Strengthened Supply Chain and Commercial Partnerships</w:t>
      </w:r>
    </w:p>
    <w:p w14:paraId="0D984BB1"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Supplier and retailer engagement plays a crucial role in securing production reliability and market presence.</w:t>
      </w:r>
    </w:p>
    <w:p w14:paraId="269C7ACD"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Expanded Analysis</w:t>
      </w:r>
    </w:p>
    <w:p w14:paraId="5C1FD879" w14:textId="77777777" w:rsidR="00946C14" w:rsidRPr="00946C14" w:rsidRDefault="00946C14" w:rsidP="00E3213D">
      <w:pPr>
        <w:numPr>
          <w:ilvl w:val="0"/>
          <w:numId w:val="96"/>
        </w:numPr>
        <w:spacing w:line="360" w:lineRule="auto"/>
        <w:jc w:val="both"/>
        <w:rPr>
          <w:rFonts w:ascii="Arial" w:hAnsi="Arial" w:cs="Arial"/>
          <w:sz w:val="22"/>
          <w:szCs w:val="22"/>
        </w:rPr>
      </w:pPr>
      <w:r w:rsidRPr="00946C14">
        <w:rPr>
          <w:rFonts w:ascii="Arial" w:hAnsi="Arial" w:cs="Arial"/>
          <w:b/>
          <w:bCs/>
          <w:sz w:val="22"/>
          <w:szCs w:val="22"/>
        </w:rPr>
        <w:t>Supplier Reliability:</w:t>
      </w:r>
      <w:r w:rsidRPr="00946C14">
        <w:rPr>
          <w:rFonts w:ascii="Arial" w:hAnsi="Arial" w:cs="Arial"/>
          <w:sz w:val="22"/>
          <w:szCs w:val="22"/>
        </w:rPr>
        <w:t xml:space="preserve"> Transparent forecasting improves lead times and reduces stock shortages.</w:t>
      </w:r>
    </w:p>
    <w:p w14:paraId="4CC0772B" w14:textId="77777777" w:rsidR="00946C14" w:rsidRPr="00946C14" w:rsidRDefault="00946C14" w:rsidP="00E3213D">
      <w:pPr>
        <w:numPr>
          <w:ilvl w:val="0"/>
          <w:numId w:val="96"/>
        </w:numPr>
        <w:spacing w:line="360" w:lineRule="auto"/>
        <w:jc w:val="both"/>
        <w:rPr>
          <w:rFonts w:ascii="Arial" w:hAnsi="Arial" w:cs="Arial"/>
          <w:sz w:val="22"/>
          <w:szCs w:val="22"/>
        </w:rPr>
      </w:pPr>
      <w:r w:rsidRPr="00946C14">
        <w:rPr>
          <w:rFonts w:ascii="Arial" w:hAnsi="Arial" w:cs="Arial"/>
          <w:b/>
          <w:bCs/>
          <w:sz w:val="22"/>
          <w:szCs w:val="22"/>
        </w:rPr>
        <w:t>Retail Alignment:</w:t>
      </w:r>
      <w:r w:rsidRPr="00946C14">
        <w:rPr>
          <w:rFonts w:ascii="Arial" w:hAnsi="Arial" w:cs="Arial"/>
          <w:sz w:val="22"/>
          <w:szCs w:val="22"/>
        </w:rPr>
        <w:t xml:space="preserve"> Coordinated retail strategies ensure sufficient stock and aligned promotional activities.</w:t>
      </w:r>
    </w:p>
    <w:p w14:paraId="0EA884F7" w14:textId="77777777" w:rsidR="00946C14" w:rsidRPr="00946C14" w:rsidRDefault="00946C14" w:rsidP="00E3213D">
      <w:pPr>
        <w:numPr>
          <w:ilvl w:val="0"/>
          <w:numId w:val="96"/>
        </w:numPr>
        <w:spacing w:line="360" w:lineRule="auto"/>
        <w:jc w:val="both"/>
        <w:rPr>
          <w:rFonts w:ascii="Arial" w:hAnsi="Arial" w:cs="Arial"/>
          <w:sz w:val="22"/>
          <w:szCs w:val="22"/>
        </w:rPr>
      </w:pPr>
      <w:r w:rsidRPr="00946C14">
        <w:rPr>
          <w:rFonts w:ascii="Arial" w:hAnsi="Arial" w:cs="Arial"/>
          <w:b/>
          <w:bCs/>
          <w:sz w:val="22"/>
          <w:szCs w:val="22"/>
        </w:rPr>
        <w:t>Launch Readiness:</w:t>
      </w:r>
      <w:r w:rsidRPr="00946C14">
        <w:rPr>
          <w:rFonts w:ascii="Arial" w:hAnsi="Arial" w:cs="Arial"/>
          <w:sz w:val="22"/>
          <w:szCs w:val="22"/>
        </w:rPr>
        <w:t xml:space="preserve"> Strong partnerships reduce logistical barriers during product release.</w:t>
      </w:r>
    </w:p>
    <w:p w14:paraId="7201B11F"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7.7 Organisational Learning and Continuous Improvement</w:t>
      </w:r>
    </w:p>
    <w:p w14:paraId="45F4F7B5"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Stakeholder engagement contributes to long-term organisational capability by creating structured learning mechanisms.</w:t>
      </w:r>
    </w:p>
    <w:p w14:paraId="61CFC7EC"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Expanded Analysis</w:t>
      </w:r>
    </w:p>
    <w:p w14:paraId="7B359B85" w14:textId="77777777" w:rsidR="00946C14" w:rsidRPr="00946C14" w:rsidRDefault="00946C14" w:rsidP="00E3213D">
      <w:pPr>
        <w:numPr>
          <w:ilvl w:val="0"/>
          <w:numId w:val="97"/>
        </w:numPr>
        <w:spacing w:line="360" w:lineRule="auto"/>
        <w:jc w:val="both"/>
        <w:rPr>
          <w:rFonts w:ascii="Arial" w:hAnsi="Arial" w:cs="Arial"/>
          <w:sz w:val="22"/>
          <w:szCs w:val="22"/>
        </w:rPr>
      </w:pPr>
      <w:r w:rsidRPr="00946C14">
        <w:rPr>
          <w:rFonts w:ascii="Arial" w:hAnsi="Arial" w:cs="Arial"/>
          <w:b/>
          <w:bCs/>
          <w:sz w:val="22"/>
          <w:szCs w:val="22"/>
        </w:rPr>
        <w:t>Knowledge Sharing:</w:t>
      </w:r>
      <w:r w:rsidRPr="00946C14">
        <w:rPr>
          <w:rFonts w:ascii="Arial" w:hAnsi="Arial" w:cs="Arial"/>
          <w:sz w:val="22"/>
          <w:szCs w:val="22"/>
        </w:rPr>
        <w:t xml:space="preserve"> Cross-functional collaboration fosters organisational learning.</w:t>
      </w:r>
    </w:p>
    <w:p w14:paraId="529C4802" w14:textId="77777777" w:rsidR="00946C14" w:rsidRPr="00946C14" w:rsidRDefault="00946C14" w:rsidP="00E3213D">
      <w:pPr>
        <w:numPr>
          <w:ilvl w:val="0"/>
          <w:numId w:val="97"/>
        </w:numPr>
        <w:spacing w:line="360" w:lineRule="auto"/>
        <w:jc w:val="both"/>
        <w:rPr>
          <w:rFonts w:ascii="Arial" w:hAnsi="Arial" w:cs="Arial"/>
          <w:sz w:val="22"/>
          <w:szCs w:val="22"/>
        </w:rPr>
      </w:pPr>
      <w:r w:rsidRPr="00946C14">
        <w:rPr>
          <w:rFonts w:ascii="Arial" w:hAnsi="Arial" w:cs="Arial"/>
          <w:b/>
          <w:bCs/>
          <w:sz w:val="22"/>
          <w:szCs w:val="22"/>
        </w:rPr>
        <w:t>Process Maturity:</w:t>
      </w:r>
      <w:r w:rsidRPr="00946C14">
        <w:rPr>
          <w:rFonts w:ascii="Arial" w:hAnsi="Arial" w:cs="Arial"/>
          <w:sz w:val="22"/>
          <w:szCs w:val="22"/>
        </w:rPr>
        <w:t xml:space="preserve"> Feedback from stakeholders supports continuous improvement in project management methodologies.</w:t>
      </w:r>
    </w:p>
    <w:p w14:paraId="508356F5" w14:textId="77777777" w:rsidR="00946C14" w:rsidRPr="00946C14" w:rsidRDefault="00946C14" w:rsidP="00E3213D">
      <w:pPr>
        <w:numPr>
          <w:ilvl w:val="0"/>
          <w:numId w:val="97"/>
        </w:numPr>
        <w:spacing w:line="360" w:lineRule="auto"/>
        <w:jc w:val="both"/>
        <w:rPr>
          <w:rFonts w:ascii="Arial" w:hAnsi="Arial" w:cs="Arial"/>
          <w:sz w:val="22"/>
          <w:szCs w:val="22"/>
        </w:rPr>
      </w:pPr>
      <w:r w:rsidRPr="00946C14">
        <w:rPr>
          <w:rFonts w:ascii="Arial" w:hAnsi="Arial" w:cs="Arial"/>
          <w:b/>
          <w:bCs/>
          <w:sz w:val="22"/>
          <w:szCs w:val="22"/>
        </w:rPr>
        <w:t>Innovation Capacity:</w:t>
      </w:r>
      <w:r w:rsidRPr="00946C14">
        <w:rPr>
          <w:rFonts w:ascii="Arial" w:hAnsi="Arial" w:cs="Arial"/>
          <w:sz w:val="22"/>
          <w:szCs w:val="22"/>
        </w:rPr>
        <w:t xml:space="preserve"> Lessons learned enhance future product development cycles.</w:t>
      </w:r>
    </w:p>
    <w:p w14:paraId="5D23983D" w14:textId="77777777" w:rsidR="00E3213D" w:rsidRDefault="00E3213D" w:rsidP="00E3213D">
      <w:pPr>
        <w:spacing w:line="360" w:lineRule="auto"/>
        <w:jc w:val="both"/>
        <w:rPr>
          <w:rFonts w:ascii="Arial" w:hAnsi="Arial" w:cs="Arial"/>
          <w:b/>
          <w:bCs/>
          <w:sz w:val="22"/>
          <w:szCs w:val="22"/>
        </w:rPr>
      </w:pPr>
    </w:p>
    <w:p w14:paraId="59ABD3DD" w14:textId="1190052F"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lastRenderedPageBreak/>
        <w:t>7.8 Alignment with Stakeholder Theory and Engagement Maturity Models</w:t>
      </w:r>
    </w:p>
    <w:p w14:paraId="2FEB9D7A"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Freeman’s Stakeholder Theory emphasises the importance of managing relationships with all stakeholders—not just shareholders. Similarly, Bourne’s Stakeholder Relationship Management model highlights maturity levels within engagement practices.</w:t>
      </w:r>
    </w:p>
    <w:p w14:paraId="7D052323"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Expanded Analysis</w:t>
      </w:r>
    </w:p>
    <w:p w14:paraId="49220367" w14:textId="77777777" w:rsidR="00946C14" w:rsidRPr="00946C14" w:rsidRDefault="00946C14" w:rsidP="00E3213D">
      <w:pPr>
        <w:numPr>
          <w:ilvl w:val="0"/>
          <w:numId w:val="98"/>
        </w:numPr>
        <w:spacing w:line="360" w:lineRule="auto"/>
        <w:jc w:val="both"/>
        <w:rPr>
          <w:rFonts w:ascii="Arial" w:hAnsi="Arial" w:cs="Arial"/>
          <w:sz w:val="22"/>
          <w:szCs w:val="22"/>
        </w:rPr>
      </w:pPr>
      <w:r w:rsidRPr="00946C14">
        <w:rPr>
          <w:rFonts w:ascii="Arial" w:hAnsi="Arial" w:cs="Arial"/>
          <w:b/>
          <w:bCs/>
          <w:sz w:val="22"/>
          <w:szCs w:val="22"/>
        </w:rPr>
        <w:t>High Maturity Behaviours:</w:t>
      </w:r>
      <w:r w:rsidRPr="00946C14">
        <w:rPr>
          <w:rFonts w:ascii="Arial" w:hAnsi="Arial" w:cs="Arial"/>
          <w:sz w:val="22"/>
          <w:szCs w:val="22"/>
        </w:rPr>
        <w:t xml:space="preserve"> OMRON’s structured engagement plan demonstrates proactive communication and collaborative problem-solving.</w:t>
      </w:r>
    </w:p>
    <w:p w14:paraId="38E972D7" w14:textId="77777777" w:rsidR="00946C14" w:rsidRPr="00946C14" w:rsidRDefault="00946C14" w:rsidP="00E3213D">
      <w:pPr>
        <w:numPr>
          <w:ilvl w:val="0"/>
          <w:numId w:val="98"/>
        </w:numPr>
        <w:spacing w:line="360" w:lineRule="auto"/>
        <w:jc w:val="both"/>
        <w:rPr>
          <w:rFonts w:ascii="Arial" w:hAnsi="Arial" w:cs="Arial"/>
          <w:sz w:val="22"/>
          <w:szCs w:val="22"/>
        </w:rPr>
      </w:pPr>
      <w:r w:rsidRPr="00946C14">
        <w:rPr>
          <w:rFonts w:ascii="Arial" w:hAnsi="Arial" w:cs="Arial"/>
          <w:b/>
          <w:bCs/>
          <w:sz w:val="22"/>
          <w:szCs w:val="22"/>
        </w:rPr>
        <w:t>Salience-Based Prioritisation:</w:t>
      </w:r>
      <w:r w:rsidRPr="00946C14">
        <w:rPr>
          <w:rFonts w:ascii="Arial" w:hAnsi="Arial" w:cs="Arial"/>
          <w:sz w:val="22"/>
          <w:szCs w:val="22"/>
        </w:rPr>
        <w:t xml:space="preserve"> Using stakeholder salience (Mitchell et al.) ensures engagement efforts are correctly allocated.</w:t>
      </w:r>
    </w:p>
    <w:p w14:paraId="6EE77593" w14:textId="77777777" w:rsidR="00946C14" w:rsidRPr="00946C14" w:rsidRDefault="00946C14" w:rsidP="00E3213D">
      <w:pPr>
        <w:numPr>
          <w:ilvl w:val="0"/>
          <w:numId w:val="98"/>
        </w:numPr>
        <w:spacing w:line="360" w:lineRule="auto"/>
        <w:jc w:val="both"/>
        <w:rPr>
          <w:rFonts w:ascii="Arial" w:hAnsi="Arial" w:cs="Arial"/>
          <w:sz w:val="22"/>
          <w:szCs w:val="22"/>
        </w:rPr>
      </w:pPr>
      <w:r w:rsidRPr="00946C14">
        <w:rPr>
          <w:rFonts w:ascii="Arial" w:hAnsi="Arial" w:cs="Arial"/>
          <w:b/>
          <w:bCs/>
          <w:sz w:val="22"/>
          <w:szCs w:val="22"/>
        </w:rPr>
        <w:t>Sustainable Relationships:</w:t>
      </w:r>
      <w:r w:rsidRPr="00946C14">
        <w:rPr>
          <w:rFonts w:ascii="Arial" w:hAnsi="Arial" w:cs="Arial"/>
          <w:sz w:val="22"/>
          <w:szCs w:val="22"/>
        </w:rPr>
        <w:t xml:space="preserve"> Long-term partnerships enhance continuity and organisational resilience.</w:t>
      </w:r>
    </w:p>
    <w:p w14:paraId="40966F94"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7.9 Summary Evaluation</w:t>
      </w:r>
    </w:p>
    <w:p w14:paraId="66435F40"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Overall, stakeholder engagement significantly improves the </w:t>
      </w:r>
      <w:proofErr w:type="spellStart"/>
      <w:r w:rsidRPr="00946C14">
        <w:rPr>
          <w:rFonts w:ascii="Arial" w:hAnsi="Arial" w:cs="Arial"/>
          <w:sz w:val="22"/>
          <w:szCs w:val="22"/>
        </w:rPr>
        <w:t>OmniWatch</w:t>
      </w:r>
      <w:proofErr w:type="spellEnd"/>
      <w:r w:rsidRPr="00946C14">
        <w:rPr>
          <w:rFonts w:ascii="Arial" w:hAnsi="Arial" w:cs="Arial"/>
          <w:sz w:val="22"/>
          <w:szCs w:val="22"/>
        </w:rPr>
        <w:t xml:space="preserve"> project’s performance, reducing risks, improving product quality, strengthening compliance, and enhancing market success. A structured engagement strategy supports OMRON’s brand credibility and strengthens its position within the digital health sector.</w:t>
      </w:r>
    </w:p>
    <w:p w14:paraId="41A9F5F6"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pict w14:anchorId="56E84927">
          <v:rect id="_x0000_i1327" style="width:0;height:1.5pt" o:hralign="center" o:hrstd="t" o:hr="t" fillcolor="#a0a0a0" stroked="f"/>
        </w:pict>
      </w:r>
    </w:p>
    <w:p w14:paraId="304DC4CC"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8. Recommendations</w:t>
      </w:r>
    </w:p>
    <w:p w14:paraId="32838533"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To enhance the success of the </w:t>
      </w:r>
      <w:proofErr w:type="spellStart"/>
      <w:r w:rsidRPr="00946C14">
        <w:rPr>
          <w:rFonts w:ascii="Arial" w:hAnsi="Arial" w:cs="Arial"/>
          <w:sz w:val="22"/>
          <w:szCs w:val="22"/>
        </w:rPr>
        <w:t>OmniWatch</w:t>
      </w:r>
      <w:proofErr w:type="spellEnd"/>
      <w:r w:rsidRPr="00946C14">
        <w:rPr>
          <w:rFonts w:ascii="Arial" w:hAnsi="Arial" w:cs="Arial"/>
          <w:sz w:val="22"/>
          <w:szCs w:val="22"/>
        </w:rPr>
        <w:t xml:space="preserve"> project and strengthen stakeholder engagement across all phases, the following evidence-based recommendations are proposed. These recommendations build on the evaluation findings and align with best practices in project management, stakeholder theory, and digital health development.</w:t>
      </w:r>
    </w:p>
    <w:p w14:paraId="7A99CD1E"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8.1 Integrate Advanced Real-Time Collaboration Tools</w:t>
      </w:r>
    </w:p>
    <w:p w14:paraId="795EDEB2"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OMRON should implement enterprise-level project management platforms such as Jira, Asana, or Monday.com to enhance transparency and synchronisation across teams. These tools enable:</w:t>
      </w:r>
    </w:p>
    <w:p w14:paraId="47925AF5" w14:textId="77777777" w:rsidR="00946C14" w:rsidRPr="00946C14" w:rsidRDefault="00946C14" w:rsidP="00E3213D">
      <w:pPr>
        <w:numPr>
          <w:ilvl w:val="0"/>
          <w:numId w:val="99"/>
        </w:numPr>
        <w:spacing w:line="360" w:lineRule="auto"/>
        <w:jc w:val="both"/>
        <w:rPr>
          <w:rFonts w:ascii="Arial" w:hAnsi="Arial" w:cs="Arial"/>
          <w:sz w:val="22"/>
          <w:szCs w:val="22"/>
        </w:rPr>
      </w:pPr>
      <w:r w:rsidRPr="00946C14">
        <w:rPr>
          <w:rFonts w:ascii="Arial" w:hAnsi="Arial" w:cs="Arial"/>
          <w:sz w:val="22"/>
          <w:szCs w:val="22"/>
        </w:rPr>
        <w:t>Real-time task tracking</w:t>
      </w:r>
    </w:p>
    <w:p w14:paraId="54B8526D" w14:textId="77777777" w:rsidR="00946C14" w:rsidRPr="00946C14" w:rsidRDefault="00946C14" w:rsidP="00E3213D">
      <w:pPr>
        <w:numPr>
          <w:ilvl w:val="0"/>
          <w:numId w:val="99"/>
        </w:numPr>
        <w:spacing w:line="360" w:lineRule="auto"/>
        <w:jc w:val="both"/>
        <w:rPr>
          <w:rFonts w:ascii="Arial" w:hAnsi="Arial" w:cs="Arial"/>
          <w:sz w:val="22"/>
          <w:szCs w:val="22"/>
        </w:rPr>
      </w:pPr>
      <w:r w:rsidRPr="00946C14">
        <w:rPr>
          <w:rFonts w:ascii="Arial" w:hAnsi="Arial" w:cs="Arial"/>
          <w:sz w:val="22"/>
          <w:szCs w:val="22"/>
        </w:rPr>
        <w:t>Automated reminders for deadlines</w:t>
      </w:r>
    </w:p>
    <w:p w14:paraId="3E3F0F3E" w14:textId="77777777" w:rsidR="00946C14" w:rsidRPr="00946C14" w:rsidRDefault="00946C14" w:rsidP="00E3213D">
      <w:pPr>
        <w:numPr>
          <w:ilvl w:val="0"/>
          <w:numId w:val="99"/>
        </w:numPr>
        <w:spacing w:line="360" w:lineRule="auto"/>
        <w:jc w:val="both"/>
        <w:rPr>
          <w:rFonts w:ascii="Arial" w:hAnsi="Arial" w:cs="Arial"/>
          <w:sz w:val="22"/>
          <w:szCs w:val="22"/>
        </w:rPr>
      </w:pPr>
      <w:r w:rsidRPr="00946C14">
        <w:rPr>
          <w:rFonts w:ascii="Arial" w:hAnsi="Arial" w:cs="Arial"/>
          <w:sz w:val="22"/>
          <w:szCs w:val="22"/>
        </w:rPr>
        <w:t>Centralised documentation</w:t>
      </w:r>
    </w:p>
    <w:p w14:paraId="143889BA" w14:textId="77777777" w:rsidR="00946C14" w:rsidRPr="00946C14" w:rsidRDefault="00946C14" w:rsidP="00E3213D">
      <w:pPr>
        <w:numPr>
          <w:ilvl w:val="0"/>
          <w:numId w:val="99"/>
        </w:numPr>
        <w:spacing w:line="360" w:lineRule="auto"/>
        <w:jc w:val="both"/>
        <w:rPr>
          <w:rFonts w:ascii="Arial" w:hAnsi="Arial" w:cs="Arial"/>
          <w:sz w:val="22"/>
          <w:szCs w:val="22"/>
        </w:rPr>
      </w:pPr>
      <w:r w:rsidRPr="00946C14">
        <w:rPr>
          <w:rFonts w:ascii="Arial" w:hAnsi="Arial" w:cs="Arial"/>
          <w:sz w:val="22"/>
          <w:szCs w:val="22"/>
        </w:rPr>
        <w:t>Cross-department visibility</w:t>
      </w:r>
    </w:p>
    <w:p w14:paraId="580873FE"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lastRenderedPageBreak/>
        <w:t>Rationale</w:t>
      </w:r>
    </w:p>
    <w:p w14:paraId="5756C5CB"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Real-time collaboration tools reduce communication bottlenecks and improve rapid decision-making. They support PMBOK’s emphasis on integrated project communication and enhance accountability.</w:t>
      </w:r>
    </w:p>
    <w:p w14:paraId="36EED384"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8.2 Strengthen Consumer Co-Design and User Experience Testing</w:t>
      </w:r>
    </w:p>
    <w:p w14:paraId="03352F78"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OMRON should expand beta-testing programmes, focus groups, and usability workshops to gather diverse user feedback early and throughout the development cycle.</w:t>
      </w:r>
    </w:p>
    <w:p w14:paraId="2A6AD122"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Rationale</w:t>
      </w:r>
    </w:p>
    <w:p w14:paraId="5EE5C438"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User-centred design improves product usability and market acceptance. Integrating consumer feedback aligns with ISO 9241 standards and design-thinking methodology, ensuring the device remains intuitive and clinically useful.</w:t>
      </w:r>
    </w:p>
    <w:p w14:paraId="2FA57209"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8.3 Deepen Clinical Partnerships and Collaborative Research</w:t>
      </w:r>
    </w:p>
    <w:p w14:paraId="79148700"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Building long-term collaborations with healthcare providers, clinicians, and academic institutions will improve device validation and credibility.</w:t>
      </w:r>
    </w:p>
    <w:p w14:paraId="238C12FF"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Rationale</w:t>
      </w:r>
    </w:p>
    <w:p w14:paraId="4FC18E30"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Clinical partnerships enhance trust and support evidence generation, which is critical for UKCA certification and patient adoption. These partnerships also support innovation through shared research.</w:t>
      </w:r>
    </w:p>
    <w:p w14:paraId="4F78A133"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8.4 Formalise Supplier &amp; Retailer Engagement Protocols</w:t>
      </w:r>
    </w:p>
    <w:p w14:paraId="61CD1298"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OMRON should create structured communication protocols, performance benchmarks, and contingency plans with suppliers and retailers.</w:t>
      </w:r>
    </w:p>
    <w:p w14:paraId="134F2EBB"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Rationale</w:t>
      </w:r>
    </w:p>
    <w:p w14:paraId="5FC089C8"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Given global supply chain volatility, robust supplier management reduces the risk of delays. Retailer alignment ensures stock availability and consistent marketing messaging at launch.</w:t>
      </w:r>
    </w:p>
    <w:p w14:paraId="7872B34A"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8.5 Conduct Annual Stakeholder Engagement Audits</w:t>
      </w:r>
    </w:p>
    <w:p w14:paraId="635524D4"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A formal audit process should be developed to assess communication effectiveness, stakeholder satisfaction, and conflict-resolution performance.</w:t>
      </w:r>
    </w:p>
    <w:p w14:paraId="0AD656E7" w14:textId="77777777" w:rsidR="00E3213D" w:rsidRDefault="00E3213D" w:rsidP="00E3213D">
      <w:pPr>
        <w:spacing w:line="360" w:lineRule="auto"/>
        <w:jc w:val="both"/>
        <w:rPr>
          <w:rFonts w:ascii="Arial" w:hAnsi="Arial" w:cs="Arial"/>
          <w:b/>
          <w:bCs/>
          <w:sz w:val="22"/>
          <w:szCs w:val="22"/>
        </w:rPr>
      </w:pPr>
    </w:p>
    <w:p w14:paraId="6A1FD29D" w14:textId="77777777" w:rsidR="00E3213D" w:rsidRDefault="00E3213D" w:rsidP="00E3213D">
      <w:pPr>
        <w:spacing w:line="360" w:lineRule="auto"/>
        <w:jc w:val="both"/>
        <w:rPr>
          <w:rFonts w:ascii="Arial" w:hAnsi="Arial" w:cs="Arial"/>
          <w:b/>
          <w:bCs/>
          <w:sz w:val="22"/>
          <w:szCs w:val="22"/>
        </w:rPr>
      </w:pPr>
    </w:p>
    <w:p w14:paraId="5472B819" w14:textId="5BD088E0"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lastRenderedPageBreak/>
        <w:t>Rationale</w:t>
      </w:r>
    </w:p>
    <w:p w14:paraId="500D842D"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Annual audits align with Bourne’s Stakeholder Relationship Management maturity model and encourage continuous improvement. They help identify engagement gaps and opportunities.</w:t>
      </w:r>
    </w:p>
    <w:p w14:paraId="31949E2C"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8.6 Enhance Data Privacy Transparency and User Trust</w:t>
      </w:r>
    </w:p>
    <w:p w14:paraId="2D84C013"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OMRON should develop clearer, more accessible communication materials regarding data handling, cybersecurity protections, and user rights.</w:t>
      </w:r>
    </w:p>
    <w:p w14:paraId="58C95452"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Rationale</w:t>
      </w:r>
    </w:p>
    <w:p w14:paraId="3EB4A934"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Data privacy is a major concern in digital health. Transparent communication enhances consumer trust, supports GDPR compliance, and strengthens brand reputation.</w:t>
      </w:r>
    </w:p>
    <w:p w14:paraId="33CBFA72"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8.7 Establish a Post-Launch Stakeholder Review Framework</w:t>
      </w:r>
    </w:p>
    <w:p w14:paraId="3353B6FD"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Post-launch reviews should include feedback from consumers, clinicians, retailers, support teams, and regulators.</w:t>
      </w:r>
    </w:p>
    <w:p w14:paraId="2D9FDE01"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Rationale</w:t>
      </w:r>
    </w:p>
    <w:p w14:paraId="69149AE3"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This supports continuous improvement and strengthens long-term product development cycles. It also improves organisational learning and early detection of post-market issues.</w:t>
      </w:r>
    </w:p>
    <w:p w14:paraId="5686DE17"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8.8 Introduce Cross-Functional Training for Project Teams</w:t>
      </w:r>
    </w:p>
    <w:p w14:paraId="0F02FA37"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Cross-functional training programmes should be developed to improve team understanding of technical, regulatory, commercial, and user-centred requirements.</w:t>
      </w:r>
    </w:p>
    <w:p w14:paraId="0045CC01"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Rationale</w:t>
      </w:r>
    </w:p>
    <w:p w14:paraId="10AFE270"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Improving cross-functional literacy enhances cooperation and reduces friction caused by competing priorities. It supports Yukl’s leadership principles regarding team empowerment and role clarity.</w:t>
      </w:r>
    </w:p>
    <w:p w14:paraId="468E8C46"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8.9 Implement Risk Escalation Pathways and Early-Warning Systems</w:t>
      </w:r>
    </w:p>
    <w:p w14:paraId="65A83A5E"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The project should include formal mechanisms for identifying and escalating risks quickly, such as risk dashboards and threshold alerts.</w:t>
      </w:r>
    </w:p>
    <w:p w14:paraId="01D40B82"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Rationale</w:t>
      </w:r>
    </w:p>
    <w:p w14:paraId="3ECA2828"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Early-warning systems minimise project delays and enable quick intervention. They align with PMBOK’s risk management best practices.</w:t>
      </w:r>
    </w:p>
    <w:p w14:paraId="6C736DA2"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8.10 Strengthen Sustainability Practices in Product Development</w:t>
      </w:r>
    </w:p>
    <w:p w14:paraId="2341CE4C"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lastRenderedPageBreak/>
        <w:t>OMRON should prioritise recyclable packaging, energy-efficient components, and sustainable manufacturing practices.</w:t>
      </w:r>
    </w:p>
    <w:p w14:paraId="2E94098F"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Rationale</w:t>
      </w:r>
    </w:p>
    <w:p w14:paraId="003F8586"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Sustainability enhances brand value, meets consumer expectations, and ensures compliance with emerging environmental regulations.</w:t>
      </w:r>
    </w:p>
    <w:p w14:paraId="1FF21F9A"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pict w14:anchorId="284B46BE">
          <v:rect id="_x0000_i1328" style="width:0;height:1.5pt" o:hralign="center" o:hrstd="t" o:hr="t" fillcolor="#a0a0a0" stroked="f"/>
        </w:pict>
      </w:r>
    </w:p>
    <w:p w14:paraId="26B31A16"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9. Conclusion</w:t>
      </w:r>
    </w:p>
    <w:p w14:paraId="3FFC7643"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The development and launch of the </w:t>
      </w:r>
      <w:proofErr w:type="spellStart"/>
      <w:r w:rsidRPr="00946C14">
        <w:rPr>
          <w:rFonts w:ascii="Arial" w:hAnsi="Arial" w:cs="Arial"/>
          <w:sz w:val="22"/>
          <w:szCs w:val="22"/>
        </w:rPr>
        <w:t>OmniWatch</w:t>
      </w:r>
      <w:proofErr w:type="spellEnd"/>
      <w:r w:rsidRPr="00946C14">
        <w:rPr>
          <w:rFonts w:ascii="Arial" w:hAnsi="Arial" w:cs="Arial"/>
          <w:sz w:val="22"/>
          <w:szCs w:val="22"/>
        </w:rPr>
        <w:t xml:space="preserve"> represents a strategically significant opportunity for OMRON Healthcare UK to strengthen its position within the rapidly expanding digital health and wearable technology market. This report has demonstrated that the success of such a complex and multidisciplinary project depends fundamentally on the organisation’s ability to engage its diverse stakeholders effectively, manage cross-functional collaboration, and apply theory-driven management practices.</w:t>
      </w:r>
    </w:p>
    <w:p w14:paraId="5351D1FD"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The expanded situational analysis highlighted the dynamic environment in which the </w:t>
      </w:r>
      <w:proofErr w:type="spellStart"/>
      <w:r w:rsidRPr="00946C14">
        <w:rPr>
          <w:rFonts w:ascii="Arial" w:hAnsi="Arial" w:cs="Arial"/>
          <w:sz w:val="22"/>
          <w:szCs w:val="22"/>
        </w:rPr>
        <w:t>OmniWatch</w:t>
      </w:r>
      <w:proofErr w:type="spellEnd"/>
      <w:r w:rsidRPr="00946C14">
        <w:rPr>
          <w:rFonts w:ascii="Arial" w:hAnsi="Arial" w:cs="Arial"/>
          <w:sz w:val="22"/>
          <w:szCs w:val="22"/>
        </w:rPr>
        <w:t xml:space="preserve"> is being developed—one defined by rapid technological innovation, increasing consumer demand for preventive healthcare tools, and evolving regulatory requirements. These contextual factors reinforce the need for a structured and proactive stakeholder engagement strategy.</w:t>
      </w:r>
    </w:p>
    <w:p w14:paraId="04F1B519"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The stakeholder identification and analysis section showed that the project relies on a broad ecosystem of contributors, from internal departments such as R&amp;D, software, regulatory affairs, and marketing, to external partners including suppliers, healthcare professionals, and regulatory bodies. Applying frameworks such as Freeman’s Stakeholder Theory, Mitchell et al.’s Salience Model, and Mendelow’s Influence–Interest Matrix provides a robust foundation for prioritising and tailoring engagement methods.</w:t>
      </w:r>
    </w:p>
    <w:p w14:paraId="47BD3FEC"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The use of structured engagement frameworks, including detailed communication and engagement plans, ensures clarity, transparency, and accountability throughout the project lifecycle. These frameworks align with PMBOK principles and support consistent information flow, which is essential in preventing delays, reducing misunderstandings, and supporting evidence-based decision-making.</w:t>
      </w:r>
    </w:p>
    <w:p w14:paraId="424A1148"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The application of the 4Cs Model—Communication, Coordination, Cooperation, and Collaboration—demonstrates how OMRON can effectively manage complex workflows and mitigate conflict. Expanded conflict-management strategies, including the Thomas–Kilmann </w:t>
      </w:r>
      <w:r w:rsidRPr="00946C14">
        <w:rPr>
          <w:rFonts w:ascii="Arial" w:hAnsi="Arial" w:cs="Arial"/>
          <w:sz w:val="22"/>
          <w:szCs w:val="22"/>
        </w:rPr>
        <w:lastRenderedPageBreak/>
        <w:t>conflict mode instrument, further strengthen the organisation’s ability to address tension constructively, ensuring alignment and reducing disruptions.</w:t>
      </w:r>
    </w:p>
    <w:p w14:paraId="2E85DB1D"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The evaluation of stakeholder engagement impact illustrated that strong engagement improves cross-functional alignment, enhances innovation, strengthens regulatory compliance, and supports long-term organisational learning. These benefits extend beyond the </w:t>
      </w:r>
      <w:proofErr w:type="spellStart"/>
      <w:r w:rsidRPr="00946C14">
        <w:rPr>
          <w:rFonts w:ascii="Arial" w:hAnsi="Arial" w:cs="Arial"/>
          <w:sz w:val="22"/>
          <w:szCs w:val="22"/>
        </w:rPr>
        <w:t>OmniWatch</w:t>
      </w:r>
      <w:proofErr w:type="spellEnd"/>
      <w:r w:rsidRPr="00946C14">
        <w:rPr>
          <w:rFonts w:ascii="Arial" w:hAnsi="Arial" w:cs="Arial"/>
          <w:sz w:val="22"/>
          <w:szCs w:val="22"/>
        </w:rPr>
        <w:t xml:space="preserve"> project and contribute to OMRON’s broader organisational capabilities, market competitiveness, and strategic growth trajectory.</w:t>
      </w:r>
    </w:p>
    <w:p w14:paraId="6033A6D9"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Finally, the recommendations provided a comprehensive roadmap for enhancing stakeholder engagement practices. These included deepening consumer co-design, strengthening clinical partnerships, improving supplier and retailer communication, adopting advanced collaboration tools, and enhancing data transparency. Implementing these recommendations will not only support the success of </w:t>
      </w:r>
      <w:proofErr w:type="spellStart"/>
      <w:r w:rsidRPr="00946C14">
        <w:rPr>
          <w:rFonts w:ascii="Arial" w:hAnsi="Arial" w:cs="Arial"/>
          <w:sz w:val="22"/>
          <w:szCs w:val="22"/>
        </w:rPr>
        <w:t>OmniWatch</w:t>
      </w:r>
      <w:proofErr w:type="spellEnd"/>
      <w:r w:rsidRPr="00946C14">
        <w:rPr>
          <w:rFonts w:ascii="Arial" w:hAnsi="Arial" w:cs="Arial"/>
          <w:sz w:val="22"/>
          <w:szCs w:val="22"/>
        </w:rPr>
        <w:t xml:space="preserve"> but also lay the foundation for future innovation within OMRON’s digital health ecosystem.</w:t>
      </w:r>
    </w:p>
    <w:p w14:paraId="3894BF54"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In conclusion, the success of the </w:t>
      </w:r>
      <w:proofErr w:type="spellStart"/>
      <w:r w:rsidRPr="00946C14">
        <w:rPr>
          <w:rFonts w:ascii="Arial" w:hAnsi="Arial" w:cs="Arial"/>
          <w:sz w:val="22"/>
          <w:szCs w:val="22"/>
        </w:rPr>
        <w:t>OmniWatch</w:t>
      </w:r>
      <w:proofErr w:type="spellEnd"/>
      <w:r w:rsidRPr="00946C14">
        <w:rPr>
          <w:rFonts w:ascii="Arial" w:hAnsi="Arial" w:cs="Arial"/>
          <w:sz w:val="22"/>
          <w:szCs w:val="22"/>
        </w:rPr>
        <w:t xml:space="preserve"> project is contingent upon a holistic, theory-driven approach to stakeholder engagement. By integrating strategic frameworks, fostering collaborative working cultures, and prioritising transparent communication, OMRON is positioned to deliver a clinically credible, user-centred wearable device. Strong stakeholder engagement not only improves project outcomes but also enhances organisational resilience, enabling OMRON to thrive within an increasingly competitive and technologically advanced healthcare environment.</w:t>
      </w:r>
    </w:p>
    <w:p w14:paraId="0979C218" w14:textId="77777777" w:rsidR="00946C14" w:rsidRPr="00946C14" w:rsidRDefault="00946C14" w:rsidP="00E3213D">
      <w:pPr>
        <w:spacing w:line="360" w:lineRule="auto"/>
        <w:jc w:val="both"/>
        <w:rPr>
          <w:rFonts w:ascii="Arial" w:hAnsi="Arial" w:cs="Arial"/>
          <w:b/>
          <w:bCs/>
          <w:sz w:val="22"/>
          <w:szCs w:val="22"/>
        </w:rPr>
      </w:pPr>
      <w:r w:rsidRPr="00946C14">
        <w:rPr>
          <w:rFonts w:ascii="Arial" w:hAnsi="Arial" w:cs="Arial"/>
          <w:b/>
          <w:bCs/>
          <w:sz w:val="22"/>
          <w:szCs w:val="22"/>
        </w:rPr>
        <w:t>10. References</w:t>
      </w:r>
    </w:p>
    <w:p w14:paraId="1F17CF1D"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Aaker, D.A. (2020) </w:t>
      </w:r>
      <w:r w:rsidRPr="00946C14">
        <w:rPr>
          <w:rFonts w:ascii="Arial" w:hAnsi="Arial" w:cs="Arial"/>
          <w:i/>
          <w:iCs/>
          <w:sz w:val="22"/>
          <w:szCs w:val="22"/>
        </w:rPr>
        <w:t>Strategic Market Management</w:t>
      </w:r>
      <w:r w:rsidRPr="00946C14">
        <w:rPr>
          <w:rFonts w:ascii="Arial" w:hAnsi="Arial" w:cs="Arial"/>
          <w:sz w:val="22"/>
          <w:szCs w:val="22"/>
        </w:rPr>
        <w:t xml:space="preserve">. 11th </w:t>
      </w:r>
      <w:proofErr w:type="spellStart"/>
      <w:r w:rsidRPr="00946C14">
        <w:rPr>
          <w:rFonts w:ascii="Arial" w:hAnsi="Arial" w:cs="Arial"/>
          <w:sz w:val="22"/>
          <w:szCs w:val="22"/>
        </w:rPr>
        <w:t>edn</w:t>
      </w:r>
      <w:proofErr w:type="spellEnd"/>
      <w:r w:rsidRPr="00946C14">
        <w:rPr>
          <w:rFonts w:ascii="Arial" w:hAnsi="Arial" w:cs="Arial"/>
          <w:sz w:val="22"/>
          <w:szCs w:val="22"/>
        </w:rPr>
        <w:t>. Hoboken: Wiley.</w:t>
      </w:r>
    </w:p>
    <w:p w14:paraId="6F714E72"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Bourne, L. (2016) </w:t>
      </w:r>
      <w:r w:rsidRPr="00946C14">
        <w:rPr>
          <w:rFonts w:ascii="Arial" w:hAnsi="Arial" w:cs="Arial"/>
          <w:i/>
          <w:iCs/>
          <w:sz w:val="22"/>
          <w:szCs w:val="22"/>
        </w:rPr>
        <w:t>Stakeholder Relationship Management: A Maturity Model for Organisational Implementation</w:t>
      </w:r>
      <w:r w:rsidRPr="00946C14">
        <w:rPr>
          <w:rFonts w:ascii="Arial" w:hAnsi="Arial" w:cs="Arial"/>
          <w:sz w:val="22"/>
          <w:szCs w:val="22"/>
        </w:rPr>
        <w:t xml:space="preserve">. 2nd </w:t>
      </w:r>
      <w:proofErr w:type="spellStart"/>
      <w:r w:rsidRPr="00946C14">
        <w:rPr>
          <w:rFonts w:ascii="Arial" w:hAnsi="Arial" w:cs="Arial"/>
          <w:sz w:val="22"/>
          <w:szCs w:val="22"/>
        </w:rPr>
        <w:t>edn</w:t>
      </w:r>
      <w:proofErr w:type="spellEnd"/>
      <w:r w:rsidRPr="00946C14">
        <w:rPr>
          <w:rFonts w:ascii="Arial" w:hAnsi="Arial" w:cs="Arial"/>
          <w:sz w:val="22"/>
          <w:szCs w:val="22"/>
        </w:rPr>
        <w:t>. Gower Publishing.</w:t>
      </w:r>
    </w:p>
    <w:p w14:paraId="68DB4D1E"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Bryman, A. (2016) </w:t>
      </w:r>
      <w:r w:rsidRPr="00946C14">
        <w:rPr>
          <w:rFonts w:ascii="Arial" w:hAnsi="Arial" w:cs="Arial"/>
          <w:i/>
          <w:iCs/>
          <w:sz w:val="22"/>
          <w:szCs w:val="22"/>
        </w:rPr>
        <w:t>Social Research Methods</w:t>
      </w:r>
      <w:r w:rsidRPr="00946C14">
        <w:rPr>
          <w:rFonts w:ascii="Arial" w:hAnsi="Arial" w:cs="Arial"/>
          <w:sz w:val="22"/>
          <w:szCs w:val="22"/>
        </w:rPr>
        <w:t xml:space="preserve">. 5th </w:t>
      </w:r>
      <w:proofErr w:type="spellStart"/>
      <w:r w:rsidRPr="00946C14">
        <w:rPr>
          <w:rFonts w:ascii="Arial" w:hAnsi="Arial" w:cs="Arial"/>
          <w:sz w:val="22"/>
          <w:szCs w:val="22"/>
        </w:rPr>
        <w:t>edn</w:t>
      </w:r>
      <w:proofErr w:type="spellEnd"/>
      <w:r w:rsidRPr="00946C14">
        <w:rPr>
          <w:rFonts w:ascii="Arial" w:hAnsi="Arial" w:cs="Arial"/>
          <w:sz w:val="22"/>
          <w:szCs w:val="22"/>
        </w:rPr>
        <w:t>. Oxford: Oxford University Press.</w:t>
      </w:r>
    </w:p>
    <w:p w14:paraId="402A72B5"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Creswell, J. (2018) </w:t>
      </w:r>
      <w:r w:rsidRPr="00946C14">
        <w:rPr>
          <w:rFonts w:ascii="Arial" w:hAnsi="Arial" w:cs="Arial"/>
          <w:i/>
          <w:iCs/>
          <w:sz w:val="22"/>
          <w:szCs w:val="22"/>
        </w:rPr>
        <w:t>Research Design: Qualitative, Quantitative and Mixed Methods Approaches</w:t>
      </w:r>
      <w:r w:rsidRPr="00946C14">
        <w:rPr>
          <w:rFonts w:ascii="Arial" w:hAnsi="Arial" w:cs="Arial"/>
          <w:sz w:val="22"/>
          <w:szCs w:val="22"/>
        </w:rPr>
        <w:t xml:space="preserve">. 5th </w:t>
      </w:r>
      <w:proofErr w:type="spellStart"/>
      <w:r w:rsidRPr="00946C14">
        <w:rPr>
          <w:rFonts w:ascii="Arial" w:hAnsi="Arial" w:cs="Arial"/>
          <w:sz w:val="22"/>
          <w:szCs w:val="22"/>
        </w:rPr>
        <w:t>edn</w:t>
      </w:r>
      <w:proofErr w:type="spellEnd"/>
      <w:r w:rsidRPr="00946C14">
        <w:rPr>
          <w:rFonts w:ascii="Arial" w:hAnsi="Arial" w:cs="Arial"/>
          <w:sz w:val="22"/>
          <w:szCs w:val="22"/>
        </w:rPr>
        <w:t>. Thousand Oaks: Sage.</w:t>
      </w:r>
    </w:p>
    <w:p w14:paraId="377F586E"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Freeman, R.E. (1984) </w:t>
      </w:r>
      <w:r w:rsidRPr="00946C14">
        <w:rPr>
          <w:rFonts w:ascii="Arial" w:hAnsi="Arial" w:cs="Arial"/>
          <w:i/>
          <w:iCs/>
          <w:sz w:val="22"/>
          <w:szCs w:val="22"/>
        </w:rPr>
        <w:t>Strategic Management: A Stakeholder Approach</w:t>
      </w:r>
      <w:r w:rsidRPr="00946C14">
        <w:rPr>
          <w:rFonts w:ascii="Arial" w:hAnsi="Arial" w:cs="Arial"/>
          <w:sz w:val="22"/>
          <w:szCs w:val="22"/>
        </w:rPr>
        <w:t>. Boston: Pitman.</w:t>
      </w:r>
    </w:p>
    <w:p w14:paraId="2B704329"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Johnson, G., Whittington, R. and Scholes, K. (2020) </w:t>
      </w:r>
      <w:r w:rsidRPr="00946C14">
        <w:rPr>
          <w:rFonts w:ascii="Arial" w:hAnsi="Arial" w:cs="Arial"/>
          <w:i/>
          <w:iCs/>
          <w:sz w:val="22"/>
          <w:szCs w:val="22"/>
        </w:rPr>
        <w:t>Exploring Strategy: Text and Cases</w:t>
      </w:r>
      <w:r w:rsidRPr="00946C14">
        <w:rPr>
          <w:rFonts w:ascii="Arial" w:hAnsi="Arial" w:cs="Arial"/>
          <w:sz w:val="22"/>
          <w:szCs w:val="22"/>
        </w:rPr>
        <w:t xml:space="preserve">. 12th </w:t>
      </w:r>
      <w:proofErr w:type="spellStart"/>
      <w:r w:rsidRPr="00946C14">
        <w:rPr>
          <w:rFonts w:ascii="Arial" w:hAnsi="Arial" w:cs="Arial"/>
          <w:sz w:val="22"/>
          <w:szCs w:val="22"/>
        </w:rPr>
        <w:t>edn</w:t>
      </w:r>
      <w:proofErr w:type="spellEnd"/>
      <w:r w:rsidRPr="00946C14">
        <w:rPr>
          <w:rFonts w:ascii="Arial" w:hAnsi="Arial" w:cs="Arial"/>
          <w:sz w:val="22"/>
          <w:szCs w:val="22"/>
        </w:rPr>
        <w:t>. Harlow: Pearson.</w:t>
      </w:r>
    </w:p>
    <w:p w14:paraId="0CCD5583"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Mitchell, R.K., Agle, B.R. and Wood, D.J. (1997) ‘Toward a Theory of Stakeholder Identification and Salience’, </w:t>
      </w:r>
      <w:r w:rsidRPr="00946C14">
        <w:rPr>
          <w:rFonts w:ascii="Arial" w:hAnsi="Arial" w:cs="Arial"/>
          <w:i/>
          <w:iCs/>
          <w:sz w:val="22"/>
          <w:szCs w:val="22"/>
        </w:rPr>
        <w:t>Academy of Management Review</w:t>
      </w:r>
      <w:r w:rsidRPr="00946C14">
        <w:rPr>
          <w:rFonts w:ascii="Arial" w:hAnsi="Arial" w:cs="Arial"/>
          <w:sz w:val="22"/>
          <w:szCs w:val="22"/>
        </w:rPr>
        <w:t>, 22(4), pp. 853–886.</w:t>
      </w:r>
    </w:p>
    <w:p w14:paraId="3C563F5B"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lastRenderedPageBreak/>
        <w:t xml:space="preserve">NHS Digital (2023) </w:t>
      </w:r>
      <w:r w:rsidRPr="00946C14">
        <w:rPr>
          <w:rFonts w:ascii="Arial" w:hAnsi="Arial" w:cs="Arial"/>
          <w:i/>
          <w:iCs/>
          <w:sz w:val="22"/>
          <w:szCs w:val="22"/>
        </w:rPr>
        <w:t>Digital Health Trends Report</w:t>
      </w:r>
      <w:r w:rsidRPr="00946C14">
        <w:rPr>
          <w:rFonts w:ascii="Arial" w:hAnsi="Arial" w:cs="Arial"/>
          <w:sz w:val="22"/>
          <w:szCs w:val="22"/>
        </w:rPr>
        <w:t>. Available at: https://digital.nhs.uk (Accessed: 20 November 2025).</w:t>
      </w:r>
    </w:p>
    <w:p w14:paraId="53C96BCF"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OMRON Healthcare (2024) </w:t>
      </w:r>
      <w:r w:rsidRPr="00946C14">
        <w:rPr>
          <w:rFonts w:ascii="Arial" w:hAnsi="Arial" w:cs="Arial"/>
          <w:i/>
          <w:iCs/>
          <w:sz w:val="22"/>
          <w:szCs w:val="22"/>
        </w:rPr>
        <w:t>Annual Impact and Innovation Report</w:t>
      </w:r>
      <w:r w:rsidRPr="00946C14">
        <w:rPr>
          <w:rFonts w:ascii="Arial" w:hAnsi="Arial" w:cs="Arial"/>
          <w:sz w:val="22"/>
          <w:szCs w:val="22"/>
        </w:rPr>
        <w:t>. Kyoto: OMRON Corporation.</w:t>
      </w:r>
    </w:p>
    <w:p w14:paraId="7139D7A9"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Porter, M.E. (2008) ‘The Five Competitive Forces That Shape Strategy’, </w:t>
      </w:r>
      <w:r w:rsidRPr="00946C14">
        <w:rPr>
          <w:rFonts w:ascii="Arial" w:hAnsi="Arial" w:cs="Arial"/>
          <w:i/>
          <w:iCs/>
          <w:sz w:val="22"/>
          <w:szCs w:val="22"/>
        </w:rPr>
        <w:t>Harvard Business Review</w:t>
      </w:r>
      <w:r w:rsidRPr="00946C14">
        <w:rPr>
          <w:rFonts w:ascii="Arial" w:hAnsi="Arial" w:cs="Arial"/>
          <w:sz w:val="22"/>
          <w:szCs w:val="22"/>
        </w:rPr>
        <w:t>, 86(1), pp. 78–93.</w:t>
      </w:r>
    </w:p>
    <w:p w14:paraId="53136B13"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Project Management Institute (PMI) (2021) </w:t>
      </w:r>
      <w:r w:rsidRPr="00946C14">
        <w:rPr>
          <w:rFonts w:ascii="Arial" w:hAnsi="Arial" w:cs="Arial"/>
          <w:i/>
          <w:iCs/>
          <w:sz w:val="22"/>
          <w:szCs w:val="22"/>
        </w:rPr>
        <w:t>A Guide to the Project Management Body of Knowledge (PMBOK Guide)</w:t>
      </w:r>
      <w:r w:rsidRPr="00946C14">
        <w:rPr>
          <w:rFonts w:ascii="Arial" w:hAnsi="Arial" w:cs="Arial"/>
          <w:sz w:val="22"/>
          <w:szCs w:val="22"/>
        </w:rPr>
        <w:t xml:space="preserve">. 7th </w:t>
      </w:r>
      <w:proofErr w:type="spellStart"/>
      <w:r w:rsidRPr="00946C14">
        <w:rPr>
          <w:rFonts w:ascii="Arial" w:hAnsi="Arial" w:cs="Arial"/>
          <w:sz w:val="22"/>
          <w:szCs w:val="22"/>
        </w:rPr>
        <w:t>edn</w:t>
      </w:r>
      <w:proofErr w:type="spellEnd"/>
      <w:r w:rsidRPr="00946C14">
        <w:rPr>
          <w:rFonts w:ascii="Arial" w:hAnsi="Arial" w:cs="Arial"/>
          <w:sz w:val="22"/>
          <w:szCs w:val="22"/>
        </w:rPr>
        <w:t>. Pennsylvania: PMI.</w:t>
      </w:r>
    </w:p>
    <w:p w14:paraId="2AFF9B55"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Saunders, M., Lewis, P. and Thornhill, A. (2019) </w:t>
      </w:r>
      <w:r w:rsidRPr="00946C14">
        <w:rPr>
          <w:rFonts w:ascii="Arial" w:hAnsi="Arial" w:cs="Arial"/>
          <w:i/>
          <w:iCs/>
          <w:sz w:val="22"/>
          <w:szCs w:val="22"/>
        </w:rPr>
        <w:t>Research Methods for Business Students</w:t>
      </w:r>
      <w:r w:rsidRPr="00946C14">
        <w:rPr>
          <w:rFonts w:ascii="Arial" w:hAnsi="Arial" w:cs="Arial"/>
          <w:sz w:val="22"/>
          <w:szCs w:val="22"/>
        </w:rPr>
        <w:t xml:space="preserve">. 8th </w:t>
      </w:r>
      <w:proofErr w:type="spellStart"/>
      <w:r w:rsidRPr="00946C14">
        <w:rPr>
          <w:rFonts w:ascii="Arial" w:hAnsi="Arial" w:cs="Arial"/>
          <w:sz w:val="22"/>
          <w:szCs w:val="22"/>
        </w:rPr>
        <w:t>edn</w:t>
      </w:r>
      <w:proofErr w:type="spellEnd"/>
      <w:r w:rsidRPr="00946C14">
        <w:rPr>
          <w:rFonts w:ascii="Arial" w:hAnsi="Arial" w:cs="Arial"/>
          <w:sz w:val="22"/>
          <w:szCs w:val="22"/>
        </w:rPr>
        <w:t>. Harlow: Pearson.</w:t>
      </w:r>
    </w:p>
    <w:p w14:paraId="2AF6E725"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UK MHRA (2024) </w:t>
      </w:r>
      <w:r w:rsidRPr="00946C14">
        <w:rPr>
          <w:rFonts w:ascii="Arial" w:hAnsi="Arial" w:cs="Arial"/>
          <w:i/>
          <w:iCs/>
          <w:sz w:val="22"/>
          <w:szCs w:val="22"/>
        </w:rPr>
        <w:t>Medical Device Regulations and UKCA Guidance</w:t>
      </w:r>
      <w:r w:rsidRPr="00946C14">
        <w:rPr>
          <w:rFonts w:ascii="Arial" w:hAnsi="Arial" w:cs="Arial"/>
          <w:sz w:val="22"/>
          <w:szCs w:val="22"/>
        </w:rPr>
        <w:t>. London: UK Government.</w:t>
      </w:r>
    </w:p>
    <w:p w14:paraId="5D0E330F" w14:textId="77777777" w:rsidR="00946C14" w:rsidRPr="00946C14" w:rsidRDefault="00946C14" w:rsidP="00E3213D">
      <w:pPr>
        <w:spacing w:line="360" w:lineRule="auto"/>
        <w:jc w:val="both"/>
        <w:rPr>
          <w:rFonts w:ascii="Arial" w:hAnsi="Arial" w:cs="Arial"/>
          <w:sz w:val="22"/>
          <w:szCs w:val="22"/>
        </w:rPr>
      </w:pPr>
      <w:r w:rsidRPr="00946C14">
        <w:rPr>
          <w:rFonts w:ascii="Arial" w:hAnsi="Arial" w:cs="Arial"/>
          <w:sz w:val="22"/>
          <w:szCs w:val="22"/>
        </w:rPr>
        <w:t xml:space="preserve">Yukl, G. (2013) </w:t>
      </w:r>
      <w:r w:rsidRPr="00946C14">
        <w:rPr>
          <w:rFonts w:ascii="Arial" w:hAnsi="Arial" w:cs="Arial"/>
          <w:i/>
          <w:iCs/>
          <w:sz w:val="22"/>
          <w:szCs w:val="22"/>
        </w:rPr>
        <w:t>Leadership in Organizations</w:t>
      </w:r>
      <w:r w:rsidRPr="00946C14">
        <w:rPr>
          <w:rFonts w:ascii="Arial" w:hAnsi="Arial" w:cs="Arial"/>
          <w:sz w:val="22"/>
          <w:szCs w:val="22"/>
        </w:rPr>
        <w:t xml:space="preserve">. 8th </w:t>
      </w:r>
      <w:proofErr w:type="spellStart"/>
      <w:r w:rsidRPr="00946C14">
        <w:rPr>
          <w:rFonts w:ascii="Arial" w:hAnsi="Arial" w:cs="Arial"/>
          <w:sz w:val="22"/>
          <w:szCs w:val="22"/>
        </w:rPr>
        <w:t>edn</w:t>
      </w:r>
      <w:proofErr w:type="spellEnd"/>
      <w:r w:rsidRPr="00946C14">
        <w:rPr>
          <w:rFonts w:ascii="Arial" w:hAnsi="Arial" w:cs="Arial"/>
          <w:sz w:val="22"/>
          <w:szCs w:val="22"/>
        </w:rPr>
        <w:t>. Pearson Education.</w:t>
      </w:r>
    </w:p>
    <w:p w14:paraId="563ABB50" w14:textId="77777777" w:rsidR="002C0FCE" w:rsidRPr="006C6A10" w:rsidRDefault="002C0FCE" w:rsidP="002C0FCE"/>
    <w:p w14:paraId="7127E7D1" w14:textId="77777777" w:rsidR="00F379BC" w:rsidRPr="003017FA" w:rsidRDefault="00F379BC" w:rsidP="003017FA"/>
    <w:sectPr w:rsidR="00F379BC" w:rsidRPr="003017F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8CC11" w14:textId="77777777" w:rsidR="00123459" w:rsidRDefault="00123459" w:rsidP="003D7F3F">
      <w:pPr>
        <w:spacing w:after="0" w:line="240" w:lineRule="auto"/>
      </w:pPr>
      <w:r>
        <w:separator/>
      </w:r>
    </w:p>
  </w:endnote>
  <w:endnote w:type="continuationSeparator" w:id="0">
    <w:p w14:paraId="2F5E82EE" w14:textId="77777777" w:rsidR="00123459" w:rsidRDefault="00123459" w:rsidP="003D7F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6144907"/>
      <w:docPartObj>
        <w:docPartGallery w:val="Page Numbers (Bottom of Page)"/>
        <w:docPartUnique/>
      </w:docPartObj>
    </w:sdtPr>
    <w:sdtEndPr>
      <w:rPr>
        <w:color w:val="7F7F7F" w:themeColor="background1" w:themeShade="7F"/>
        <w:spacing w:val="60"/>
      </w:rPr>
    </w:sdtEndPr>
    <w:sdtContent>
      <w:p w14:paraId="17610EC9" w14:textId="2F57537E" w:rsidR="003D7F3F" w:rsidRDefault="003D7F3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0DDF328" w14:textId="77777777" w:rsidR="003D7F3F" w:rsidRDefault="003D7F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D1B16" w14:textId="77777777" w:rsidR="00123459" w:rsidRDefault="00123459" w:rsidP="003D7F3F">
      <w:pPr>
        <w:spacing w:after="0" w:line="240" w:lineRule="auto"/>
      </w:pPr>
      <w:r>
        <w:separator/>
      </w:r>
    </w:p>
  </w:footnote>
  <w:footnote w:type="continuationSeparator" w:id="0">
    <w:p w14:paraId="08B0159A" w14:textId="77777777" w:rsidR="00123459" w:rsidRDefault="00123459" w:rsidP="003D7F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68A1F" w14:textId="4C7B5381" w:rsidR="003D7F3F" w:rsidRPr="00977FD2" w:rsidRDefault="00977FD2" w:rsidP="00977FD2">
    <w:pPr>
      <w:pStyle w:val="Header"/>
      <w:jc w:val="right"/>
    </w:pPr>
    <w:r w:rsidRPr="00977FD2">
      <w:drawing>
        <wp:inline distT="0" distB="0" distL="0" distR="0" wp14:anchorId="323F5E78" wp14:editId="1B50C2D8">
          <wp:extent cx="818707" cy="286385"/>
          <wp:effectExtent l="0" t="0" r="635" b="0"/>
          <wp:docPr id="406714171"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714171" name="Picture 1" descr="A close up of a sign&#10;&#10;AI-generated content may be incorrect."/>
                  <pic:cNvPicPr/>
                </pic:nvPicPr>
                <pic:blipFill>
                  <a:blip r:embed="rId1"/>
                  <a:stretch>
                    <a:fillRect/>
                  </a:stretch>
                </pic:blipFill>
                <pic:spPr>
                  <a:xfrm>
                    <a:off x="0" y="0"/>
                    <a:ext cx="857662" cy="30001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5334F"/>
    <w:multiLevelType w:val="multilevel"/>
    <w:tmpl w:val="53F42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1583B"/>
    <w:multiLevelType w:val="multilevel"/>
    <w:tmpl w:val="46BE6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B2AC1"/>
    <w:multiLevelType w:val="multilevel"/>
    <w:tmpl w:val="E8A00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C47F16"/>
    <w:multiLevelType w:val="multilevel"/>
    <w:tmpl w:val="88F6C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B255F6"/>
    <w:multiLevelType w:val="multilevel"/>
    <w:tmpl w:val="FA589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8632CD"/>
    <w:multiLevelType w:val="multilevel"/>
    <w:tmpl w:val="250E1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453DBB"/>
    <w:multiLevelType w:val="multilevel"/>
    <w:tmpl w:val="039A6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2B354F"/>
    <w:multiLevelType w:val="multilevel"/>
    <w:tmpl w:val="961EA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5C2507"/>
    <w:multiLevelType w:val="multilevel"/>
    <w:tmpl w:val="732C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321129"/>
    <w:multiLevelType w:val="multilevel"/>
    <w:tmpl w:val="2D9E7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8A645B"/>
    <w:multiLevelType w:val="multilevel"/>
    <w:tmpl w:val="6C961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1B469BB"/>
    <w:multiLevelType w:val="multilevel"/>
    <w:tmpl w:val="F74CA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2E328A"/>
    <w:multiLevelType w:val="multilevel"/>
    <w:tmpl w:val="1EE6D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67006DA"/>
    <w:multiLevelType w:val="multilevel"/>
    <w:tmpl w:val="2D0A6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A44242"/>
    <w:multiLevelType w:val="multilevel"/>
    <w:tmpl w:val="54B07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F6021A"/>
    <w:multiLevelType w:val="multilevel"/>
    <w:tmpl w:val="8812B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4B45D5"/>
    <w:multiLevelType w:val="multilevel"/>
    <w:tmpl w:val="87507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896617F"/>
    <w:multiLevelType w:val="multilevel"/>
    <w:tmpl w:val="27BE0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F645DB"/>
    <w:multiLevelType w:val="multilevel"/>
    <w:tmpl w:val="40067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A124B4C"/>
    <w:multiLevelType w:val="hybridMultilevel"/>
    <w:tmpl w:val="C846BB58"/>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AF31A5C"/>
    <w:multiLevelType w:val="multilevel"/>
    <w:tmpl w:val="E9DA0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C0F2FA0"/>
    <w:multiLevelType w:val="multilevel"/>
    <w:tmpl w:val="85C68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CBE58FF"/>
    <w:multiLevelType w:val="multilevel"/>
    <w:tmpl w:val="FC3AD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D2E1CF5"/>
    <w:multiLevelType w:val="multilevel"/>
    <w:tmpl w:val="27C87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2A849B0"/>
    <w:multiLevelType w:val="multilevel"/>
    <w:tmpl w:val="6B88C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63165E2"/>
    <w:multiLevelType w:val="multilevel"/>
    <w:tmpl w:val="9E9E8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9D340DC"/>
    <w:multiLevelType w:val="multilevel"/>
    <w:tmpl w:val="F2F2C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BA91C12"/>
    <w:multiLevelType w:val="multilevel"/>
    <w:tmpl w:val="1BE44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C7B209A"/>
    <w:multiLevelType w:val="multilevel"/>
    <w:tmpl w:val="F4BEC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D1963AB"/>
    <w:multiLevelType w:val="multilevel"/>
    <w:tmpl w:val="E214B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D512960"/>
    <w:multiLevelType w:val="multilevel"/>
    <w:tmpl w:val="E0CA2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291E4A"/>
    <w:multiLevelType w:val="multilevel"/>
    <w:tmpl w:val="5148B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06260B1"/>
    <w:multiLevelType w:val="multilevel"/>
    <w:tmpl w:val="530AF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0E6155D"/>
    <w:multiLevelType w:val="multilevel"/>
    <w:tmpl w:val="94B20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2B32F88"/>
    <w:multiLevelType w:val="multilevel"/>
    <w:tmpl w:val="3FF29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3701771"/>
    <w:multiLevelType w:val="multilevel"/>
    <w:tmpl w:val="0088A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3B3260D"/>
    <w:multiLevelType w:val="multilevel"/>
    <w:tmpl w:val="0AE2E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5373769"/>
    <w:multiLevelType w:val="multilevel"/>
    <w:tmpl w:val="02908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5BA6B7E"/>
    <w:multiLevelType w:val="multilevel"/>
    <w:tmpl w:val="3D960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60A5A9F"/>
    <w:multiLevelType w:val="multilevel"/>
    <w:tmpl w:val="BAF85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7F445D4"/>
    <w:multiLevelType w:val="multilevel"/>
    <w:tmpl w:val="1E121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8AE2A1D"/>
    <w:multiLevelType w:val="multilevel"/>
    <w:tmpl w:val="AAE46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8D57F19"/>
    <w:multiLevelType w:val="multilevel"/>
    <w:tmpl w:val="6FFA4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B5E3310"/>
    <w:multiLevelType w:val="multilevel"/>
    <w:tmpl w:val="3DCC0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CC6433A"/>
    <w:multiLevelType w:val="multilevel"/>
    <w:tmpl w:val="8B6C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0E730DD"/>
    <w:multiLevelType w:val="multilevel"/>
    <w:tmpl w:val="A9104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4BB767A"/>
    <w:multiLevelType w:val="multilevel"/>
    <w:tmpl w:val="0C962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5DB251D"/>
    <w:multiLevelType w:val="multilevel"/>
    <w:tmpl w:val="00669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5F7598B"/>
    <w:multiLevelType w:val="multilevel"/>
    <w:tmpl w:val="C3D69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7F41EA8"/>
    <w:multiLevelType w:val="multilevel"/>
    <w:tmpl w:val="8F6A5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85655C8"/>
    <w:multiLevelType w:val="multilevel"/>
    <w:tmpl w:val="48569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96A3A45"/>
    <w:multiLevelType w:val="multilevel"/>
    <w:tmpl w:val="3D2C2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ADC1DF2"/>
    <w:multiLevelType w:val="multilevel"/>
    <w:tmpl w:val="F47E2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B536856"/>
    <w:multiLevelType w:val="multilevel"/>
    <w:tmpl w:val="15444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D684186"/>
    <w:multiLevelType w:val="multilevel"/>
    <w:tmpl w:val="FB825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DBE24A7"/>
    <w:multiLevelType w:val="multilevel"/>
    <w:tmpl w:val="BCF22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F3F615F"/>
    <w:multiLevelType w:val="multilevel"/>
    <w:tmpl w:val="A2AAF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FD5726C"/>
    <w:multiLevelType w:val="multilevel"/>
    <w:tmpl w:val="F0544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FEC6329"/>
    <w:multiLevelType w:val="multilevel"/>
    <w:tmpl w:val="EDDEE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21412D7"/>
    <w:multiLevelType w:val="multilevel"/>
    <w:tmpl w:val="E4F64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44D4AB5"/>
    <w:multiLevelType w:val="multilevel"/>
    <w:tmpl w:val="A656A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6CE52E8"/>
    <w:multiLevelType w:val="multilevel"/>
    <w:tmpl w:val="B9EAC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9C526EE"/>
    <w:multiLevelType w:val="multilevel"/>
    <w:tmpl w:val="84423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A564BD7"/>
    <w:multiLevelType w:val="multilevel"/>
    <w:tmpl w:val="877AC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AAD5968"/>
    <w:multiLevelType w:val="multilevel"/>
    <w:tmpl w:val="776A7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B1B59FB"/>
    <w:multiLevelType w:val="multilevel"/>
    <w:tmpl w:val="63BE0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BD53D7A"/>
    <w:multiLevelType w:val="multilevel"/>
    <w:tmpl w:val="583EB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BD70985"/>
    <w:multiLevelType w:val="multilevel"/>
    <w:tmpl w:val="A5985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C3F1DDD"/>
    <w:multiLevelType w:val="multilevel"/>
    <w:tmpl w:val="9B64B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EFE6F65"/>
    <w:multiLevelType w:val="multilevel"/>
    <w:tmpl w:val="8702E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F0B7520"/>
    <w:multiLevelType w:val="multilevel"/>
    <w:tmpl w:val="1FB834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02E1DCE"/>
    <w:multiLevelType w:val="multilevel"/>
    <w:tmpl w:val="532AD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24715D1"/>
    <w:multiLevelType w:val="multilevel"/>
    <w:tmpl w:val="72F6D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2981A20"/>
    <w:multiLevelType w:val="multilevel"/>
    <w:tmpl w:val="FDA8A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3E938FA"/>
    <w:multiLevelType w:val="multilevel"/>
    <w:tmpl w:val="0F5EC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4D046F0"/>
    <w:multiLevelType w:val="multilevel"/>
    <w:tmpl w:val="307EE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90D5807"/>
    <w:multiLevelType w:val="multilevel"/>
    <w:tmpl w:val="7E32D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A3C6049"/>
    <w:multiLevelType w:val="multilevel"/>
    <w:tmpl w:val="5D8AD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A730A5F"/>
    <w:multiLevelType w:val="multilevel"/>
    <w:tmpl w:val="2632C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B0733FE"/>
    <w:multiLevelType w:val="multilevel"/>
    <w:tmpl w:val="99DAB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B1710B8"/>
    <w:multiLevelType w:val="multilevel"/>
    <w:tmpl w:val="50B0F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B6973AA"/>
    <w:multiLevelType w:val="multilevel"/>
    <w:tmpl w:val="FF366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C1F219F"/>
    <w:multiLevelType w:val="multilevel"/>
    <w:tmpl w:val="29F64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C845765"/>
    <w:multiLevelType w:val="multilevel"/>
    <w:tmpl w:val="F99C5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CBB1FC5"/>
    <w:multiLevelType w:val="multilevel"/>
    <w:tmpl w:val="EB42D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6E43598B"/>
    <w:multiLevelType w:val="multilevel"/>
    <w:tmpl w:val="01CEB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6F2E7916"/>
    <w:multiLevelType w:val="multilevel"/>
    <w:tmpl w:val="0ADAA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04710DF"/>
    <w:multiLevelType w:val="multilevel"/>
    <w:tmpl w:val="CAF26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0BC34BE"/>
    <w:multiLevelType w:val="multilevel"/>
    <w:tmpl w:val="1722B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0C63593"/>
    <w:multiLevelType w:val="multilevel"/>
    <w:tmpl w:val="EF7E4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71216077"/>
    <w:multiLevelType w:val="multilevel"/>
    <w:tmpl w:val="E53A7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21449E4"/>
    <w:multiLevelType w:val="multilevel"/>
    <w:tmpl w:val="08F4E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435767A"/>
    <w:multiLevelType w:val="multilevel"/>
    <w:tmpl w:val="F6244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536671B"/>
    <w:multiLevelType w:val="multilevel"/>
    <w:tmpl w:val="715A0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762C3E66"/>
    <w:multiLevelType w:val="multilevel"/>
    <w:tmpl w:val="FC76E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77B8276F"/>
    <w:multiLevelType w:val="multilevel"/>
    <w:tmpl w:val="1D825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8994A59"/>
    <w:multiLevelType w:val="multilevel"/>
    <w:tmpl w:val="DC38C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9465435"/>
    <w:multiLevelType w:val="multilevel"/>
    <w:tmpl w:val="7E502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7BAA089F"/>
    <w:multiLevelType w:val="multilevel"/>
    <w:tmpl w:val="E8687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F790E88"/>
    <w:multiLevelType w:val="multilevel"/>
    <w:tmpl w:val="2E443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4981033">
    <w:abstractNumId w:val="6"/>
  </w:num>
  <w:num w:numId="2" w16cid:durableId="1261377166">
    <w:abstractNumId w:val="52"/>
  </w:num>
  <w:num w:numId="3" w16cid:durableId="1162551683">
    <w:abstractNumId w:val="5"/>
  </w:num>
  <w:num w:numId="4" w16cid:durableId="1671638776">
    <w:abstractNumId w:val="63"/>
  </w:num>
  <w:num w:numId="5" w16cid:durableId="1786735468">
    <w:abstractNumId w:val="24"/>
  </w:num>
  <w:num w:numId="6" w16cid:durableId="1977951536">
    <w:abstractNumId w:val="62"/>
  </w:num>
  <w:num w:numId="7" w16cid:durableId="132448776">
    <w:abstractNumId w:val="53"/>
  </w:num>
  <w:num w:numId="8" w16cid:durableId="1871184302">
    <w:abstractNumId w:val="98"/>
  </w:num>
  <w:num w:numId="9" w16cid:durableId="2013793281">
    <w:abstractNumId w:val="7"/>
  </w:num>
  <w:num w:numId="10" w16cid:durableId="1378434946">
    <w:abstractNumId w:val="44"/>
  </w:num>
  <w:num w:numId="11" w16cid:durableId="1440833263">
    <w:abstractNumId w:val="15"/>
  </w:num>
  <w:num w:numId="12" w16cid:durableId="1145387787">
    <w:abstractNumId w:val="87"/>
  </w:num>
  <w:num w:numId="13" w16cid:durableId="947932961">
    <w:abstractNumId w:val="50"/>
  </w:num>
  <w:num w:numId="14" w16cid:durableId="1544512721">
    <w:abstractNumId w:val="89"/>
  </w:num>
  <w:num w:numId="15" w16cid:durableId="405887048">
    <w:abstractNumId w:val="37"/>
  </w:num>
  <w:num w:numId="16" w16cid:durableId="873731271">
    <w:abstractNumId w:val="11"/>
  </w:num>
  <w:num w:numId="17" w16cid:durableId="317616372">
    <w:abstractNumId w:val="41"/>
  </w:num>
  <w:num w:numId="18" w16cid:durableId="1951355056">
    <w:abstractNumId w:val="0"/>
  </w:num>
  <w:num w:numId="19" w16cid:durableId="11147552">
    <w:abstractNumId w:val="36"/>
  </w:num>
  <w:num w:numId="20" w16cid:durableId="1677881242">
    <w:abstractNumId w:val="76"/>
  </w:num>
  <w:num w:numId="21" w16cid:durableId="920329678">
    <w:abstractNumId w:val="47"/>
  </w:num>
  <w:num w:numId="22" w16cid:durableId="1322729764">
    <w:abstractNumId w:val="28"/>
  </w:num>
  <w:num w:numId="23" w16cid:durableId="552354783">
    <w:abstractNumId w:val="12"/>
  </w:num>
  <w:num w:numId="24" w16cid:durableId="1481196362">
    <w:abstractNumId w:val="9"/>
  </w:num>
  <w:num w:numId="25" w16cid:durableId="1160150793">
    <w:abstractNumId w:val="40"/>
  </w:num>
  <w:num w:numId="26" w16cid:durableId="1948269753">
    <w:abstractNumId w:val="69"/>
  </w:num>
  <w:num w:numId="27" w16cid:durableId="1359309733">
    <w:abstractNumId w:val="55"/>
  </w:num>
  <w:num w:numId="28" w16cid:durableId="647245593">
    <w:abstractNumId w:val="71"/>
  </w:num>
  <w:num w:numId="29" w16cid:durableId="1508404093">
    <w:abstractNumId w:val="13"/>
  </w:num>
  <w:num w:numId="30" w16cid:durableId="2003653896">
    <w:abstractNumId w:val="73"/>
  </w:num>
  <w:num w:numId="31" w16cid:durableId="1601792773">
    <w:abstractNumId w:val="61"/>
  </w:num>
  <w:num w:numId="32" w16cid:durableId="187716373">
    <w:abstractNumId w:val="70"/>
  </w:num>
  <w:num w:numId="33" w16cid:durableId="1372270521">
    <w:abstractNumId w:val="25"/>
  </w:num>
  <w:num w:numId="34" w16cid:durableId="240942917">
    <w:abstractNumId w:val="8"/>
  </w:num>
  <w:num w:numId="35" w16cid:durableId="741752028">
    <w:abstractNumId w:val="65"/>
  </w:num>
  <w:num w:numId="36" w16cid:durableId="1682850230">
    <w:abstractNumId w:val="82"/>
  </w:num>
  <w:num w:numId="37" w16cid:durableId="1836460000">
    <w:abstractNumId w:val="21"/>
  </w:num>
  <w:num w:numId="38" w16cid:durableId="1274166375">
    <w:abstractNumId w:val="90"/>
  </w:num>
  <w:num w:numId="39" w16cid:durableId="1036740440">
    <w:abstractNumId w:val="88"/>
  </w:num>
  <w:num w:numId="40" w16cid:durableId="1988437631">
    <w:abstractNumId w:val="80"/>
  </w:num>
  <w:num w:numId="41" w16cid:durableId="1793671111">
    <w:abstractNumId w:val="93"/>
  </w:num>
  <w:num w:numId="42" w16cid:durableId="1279069036">
    <w:abstractNumId w:val="51"/>
  </w:num>
  <w:num w:numId="43" w16cid:durableId="2017728805">
    <w:abstractNumId w:val="2"/>
  </w:num>
  <w:num w:numId="44" w16cid:durableId="1920092053">
    <w:abstractNumId w:val="74"/>
  </w:num>
  <w:num w:numId="45" w16cid:durableId="79256230">
    <w:abstractNumId w:val="99"/>
  </w:num>
  <w:num w:numId="46" w16cid:durableId="299531571">
    <w:abstractNumId w:val="64"/>
  </w:num>
  <w:num w:numId="47" w16cid:durableId="1153834405">
    <w:abstractNumId w:val="83"/>
  </w:num>
  <w:num w:numId="48" w16cid:durableId="565651325">
    <w:abstractNumId w:val="1"/>
  </w:num>
  <w:num w:numId="49" w16cid:durableId="2048790923">
    <w:abstractNumId w:val="10"/>
  </w:num>
  <w:num w:numId="50" w16cid:durableId="548810018">
    <w:abstractNumId w:val="32"/>
  </w:num>
  <w:num w:numId="51" w16cid:durableId="110638934">
    <w:abstractNumId w:val="23"/>
  </w:num>
  <w:num w:numId="52" w16cid:durableId="226384427">
    <w:abstractNumId w:val="97"/>
  </w:num>
  <w:num w:numId="53" w16cid:durableId="445583712">
    <w:abstractNumId w:val="29"/>
  </w:num>
  <w:num w:numId="54" w16cid:durableId="1988775737">
    <w:abstractNumId w:val="22"/>
  </w:num>
  <w:num w:numId="55" w16cid:durableId="232400058">
    <w:abstractNumId w:val="46"/>
  </w:num>
  <w:num w:numId="56" w16cid:durableId="1138497620">
    <w:abstractNumId w:val="27"/>
  </w:num>
  <w:num w:numId="57" w16cid:durableId="1252081639">
    <w:abstractNumId w:val="39"/>
  </w:num>
  <w:num w:numId="58" w16cid:durableId="1215966598">
    <w:abstractNumId w:val="38"/>
  </w:num>
  <w:num w:numId="59" w16cid:durableId="1463228305">
    <w:abstractNumId w:val="31"/>
  </w:num>
  <w:num w:numId="60" w16cid:durableId="1361659811">
    <w:abstractNumId w:val="66"/>
  </w:num>
  <w:num w:numId="61" w16cid:durableId="1755006303">
    <w:abstractNumId w:val="84"/>
  </w:num>
  <w:num w:numId="62" w16cid:durableId="401146235">
    <w:abstractNumId w:val="57"/>
  </w:num>
  <w:num w:numId="63" w16cid:durableId="55250151">
    <w:abstractNumId w:val="85"/>
  </w:num>
  <w:num w:numId="64" w16cid:durableId="138696165">
    <w:abstractNumId w:val="81"/>
  </w:num>
  <w:num w:numId="65" w16cid:durableId="876622325">
    <w:abstractNumId w:val="94"/>
  </w:num>
  <w:num w:numId="66" w16cid:durableId="1862819855">
    <w:abstractNumId w:val="56"/>
  </w:num>
  <w:num w:numId="67" w16cid:durableId="1165315272">
    <w:abstractNumId w:val="95"/>
  </w:num>
  <w:num w:numId="68" w16cid:durableId="478813107">
    <w:abstractNumId w:val="72"/>
  </w:num>
  <w:num w:numId="69" w16cid:durableId="809060388">
    <w:abstractNumId w:val="26"/>
  </w:num>
  <w:num w:numId="70" w16cid:durableId="2131823257">
    <w:abstractNumId w:val="59"/>
  </w:num>
  <w:num w:numId="71" w16cid:durableId="1683818058">
    <w:abstractNumId w:val="35"/>
  </w:num>
  <w:num w:numId="72" w16cid:durableId="383914050">
    <w:abstractNumId w:val="86"/>
  </w:num>
  <w:num w:numId="73" w16cid:durableId="1947273806">
    <w:abstractNumId w:val="91"/>
  </w:num>
  <w:num w:numId="74" w16cid:durableId="129633375">
    <w:abstractNumId w:val="3"/>
  </w:num>
  <w:num w:numId="75" w16cid:durableId="644167979">
    <w:abstractNumId w:val="43"/>
  </w:num>
  <w:num w:numId="76" w16cid:durableId="932711389">
    <w:abstractNumId w:val="92"/>
  </w:num>
  <w:num w:numId="77" w16cid:durableId="1785686612">
    <w:abstractNumId w:val="54"/>
  </w:num>
  <w:num w:numId="78" w16cid:durableId="196046225">
    <w:abstractNumId w:val="96"/>
  </w:num>
  <w:num w:numId="79" w16cid:durableId="1883857844">
    <w:abstractNumId w:val="20"/>
  </w:num>
  <w:num w:numId="80" w16cid:durableId="522861696">
    <w:abstractNumId w:val="45"/>
  </w:num>
  <w:num w:numId="81" w16cid:durableId="1996563156">
    <w:abstractNumId w:val="34"/>
  </w:num>
  <w:num w:numId="82" w16cid:durableId="1522627933">
    <w:abstractNumId w:val="67"/>
  </w:num>
  <w:num w:numId="83" w16cid:durableId="1407191386">
    <w:abstractNumId w:val="17"/>
  </w:num>
  <w:num w:numId="84" w16cid:durableId="610278943">
    <w:abstractNumId w:val="77"/>
  </w:num>
  <w:num w:numId="85" w16cid:durableId="783766274">
    <w:abstractNumId w:val="49"/>
  </w:num>
  <w:num w:numId="86" w16cid:durableId="1463423248">
    <w:abstractNumId w:val="30"/>
  </w:num>
  <w:num w:numId="87" w16cid:durableId="114907496">
    <w:abstractNumId w:val="58"/>
  </w:num>
  <w:num w:numId="88" w16cid:durableId="1945186397">
    <w:abstractNumId w:val="33"/>
  </w:num>
  <w:num w:numId="89" w16cid:durableId="1993635012">
    <w:abstractNumId w:val="16"/>
  </w:num>
  <w:num w:numId="90" w16cid:durableId="1149713140">
    <w:abstractNumId w:val="48"/>
  </w:num>
  <w:num w:numId="91" w16cid:durableId="1363821393">
    <w:abstractNumId w:val="68"/>
  </w:num>
  <w:num w:numId="92" w16cid:durableId="950863020">
    <w:abstractNumId w:val="42"/>
  </w:num>
  <w:num w:numId="93" w16cid:durableId="369962307">
    <w:abstractNumId w:val="75"/>
  </w:num>
  <w:num w:numId="94" w16cid:durableId="1465853632">
    <w:abstractNumId w:val="14"/>
  </w:num>
  <w:num w:numId="95" w16cid:durableId="542140325">
    <w:abstractNumId w:val="60"/>
  </w:num>
  <w:num w:numId="96" w16cid:durableId="1658847308">
    <w:abstractNumId w:val="78"/>
  </w:num>
  <w:num w:numId="97" w16cid:durableId="1673949788">
    <w:abstractNumId w:val="18"/>
  </w:num>
  <w:num w:numId="98" w16cid:durableId="1033534558">
    <w:abstractNumId w:val="4"/>
  </w:num>
  <w:num w:numId="99" w16cid:durableId="1279871590">
    <w:abstractNumId w:val="79"/>
  </w:num>
  <w:num w:numId="100" w16cid:durableId="517368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97A"/>
    <w:rsid w:val="00123459"/>
    <w:rsid w:val="0023538C"/>
    <w:rsid w:val="002C0FCE"/>
    <w:rsid w:val="003017FA"/>
    <w:rsid w:val="003D7F3F"/>
    <w:rsid w:val="006C6A10"/>
    <w:rsid w:val="007F0C4A"/>
    <w:rsid w:val="00920D47"/>
    <w:rsid w:val="00946C14"/>
    <w:rsid w:val="00977FD2"/>
    <w:rsid w:val="00A61FFA"/>
    <w:rsid w:val="00AE707C"/>
    <w:rsid w:val="00C6397A"/>
    <w:rsid w:val="00D56250"/>
    <w:rsid w:val="00E3213D"/>
    <w:rsid w:val="00E518E4"/>
    <w:rsid w:val="00F379BC"/>
    <w:rsid w:val="00FD5E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BFE68"/>
  <w15:chartTrackingRefBased/>
  <w15:docId w15:val="{9C107814-CECD-47F1-B854-FF726FB5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39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39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39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39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39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39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39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39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39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39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39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39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39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39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39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39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39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397A"/>
    <w:rPr>
      <w:rFonts w:eastAsiaTheme="majorEastAsia" w:cstheme="majorBidi"/>
      <w:color w:val="272727" w:themeColor="text1" w:themeTint="D8"/>
    </w:rPr>
  </w:style>
  <w:style w:type="paragraph" w:styleId="Title">
    <w:name w:val="Title"/>
    <w:basedOn w:val="Normal"/>
    <w:next w:val="Normal"/>
    <w:link w:val="TitleChar"/>
    <w:uiPriority w:val="10"/>
    <w:qFormat/>
    <w:rsid w:val="00C639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39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39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39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397A"/>
    <w:pPr>
      <w:spacing w:before="160"/>
      <w:jc w:val="center"/>
    </w:pPr>
    <w:rPr>
      <w:i/>
      <w:iCs/>
      <w:color w:val="404040" w:themeColor="text1" w:themeTint="BF"/>
    </w:rPr>
  </w:style>
  <w:style w:type="character" w:customStyle="1" w:styleId="QuoteChar">
    <w:name w:val="Quote Char"/>
    <w:basedOn w:val="DefaultParagraphFont"/>
    <w:link w:val="Quote"/>
    <w:uiPriority w:val="29"/>
    <w:rsid w:val="00C6397A"/>
    <w:rPr>
      <w:i/>
      <w:iCs/>
      <w:color w:val="404040" w:themeColor="text1" w:themeTint="BF"/>
    </w:rPr>
  </w:style>
  <w:style w:type="paragraph" w:styleId="ListParagraph">
    <w:name w:val="List Paragraph"/>
    <w:basedOn w:val="Normal"/>
    <w:uiPriority w:val="34"/>
    <w:qFormat/>
    <w:rsid w:val="00C6397A"/>
    <w:pPr>
      <w:ind w:left="720"/>
      <w:contextualSpacing/>
    </w:pPr>
  </w:style>
  <w:style w:type="character" w:styleId="IntenseEmphasis">
    <w:name w:val="Intense Emphasis"/>
    <w:basedOn w:val="DefaultParagraphFont"/>
    <w:uiPriority w:val="21"/>
    <w:qFormat/>
    <w:rsid w:val="00C6397A"/>
    <w:rPr>
      <w:i/>
      <w:iCs/>
      <w:color w:val="0F4761" w:themeColor="accent1" w:themeShade="BF"/>
    </w:rPr>
  </w:style>
  <w:style w:type="paragraph" w:styleId="IntenseQuote">
    <w:name w:val="Intense Quote"/>
    <w:basedOn w:val="Normal"/>
    <w:next w:val="Normal"/>
    <w:link w:val="IntenseQuoteChar"/>
    <w:uiPriority w:val="30"/>
    <w:qFormat/>
    <w:rsid w:val="00C639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397A"/>
    <w:rPr>
      <w:i/>
      <w:iCs/>
      <w:color w:val="0F4761" w:themeColor="accent1" w:themeShade="BF"/>
    </w:rPr>
  </w:style>
  <w:style w:type="character" w:styleId="IntenseReference">
    <w:name w:val="Intense Reference"/>
    <w:basedOn w:val="DefaultParagraphFont"/>
    <w:uiPriority w:val="32"/>
    <w:qFormat/>
    <w:rsid w:val="00C6397A"/>
    <w:rPr>
      <w:b/>
      <w:bCs/>
      <w:smallCaps/>
      <w:color w:val="0F4761" w:themeColor="accent1" w:themeShade="BF"/>
      <w:spacing w:val="5"/>
    </w:rPr>
  </w:style>
  <w:style w:type="paragraph" w:styleId="Header">
    <w:name w:val="header"/>
    <w:basedOn w:val="Normal"/>
    <w:link w:val="HeaderChar"/>
    <w:uiPriority w:val="99"/>
    <w:unhideWhenUsed/>
    <w:rsid w:val="003D7F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7F3F"/>
  </w:style>
  <w:style w:type="paragraph" w:styleId="Footer">
    <w:name w:val="footer"/>
    <w:basedOn w:val="Normal"/>
    <w:link w:val="FooterChar"/>
    <w:uiPriority w:val="99"/>
    <w:unhideWhenUsed/>
    <w:rsid w:val="003D7F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7F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96</TotalTime>
  <Pages>24</Pages>
  <Words>4826</Words>
  <Characters>34562</Characters>
  <Application>Microsoft Office Word</Application>
  <DocSecurity>0</DocSecurity>
  <Lines>735</Lines>
  <Paragraphs>428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Abs Bashar</dc:creator>
  <cp:keywords/>
  <dc:description/>
  <cp:lastModifiedBy>Abs Bashar</cp:lastModifiedBy>
  <cp:revision>9</cp:revision>
  <dcterms:created xsi:type="dcterms:W3CDTF">2025-11-16T07:21:00Z</dcterms:created>
  <dcterms:modified xsi:type="dcterms:W3CDTF">2025-11-16T10:03:00Z</dcterms:modified>
</cp:coreProperties>
</file>