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0CDE43" w14:textId="77777777" w:rsidR="00B643D0" w:rsidRDefault="002809D1">
      <w:pPr>
        <w:pStyle w:val="Body"/>
        <w:spacing w:line="300" w:lineRule="auto"/>
        <w:jc w:val="center"/>
        <w:rPr>
          <w:sz w:val="26"/>
          <w:szCs w:val="26"/>
        </w:rPr>
      </w:pPr>
      <w:r>
        <w:t xml:space="preserve"> </w:t>
      </w:r>
      <w:r>
        <w:rPr>
          <w:sz w:val="26"/>
          <w:szCs w:val="26"/>
        </w:rPr>
        <w:t>William Ewart Gladstone</w:t>
      </w:r>
    </w:p>
    <w:p w14:paraId="0F0CDE44" w14:textId="77777777" w:rsidR="00B643D0" w:rsidRDefault="00B643D0">
      <w:pPr>
        <w:pStyle w:val="Body"/>
        <w:spacing w:line="300" w:lineRule="auto"/>
        <w:jc w:val="center"/>
      </w:pPr>
    </w:p>
    <w:p w14:paraId="2FF844AB" w14:textId="2CDF6393" w:rsidR="00672E50" w:rsidRDefault="006E5EF5" w:rsidP="006E5EF5">
      <w:pPr>
        <w:pStyle w:val="Body"/>
        <w:spacing w:line="300" w:lineRule="auto"/>
      </w:pPr>
      <w:r>
        <w:t>Word Cou</w:t>
      </w:r>
      <w:r w:rsidR="00857763">
        <w:t>nt: 4164</w:t>
      </w:r>
    </w:p>
    <w:p w14:paraId="5AC7F021" w14:textId="77777777" w:rsidR="00672E50" w:rsidRDefault="00672E50">
      <w:pPr>
        <w:pStyle w:val="Body"/>
        <w:spacing w:line="300" w:lineRule="auto"/>
        <w:jc w:val="center"/>
      </w:pPr>
    </w:p>
    <w:p w14:paraId="0F0CDE46" w14:textId="1AC0920D" w:rsidR="00B643D0" w:rsidRDefault="002809D1">
      <w:pPr>
        <w:pStyle w:val="Body"/>
        <w:spacing w:line="300" w:lineRule="auto"/>
      </w:pPr>
      <w:r>
        <w:t xml:space="preserve">William Ewart Gladstone, arguably the most influential politician of the 19th Century, was born on the </w:t>
      </w:r>
      <w:proofErr w:type="gramStart"/>
      <w:r>
        <w:t>29th</w:t>
      </w:r>
      <w:proofErr w:type="gramEnd"/>
      <w:r>
        <w:t xml:space="preserve"> December 1809, at 62 Rodney Street, Liverpool. Coming from a </w:t>
      </w:r>
      <w:r w:rsidR="007223B4">
        <w:t>middle-class</w:t>
      </w:r>
      <w:r>
        <w:t xml:space="preserve"> family he   was the fifth of six children of John and Anne Gladstone. His childhood was solitary owing to the acute illness of his mother.  Though his mother planted the </w:t>
      </w:r>
      <w:r w:rsidR="007223B4">
        <w:t>evangelical framework</w:t>
      </w:r>
      <w:r>
        <w:t xml:space="preserve"> for William’s Christian development, the lack of intellectual parental influence led him to seek out his sister Anne</w:t>
      </w:r>
      <w:r w:rsidR="00FC3923">
        <w:t xml:space="preserve"> </w:t>
      </w:r>
      <w:proofErr w:type="gramStart"/>
      <w:r w:rsidR="00A2560A">
        <w:t>in order</w:t>
      </w:r>
      <w:r>
        <w:t xml:space="preserve"> to</w:t>
      </w:r>
      <w:proofErr w:type="gramEnd"/>
      <w:r>
        <w:t xml:space="preserve"> encourage his later religious form</w:t>
      </w:r>
      <w:bookmarkStart w:id="0" w:name="formation"/>
      <w:bookmarkEnd w:id="0"/>
      <w:r>
        <w:t xml:space="preserve">ation. The family routine was </w:t>
      </w:r>
      <w:proofErr w:type="spellStart"/>
      <w:r>
        <w:t>characterised</w:t>
      </w:r>
      <w:proofErr w:type="spellEnd"/>
      <w:r>
        <w:t xml:space="preserve"> by daily devotions, a biblical focus and attention to </w:t>
      </w:r>
      <w:r w:rsidR="001274A0">
        <w:t>the</w:t>
      </w:r>
      <w:r w:rsidR="00CF3AE5">
        <w:t xml:space="preserve"> preaching of </w:t>
      </w:r>
      <w:r>
        <w:t>sermons, charity and the awareness of always living in the gaze of God. The atmosphere was not overly intellectual nor based on principles of theology but nevertheless a serious commitment to practical Christianity.</w:t>
      </w:r>
      <w:r w:rsidR="009D25A5">
        <w:rPr>
          <w:rStyle w:val="FootnoteReference"/>
        </w:rPr>
        <w:footnoteReference w:id="1"/>
      </w:r>
      <w:r>
        <w:t xml:space="preserve">    </w:t>
      </w:r>
    </w:p>
    <w:p w14:paraId="0F0CDE47" w14:textId="77777777" w:rsidR="00B643D0" w:rsidRDefault="00B643D0">
      <w:pPr>
        <w:pStyle w:val="Body"/>
        <w:spacing w:line="300" w:lineRule="auto"/>
      </w:pPr>
    </w:p>
    <w:p w14:paraId="0F0CDE48" w14:textId="548ED5F5" w:rsidR="00B643D0" w:rsidRDefault="002809D1">
      <w:pPr>
        <w:pStyle w:val="Body"/>
        <w:spacing w:line="300" w:lineRule="auto"/>
      </w:pPr>
      <w:r>
        <w:t xml:space="preserve">Like other young people, as he grew there was a struggle between accepting the attitudes of his family life and challenging them. The love and deference William had for his family was tempered by a feeling of guilt should any disloyalty be suggested. There were however some parts of family life that William was compelled to break free from if he was to pursue his pathway in life and this struggle created great internal stress </w:t>
      </w:r>
      <w:r w:rsidR="0045595C">
        <w:t>i</w:t>
      </w:r>
      <w:r>
        <w:t xml:space="preserve">n him. Although his parents were held in great respect by William, their approach was shunned by him in respect of the narrow religious beliefs in which he was cultivated in childhood. The effects of this tension were to manifest themselves in the political pronouncements and decisions he took in later life. </w:t>
      </w:r>
      <w:r w:rsidR="00CA407C">
        <w:rPr>
          <w:rStyle w:val="FootnoteReference"/>
        </w:rPr>
        <w:footnoteReference w:id="2"/>
      </w:r>
      <w:r>
        <w:t xml:space="preserve"> </w:t>
      </w:r>
    </w:p>
    <w:p w14:paraId="0F0CDE49" w14:textId="77777777" w:rsidR="00B643D0" w:rsidRDefault="00B643D0">
      <w:pPr>
        <w:pStyle w:val="Body"/>
        <w:spacing w:line="300" w:lineRule="auto"/>
      </w:pPr>
    </w:p>
    <w:p w14:paraId="0F0CDE4A" w14:textId="745D289E" w:rsidR="00B643D0" w:rsidRDefault="002809D1">
      <w:pPr>
        <w:pStyle w:val="Body"/>
        <w:spacing w:line="300" w:lineRule="auto"/>
      </w:pPr>
      <w:r>
        <w:t xml:space="preserve">His freedom from family constraints came when he was sent away to Eton in 1821. There he learnt to apply himself to academia as a solitary student since there was no appropriate stimulation from the school. He proved to be adept at languages including French, Italian and German </w:t>
      </w:r>
      <w:proofErr w:type="gramStart"/>
      <w:r>
        <w:t xml:space="preserve">and </w:t>
      </w:r>
      <w:r w:rsidR="004776EE">
        <w:t>also</w:t>
      </w:r>
      <w:proofErr w:type="gramEnd"/>
      <w:r w:rsidR="00275F7C">
        <w:t xml:space="preserve"> </w:t>
      </w:r>
      <w:r>
        <w:t xml:space="preserve">researched Molière and Racine. A love of books remained with him throughout his entire life. His final step away from the strict evangelical family life, was whilst at Eton being confirmed into the Church of England. </w:t>
      </w:r>
    </w:p>
    <w:p w14:paraId="0F0CDE4B" w14:textId="77777777" w:rsidR="00B643D0" w:rsidRDefault="00B643D0">
      <w:pPr>
        <w:pStyle w:val="Body"/>
        <w:spacing w:line="300" w:lineRule="auto"/>
      </w:pPr>
    </w:p>
    <w:p w14:paraId="0F0CDE4C" w14:textId="63B47AF7" w:rsidR="00B643D0" w:rsidRDefault="002809D1">
      <w:pPr>
        <w:pStyle w:val="Body"/>
        <w:spacing w:line="300" w:lineRule="auto"/>
      </w:pPr>
      <w:r>
        <w:t xml:space="preserve">From 1825 he committed himself to writing his diary </w:t>
      </w:r>
      <w:proofErr w:type="gramStart"/>
      <w:r>
        <w:t>on a daily basis</w:t>
      </w:r>
      <w:proofErr w:type="gramEnd"/>
      <w:r>
        <w:t xml:space="preserve">, an important resource to modern scholars of Gladstonian history. He thrived at </w:t>
      </w:r>
      <w:proofErr w:type="gramStart"/>
      <w:r>
        <w:t>Eton</w:t>
      </w:r>
      <w:proofErr w:type="gramEnd"/>
      <w:r>
        <w:t xml:space="preserve"> making a rich small circle of intimate friends whose links were an important feature of Gladstone’s life. He was a member of the Eton Society, a special group which met weekly and at which he honed his skills at debating literary and political history. When he left the school in </w:t>
      </w:r>
      <w:proofErr w:type="gramStart"/>
      <w:r>
        <w:t>1827</w:t>
      </w:r>
      <w:proofErr w:type="gramEnd"/>
      <w:r>
        <w:t xml:space="preserve"> he was the editor of the Magazine “The Eton Miscellany”. Now 18 he benefitted from private tutorage from The Rev. J.M. Turner on the texts he would need at </w:t>
      </w:r>
      <w:r w:rsidR="006E357E">
        <w:t>university</w:t>
      </w:r>
      <w:r>
        <w:t xml:space="preserve"> especially Juvenal and Homer and in 1828 he went up to Christ Church, Oxford. </w:t>
      </w:r>
    </w:p>
    <w:p w14:paraId="0F0CDE4D" w14:textId="77777777" w:rsidR="00B643D0" w:rsidRDefault="00B643D0">
      <w:pPr>
        <w:pStyle w:val="Body"/>
        <w:spacing w:line="300" w:lineRule="auto"/>
      </w:pPr>
    </w:p>
    <w:p w14:paraId="0F0CDE4E" w14:textId="10058C7B" w:rsidR="00B643D0" w:rsidRDefault="002809D1">
      <w:pPr>
        <w:pStyle w:val="Body"/>
        <w:spacing w:line="300" w:lineRule="auto"/>
      </w:pPr>
      <w:r>
        <w:t xml:space="preserve">At university he was full of ambition both in the political sense and </w:t>
      </w:r>
      <w:proofErr w:type="gramStart"/>
      <w:r>
        <w:t>the academic</w:t>
      </w:r>
      <w:proofErr w:type="gramEnd"/>
      <w:r>
        <w:t xml:space="preserve">. He was greatly religious, espousing his evangelical background altogether and being influenced by the Tractarians. He recorded in his diaries how his intimate religious life was very deep. This was applied to his social responsibility and his rescue mission to save prostitutes had its beginnings at </w:t>
      </w:r>
      <w:r>
        <w:lastRenderedPageBreak/>
        <w:t xml:space="preserve">university. It was whilst he was a student at </w:t>
      </w:r>
      <w:proofErr w:type="gramStart"/>
      <w:r>
        <w:t>Oxford it is thought</w:t>
      </w:r>
      <w:proofErr w:type="gramEnd"/>
      <w:r>
        <w:t xml:space="preserve"> that a crisis of career choices became a critical issue. </w:t>
      </w:r>
      <w:proofErr w:type="gramStart"/>
      <w:r>
        <w:t>William</w:t>
      </w:r>
      <w:r w:rsidR="00AB0626">
        <w:t xml:space="preserve"> </w:t>
      </w:r>
      <w:r>
        <w:t xml:space="preserve"> </w:t>
      </w:r>
      <w:r w:rsidR="00B36ECD">
        <w:t>concluded</w:t>
      </w:r>
      <w:proofErr w:type="gramEnd"/>
      <w:r>
        <w:t xml:space="preserve"> his vocation to the priesthood was a priority. </w:t>
      </w:r>
    </w:p>
    <w:p w14:paraId="0F0CDE4F" w14:textId="77777777" w:rsidR="00B643D0" w:rsidRDefault="00B643D0">
      <w:pPr>
        <w:pStyle w:val="Body"/>
        <w:spacing w:line="300" w:lineRule="auto"/>
      </w:pPr>
    </w:p>
    <w:p w14:paraId="0F0CDE50" w14:textId="1723102B" w:rsidR="00B643D0" w:rsidRDefault="002809D1">
      <w:pPr>
        <w:pStyle w:val="Body"/>
        <w:spacing w:line="300" w:lineRule="auto"/>
      </w:pPr>
      <w:r>
        <w:t xml:space="preserve">The resulting clash that occurred between himself and his father on that decision was resolved when William wrote to him in 1832 as the </w:t>
      </w:r>
      <w:proofErr w:type="spellStart"/>
      <w:r>
        <w:t>fervour</w:t>
      </w:r>
      <w:proofErr w:type="spellEnd"/>
      <w:r>
        <w:t xml:space="preserve"> of the Reform Bill was running high, exclaiming that he would commit to the cause of the State as opposed to the </w:t>
      </w:r>
      <w:r w:rsidR="00753B03">
        <w:t>C</w:t>
      </w:r>
      <w:r>
        <w:t>hurch.</w:t>
      </w:r>
      <w:r w:rsidR="00747DD8">
        <w:rPr>
          <w:rStyle w:val="FootnoteReference"/>
        </w:rPr>
        <w:footnoteReference w:id="3"/>
      </w:r>
      <w:r>
        <w:t xml:space="preserve"> He convinced himself that he would be more properly at the service of God within the rough and tumble of politics rather than within the more confined limitations of the priestly life. He claimed that his main political role was to support religion but his interpretation of how this could be done fluctuated during his political life. </w:t>
      </w:r>
      <w:r w:rsidR="003B20BA">
        <w:rPr>
          <w:rStyle w:val="FootnoteReference"/>
        </w:rPr>
        <w:footnoteReference w:id="4"/>
      </w:r>
      <w:r w:rsidR="008F6D1B">
        <w:t xml:space="preserve"> </w:t>
      </w:r>
      <w:r>
        <w:t xml:space="preserve"> This tension between Gladstone’s Christian commitment and political theory was to be a continual tension throughout his life. As early as the </w:t>
      </w:r>
      <w:proofErr w:type="gramStart"/>
      <w:r>
        <w:t>31st</w:t>
      </w:r>
      <w:proofErr w:type="gramEnd"/>
      <w:r>
        <w:t xml:space="preserve"> March 1832 on a visit to Rome, upon entering St. Peter’s Basilica, he experienced the pain and shame of division within the Body of Christ and the constrictions of the </w:t>
      </w:r>
      <w:r w:rsidR="0087386F">
        <w:t>evangelical theology</w:t>
      </w:r>
      <w:r>
        <w:t xml:space="preserve"> with which had been nurtured in his childhood. The following month in Naples he experienced a profound insight when casually reading the Occasional Offices in the Book of Common Prayer in that he was made aware of the catholic nature of the Church of England. He instantly </w:t>
      </w:r>
      <w:proofErr w:type="spellStart"/>
      <w:r>
        <w:t>realised</w:t>
      </w:r>
      <w:proofErr w:type="spellEnd"/>
      <w:r>
        <w:t xml:space="preserve"> that as a member of that church with its channels of grace and Apostolic Succession, he was joined to membership of the Universal Catholic Church. For the rest of his </w:t>
      </w:r>
      <w:proofErr w:type="gramStart"/>
      <w:r>
        <w:t>life</w:t>
      </w:r>
      <w:proofErr w:type="gramEnd"/>
      <w:r>
        <w:t xml:space="preserve"> he was convinced that the Roman Church demonstrated less </w:t>
      </w:r>
      <w:proofErr w:type="spellStart"/>
      <w:r w:rsidR="00D32744">
        <w:t>c</w:t>
      </w:r>
      <w:r>
        <w:t>atholicism</w:t>
      </w:r>
      <w:proofErr w:type="spellEnd"/>
      <w:r>
        <w:t xml:space="preserve"> and more corruption than his own and therefore felt settled in the Anglo Catholic position of Christianity.</w:t>
      </w:r>
    </w:p>
    <w:p w14:paraId="0F0CDE51" w14:textId="77777777" w:rsidR="00B643D0" w:rsidRDefault="00B643D0">
      <w:pPr>
        <w:pStyle w:val="Body"/>
        <w:spacing w:line="300" w:lineRule="auto"/>
      </w:pPr>
    </w:p>
    <w:p w14:paraId="0F0CDE52" w14:textId="6A674E38" w:rsidR="00B643D0" w:rsidRDefault="002809D1">
      <w:pPr>
        <w:pStyle w:val="Body"/>
        <w:spacing w:line="300" w:lineRule="auto"/>
      </w:pPr>
      <w:r>
        <w:t xml:space="preserve">In </w:t>
      </w:r>
      <w:r w:rsidR="00B02976">
        <w:t>June</w:t>
      </w:r>
      <w:r>
        <w:t xml:space="preserve"> 1832 he received a notification that the Duke of Newcastle would be glad to influence Gladstone’s application to present himself as a Parliamentary candidate for the Borough of Newark. That proved to be the catalyst for him deciding on a political career rather than entering Holy Orders. He later reflected in his own words on those </w:t>
      </w:r>
      <w:r w:rsidR="0087386F">
        <w:t xml:space="preserve">circumstances </w:t>
      </w:r>
      <w:r w:rsidR="000F7D9A">
        <w:t>“t</w:t>
      </w:r>
      <w:r>
        <w:t>hey made me glorify, in an extreme manner, not only the religious character of the State, which in reality stood low, but the religious mission of the Conservative Party”. As a result of the radical Reform Bill which he opposed, he considered the possibility of comparing the Reformation in ecclesiastical history with the Reform Bill in English political history.</w:t>
      </w:r>
      <w:r w:rsidR="005B5A53">
        <w:rPr>
          <w:rStyle w:val="FootnoteReference"/>
        </w:rPr>
        <w:footnoteReference w:id="5"/>
      </w:r>
      <w:r>
        <w:t xml:space="preserve">         </w:t>
      </w:r>
    </w:p>
    <w:p w14:paraId="0F0CDE53" w14:textId="77777777" w:rsidR="00B643D0" w:rsidRDefault="00B643D0">
      <w:pPr>
        <w:pStyle w:val="Body"/>
        <w:spacing w:line="300" w:lineRule="auto"/>
      </w:pPr>
    </w:p>
    <w:p w14:paraId="0F0CDE54" w14:textId="32772C39" w:rsidR="00B643D0" w:rsidRDefault="002809D1">
      <w:pPr>
        <w:pStyle w:val="Body"/>
        <w:spacing w:line="300" w:lineRule="auto"/>
      </w:pPr>
      <w:r>
        <w:t xml:space="preserve">Gladstone’s father, a Unitarian, was a man of influence and a Member of Parliament from 1818 to 1827 before being ejected for bribery. He gained major sugar plantations in the West Indies and </w:t>
      </w:r>
      <w:r w:rsidR="00B02976">
        <w:t>in one</w:t>
      </w:r>
      <w:r>
        <w:t xml:space="preserve"> of them in British Guiana a rebellion was cruelly put down which involved deaths by hanging and flogging. A white missionary John Smith was condemned to death for complicity in the uprising. John Gladstone supported his planters arguing that missionaries had acted as revolutionary agents, a decision which brought him into direct conflict with the abolitionists. His attitude was typical of his times. Even though he was a committed Christian, the prevailing feeling of the age in which he lived was distrust for State interference in the economic situation. Politicians were wary of disadvantaging manufacturers</w:t>
      </w:r>
      <w:r w:rsidR="00CF79F8">
        <w:t xml:space="preserve"> up</w:t>
      </w:r>
      <w:r>
        <w:t xml:space="preserve">on whom they </w:t>
      </w:r>
      <w:proofErr w:type="gramStart"/>
      <w:r>
        <w:t>depended</w:t>
      </w:r>
      <w:proofErr w:type="gramEnd"/>
      <w:r>
        <w:t xml:space="preserve"> to increase industry and ease the pressure of taxation. This laissez-faire on the part of economists was matched by political leaders who were unwilling to attack head on this inadequate situation.</w:t>
      </w:r>
      <w:r w:rsidR="00037FED">
        <w:rPr>
          <w:rStyle w:val="FootnoteReference"/>
        </w:rPr>
        <w:footnoteReference w:id="6"/>
      </w:r>
      <w:r>
        <w:t xml:space="preserve"> </w:t>
      </w:r>
    </w:p>
    <w:p w14:paraId="0F0CDE55" w14:textId="77777777" w:rsidR="00B643D0" w:rsidRDefault="00B643D0">
      <w:pPr>
        <w:pStyle w:val="Body"/>
        <w:spacing w:line="300" w:lineRule="auto"/>
      </w:pPr>
    </w:p>
    <w:p w14:paraId="0F0CDE56" w14:textId="055A5632" w:rsidR="00B643D0" w:rsidRDefault="002809D1">
      <w:pPr>
        <w:pStyle w:val="Body"/>
        <w:spacing w:line="300" w:lineRule="auto"/>
      </w:pPr>
      <w:r>
        <w:lastRenderedPageBreak/>
        <w:t>The growing movement for the abolition of slavery and his own family’s connection with it no doubt affected the young William Gladstone. After being elected to Parliament</w:t>
      </w:r>
      <w:r w:rsidR="00A7216D">
        <w:t xml:space="preserve"> in</w:t>
      </w:r>
      <w:r w:rsidR="007E69E5">
        <w:t xml:space="preserve"> 1832 taking the </w:t>
      </w:r>
      <w:r w:rsidR="00FC5D20">
        <w:t>Conservative seat for New</w:t>
      </w:r>
      <w:r w:rsidR="0004620B">
        <w:t>ark</w:t>
      </w:r>
      <w:r>
        <w:t>, in his maiden speech in 1833 when Parliament was debating a Bill to free slaves all over the Empire, he defended his father’s position when he was accused of working them to death on his plantations.</w:t>
      </w:r>
      <w:r w:rsidR="0064106D">
        <w:rPr>
          <w:rStyle w:val="FootnoteReference"/>
        </w:rPr>
        <w:footnoteReference w:id="7"/>
      </w:r>
      <w:r>
        <w:t xml:space="preserve">  This initial familial support did not however prevent William from changing his mind </w:t>
      </w:r>
      <w:r w:rsidR="00AA22F0">
        <w:t>later</w:t>
      </w:r>
      <w:r>
        <w:t xml:space="preserve"> </w:t>
      </w:r>
      <w:r w:rsidR="008769DA">
        <w:t xml:space="preserve">on </w:t>
      </w:r>
      <w:r>
        <w:t>the question of the abolition of slavery. This turnabout</w:t>
      </w:r>
      <w:r w:rsidR="002F1286">
        <w:t xml:space="preserve"> </w:t>
      </w:r>
      <w:proofErr w:type="gramStart"/>
      <w:r w:rsidR="002F1286">
        <w:t>also</w:t>
      </w:r>
      <w:r w:rsidR="008072B8">
        <w:t xml:space="preserve"> </w:t>
      </w:r>
      <w:r>
        <w:t xml:space="preserve"> became</w:t>
      </w:r>
      <w:proofErr w:type="gramEnd"/>
      <w:r>
        <w:t xml:space="preserve"> a feature of Gladstone’s later life  which included him transferring his allegiance from the Conservative Party to that of the Liberals in 1859 becoming their leader in 1868.</w:t>
      </w:r>
    </w:p>
    <w:p w14:paraId="0F0CDE57" w14:textId="0D1112CB" w:rsidR="00B643D0" w:rsidRDefault="00847E7E" w:rsidP="00847E7E">
      <w:pPr>
        <w:pStyle w:val="Body"/>
        <w:tabs>
          <w:tab w:val="left" w:pos="3321"/>
        </w:tabs>
        <w:spacing w:line="300" w:lineRule="auto"/>
      </w:pPr>
      <w:r>
        <w:tab/>
      </w:r>
    </w:p>
    <w:p w14:paraId="0F0CDE58" w14:textId="1AE0D59C" w:rsidR="00B643D0" w:rsidRDefault="002809D1">
      <w:pPr>
        <w:pStyle w:val="Body"/>
        <w:spacing w:line="300" w:lineRule="auto"/>
      </w:pPr>
      <w:r>
        <w:t xml:space="preserve">His Parliamentary life was </w:t>
      </w:r>
      <w:proofErr w:type="spellStart"/>
      <w:r>
        <w:t>characterised</w:t>
      </w:r>
      <w:proofErr w:type="spellEnd"/>
      <w:r>
        <w:t xml:space="preserve"> by his various resignations. His initial career began in 1832 taking the Conservative seat for Newark. He s</w:t>
      </w:r>
      <w:r w:rsidR="00566BC8">
        <w:t>wiftly</w:t>
      </w:r>
      <w:r>
        <w:t xml:space="preserve"> began to climb the ministerial ladder by being created in 1843 President of the Board of Trade and two years later Colonial Secretary. He relinquished his seat over Corn Law issues and when that crisis was over was elected in 1847 as the Conservative Member for the </w:t>
      </w:r>
      <w:r w:rsidR="000F7D9A">
        <w:t>University</w:t>
      </w:r>
      <w:r>
        <w:t xml:space="preserve"> of Oxford. His reputation for public speaking was </w:t>
      </w:r>
      <w:proofErr w:type="spellStart"/>
      <w:r>
        <w:t>recognised</w:t>
      </w:r>
      <w:proofErr w:type="spellEnd"/>
      <w:r>
        <w:t xml:space="preserve"> during this early part of his career, particularly in his skilled performance in the 1852 budget debate.  He again also excelled in a further budget debate when </w:t>
      </w:r>
      <w:r w:rsidR="00127A16">
        <w:t>he</w:t>
      </w:r>
      <w:r>
        <w:t xml:space="preserve"> acted as Chancellor of the Exchequer Lord Aberdeen having formed a Coalition Government on the fall of the Conservatives.</w:t>
      </w:r>
    </w:p>
    <w:p w14:paraId="0F0CDE59" w14:textId="77777777" w:rsidR="00B643D0" w:rsidRDefault="00B643D0">
      <w:pPr>
        <w:pStyle w:val="Body"/>
        <w:spacing w:line="300" w:lineRule="auto"/>
      </w:pPr>
    </w:p>
    <w:p w14:paraId="0F0CDE5A" w14:textId="5B4D5C41" w:rsidR="00B643D0" w:rsidRDefault="002809D1">
      <w:pPr>
        <w:pStyle w:val="Body"/>
        <w:spacing w:line="300" w:lineRule="auto"/>
      </w:pPr>
      <w:r>
        <w:t xml:space="preserve">Gladstone served again as Chancellor in 1859 under the Premiership of Lord Palmerston when upon his death, he was appointed Leader of the House of Commons. A Bill for the extension of the franchise was defeated causing the Liberal Government to go out of office in 1866. The grave situation in Ireland caused by the Fenian uprising enabled a Liberal Government to accede to power in 1868 with Gladstone as its Prime Minister. His resignation in 1894 </w:t>
      </w:r>
      <w:r w:rsidR="009F6090">
        <w:t>ended</w:t>
      </w:r>
      <w:r>
        <w:t xml:space="preserve"> an important political period when under </w:t>
      </w:r>
      <w:r w:rsidR="008271A5">
        <w:t>his</w:t>
      </w:r>
      <w:r>
        <w:t xml:space="preserve"> leadership the disestablishment and disendowment of the Church of Ireland occurred. </w:t>
      </w:r>
    </w:p>
    <w:p w14:paraId="0F0CDE5B" w14:textId="77777777" w:rsidR="00B643D0" w:rsidRDefault="00B643D0">
      <w:pPr>
        <w:pStyle w:val="Body"/>
        <w:spacing w:line="300" w:lineRule="auto"/>
      </w:pPr>
    </w:p>
    <w:p w14:paraId="0F0CDE5C" w14:textId="77777777" w:rsidR="00B643D0" w:rsidRDefault="002809D1">
      <w:pPr>
        <w:pStyle w:val="Body"/>
        <w:spacing w:line="300" w:lineRule="auto"/>
      </w:pPr>
      <w:r>
        <w:t xml:space="preserve">The Government </w:t>
      </w:r>
      <w:proofErr w:type="spellStart"/>
      <w:r>
        <w:t>systematised</w:t>
      </w:r>
      <w:proofErr w:type="spellEnd"/>
      <w:r>
        <w:t xml:space="preserve"> national education and the proposal to increase the standard of Irish universities in 1873 was turned down mainly by the Roman Catholic members voting against it causing Gladstone’s offer of resignation but Disraeli’s irresponsibility meant he had to remain in place as Premier. The following year the unexpected parliamentary dissolution by Gladstone meant that Disraeli was swept to power and Gladstone retreated to focus on his writing.</w:t>
      </w:r>
    </w:p>
    <w:p w14:paraId="0F0CDE5D" w14:textId="77777777" w:rsidR="00B643D0" w:rsidRDefault="002809D1">
      <w:pPr>
        <w:pStyle w:val="Body"/>
        <w:spacing w:line="300" w:lineRule="auto"/>
      </w:pPr>
      <w:r>
        <w:t xml:space="preserve"> </w:t>
      </w:r>
    </w:p>
    <w:p w14:paraId="0F0CDE5E" w14:textId="03A56762" w:rsidR="00B643D0" w:rsidRDefault="002809D1">
      <w:pPr>
        <w:pStyle w:val="Body"/>
        <w:spacing w:line="300" w:lineRule="auto"/>
      </w:pPr>
      <w:r>
        <w:t xml:space="preserve">Gladstone </w:t>
      </w:r>
      <w:r w:rsidR="000F7D9A">
        <w:t>returned,</w:t>
      </w:r>
      <w:r>
        <w:t xml:space="preserve"> now representing Midlothian. He attained </w:t>
      </w:r>
      <w:r w:rsidR="000F7D9A">
        <w:t>the Premiership</w:t>
      </w:r>
      <w:r>
        <w:t xml:space="preserve"> again in 1880. The Liberals having been returned with a hefty majority, allowed much reform including further opportunities for male voting rights. Following another time out of government, his attempts to introduce Home Rule for Ireland resulted in his bill failing causing a division in his party and a defeat in the General Election. Ultimately in 1893 </w:t>
      </w:r>
      <w:proofErr w:type="gramStart"/>
      <w:r>
        <w:t>in</w:t>
      </w:r>
      <w:proofErr w:type="gramEnd"/>
      <w:r>
        <w:t xml:space="preserve"> his last come back to parliament, the Home Rule Bill was passed in the Commons but defeated in the Lords. In 1894 the awareness of the aging process meant he resigned his office for good.</w:t>
      </w:r>
      <w:r w:rsidR="00B40265">
        <w:rPr>
          <w:rStyle w:val="FootnoteReference"/>
        </w:rPr>
        <w:footnoteReference w:id="8"/>
      </w:r>
      <w:r>
        <w:t xml:space="preserve">  In that year he still proved his capacity for </w:t>
      </w:r>
      <w:proofErr w:type="spellStart"/>
      <w:r>
        <w:t>theologising</w:t>
      </w:r>
      <w:proofErr w:type="spellEnd"/>
      <w:r>
        <w:t xml:space="preserve"> by publishing a lengthy article on the Atonement in the autumn edition of the “Nineteenth Century”.</w:t>
      </w:r>
      <w:r w:rsidR="00D0101F">
        <w:rPr>
          <w:rStyle w:val="FootnoteReference"/>
        </w:rPr>
        <w:footnoteReference w:id="9"/>
      </w:r>
    </w:p>
    <w:p w14:paraId="0F0CDE5F" w14:textId="77777777" w:rsidR="00B643D0" w:rsidRDefault="00B643D0">
      <w:pPr>
        <w:pStyle w:val="Body"/>
        <w:spacing w:line="300" w:lineRule="auto"/>
      </w:pPr>
    </w:p>
    <w:p w14:paraId="0F0CDE60" w14:textId="6FDFF484" w:rsidR="00B643D0" w:rsidRDefault="002809D1">
      <w:pPr>
        <w:pStyle w:val="Body"/>
        <w:spacing w:line="300" w:lineRule="auto"/>
      </w:pPr>
      <w:r>
        <w:lastRenderedPageBreak/>
        <w:t xml:space="preserve">The Irish question weighed heavily upon the politics of Gladstone. His initial thinking was to defend the Church of Ireland. </w:t>
      </w:r>
      <w:proofErr w:type="gramStart"/>
      <w:r>
        <w:t>Indeed</w:t>
      </w:r>
      <w:proofErr w:type="gramEnd"/>
      <w:r>
        <w:t xml:space="preserve"> he wrote “The State in </w:t>
      </w:r>
      <w:r w:rsidR="00783140">
        <w:t>it</w:t>
      </w:r>
      <w:r w:rsidR="000A3902">
        <w:t>s</w:t>
      </w:r>
      <w:r>
        <w:t xml:space="preserve"> Relations with the Church” precisely to uphold the role of the Anglican Church. His Bill for the disestablishment of the Irish Church maintained the very opposite </w:t>
      </w:r>
      <w:proofErr w:type="gramStart"/>
      <w:r>
        <w:t>as a result of</w:t>
      </w:r>
      <w:proofErr w:type="gramEnd"/>
      <w:r>
        <w:t xml:space="preserve"> him over time reaching the insight that the people of Ireland understandably resented the Anglicanism of the National Church. The fact of the Roman Catholic majority in Ireland upholding the Protestant Church was anathema.  Gladstone had previously </w:t>
      </w:r>
      <w:r w:rsidR="00783140">
        <w:t>taken</w:t>
      </w:r>
      <w:r>
        <w:t xml:space="preserve"> the view that discussion of this highly sensitive subject should be referred to the future. In 1867 the Fenian riots at Clerkenwell prison convinced him that further terrorism could be avoided if the British Government supported Irish disestablishment. Gladstone explained that his earlier belief that the state should be subservient to the magisterium of the church was no longer reasonable because of the religious pluralism which now prevailed. The 1868 Election proved the popularity of Gladstone’s leadership on the question.</w:t>
      </w:r>
      <w:r w:rsidR="0016144D">
        <w:rPr>
          <w:rStyle w:val="FootnoteReference"/>
        </w:rPr>
        <w:footnoteReference w:id="10"/>
      </w:r>
      <w:r>
        <w:t xml:space="preserve"> The Irish Disestablishment Bill was passed the following year raising the hopes of some Nonconformists that a similar process might be possible for England. Gladstone was praised for his highly capable handling of the question with the public.</w:t>
      </w:r>
      <w:r w:rsidR="00EF6175">
        <w:rPr>
          <w:rStyle w:val="FootnoteReference"/>
        </w:rPr>
        <w:footnoteReference w:id="11"/>
      </w:r>
      <w:r>
        <w:t xml:space="preserve"> </w:t>
      </w:r>
    </w:p>
    <w:p w14:paraId="0F0CDE61" w14:textId="77777777" w:rsidR="00B643D0" w:rsidRDefault="00B643D0">
      <w:pPr>
        <w:pStyle w:val="Body"/>
        <w:spacing w:line="300" w:lineRule="auto"/>
      </w:pPr>
    </w:p>
    <w:p w14:paraId="0F0CDE62" w14:textId="77777777" w:rsidR="00B643D0" w:rsidRDefault="002809D1">
      <w:pPr>
        <w:pStyle w:val="Body"/>
        <w:spacing w:line="300" w:lineRule="auto"/>
      </w:pPr>
      <w:r>
        <w:t>Ireland played a major role for the rest of Gladstone’s parliamentary career with him supporting Irish Nationalism to the end of his life. In 1892 the Lords rejected the Irish Home Rule Bill leading to Gladstone’s ultimate retirement from government his vision for Ireland unfulfilled.</w:t>
      </w:r>
    </w:p>
    <w:p w14:paraId="0F0CDE63" w14:textId="77777777" w:rsidR="00B643D0" w:rsidRDefault="00B643D0">
      <w:pPr>
        <w:pStyle w:val="Body"/>
        <w:spacing w:line="300" w:lineRule="auto"/>
      </w:pPr>
    </w:p>
    <w:p w14:paraId="0F0CDE64" w14:textId="27C001A6" w:rsidR="00B643D0" w:rsidRDefault="002809D1">
      <w:pPr>
        <w:pStyle w:val="Body"/>
        <w:spacing w:line="300" w:lineRule="auto"/>
      </w:pPr>
      <w:r>
        <w:t xml:space="preserve">Further afield he displayed his commitment to smaller countries under pressure or violence from larger communities. The Armenians suffered greatly from the Ottoman Empire in 1895 and 1896 and </w:t>
      </w:r>
      <w:r w:rsidR="00783140">
        <w:t>consequently</w:t>
      </w:r>
      <w:r>
        <w:t xml:space="preserve"> Gladstone marshalled public support for them as he did in his support of the Cretans in 1897 when they rebelled against the overpowering Turks. He despised the Ottoman </w:t>
      </w:r>
      <w:r w:rsidR="00783140">
        <w:t>Empire,</w:t>
      </w:r>
      <w:r>
        <w:t xml:space="preserve"> describing the Sultan as almost satanic. By 1877 his position was completely anti-Islamic. In the view of the commentator K.A. P. Sandiford the Christian moralistic approach he took reached almost complete bigotry.  His emotional attitude </w:t>
      </w:r>
      <w:proofErr w:type="spellStart"/>
      <w:r>
        <w:t>coloured</w:t>
      </w:r>
      <w:proofErr w:type="spellEnd"/>
      <w:r>
        <w:t xml:space="preserve"> his political opinions of Europe which were always of a conservative nature. His Christian principles as he saw them wedged a gap between his position and the Treaty of Paris. In condemning the Turks for compromising that </w:t>
      </w:r>
      <w:r w:rsidR="00A93583">
        <w:t>T</w:t>
      </w:r>
      <w:r>
        <w:t xml:space="preserve">reaty, he put forward a plan for the Concert of Europe to </w:t>
      </w:r>
      <w:proofErr w:type="spellStart"/>
      <w:r>
        <w:t>prioritise</w:t>
      </w:r>
      <w:proofErr w:type="spellEnd"/>
      <w:r>
        <w:t xml:space="preserve"> Christians as opposed to upholding Ottoman rule which he saw as antiquated.</w:t>
      </w:r>
      <w:r w:rsidR="00D552BE">
        <w:rPr>
          <w:rStyle w:val="FootnoteReference"/>
        </w:rPr>
        <w:footnoteReference w:id="12"/>
      </w:r>
      <w:r w:rsidR="00783140">
        <w:t xml:space="preserve"> </w:t>
      </w:r>
      <w:r>
        <w:t>The failure by Gladstone to act soon enough to rescue the widely admired General Gordon at Khartoum resulted in his death and cost him a great deal of public criticism together with loss of British authority in Sudan.</w:t>
      </w:r>
    </w:p>
    <w:p w14:paraId="0F0CDE65" w14:textId="77777777" w:rsidR="00B643D0" w:rsidRDefault="00B643D0">
      <w:pPr>
        <w:pStyle w:val="Body"/>
        <w:spacing w:line="300" w:lineRule="auto"/>
      </w:pPr>
    </w:p>
    <w:p w14:paraId="0F0CDE66" w14:textId="32C0F745" w:rsidR="00B643D0" w:rsidRDefault="002809D1">
      <w:pPr>
        <w:pStyle w:val="Body"/>
        <w:spacing w:line="300" w:lineRule="auto"/>
      </w:pPr>
      <w:r>
        <w:t>Towards the end of his life the vision of a United Christendom was still treasured by Gladstone but when the Concert of Europe was threatened by the ambitions of individual nations, he advocated that British interests meant dividing itself from it always following the Christian dictum that nations should do unto others what they would like to have done unto themselves.</w:t>
      </w:r>
      <w:r w:rsidR="00503271">
        <w:rPr>
          <w:rStyle w:val="FootnoteReference"/>
        </w:rPr>
        <w:footnoteReference w:id="13"/>
      </w:r>
      <w:r w:rsidR="00B054D4">
        <w:t xml:space="preserve"> </w:t>
      </w:r>
      <w:r>
        <w:t>His anti- Catholic prejudice prevented him from wholeheartedly embracing his vision of the unity of Christendom together with its secular and political counterpart the Concert of Europe. He invented the term “Jingoism” by which he meant the combination of an imperialist system with a militarist one</w:t>
      </w:r>
      <w:r w:rsidR="006E7E3D">
        <w:t>,</w:t>
      </w:r>
      <w:r>
        <w:t xml:space="preserve"> </w:t>
      </w:r>
      <w:r w:rsidR="00C6499D">
        <w:t xml:space="preserve">his </w:t>
      </w:r>
      <w:r w:rsidR="00C6499D">
        <w:lastRenderedPageBreak/>
        <w:t>constructionism</w:t>
      </w:r>
      <w:r>
        <w:t xml:space="preserve"> theory link</w:t>
      </w:r>
      <w:r w:rsidR="002173BE">
        <w:t>ing</w:t>
      </w:r>
      <w:r>
        <w:t xml:space="preserve"> social reform with socialism. Both concepts Gladstone claimed would have a negative effect on the Nation.     </w:t>
      </w:r>
    </w:p>
    <w:p w14:paraId="0F0CDE67" w14:textId="77777777" w:rsidR="00B643D0" w:rsidRDefault="00B643D0">
      <w:pPr>
        <w:pStyle w:val="Body"/>
        <w:spacing w:line="300" w:lineRule="auto"/>
      </w:pPr>
    </w:p>
    <w:p w14:paraId="0F0CDE68" w14:textId="2CFA7233" w:rsidR="00B643D0" w:rsidRDefault="002809D1">
      <w:pPr>
        <w:pStyle w:val="Body"/>
        <w:spacing w:line="300" w:lineRule="auto"/>
      </w:pPr>
      <w:r>
        <w:t xml:space="preserve">In 1839 Gladstone published the first of his books “State and Church”. In it he soundly opposed what he saw as the Roman Church’s dismissal of National sovereignty. He argued that it was </w:t>
      </w:r>
      <w:r w:rsidR="00B054D4">
        <w:t>the uprising</w:t>
      </w:r>
      <w:r>
        <w:t xml:space="preserve"> against foreign intervention in the matter of religion rather than the desertion of </w:t>
      </w:r>
      <w:r w:rsidR="000F7623">
        <w:t>C</w:t>
      </w:r>
      <w:r>
        <w:t>atholicism within the Church of England that was the point of the Reformation. Whilst claiming that the English Church continued to be the Catholic Church of the nation, Gladstone proved to be ecumenically tolerant as part of his liberal commitment. His perception of the Roman Catholic Church suppressing the spirit of enquiry however continued to be one of the main reasons why he opposed that church.</w:t>
      </w:r>
      <w:r w:rsidR="002424EB">
        <w:rPr>
          <w:rStyle w:val="FootnoteReference"/>
        </w:rPr>
        <w:footnoteReference w:id="14"/>
      </w:r>
      <w:r>
        <w:t xml:space="preserve"> </w:t>
      </w:r>
      <w:r w:rsidR="00EA09DC">
        <w:t>I</w:t>
      </w:r>
      <w:r>
        <w:t xml:space="preserve">n his book Gladstone argued against the yearly grant by parliament for Maynooth College </w:t>
      </w:r>
      <w:proofErr w:type="gramStart"/>
      <w:r>
        <w:t>on the basis of</w:t>
      </w:r>
      <w:proofErr w:type="gramEnd"/>
      <w:r>
        <w:t xml:space="preserve"> it training men as Roman Catholic priests. When in 1844 his government under Peel planned more generous arrangements for it, he was shocked to the extent that he considered leaving the political scene outright. To the amazement of many he ended up supporting the increased and permanent grant. Rigidity in terms of dogma was a continuing feature of Gladstone’s life though as a statesman flexibility and pragmatism was also in evidence.</w:t>
      </w:r>
      <w:r w:rsidR="009E7B6F">
        <w:rPr>
          <w:rStyle w:val="FootnoteReference"/>
        </w:rPr>
        <w:footnoteReference w:id="15"/>
      </w:r>
    </w:p>
    <w:p w14:paraId="0F0CDE69" w14:textId="19D49DD2" w:rsidR="00B643D0" w:rsidRDefault="00B643D0">
      <w:pPr>
        <w:pStyle w:val="Body"/>
        <w:spacing w:line="300" w:lineRule="auto"/>
      </w:pPr>
    </w:p>
    <w:p w14:paraId="0F0CDE6B" w14:textId="3339AFFA" w:rsidR="00B643D0" w:rsidRDefault="002809D1">
      <w:pPr>
        <w:pStyle w:val="Body"/>
        <w:spacing w:line="300" w:lineRule="auto"/>
      </w:pPr>
      <w:r>
        <w:t xml:space="preserve">Gladstone’s political career evolved in a more humanitarian way </w:t>
      </w:r>
      <w:proofErr w:type="spellStart"/>
      <w:r>
        <w:t>characterised</w:t>
      </w:r>
      <w:proofErr w:type="spellEnd"/>
      <w:r>
        <w:t xml:space="preserve"> by his concern for those who were deprived in </w:t>
      </w:r>
      <w:r w:rsidR="00CA36F3">
        <w:t>society,</w:t>
      </w:r>
      <w:r>
        <w:t xml:space="preserve"> especially the nation’s working </w:t>
      </w:r>
      <w:r w:rsidR="00617268">
        <w:t>classes,</w:t>
      </w:r>
      <w:r>
        <w:t xml:space="preserve"> which brought him into conflict with the aristocracy.  In a challenge to the </w:t>
      </w:r>
      <w:r w:rsidR="00CA36F3">
        <w:t>norm,</w:t>
      </w:r>
      <w:r>
        <w:t xml:space="preserve"> he gradually advocated individual freedom, free trade and protectionism known collectively as Gladstonian Liberalism. It was however Sir Robert Peel who prepared the nation for it and who played a crucial part in influencing Gladstone and the Liberal Party he led between 1867 and 1894.</w:t>
      </w:r>
      <w:r w:rsidR="00C53B13">
        <w:rPr>
          <w:rStyle w:val="FootnoteReference"/>
        </w:rPr>
        <w:footnoteReference w:id="16"/>
      </w:r>
      <w:r>
        <w:t xml:space="preserve">  </w:t>
      </w:r>
    </w:p>
    <w:p w14:paraId="0F0CDE6C" w14:textId="3DD9DB09" w:rsidR="00B643D0" w:rsidRDefault="002809D1">
      <w:pPr>
        <w:pStyle w:val="Body"/>
        <w:spacing w:line="300" w:lineRule="auto"/>
      </w:pPr>
      <w:r>
        <w:t xml:space="preserve">Gladstone’s evolving theology influenced his regard for justice and humanity particularly amongst the deprived in society. His spiritual growth had allowed him to see the doctrine of The Incarnation connected to the plight of the poor. His high regard for the theological understanding of the ‘enfleshing’ of God in Christ further led his ideas to their emancipation. In a speech in 1891 upon opening the free public library in St. Martin’s in the Fields he told the audience that one cannot separate the nature of the human body from the soul and his later politics therefore supported social welfare </w:t>
      </w:r>
      <w:proofErr w:type="spellStart"/>
      <w:r>
        <w:t>programmes</w:t>
      </w:r>
      <w:proofErr w:type="spellEnd"/>
      <w:r>
        <w:t xml:space="preserve"> for the under privileged.</w:t>
      </w:r>
      <w:r w:rsidR="006E0A7C">
        <w:rPr>
          <w:rStyle w:val="FootnoteReference"/>
        </w:rPr>
        <w:footnoteReference w:id="17"/>
      </w:r>
      <w:r>
        <w:t xml:space="preserve">    </w:t>
      </w:r>
    </w:p>
    <w:p w14:paraId="0F0CDE6D" w14:textId="77777777" w:rsidR="00B643D0" w:rsidRDefault="00B643D0">
      <w:pPr>
        <w:pStyle w:val="Body"/>
        <w:spacing w:line="300" w:lineRule="auto"/>
      </w:pPr>
    </w:p>
    <w:p w14:paraId="0F0CDE6E" w14:textId="613E3BEB" w:rsidR="00B643D0" w:rsidRDefault="002809D1">
      <w:pPr>
        <w:pStyle w:val="Body"/>
        <w:spacing w:line="300" w:lineRule="auto"/>
      </w:pPr>
      <w:r>
        <w:t xml:space="preserve">The conflict between Gladstone’s religious beliefs and his politics appeared in his definition of education for his main priority lay in children being </w:t>
      </w:r>
      <w:proofErr w:type="gramStart"/>
      <w:r>
        <w:t>taught  sound</w:t>
      </w:r>
      <w:proofErr w:type="gramEnd"/>
      <w:r>
        <w:t xml:space="preserve"> Christian </w:t>
      </w:r>
      <w:r w:rsidR="00D91C5F">
        <w:t>teachin</w:t>
      </w:r>
      <w:r w:rsidR="002358A6">
        <w:t>g</w:t>
      </w:r>
      <w:r>
        <w:t xml:space="preserve">. His initial lack of enthusiasm for the Education Act of 1870 was changed by him </w:t>
      </w:r>
      <w:proofErr w:type="spellStart"/>
      <w:r>
        <w:t>realising</w:t>
      </w:r>
      <w:proofErr w:type="spellEnd"/>
      <w:r>
        <w:t xml:space="preserve"> that it contained elements conducive to his position. The Act proved a compromise between a free, </w:t>
      </w:r>
      <w:r w:rsidR="000F7D9A">
        <w:t>non-sectarian</w:t>
      </w:r>
      <w:r>
        <w:t xml:space="preserve"> system which guaranteed the principle of religious education in Voluntary Church schools.</w:t>
      </w:r>
      <w:r w:rsidR="00B4287A">
        <w:rPr>
          <w:rStyle w:val="FootnoteReference"/>
        </w:rPr>
        <w:footnoteReference w:id="18"/>
      </w:r>
      <w:r>
        <w:t xml:space="preserve">  </w:t>
      </w:r>
    </w:p>
    <w:p w14:paraId="0F0CDE6F" w14:textId="77777777" w:rsidR="00B643D0" w:rsidRDefault="00B643D0">
      <w:pPr>
        <w:pStyle w:val="Body"/>
        <w:spacing w:line="300" w:lineRule="auto"/>
      </w:pPr>
    </w:p>
    <w:p w14:paraId="0F0CDE70" w14:textId="742D2CC1" w:rsidR="00B643D0" w:rsidRDefault="002809D1">
      <w:pPr>
        <w:pStyle w:val="Body"/>
        <w:spacing w:line="300" w:lineRule="auto"/>
      </w:pPr>
      <w:r>
        <w:t xml:space="preserve">Although a committed Monarchist, the high regard he had for Queen Victoria was not reciprocated. Not only did his political position displease </w:t>
      </w:r>
      <w:proofErr w:type="gramStart"/>
      <w:r>
        <w:t>her</w:t>
      </w:r>
      <w:proofErr w:type="gramEnd"/>
      <w:r>
        <w:t xml:space="preserve"> especially as he </w:t>
      </w:r>
      <w:r w:rsidR="000F7D9A">
        <w:t>advanced his</w:t>
      </w:r>
      <w:r>
        <w:t xml:space="preserve"> career, her personal animosity towards him also developed. His personality was not conducive to a positive relationship with the Sovereign particularly as she looked for emotional support during her long morbid </w:t>
      </w:r>
      <w:r>
        <w:lastRenderedPageBreak/>
        <w:t xml:space="preserve">bereavement following the death of the Prince Consort. Gladstone’s personality prevented him from providing this and he always maintained a respectful if official relationship. She complained that he addressed her as a public gallery. Relational emotional difficulties added to the problem when Gladstone appeared to be lukewarm in her opinion, when he questioned the rising costs of Prince Albert’s Memorial following his death. </w:t>
      </w:r>
    </w:p>
    <w:p w14:paraId="0F0CDE71" w14:textId="77777777" w:rsidR="00B643D0" w:rsidRDefault="00B643D0">
      <w:pPr>
        <w:pStyle w:val="Body"/>
        <w:spacing w:line="300" w:lineRule="auto"/>
      </w:pPr>
    </w:p>
    <w:p w14:paraId="0F0CDE72" w14:textId="270E76AE" w:rsidR="00B643D0" w:rsidRDefault="002809D1">
      <w:pPr>
        <w:pStyle w:val="Body"/>
        <w:spacing w:line="300" w:lineRule="auto"/>
      </w:pPr>
      <w:r>
        <w:t xml:space="preserve">His Anglo Catholicism was another issue for the evangelical Queen who maintained a negative attitude towards the Episcopate.  The Queen once told Gladstone she </w:t>
      </w:r>
      <w:r w:rsidR="000F7D9A">
        <w:t>‘was</w:t>
      </w:r>
      <w:r>
        <w:t xml:space="preserve"> not much of an Episcopalian’. </w:t>
      </w:r>
      <w:r w:rsidR="000F7D9A">
        <w:t>He was</w:t>
      </w:r>
      <w:r>
        <w:t xml:space="preserve"> aware that she had an unfair attitude to the Scottish Episcopal </w:t>
      </w:r>
      <w:r w:rsidR="000F7D9A">
        <w:t>Church,</w:t>
      </w:r>
      <w:r>
        <w:t xml:space="preserve"> but he feared that stance was true of the Church of England also. He held a resentment that she took Holy Communion in the Church of Scotland. That she only communicated twice a year in the Church of England was also verified by Gladstone. On one occasion whilst staying with her on official business at Balmoral, she was irritated that he chose not to worship with her at the Church of Scotland </w:t>
      </w:r>
      <w:proofErr w:type="spellStart"/>
      <w:r>
        <w:t>Crathie</w:t>
      </w:r>
      <w:proofErr w:type="spellEnd"/>
      <w:r>
        <w:t xml:space="preserve"> Church as was her usual custom whilst at the castle. Rather than attend a Presbyterian Service he chose to worship at a Scottish Episcopal Church Eucharist.</w:t>
      </w:r>
      <w:r w:rsidR="003B6A35">
        <w:rPr>
          <w:rStyle w:val="FootnoteReference"/>
        </w:rPr>
        <w:footnoteReference w:id="19"/>
      </w:r>
      <w:r>
        <w:t xml:space="preserve"> To the </w:t>
      </w:r>
      <w:r w:rsidR="004900C7">
        <w:t xml:space="preserve">end, </w:t>
      </w:r>
      <w:r>
        <w:t xml:space="preserve">the Queen maintained her negative attitude towards Gladstone. </w:t>
      </w:r>
      <w:r w:rsidR="00E505B6">
        <w:t>He was</w:t>
      </w:r>
      <w:r>
        <w:t xml:space="preserve"> hurt that she failed to thank him upon his final resignation for his services to the country.</w:t>
      </w:r>
    </w:p>
    <w:p w14:paraId="0F0CDE73" w14:textId="77777777" w:rsidR="00B643D0" w:rsidRDefault="00B643D0">
      <w:pPr>
        <w:pStyle w:val="Body"/>
        <w:spacing w:line="300" w:lineRule="auto"/>
      </w:pPr>
    </w:p>
    <w:p w14:paraId="0F0CDE74" w14:textId="5E8DC602" w:rsidR="00B643D0" w:rsidRDefault="002809D1">
      <w:pPr>
        <w:pStyle w:val="Body"/>
        <w:spacing w:line="300" w:lineRule="auto"/>
      </w:pPr>
      <w:r>
        <w:t>A pivotal occasion in his understanding of the nature of the Real Presence of the Eucharist happened as early as 1845 when upon visiting Munich he had the opportunity to discuss the subject with the German RC theologian Dr. Ignaz von Dollinger. During that intercourse Gladstone repudiated Transubstantiation whilst affirming the Real Presence using the argument that in the region of creation there are two planes. In the lower region the consecrated elements are still bread and wine. In the higher plane they spiritually become the Body and Blood of Jesus. To this proposition Dollinger very positively agreed. Gladstone registered “it was a great comfort to one who views the unity of all Christendom as I must do”. That meeting with Dollinger was the beginning of an exceptionally close friendship between them for the rest of their lives.</w:t>
      </w:r>
      <w:r w:rsidR="005B1B3F">
        <w:rPr>
          <w:rStyle w:val="FootnoteReference"/>
        </w:rPr>
        <w:footnoteReference w:id="20"/>
      </w:r>
      <w:r>
        <w:t xml:space="preserve"> Years later he consolidated his Eucharistic </w:t>
      </w:r>
      <w:r w:rsidR="00272A9B">
        <w:t>belief when</w:t>
      </w:r>
      <w:r>
        <w:t xml:space="preserve"> he wrote to his son Stephen who was seeking Holy Orders. He confessed his staunch belief in the words of Jesus and so in the objectivity of His Eucharistic presence though a spiritual body and therefore exempt from natural laws regarding the body. In affirming the main Eucharistic truth of the Real Presence of Jesus, he concluded the Roman Catholic understanding of the way that became manifest was mistaken.  In addition to the doctrine of Transubstantiation, Gladstone took a cautious line on the belief in the Mass as a sacrifice. It was this understanding he believed that allowed Roman Catholic spurious practices such as being present at Mass without receiving the sacrament. The Roman Church’s encouragement of veneration of the elements permitted their worship and in Gladstone’s </w:t>
      </w:r>
      <w:r w:rsidR="000F7D9A">
        <w:t>words “</w:t>
      </w:r>
      <w:r>
        <w:t xml:space="preserve">a fraud upon the senses and deeply to be deplored”. </w:t>
      </w:r>
    </w:p>
    <w:p w14:paraId="0F0CDE75" w14:textId="77777777" w:rsidR="00B643D0" w:rsidRDefault="00B643D0">
      <w:pPr>
        <w:pStyle w:val="Body"/>
        <w:spacing w:line="300" w:lineRule="auto"/>
      </w:pPr>
    </w:p>
    <w:p w14:paraId="0F0CDE76" w14:textId="750B111F" w:rsidR="00B643D0" w:rsidRDefault="002809D1">
      <w:pPr>
        <w:pStyle w:val="Body"/>
        <w:spacing w:line="300" w:lineRule="auto"/>
      </w:pPr>
      <w:r>
        <w:t xml:space="preserve">In addition to his many sermons, the centrality of the Eucharist in his life </w:t>
      </w:r>
      <w:proofErr w:type="gramStart"/>
      <w:r>
        <w:t>were</w:t>
      </w:r>
      <w:proofErr w:type="gramEnd"/>
      <w:r>
        <w:t xml:space="preserve"> extolled by Gladstone in his publication ‘Secreta </w:t>
      </w:r>
      <w:proofErr w:type="spellStart"/>
      <w:r>
        <w:t>Eucharistica</w:t>
      </w:r>
      <w:proofErr w:type="spellEnd"/>
      <w:r>
        <w:t>’ in which he narrated his personal devotions. The connection between the Incarnation and the Eucharist was always treasured by Gladstone.</w:t>
      </w:r>
      <w:r w:rsidR="003A1F38">
        <w:rPr>
          <w:rStyle w:val="FootnoteReference"/>
        </w:rPr>
        <w:footnoteReference w:id="21"/>
      </w:r>
      <w:r>
        <w:t xml:space="preserve"> Gladstone was a regular Sunday communicant for the whole of his adult life. An implied criticism of evangelicals, with their low sacramental life, was made in 1842 with his reminder of </w:t>
      </w:r>
      <w:r w:rsidR="000F7D9A">
        <w:t xml:space="preserve">Christ’s </w:t>
      </w:r>
      <w:r w:rsidR="000F7D9A">
        <w:lastRenderedPageBreak/>
        <w:t>commandment</w:t>
      </w:r>
      <w:r>
        <w:t xml:space="preserve"> at the Last Supper.</w:t>
      </w:r>
      <w:r w:rsidR="003E7195">
        <w:rPr>
          <w:rStyle w:val="FootnoteReference"/>
        </w:rPr>
        <w:footnoteReference w:id="22"/>
      </w:r>
      <w:r>
        <w:t xml:space="preserve"> It was arguably this practice that revealed the intimate connection between his Christian faith and its application within his political career.</w:t>
      </w:r>
    </w:p>
    <w:p w14:paraId="0F0CDE77" w14:textId="77777777" w:rsidR="00B643D0" w:rsidRDefault="00B643D0">
      <w:pPr>
        <w:pStyle w:val="Body"/>
        <w:spacing w:line="300" w:lineRule="auto"/>
      </w:pPr>
    </w:p>
    <w:p w14:paraId="0F0CDE78" w14:textId="1264F104" w:rsidR="00B643D0" w:rsidRDefault="002809D1">
      <w:pPr>
        <w:pStyle w:val="Body"/>
        <w:spacing w:line="300" w:lineRule="auto"/>
      </w:pPr>
      <w:r>
        <w:t xml:space="preserve">The paucity of evidence hampers research into Gladstone’s philosophy in his later life. Such as can be gleaned may be found not so much in his written work as in his oratorical competence. In the Midlothian speeches of 1879 -1880 give us the nearest account of the basic principles which Gladstone held dear. The clearest indication of his political thought since he took leadership of the Liberals was personal freedom and the claim that “without liberty there is nothing sound”. He held that National freedom had evolved through English history and was its glory. The upholding of liberty was the justifiable reason for war since </w:t>
      </w:r>
      <w:r w:rsidR="000F7D9A">
        <w:t>it exclusively</w:t>
      </w:r>
      <w:r>
        <w:t xml:space="preserve"> remained free of illegality. </w:t>
      </w:r>
      <w:r w:rsidR="000F7D9A">
        <w:t xml:space="preserve">Gladstone </w:t>
      </w:r>
      <w:proofErr w:type="spellStart"/>
      <w:r w:rsidR="000F7D9A">
        <w:t>emphasised</w:t>
      </w:r>
      <w:proofErr w:type="spellEnd"/>
      <w:r>
        <w:t xml:space="preserve"> State diminution as the consequence of liberty. He </w:t>
      </w:r>
      <w:r w:rsidR="000F7D9A">
        <w:t>believed</w:t>
      </w:r>
      <w:r>
        <w:t xml:space="preserve"> the individual’s resources and integrity should be </w:t>
      </w:r>
      <w:proofErr w:type="spellStart"/>
      <w:r>
        <w:t>utilised</w:t>
      </w:r>
      <w:proofErr w:type="spellEnd"/>
      <w:r>
        <w:t xml:space="preserve"> for the common good. He advocated the </w:t>
      </w:r>
      <w:proofErr w:type="spellStart"/>
      <w:r>
        <w:t>minimising</w:t>
      </w:r>
      <w:proofErr w:type="spellEnd"/>
      <w:r>
        <w:t xml:space="preserve"> of State mechanisms through retrenchment to prevent it from personal interference in </w:t>
      </w:r>
      <w:r w:rsidR="000F7D9A">
        <w:t>i</w:t>
      </w:r>
      <w:r>
        <w:t xml:space="preserve">ts citizens lives and free trade was the natural consequence. That Christianity’s purpose of </w:t>
      </w:r>
      <w:proofErr w:type="spellStart"/>
      <w:r>
        <w:t>civilisation</w:t>
      </w:r>
      <w:proofErr w:type="spellEnd"/>
      <w:r>
        <w:t xml:space="preserve"> was derived from this personal freedom and security was the intellectual contention of Gladstone.</w:t>
      </w:r>
      <w:r w:rsidR="003022CD">
        <w:rPr>
          <w:rStyle w:val="FootnoteReference"/>
        </w:rPr>
        <w:footnoteReference w:id="23"/>
      </w:r>
      <w:r>
        <w:t xml:space="preserve">  </w:t>
      </w:r>
    </w:p>
    <w:p w14:paraId="0F0CDE79" w14:textId="77777777" w:rsidR="00B643D0" w:rsidRDefault="00B643D0">
      <w:pPr>
        <w:pStyle w:val="Body"/>
        <w:spacing w:line="300" w:lineRule="auto"/>
      </w:pPr>
    </w:p>
    <w:p w14:paraId="0F0CDE7A" w14:textId="1B8B1733" w:rsidR="00B643D0" w:rsidRDefault="00E86C25">
      <w:pPr>
        <w:pStyle w:val="Body"/>
        <w:spacing w:line="300" w:lineRule="auto"/>
      </w:pPr>
      <w:r>
        <w:t>Conversely,</w:t>
      </w:r>
      <w:r w:rsidR="002809D1">
        <w:t xml:space="preserve"> he valued tradition which marked him as conservative in his attitudes throughout his parliamentary career. At the </w:t>
      </w:r>
      <w:proofErr w:type="spellStart"/>
      <w:r w:rsidR="002809D1">
        <w:t>centre</w:t>
      </w:r>
      <w:proofErr w:type="spellEnd"/>
      <w:r w:rsidR="002809D1">
        <w:t xml:space="preserve"> of his life was his commitment to Anglo Catholicism, the outward expression of the traditional historic church of the nation. His traditional position </w:t>
      </w:r>
      <w:proofErr w:type="spellStart"/>
      <w:r w:rsidR="002809D1">
        <w:t>coloured</w:t>
      </w:r>
      <w:proofErr w:type="spellEnd"/>
      <w:r w:rsidR="002809D1">
        <w:t xml:space="preserve"> his political judgement believing that the introduction of new ideas must be solidly based on reason.</w:t>
      </w:r>
      <w:r w:rsidR="00F6591D">
        <w:rPr>
          <w:rStyle w:val="FootnoteReference"/>
        </w:rPr>
        <w:footnoteReference w:id="24"/>
      </w:r>
      <w:r w:rsidR="002809D1">
        <w:t xml:space="preserve"> As a consequence, Gladstone’s political theory displays a degree of ambiguity. Whilst his classical liberalism displayed characteristics of individualism and a demand for human rights and </w:t>
      </w:r>
      <w:r>
        <w:t>self-assistance</w:t>
      </w:r>
      <w:r w:rsidR="002809D1">
        <w:t xml:space="preserve">, it also sought state diminishment in reduction of public spending. His leadership involved free trade, political economy and the occasional laissez-faire attitude. </w:t>
      </w:r>
    </w:p>
    <w:p w14:paraId="0F0CDE7B" w14:textId="77777777" w:rsidR="00B643D0" w:rsidRDefault="00B643D0">
      <w:pPr>
        <w:pStyle w:val="Body"/>
        <w:spacing w:line="300" w:lineRule="auto"/>
      </w:pPr>
    </w:p>
    <w:p w14:paraId="0F0CDE7C" w14:textId="6EF0048A" w:rsidR="00B643D0" w:rsidRDefault="00E86C25">
      <w:pPr>
        <w:pStyle w:val="Body"/>
        <w:spacing w:line="300" w:lineRule="auto"/>
      </w:pPr>
      <w:r>
        <w:t>Alternatively,</w:t>
      </w:r>
      <w:r w:rsidR="002809D1">
        <w:t xml:space="preserve"> his traditionalism included supporting royalty and the aristocracy. This </w:t>
      </w:r>
      <w:r>
        <w:t>anti-egalitarian</w:t>
      </w:r>
      <w:r w:rsidR="002809D1">
        <w:t xml:space="preserve"> approach conveyed a paradoxical sense of conservatism and liberalism elements. Gladstone’s position was if people bowed to the guidance of God, they would obey the traditional principles of society. The </w:t>
      </w:r>
      <w:proofErr w:type="spellStart"/>
      <w:r w:rsidR="002809D1">
        <w:t>centre</w:t>
      </w:r>
      <w:proofErr w:type="spellEnd"/>
      <w:r w:rsidR="002809D1">
        <w:t xml:space="preserve"> of his political theory could exist side by side with traditionalism since they both agreed with the concept of shared interests in common by the populace.</w:t>
      </w:r>
      <w:r w:rsidR="004D002C">
        <w:rPr>
          <w:rStyle w:val="FootnoteReference"/>
        </w:rPr>
        <w:footnoteReference w:id="25"/>
      </w:r>
      <w:r w:rsidR="002809D1">
        <w:t xml:space="preserve">   </w:t>
      </w:r>
    </w:p>
    <w:p w14:paraId="0F0CDE7D" w14:textId="77777777" w:rsidR="00B643D0" w:rsidRDefault="00B643D0">
      <w:pPr>
        <w:pStyle w:val="Body"/>
        <w:spacing w:line="300" w:lineRule="auto"/>
      </w:pPr>
    </w:p>
    <w:p w14:paraId="0F0CDE7E" w14:textId="47348B7C" w:rsidR="00B643D0" w:rsidRDefault="002809D1">
      <w:pPr>
        <w:pStyle w:val="Body"/>
        <w:spacing w:line="300" w:lineRule="auto"/>
      </w:pPr>
      <w:r>
        <w:t xml:space="preserve">Gladstone worked to seek a just balance between the wealthy and the poor </w:t>
      </w:r>
      <w:proofErr w:type="gramStart"/>
      <w:r>
        <w:t>in order to</w:t>
      </w:r>
      <w:proofErr w:type="gramEnd"/>
      <w:r>
        <w:t xml:space="preserve"> provide public order and government which could be highly regarded. Gladstonian Liberalism in the view of David Bebbington could be easily </w:t>
      </w:r>
      <w:proofErr w:type="spellStart"/>
      <w:r>
        <w:t>recognised</w:t>
      </w:r>
      <w:proofErr w:type="spellEnd"/>
      <w:r>
        <w:t xml:space="preserve"> in the Creed.</w:t>
      </w:r>
      <w:r w:rsidR="003335FB">
        <w:rPr>
          <w:rStyle w:val="FootnoteReference"/>
        </w:rPr>
        <w:footnoteReference w:id="26"/>
      </w:r>
      <w:r>
        <w:t xml:space="preserve"> Some historical commentators have claimed Gladstone separated his politics and religion and adroitly reacted to situations therefore serving to his advantage. It was clear that he had the political skills for </w:t>
      </w:r>
      <w:proofErr w:type="spellStart"/>
      <w:proofErr w:type="gramStart"/>
      <w:r>
        <w:t>manoeuv</w:t>
      </w:r>
      <w:r w:rsidR="004F390A">
        <w:t>e</w:t>
      </w:r>
      <w:r>
        <w:t>ring</w:t>
      </w:r>
      <w:proofErr w:type="spellEnd"/>
      <w:proofErr w:type="gramEnd"/>
      <w:r>
        <w:t xml:space="preserve"> and he was always open to change when he received new insights. His achievements however were part of an inspired vision and were closely rooted in the Christian Faith. The liberty which freed people, allowing them to own their own moral responsibility, would if used correctly provide them with </w:t>
      </w:r>
      <w:r>
        <w:lastRenderedPageBreak/>
        <w:t>heavenly reward, currency was God given</w:t>
      </w:r>
      <w:r w:rsidR="00174242">
        <w:t xml:space="preserve"> and </w:t>
      </w:r>
      <w:r>
        <w:t>trust</w:t>
      </w:r>
      <w:r w:rsidR="00F22AF9">
        <w:t xml:space="preserve">ed </w:t>
      </w:r>
      <w:r>
        <w:t xml:space="preserve">to be used </w:t>
      </w:r>
      <w:proofErr w:type="gramStart"/>
      <w:r>
        <w:t>responsibly</w:t>
      </w:r>
      <w:r w:rsidR="009F432E">
        <w:t xml:space="preserve">, </w:t>
      </w:r>
      <w:r>
        <w:t xml:space="preserve"> conscience</w:t>
      </w:r>
      <w:proofErr w:type="gramEnd"/>
      <w:r>
        <w:t xml:space="preserve"> to be the governing factor in all public relationships.</w:t>
      </w:r>
      <w:r w:rsidR="002965B0">
        <w:rPr>
          <w:rStyle w:val="FootnoteReference"/>
        </w:rPr>
        <w:footnoteReference w:id="27"/>
      </w:r>
      <w:r>
        <w:t xml:space="preserve"> </w:t>
      </w:r>
    </w:p>
    <w:p w14:paraId="0F0CDE7F" w14:textId="77777777" w:rsidR="00B643D0" w:rsidRDefault="00B643D0">
      <w:pPr>
        <w:pStyle w:val="Body"/>
        <w:spacing w:line="300" w:lineRule="auto"/>
      </w:pPr>
    </w:p>
    <w:p w14:paraId="0F0CDE80" w14:textId="07FE51FE" w:rsidR="00B643D0" w:rsidRDefault="002809D1">
      <w:pPr>
        <w:pStyle w:val="Body"/>
        <w:spacing w:line="300" w:lineRule="auto"/>
      </w:pPr>
      <w:r>
        <w:t xml:space="preserve">Gladstone finally retired from government in 1898 </w:t>
      </w:r>
      <w:r w:rsidR="00985CBA">
        <w:t>because of</w:t>
      </w:r>
      <w:r>
        <w:t xml:space="preserve"> illness and seniority. He spent his final years at Hawarden tending to the trees on his estate and moving his books to his library adjacent to the Parish Church. He died in 1896 and was buried in Westminster Abbey. His books were rehoused in the impressive newly built St. Deiniol’s Library which in 1901 was opened as a National Memorial to Gladstone. It was the only residential Library in the world at the time of its original dedication.</w:t>
      </w:r>
    </w:p>
    <w:p w14:paraId="51B77453" w14:textId="77777777" w:rsidR="00624C61" w:rsidRDefault="002809D1">
      <w:pPr>
        <w:pStyle w:val="Body"/>
        <w:spacing w:line="300" w:lineRule="auto"/>
      </w:pPr>
      <w:r>
        <w:t xml:space="preserve">     </w:t>
      </w:r>
    </w:p>
    <w:p w14:paraId="59B87D03" w14:textId="77777777" w:rsidR="00624C61" w:rsidRDefault="00624C61">
      <w:pPr>
        <w:pStyle w:val="Body"/>
        <w:spacing w:line="300" w:lineRule="auto"/>
      </w:pPr>
    </w:p>
    <w:p w14:paraId="5CCCBC05" w14:textId="77777777" w:rsidR="005B7EDA" w:rsidRPr="005B7EDA" w:rsidRDefault="005B7EDA" w:rsidP="005B7EDA">
      <w:pPr>
        <w:pStyle w:val="Body"/>
        <w:spacing w:line="300" w:lineRule="auto"/>
        <w:ind w:left="120"/>
        <w:rPr>
          <w:u w:val="single"/>
          <w:lang w:val="en-GB"/>
        </w:rPr>
      </w:pPr>
      <w:r w:rsidRPr="005B7EDA">
        <w:rPr>
          <w:u w:val="single"/>
          <w:lang w:val="en-GB"/>
        </w:rPr>
        <w:t>Bibliography</w:t>
      </w:r>
    </w:p>
    <w:p w14:paraId="3555F099" w14:textId="77777777" w:rsidR="005B7EDA" w:rsidRPr="005B7EDA" w:rsidRDefault="005B7EDA" w:rsidP="005B7EDA">
      <w:pPr>
        <w:pStyle w:val="Body"/>
        <w:spacing w:line="300" w:lineRule="auto"/>
        <w:ind w:left="120"/>
        <w:rPr>
          <w:lang w:val="en-GB"/>
        </w:rPr>
      </w:pPr>
      <w:r w:rsidRPr="005B7EDA">
        <w:rPr>
          <w:lang w:val="en-GB"/>
        </w:rPr>
        <w:t xml:space="preserve">Bebbington, David, </w:t>
      </w:r>
      <w:r w:rsidRPr="005B7EDA">
        <w:rPr>
          <w:i/>
          <w:iCs/>
          <w:lang w:val="en-GB"/>
        </w:rPr>
        <w:t xml:space="preserve">The Mind </w:t>
      </w:r>
      <w:proofErr w:type="gramStart"/>
      <w:r w:rsidRPr="005B7EDA">
        <w:rPr>
          <w:i/>
          <w:iCs/>
          <w:lang w:val="en-GB"/>
        </w:rPr>
        <w:t>Of</w:t>
      </w:r>
      <w:proofErr w:type="gramEnd"/>
      <w:r w:rsidRPr="005B7EDA">
        <w:rPr>
          <w:i/>
          <w:iCs/>
          <w:lang w:val="en-GB"/>
        </w:rPr>
        <w:t xml:space="preserve"> Gladstone </w:t>
      </w:r>
      <w:r w:rsidRPr="005B7EDA">
        <w:rPr>
          <w:lang w:val="en-GB"/>
        </w:rPr>
        <w:t>(New York: Oxford University Press, 2004)</w:t>
      </w:r>
    </w:p>
    <w:p w14:paraId="3CFBDCD2" w14:textId="77777777" w:rsidR="005B7EDA" w:rsidRPr="005B7EDA" w:rsidRDefault="005B7EDA" w:rsidP="005B7EDA">
      <w:pPr>
        <w:pStyle w:val="Body"/>
        <w:spacing w:line="300" w:lineRule="auto"/>
        <w:ind w:left="120"/>
        <w:rPr>
          <w:lang w:val="en-GB"/>
        </w:rPr>
      </w:pPr>
      <w:r w:rsidRPr="005B7EDA">
        <w:rPr>
          <w:lang w:val="en-GB"/>
        </w:rPr>
        <w:t xml:space="preserve">Bebbington, David, </w:t>
      </w:r>
      <w:r w:rsidRPr="005B7EDA">
        <w:rPr>
          <w:i/>
          <w:iCs/>
          <w:lang w:val="en-GB"/>
        </w:rPr>
        <w:t xml:space="preserve">William Ewart Gladstone </w:t>
      </w:r>
      <w:r w:rsidRPr="005B7EDA">
        <w:rPr>
          <w:lang w:val="en-GB"/>
        </w:rPr>
        <w:t xml:space="preserve">(Michigan: William B. </w:t>
      </w:r>
      <w:proofErr w:type="spellStart"/>
      <w:r w:rsidRPr="005B7EDA">
        <w:rPr>
          <w:lang w:val="en-GB"/>
        </w:rPr>
        <w:t>Erdmans</w:t>
      </w:r>
      <w:proofErr w:type="spellEnd"/>
      <w:r w:rsidRPr="005B7EDA">
        <w:rPr>
          <w:lang w:val="en-GB"/>
        </w:rPr>
        <w:t xml:space="preserve"> Publishing Company, 1993)</w:t>
      </w:r>
    </w:p>
    <w:p w14:paraId="255349D2" w14:textId="77777777" w:rsidR="005B7EDA" w:rsidRPr="005B7EDA" w:rsidRDefault="005B7EDA" w:rsidP="005B7EDA">
      <w:pPr>
        <w:pStyle w:val="Body"/>
        <w:spacing w:line="300" w:lineRule="auto"/>
        <w:ind w:left="120"/>
        <w:rPr>
          <w:lang w:val="en-GB"/>
        </w:rPr>
      </w:pPr>
      <w:r w:rsidRPr="005B7EDA">
        <w:rPr>
          <w:lang w:val="en-GB"/>
        </w:rPr>
        <w:t xml:space="preserve">Cross, F. L. and Livingstone, E. A. </w:t>
      </w:r>
      <w:r w:rsidRPr="005B7EDA">
        <w:rPr>
          <w:i/>
          <w:iCs/>
          <w:lang w:val="en-GB"/>
        </w:rPr>
        <w:t xml:space="preserve">The Oxford Dictionary </w:t>
      </w:r>
      <w:proofErr w:type="gramStart"/>
      <w:r w:rsidRPr="005B7EDA">
        <w:rPr>
          <w:i/>
          <w:iCs/>
          <w:lang w:val="en-GB"/>
        </w:rPr>
        <w:t>Of</w:t>
      </w:r>
      <w:proofErr w:type="gramEnd"/>
      <w:r w:rsidRPr="005B7EDA">
        <w:rPr>
          <w:i/>
          <w:iCs/>
          <w:lang w:val="en-GB"/>
        </w:rPr>
        <w:t xml:space="preserve"> The Christian Church </w:t>
      </w:r>
      <w:r w:rsidRPr="005B7EDA">
        <w:rPr>
          <w:lang w:val="en-GB"/>
        </w:rPr>
        <w:t>(New York: Oxford University Press, 1997)</w:t>
      </w:r>
    </w:p>
    <w:p w14:paraId="0743B57D" w14:textId="77777777" w:rsidR="005B7EDA" w:rsidRPr="005B7EDA" w:rsidRDefault="005B7EDA" w:rsidP="005B7EDA">
      <w:pPr>
        <w:pStyle w:val="Body"/>
        <w:spacing w:line="300" w:lineRule="auto"/>
        <w:ind w:left="120"/>
        <w:rPr>
          <w:lang w:val="en-GB"/>
        </w:rPr>
      </w:pPr>
      <w:r w:rsidRPr="005B7EDA">
        <w:rPr>
          <w:lang w:val="en-GB"/>
        </w:rPr>
        <w:t xml:space="preserve">Deacon, Richard, </w:t>
      </w:r>
      <w:r w:rsidRPr="005B7EDA">
        <w:rPr>
          <w:i/>
          <w:iCs/>
          <w:lang w:val="en-GB"/>
        </w:rPr>
        <w:t xml:space="preserve">The Private Life </w:t>
      </w:r>
      <w:proofErr w:type="gramStart"/>
      <w:r w:rsidRPr="005B7EDA">
        <w:rPr>
          <w:i/>
          <w:iCs/>
          <w:lang w:val="en-GB"/>
        </w:rPr>
        <w:t>Of</w:t>
      </w:r>
      <w:proofErr w:type="gramEnd"/>
      <w:r w:rsidRPr="005B7EDA">
        <w:rPr>
          <w:i/>
          <w:iCs/>
          <w:lang w:val="en-GB"/>
        </w:rPr>
        <w:t xml:space="preserve"> Mr Gladstone </w:t>
      </w:r>
      <w:r w:rsidRPr="005B7EDA">
        <w:rPr>
          <w:lang w:val="en-GB"/>
        </w:rPr>
        <w:t>(London: Frederick Muller Ltd, 1965)</w:t>
      </w:r>
    </w:p>
    <w:p w14:paraId="4B9638BA" w14:textId="77777777" w:rsidR="005B7EDA" w:rsidRPr="005B7EDA" w:rsidRDefault="005B7EDA" w:rsidP="005B7EDA">
      <w:pPr>
        <w:pStyle w:val="Body"/>
        <w:spacing w:line="300" w:lineRule="auto"/>
        <w:ind w:left="120"/>
        <w:rPr>
          <w:lang w:val="en-GB"/>
        </w:rPr>
      </w:pPr>
      <w:r w:rsidRPr="005B7EDA">
        <w:rPr>
          <w:lang w:val="en-GB"/>
        </w:rPr>
        <w:t xml:space="preserve">Jagger, Peter J., </w:t>
      </w:r>
      <w:r w:rsidRPr="005B7EDA">
        <w:rPr>
          <w:i/>
          <w:iCs/>
          <w:lang w:val="en-GB"/>
        </w:rPr>
        <w:t xml:space="preserve">Gladstone, Politics and Religion </w:t>
      </w:r>
      <w:r w:rsidRPr="005B7EDA">
        <w:rPr>
          <w:lang w:val="en-GB"/>
        </w:rPr>
        <w:t>(London: Macmillan Press Ltd, 1985)</w:t>
      </w:r>
    </w:p>
    <w:p w14:paraId="5D0B19E0" w14:textId="77777777" w:rsidR="005B7EDA" w:rsidRPr="005B7EDA" w:rsidRDefault="005B7EDA" w:rsidP="005B7EDA">
      <w:pPr>
        <w:pStyle w:val="Body"/>
        <w:spacing w:line="300" w:lineRule="auto"/>
        <w:ind w:left="120"/>
        <w:rPr>
          <w:lang w:val="en-GB"/>
        </w:rPr>
      </w:pPr>
      <w:r w:rsidRPr="005B7EDA">
        <w:rPr>
          <w:lang w:val="en-GB"/>
        </w:rPr>
        <w:t xml:space="preserve">Jenkins, Roy, </w:t>
      </w:r>
      <w:r w:rsidRPr="005B7EDA">
        <w:rPr>
          <w:i/>
          <w:iCs/>
          <w:lang w:val="en-GB"/>
        </w:rPr>
        <w:t xml:space="preserve">Gladstone </w:t>
      </w:r>
      <w:r w:rsidRPr="005B7EDA">
        <w:rPr>
          <w:lang w:val="en-GB"/>
        </w:rPr>
        <w:t>(London: Macmillan Press Ltd, 1995)</w:t>
      </w:r>
    </w:p>
    <w:p w14:paraId="0DEC8C35" w14:textId="77777777" w:rsidR="005B7EDA" w:rsidRPr="005B7EDA" w:rsidRDefault="005B7EDA" w:rsidP="005B7EDA">
      <w:pPr>
        <w:pStyle w:val="Body"/>
        <w:spacing w:line="300" w:lineRule="auto"/>
        <w:ind w:left="120"/>
        <w:rPr>
          <w:lang w:val="en-GB"/>
        </w:rPr>
      </w:pPr>
      <w:r w:rsidRPr="005B7EDA">
        <w:rPr>
          <w:lang w:val="en-GB"/>
        </w:rPr>
        <w:t xml:space="preserve">Jenkins, Roy, </w:t>
      </w:r>
      <w:r w:rsidRPr="005B7EDA">
        <w:rPr>
          <w:i/>
          <w:iCs/>
          <w:lang w:val="en-GB"/>
        </w:rPr>
        <w:t xml:space="preserve">Gladstone </w:t>
      </w:r>
      <w:r w:rsidRPr="005B7EDA">
        <w:rPr>
          <w:lang w:val="en-GB"/>
        </w:rPr>
        <w:t>(New York: Random House, 1997)</w:t>
      </w:r>
    </w:p>
    <w:p w14:paraId="46CB7AF6" w14:textId="77777777" w:rsidR="005B7EDA" w:rsidRPr="005B7EDA" w:rsidRDefault="005B7EDA" w:rsidP="005B7EDA">
      <w:pPr>
        <w:pStyle w:val="Body"/>
        <w:spacing w:line="300" w:lineRule="auto"/>
        <w:ind w:left="120"/>
        <w:rPr>
          <w:lang w:val="en-GB"/>
        </w:rPr>
      </w:pPr>
      <w:r w:rsidRPr="005B7EDA">
        <w:rPr>
          <w:lang w:val="en-GB"/>
        </w:rPr>
        <w:t xml:space="preserve">Kinzer, Bruce L., ed., </w:t>
      </w:r>
      <w:r w:rsidRPr="005B7EDA">
        <w:rPr>
          <w:i/>
          <w:iCs/>
          <w:lang w:val="en-GB"/>
        </w:rPr>
        <w:t xml:space="preserve">The Gladstonian Turn </w:t>
      </w:r>
      <w:proofErr w:type="gramStart"/>
      <w:r w:rsidRPr="005B7EDA">
        <w:rPr>
          <w:i/>
          <w:iCs/>
          <w:lang w:val="en-GB"/>
        </w:rPr>
        <w:t>Of</w:t>
      </w:r>
      <w:proofErr w:type="gramEnd"/>
      <w:r w:rsidRPr="005B7EDA">
        <w:rPr>
          <w:i/>
          <w:iCs/>
          <w:lang w:val="en-GB"/>
        </w:rPr>
        <w:t xml:space="preserve"> Mind </w:t>
      </w:r>
      <w:r w:rsidRPr="005B7EDA">
        <w:rPr>
          <w:lang w:val="en-GB"/>
        </w:rPr>
        <w:t>(Toronto: University of Toronto Press,1985)</w:t>
      </w:r>
    </w:p>
    <w:p w14:paraId="07390191" w14:textId="77777777" w:rsidR="005B7EDA" w:rsidRPr="005B7EDA" w:rsidRDefault="005B7EDA" w:rsidP="005B7EDA">
      <w:pPr>
        <w:pStyle w:val="Body"/>
        <w:spacing w:line="300" w:lineRule="auto"/>
        <w:ind w:left="120"/>
        <w:rPr>
          <w:lang w:val="en-GB"/>
        </w:rPr>
      </w:pPr>
      <w:r w:rsidRPr="005B7EDA">
        <w:rPr>
          <w:lang w:val="en-GB"/>
        </w:rPr>
        <w:t xml:space="preserve">Magnus, Philip, </w:t>
      </w:r>
      <w:r w:rsidRPr="005B7EDA">
        <w:rPr>
          <w:i/>
          <w:iCs/>
          <w:lang w:val="en-GB"/>
        </w:rPr>
        <w:t xml:space="preserve">Gladstone </w:t>
      </w:r>
      <w:r w:rsidRPr="005B7EDA">
        <w:rPr>
          <w:lang w:val="en-GB"/>
        </w:rPr>
        <w:t xml:space="preserve">(London: John Murray, 1954) </w:t>
      </w:r>
    </w:p>
    <w:p w14:paraId="30FDD51E" w14:textId="77777777" w:rsidR="005B7EDA" w:rsidRPr="005B7EDA" w:rsidRDefault="005B7EDA" w:rsidP="005B7EDA">
      <w:pPr>
        <w:pStyle w:val="Body"/>
        <w:spacing w:line="300" w:lineRule="auto"/>
        <w:ind w:left="120"/>
        <w:rPr>
          <w:lang w:val="en-GB"/>
        </w:rPr>
      </w:pPr>
      <w:r w:rsidRPr="005B7EDA">
        <w:rPr>
          <w:lang w:val="en-GB"/>
        </w:rPr>
        <w:t xml:space="preserve">Parry, Melanie, ed. </w:t>
      </w:r>
      <w:r w:rsidRPr="005B7EDA">
        <w:rPr>
          <w:i/>
          <w:iCs/>
          <w:lang w:val="en-GB"/>
        </w:rPr>
        <w:t xml:space="preserve">Chambers Biographical Dictionary </w:t>
      </w:r>
      <w:r w:rsidRPr="005B7EDA">
        <w:rPr>
          <w:lang w:val="en-GB"/>
        </w:rPr>
        <w:t>(New York: Chambers and Harrop, 1997)</w:t>
      </w:r>
    </w:p>
    <w:p w14:paraId="14E5B7A4" w14:textId="77777777" w:rsidR="005B7EDA" w:rsidRPr="005B7EDA" w:rsidRDefault="005B7EDA" w:rsidP="005B7EDA">
      <w:pPr>
        <w:pStyle w:val="Body"/>
        <w:spacing w:line="300" w:lineRule="auto"/>
        <w:ind w:left="120"/>
        <w:rPr>
          <w:lang w:val="en-GB"/>
        </w:rPr>
      </w:pPr>
      <w:r w:rsidRPr="005B7EDA">
        <w:rPr>
          <w:lang w:val="en-GB"/>
        </w:rPr>
        <w:t xml:space="preserve">Ramm, Agatha, </w:t>
      </w:r>
      <w:r w:rsidRPr="005B7EDA">
        <w:rPr>
          <w:i/>
          <w:iCs/>
          <w:lang w:val="en-GB"/>
        </w:rPr>
        <w:t xml:space="preserve">William Ewart Gladstone </w:t>
      </w:r>
      <w:r w:rsidRPr="005B7EDA">
        <w:rPr>
          <w:lang w:val="en-GB"/>
        </w:rPr>
        <w:t>(Cardiff: University of Wales, 1989)</w:t>
      </w:r>
    </w:p>
    <w:p w14:paraId="0F0CDE81" w14:textId="46A189B4" w:rsidR="00B643D0" w:rsidRDefault="00B643D0" w:rsidP="006C5672">
      <w:pPr>
        <w:pStyle w:val="Body"/>
        <w:spacing w:line="300" w:lineRule="auto"/>
        <w:ind w:left="120"/>
      </w:pPr>
    </w:p>
    <w:sectPr w:rsidR="00B643D0">
      <w:headerReference w:type="default" r:id="rId8"/>
      <w:foot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7FE6FA" w14:textId="77777777" w:rsidR="00827C1A" w:rsidRDefault="00827C1A">
      <w:r>
        <w:separator/>
      </w:r>
    </w:p>
  </w:endnote>
  <w:endnote w:type="continuationSeparator" w:id="0">
    <w:p w14:paraId="1FCA18AA" w14:textId="77777777" w:rsidR="00827C1A" w:rsidRDefault="00827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0CDE83" w14:textId="5168942B" w:rsidR="00B643D0" w:rsidRDefault="002809D1">
    <w:pPr>
      <w:pStyle w:val="HeaderFooter"/>
      <w:tabs>
        <w:tab w:val="clear" w:pos="9020"/>
        <w:tab w:val="center" w:pos="4819"/>
        <w:tab w:val="right" w:pos="9638"/>
      </w:tabs>
    </w:pPr>
    <w:r>
      <w:tab/>
    </w:r>
    <w:r>
      <w:fldChar w:fldCharType="begin"/>
    </w:r>
    <w:r>
      <w:instrText xml:space="preserve"> PAGE </w:instrText>
    </w:r>
    <w:r>
      <w:fldChar w:fldCharType="separate"/>
    </w:r>
    <w:r w:rsidR="009D25A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96C48" w14:textId="77777777" w:rsidR="00827C1A" w:rsidRDefault="00827C1A">
      <w:r>
        <w:separator/>
      </w:r>
    </w:p>
  </w:footnote>
  <w:footnote w:type="continuationSeparator" w:id="0">
    <w:p w14:paraId="30A4A7C3" w14:textId="77777777" w:rsidR="00827C1A" w:rsidRDefault="00827C1A">
      <w:r>
        <w:continuationSeparator/>
      </w:r>
    </w:p>
  </w:footnote>
  <w:footnote w:id="1">
    <w:p w14:paraId="56D0D218" w14:textId="06605CD8" w:rsidR="009D25A5" w:rsidRPr="00124461" w:rsidRDefault="009D25A5">
      <w:pPr>
        <w:pStyle w:val="FootnoteText"/>
        <w:rPr>
          <w:lang w:val="en-GB"/>
        </w:rPr>
      </w:pPr>
      <w:r>
        <w:rPr>
          <w:rStyle w:val="FootnoteReference"/>
        </w:rPr>
        <w:footnoteRef/>
      </w:r>
      <w:r>
        <w:t xml:space="preserve"> </w:t>
      </w:r>
      <w:r w:rsidR="004128A7">
        <w:t>Agatha Ramm</w:t>
      </w:r>
      <w:r w:rsidR="00126FDE">
        <w:t>,</w:t>
      </w:r>
      <w:r w:rsidR="000A5A6C">
        <w:t xml:space="preserve"> </w:t>
      </w:r>
      <w:r w:rsidR="004D3D7B">
        <w:rPr>
          <w:i/>
          <w:iCs/>
        </w:rPr>
        <w:t>William Ewart Gladstone</w:t>
      </w:r>
      <w:r w:rsidR="00124461">
        <w:rPr>
          <w:i/>
          <w:iCs/>
        </w:rPr>
        <w:t xml:space="preserve"> </w:t>
      </w:r>
      <w:r w:rsidR="00124461">
        <w:t>(Cardiff: University of Wales Press</w:t>
      </w:r>
      <w:r w:rsidR="00AD3280">
        <w:t xml:space="preserve">, 1989), </w:t>
      </w:r>
      <w:r w:rsidR="008E0A4F">
        <w:t>1-2.</w:t>
      </w:r>
    </w:p>
  </w:footnote>
  <w:footnote w:id="2">
    <w:p w14:paraId="69EFB1E0" w14:textId="770A7B60" w:rsidR="00CA407C" w:rsidRPr="009E2418" w:rsidRDefault="00536DEC">
      <w:pPr>
        <w:pStyle w:val="FootnoteText"/>
        <w:rPr>
          <w:lang w:val="en-GB"/>
        </w:rPr>
      </w:pPr>
      <w:r>
        <w:rPr>
          <w:rStyle w:val="FootnoteReference"/>
        </w:rPr>
        <w:footnoteRef/>
      </w:r>
      <w:r w:rsidR="00CA407C">
        <w:rPr>
          <w:rStyle w:val="FootnoteReference"/>
        </w:rPr>
        <w:footnoteRef/>
      </w:r>
      <w:r w:rsidR="00CA407C">
        <w:t xml:space="preserve"> </w:t>
      </w:r>
      <w:r>
        <w:rPr>
          <w:lang w:val="en-GB"/>
        </w:rPr>
        <w:t xml:space="preserve">Peter Jagger, ed., </w:t>
      </w:r>
      <w:r>
        <w:rPr>
          <w:i/>
          <w:iCs/>
          <w:lang w:val="en-GB"/>
        </w:rPr>
        <w:t>Gladstone</w:t>
      </w:r>
      <w:r w:rsidR="009E2418">
        <w:rPr>
          <w:i/>
          <w:iCs/>
          <w:lang w:val="en-GB"/>
        </w:rPr>
        <w:t xml:space="preserve">, Politics </w:t>
      </w:r>
      <w:proofErr w:type="gramStart"/>
      <w:r w:rsidR="009E2418">
        <w:rPr>
          <w:i/>
          <w:iCs/>
          <w:lang w:val="en-GB"/>
        </w:rPr>
        <w:t>And</w:t>
      </w:r>
      <w:proofErr w:type="gramEnd"/>
      <w:r w:rsidR="009E2418">
        <w:rPr>
          <w:i/>
          <w:iCs/>
          <w:lang w:val="en-GB"/>
        </w:rPr>
        <w:t xml:space="preserve"> Religion </w:t>
      </w:r>
      <w:r w:rsidR="009E2418">
        <w:rPr>
          <w:lang w:val="en-GB"/>
        </w:rPr>
        <w:t>(London</w:t>
      </w:r>
      <w:r w:rsidR="000A1DE1">
        <w:rPr>
          <w:lang w:val="en-GB"/>
        </w:rPr>
        <w:t>:</w:t>
      </w:r>
      <w:r w:rsidR="00792844">
        <w:rPr>
          <w:lang w:val="en-GB"/>
        </w:rPr>
        <w:t xml:space="preserve"> </w:t>
      </w:r>
      <w:r w:rsidR="000A1DE1">
        <w:rPr>
          <w:lang w:val="en-GB"/>
        </w:rPr>
        <w:t xml:space="preserve">Macmillan Press, </w:t>
      </w:r>
      <w:r w:rsidR="009F0A40">
        <w:rPr>
          <w:lang w:val="en-GB"/>
        </w:rPr>
        <w:t>1985), 40.</w:t>
      </w:r>
    </w:p>
  </w:footnote>
  <w:footnote w:id="3">
    <w:p w14:paraId="43A2F50B" w14:textId="526DB62D" w:rsidR="00747DD8" w:rsidRPr="00747DD8" w:rsidRDefault="00747DD8">
      <w:pPr>
        <w:pStyle w:val="FootnoteText"/>
        <w:rPr>
          <w:lang w:val="en-GB"/>
        </w:rPr>
      </w:pPr>
      <w:r>
        <w:rPr>
          <w:rStyle w:val="FootnoteReference"/>
        </w:rPr>
        <w:footnoteRef/>
      </w:r>
      <w:r>
        <w:t xml:space="preserve"> </w:t>
      </w:r>
      <w:r>
        <w:rPr>
          <w:lang w:val="en-GB"/>
        </w:rPr>
        <w:t>Ramm</w:t>
      </w:r>
      <w:r w:rsidR="001B5CF7">
        <w:rPr>
          <w:lang w:val="en-GB"/>
        </w:rPr>
        <w:t xml:space="preserve">, </w:t>
      </w:r>
      <w:r w:rsidR="0030770F">
        <w:rPr>
          <w:i/>
          <w:iCs/>
        </w:rPr>
        <w:t xml:space="preserve">William Ewart Gladstone, </w:t>
      </w:r>
      <w:r w:rsidR="003B20BA">
        <w:rPr>
          <w:i/>
          <w:iCs/>
        </w:rPr>
        <w:t>3-6.</w:t>
      </w:r>
    </w:p>
  </w:footnote>
  <w:footnote w:id="4">
    <w:p w14:paraId="7D7E4E0D" w14:textId="51F95B71" w:rsidR="003B20BA" w:rsidRPr="00733FFA" w:rsidRDefault="003B20BA">
      <w:pPr>
        <w:pStyle w:val="FootnoteText"/>
        <w:rPr>
          <w:lang w:val="en-GB"/>
        </w:rPr>
      </w:pPr>
      <w:r>
        <w:rPr>
          <w:rStyle w:val="FootnoteReference"/>
        </w:rPr>
        <w:footnoteRef/>
      </w:r>
      <w:r>
        <w:t xml:space="preserve"> </w:t>
      </w:r>
      <w:r w:rsidR="00331445">
        <w:rPr>
          <w:lang w:val="en-GB"/>
        </w:rPr>
        <w:t xml:space="preserve">Roy Jenkins, </w:t>
      </w:r>
      <w:r w:rsidR="00331445" w:rsidRPr="00331445">
        <w:rPr>
          <w:i/>
          <w:iCs/>
          <w:lang w:val="en-GB"/>
        </w:rPr>
        <w:t>Glad</w:t>
      </w:r>
      <w:r w:rsidR="00A57A51">
        <w:rPr>
          <w:i/>
          <w:iCs/>
          <w:lang w:val="en-GB"/>
        </w:rPr>
        <w:t xml:space="preserve">stone </w:t>
      </w:r>
      <w:r w:rsidR="00A57A51" w:rsidRPr="00733FFA">
        <w:rPr>
          <w:lang w:val="en-GB"/>
        </w:rPr>
        <w:t>(</w:t>
      </w:r>
      <w:r w:rsidR="00733FFA" w:rsidRPr="00733FFA">
        <w:rPr>
          <w:lang w:val="en-GB"/>
        </w:rPr>
        <w:t>London</w:t>
      </w:r>
      <w:r w:rsidR="00733FFA">
        <w:rPr>
          <w:lang w:val="en-GB"/>
        </w:rPr>
        <w:t>: Macmillan Pre</w:t>
      </w:r>
      <w:r w:rsidR="00422ED0">
        <w:rPr>
          <w:lang w:val="en-GB"/>
        </w:rPr>
        <w:t xml:space="preserve">ss, 1995), </w:t>
      </w:r>
      <w:r w:rsidR="005B5A53">
        <w:rPr>
          <w:lang w:val="en-GB"/>
        </w:rPr>
        <w:t>28.</w:t>
      </w:r>
    </w:p>
  </w:footnote>
  <w:footnote w:id="5">
    <w:p w14:paraId="3B1272B7" w14:textId="1BBC27C9" w:rsidR="005B5A53" w:rsidRPr="001B3B47" w:rsidRDefault="005B5A53">
      <w:pPr>
        <w:pStyle w:val="FootnoteText"/>
        <w:rPr>
          <w:i/>
          <w:iCs/>
          <w:lang w:val="en-GB"/>
        </w:rPr>
      </w:pPr>
      <w:r>
        <w:rPr>
          <w:rStyle w:val="FootnoteReference"/>
        </w:rPr>
        <w:footnoteRef/>
      </w:r>
      <w:r>
        <w:t xml:space="preserve"> </w:t>
      </w:r>
      <w:r w:rsidR="00EB5433">
        <w:rPr>
          <w:lang w:val="en-GB"/>
        </w:rPr>
        <w:t xml:space="preserve">Philip Magnus, </w:t>
      </w:r>
      <w:r w:rsidR="001B3B47">
        <w:rPr>
          <w:i/>
          <w:iCs/>
          <w:lang w:val="en-GB"/>
        </w:rPr>
        <w:t xml:space="preserve">Gladstone </w:t>
      </w:r>
      <w:r w:rsidR="001B3B47" w:rsidRPr="001B3B47">
        <w:rPr>
          <w:lang w:val="en-GB"/>
        </w:rPr>
        <w:t>(</w:t>
      </w:r>
      <w:r w:rsidR="000577CC">
        <w:rPr>
          <w:lang w:val="en-GB"/>
        </w:rPr>
        <w:t xml:space="preserve">London: John Murray, 1954), </w:t>
      </w:r>
      <w:r w:rsidR="00BF4D9D">
        <w:rPr>
          <w:lang w:val="en-GB"/>
        </w:rPr>
        <w:t>12-13.</w:t>
      </w:r>
    </w:p>
  </w:footnote>
  <w:footnote w:id="6">
    <w:p w14:paraId="6C20300A" w14:textId="1D7FEC7D" w:rsidR="00037FED" w:rsidRPr="00A252B0" w:rsidRDefault="00037FED">
      <w:pPr>
        <w:pStyle w:val="FootnoteText"/>
        <w:rPr>
          <w:lang w:val="en-GB"/>
        </w:rPr>
      </w:pPr>
      <w:r>
        <w:rPr>
          <w:rStyle w:val="FootnoteReference"/>
        </w:rPr>
        <w:footnoteRef/>
      </w:r>
      <w:r>
        <w:t xml:space="preserve"> </w:t>
      </w:r>
      <w:r>
        <w:rPr>
          <w:lang w:val="en-GB"/>
        </w:rPr>
        <w:t xml:space="preserve">Magnus, </w:t>
      </w:r>
      <w:r w:rsidR="00A252B0">
        <w:rPr>
          <w:i/>
          <w:iCs/>
          <w:lang w:val="en-GB"/>
        </w:rPr>
        <w:t>Gladstone, 2-3.</w:t>
      </w:r>
    </w:p>
  </w:footnote>
  <w:footnote w:id="7">
    <w:p w14:paraId="55AA89CE" w14:textId="70790F1A" w:rsidR="0064106D" w:rsidRPr="0064106D" w:rsidRDefault="0064106D">
      <w:pPr>
        <w:pStyle w:val="FootnoteText"/>
        <w:rPr>
          <w:lang w:val="en-GB"/>
        </w:rPr>
      </w:pPr>
      <w:r>
        <w:rPr>
          <w:rStyle w:val="FootnoteReference"/>
        </w:rPr>
        <w:footnoteRef/>
      </w:r>
      <w:r>
        <w:t xml:space="preserve"> </w:t>
      </w:r>
      <w:r w:rsidR="00B40265">
        <w:rPr>
          <w:lang w:val="en-GB"/>
        </w:rPr>
        <w:t xml:space="preserve">Magnus, </w:t>
      </w:r>
      <w:r w:rsidR="00B40265">
        <w:rPr>
          <w:i/>
          <w:iCs/>
          <w:lang w:val="en-GB"/>
        </w:rPr>
        <w:t>Gladstone, 18.</w:t>
      </w:r>
    </w:p>
  </w:footnote>
  <w:footnote w:id="8">
    <w:p w14:paraId="4B6910C8" w14:textId="681BD796" w:rsidR="00B40265" w:rsidRPr="005157ED" w:rsidRDefault="00B40265">
      <w:pPr>
        <w:pStyle w:val="FootnoteText"/>
        <w:rPr>
          <w:lang w:val="en-GB"/>
        </w:rPr>
      </w:pPr>
      <w:r>
        <w:rPr>
          <w:rStyle w:val="FootnoteReference"/>
        </w:rPr>
        <w:footnoteRef/>
      </w:r>
      <w:r>
        <w:t xml:space="preserve"> </w:t>
      </w:r>
      <w:r>
        <w:rPr>
          <w:lang w:val="en-GB"/>
        </w:rPr>
        <w:t>Melanie</w:t>
      </w:r>
      <w:r w:rsidR="008913D1">
        <w:rPr>
          <w:lang w:val="en-GB"/>
        </w:rPr>
        <w:t xml:space="preserve"> </w:t>
      </w:r>
      <w:proofErr w:type="spellStart"/>
      <w:r w:rsidR="008913D1">
        <w:rPr>
          <w:lang w:val="en-GB"/>
        </w:rPr>
        <w:t>Parrry</w:t>
      </w:r>
      <w:proofErr w:type="spellEnd"/>
      <w:r w:rsidR="008913D1">
        <w:rPr>
          <w:lang w:val="en-GB"/>
        </w:rPr>
        <w:t xml:space="preserve">, ed., </w:t>
      </w:r>
      <w:r w:rsidR="005157ED">
        <w:rPr>
          <w:i/>
          <w:iCs/>
          <w:lang w:val="en-GB"/>
        </w:rPr>
        <w:t xml:space="preserve">Chambers Biographical Dictionary </w:t>
      </w:r>
      <w:r w:rsidR="001F3F06">
        <w:rPr>
          <w:lang w:val="en-GB"/>
        </w:rPr>
        <w:t xml:space="preserve">(New York: Chambers </w:t>
      </w:r>
      <w:proofErr w:type="spellStart"/>
      <w:r w:rsidR="001F3F06">
        <w:rPr>
          <w:lang w:val="en-GB"/>
        </w:rPr>
        <w:t>Harrap</w:t>
      </w:r>
      <w:proofErr w:type="spellEnd"/>
      <w:r w:rsidR="00E01CFE">
        <w:rPr>
          <w:lang w:val="en-GB"/>
        </w:rPr>
        <w:t>, 1997) 745.</w:t>
      </w:r>
    </w:p>
  </w:footnote>
  <w:footnote w:id="9">
    <w:p w14:paraId="5542EC8A" w14:textId="081CCF9E" w:rsidR="00D0101F" w:rsidRPr="00D0101F" w:rsidRDefault="00D0101F">
      <w:pPr>
        <w:pStyle w:val="FootnoteText"/>
        <w:rPr>
          <w:lang w:val="en-GB"/>
        </w:rPr>
      </w:pPr>
      <w:r>
        <w:rPr>
          <w:rStyle w:val="FootnoteReference"/>
        </w:rPr>
        <w:footnoteRef/>
      </w:r>
      <w:r>
        <w:t xml:space="preserve"> </w:t>
      </w:r>
      <w:r>
        <w:rPr>
          <w:lang w:val="en-GB"/>
        </w:rPr>
        <w:t>Jenkins,</w:t>
      </w:r>
      <w:r w:rsidR="00C4596A">
        <w:rPr>
          <w:lang w:val="en-GB"/>
        </w:rPr>
        <w:t xml:space="preserve"> </w:t>
      </w:r>
      <w:r w:rsidR="00C4596A">
        <w:rPr>
          <w:i/>
          <w:iCs/>
          <w:lang w:val="en-GB"/>
        </w:rPr>
        <w:t>Gladst</w:t>
      </w:r>
      <w:r w:rsidR="0016144D">
        <w:rPr>
          <w:i/>
          <w:iCs/>
          <w:lang w:val="en-GB"/>
        </w:rPr>
        <w:t>one, 624.</w:t>
      </w:r>
      <w:r>
        <w:rPr>
          <w:lang w:val="en-GB"/>
        </w:rPr>
        <w:t xml:space="preserve"> </w:t>
      </w:r>
    </w:p>
  </w:footnote>
  <w:footnote w:id="10">
    <w:p w14:paraId="716D31AD" w14:textId="7DE6CB62" w:rsidR="0016144D" w:rsidRPr="007222A1" w:rsidRDefault="0016144D">
      <w:pPr>
        <w:pStyle w:val="FootnoteText"/>
        <w:rPr>
          <w:lang w:val="en-GB"/>
        </w:rPr>
      </w:pPr>
      <w:r>
        <w:rPr>
          <w:rStyle w:val="FootnoteReference"/>
        </w:rPr>
        <w:footnoteRef/>
      </w:r>
      <w:r>
        <w:t xml:space="preserve"> </w:t>
      </w:r>
      <w:r>
        <w:rPr>
          <w:lang w:val="en-GB"/>
        </w:rPr>
        <w:t xml:space="preserve">David </w:t>
      </w:r>
      <w:r w:rsidR="0090644C">
        <w:rPr>
          <w:lang w:val="en-GB"/>
        </w:rPr>
        <w:t xml:space="preserve">W. </w:t>
      </w:r>
      <w:r>
        <w:rPr>
          <w:lang w:val="en-GB"/>
        </w:rPr>
        <w:t>B</w:t>
      </w:r>
      <w:r w:rsidR="00E80BE8">
        <w:rPr>
          <w:lang w:val="en-GB"/>
        </w:rPr>
        <w:t xml:space="preserve">ebbington, </w:t>
      </w:r>
      <w:r w:rsidR="007222A1">
        <w:rPr>
          <w:i/>
          <w:iCs/>
        </w:rPr>
        <w:t xml:space="preserve">William Ewart Gladstone </w:t>
      </w:r>
      <w:r w:rsidR="007222A1">
        <w:t>(</w:t>
      </w:r>
      <w:r w:rsidR="00341AD0">
        <w:t xml:space="preserve">Michigan: W. B. </w:t>
      </w:r>
      <w:proofErr w:type="spellStart"/>
      <w:r w:rsidR="00AD2813">
        <w:t>Erdmans</w:t>
      </w:r>
      <w:proofErr w:type="spellEnd"/>
      <w:r w:rsidR="00C60249">
        <w:t xml:space="preserve"> publishing Co.</w:t>
      </w:r>
      <w:r w:rsidR="00AF606B">
        <w:t>, 1993),</w:t>
      </w:r>
      <w:r w:rsidR="00DB59BD">
        <w:t xml:space="preserve"> 1</w:t>
      </w:r>
      <w:r w:rsidR="00AF606B">
        <w:t>46-147.</w:t>
      </w:r>
    </w:p>
  </w:footnote>
  <w:footnote w:id="11">
    <w:p w14:paraId="3F34A31A" w14:textId="73D79E4A" w:rsidR="00EF6175" w:rsidRPr="00EF6175" w:rsidRDefault="00EF6175">
      <w:pPr>
        <w:pStyle w:val="FootnoteText"/>
        <w:rPr>
          <w:lang w:val="en-GB"/>
        </w:rPr>
      </w:pPr>
      <w:r>
        <w:rPr>
          <w:rStyle w:val="FootnoteReference"/>
        </w:rPr>
        <w:footnoteRef/>
      </w:r>
      <w:r>
        <w:t xml:space="preserve"> </w:t>
      </w:r>
      <w:r>
        <w:rPr>
          <w:lang w:val="en-GB"/>
        </w:rPr>
        <w:t>Bebbington</w:t>
      </w:r>
      <w:r w:rsidR="000C73CA">
        <w:rPr>
          <w:lang w:val="en-GB"/>
        </w:rPr>
        <w:t xml:space="preserve">, </w:t>
      </w:r>
      <w:r w:rsidR="000C73CA">
        <w:rPr>
          <w:i/>
          <w:iCs/>
        </w:rPr>
        <w:t>William Ewart Gladstone, 148.</w:t>
      </w:r>
    </w:p>
  </w:footnote>
  <w:footnote w:id="12">
    <w:p w14:paraId="20951969" w14:textId="7C891EE1" w:rsidR="00D552BE" w:rsidRPr="00C778C3" w:rsidRDefault="00D552BE">
      <w:pPr>
        <w:pStyle w:val="FootnoteText"/>
        <w:rPr>
          <w:lang w:val="en-GB"/>
        </w:rPr>
      </w:pPr>
      <w:r>
        <w:rPr>
          <w:rStyle w:val="FootnoteReference"/>
        </w:rPr>
        <w:footnoteRef/>
      </w:r>
      <w:r>
        <w:t xml:space="preserve"> </w:t>
      </w:r>
      <w:r>
        <w:rPr>
          <w:lang w:val="en-GB"/>
        </w:rPr>
        <w:t>Bruce L. Kinzer</w:t>
      </w:r>
      <w:r w:rsidR="0010676D">
        <w:rPr>
          <w:lang w:val="en-GB"/>
        </w:rPr>
        <w:t xml:space="preserve">, </w:t>
      </w:r>
      <w:r w:rsidR="00C65DE3">
        <w:rPr>
          <w:lang w:val="en-GB"/>
        </w:rPr>
        <w:t xml:space="preserve">ed., </w:t>
      </w:r>
      <w:r w:rsidR="00C65DE3" w:rsidRPr="00C778C3">
        <w:rPr>
          <w:i/>
          <w:iCs/>
          <w:lang w:val="en-GB"/>
        </w:rPr>
        <w:t xml:space="preserve">The Gladstonian Turn </w:t>
      </w:r>
      <w:proofErr w:type="gramStart"/>
      <w:r w:rsidR="00C65DE3" w:rsidRPr="00C778C3">
        <w:rPr>
          <w:i/>
          <w:iCs/>
          <w:lang w:val="en-GB"/>
        </w:rPr>
        <w:t>Of</w:t>
      </w:r>
      <w:proofErr w:type="gramEnd"/>
      <w:r w:rsidR="00C65DE3" w:rsidRPr="00C778C3">
        <w:rPr>
          <w:i/>
          <w:iCs/>
          <w:lang w:val="en-GB"/>
        </w:rPr>
        <w:t xml:space="preserve"> Mind</w:t>
      </w:r>
      <w:r w:rsidR="00C778C3">
        <w:rPr>
          <w:i/>
          <w:iCs/>
          <w:lang w:val="en-GB"/>
        </w:rPr>
        <w:t xml:space="preserve"> </w:t>
      </w:r>
      <w:r w:rsidR="00C778C3">
        <w:rPr>
          <w:lang w:val="en-GB"/>
        </w:rPr>
        <w:t>(</w:t>
      </w:r>
      <w:r w:rsidR="00B7504D">
        <w:rPr>
          <w:lang w:val="en-GB"/>
        </w:rPr>
        <w:t>Toronto: University of Toronto Press</w:t>
      </w:r>
      <w:r w:rsidR="00503271">
        <w:rPr>
          <w:lang w:val="en-GB"/>
        </w:rPr>
        <w:t>, 1985), 188.</w:t>
      </w:r>
    </w:p>
  </w:footnote>
  <w:footnote w:id="13">
    <w:p w14:paraId="3A146242" w14:textId="2CA9BD09" w:rsidR="00503271" w:rsidRPr="00503271" w:rsidRDefault="00503271">
      <w:pPr>
        <w:pStyle w:val="FootnoteText"/>
        <w:rPr>
          <w:lang w:val="en-GB"/>
        </w:rPr>
      </w:pPr>
      <w:r>
        <w:rPr>
          <w:rStyle w:val="FootnoteReference"/>
        </w:rPr>
        <w:footnoteRef/>
      </w:r>
      <w:r>
        <w:t xml:space="preserve"> </w:t>
      </w:r>
      <w:r w:rsidR="007B6DC3">
        <w:rPr>
          <w:lang w:val="en-GB"/>
        </w:rPr>
        <w:t xml:space="preserve">Bebbington, </w:t>
      </w:r>
      <w:r w:rsidR="007B6DC3">
        <w:rPr>
          <w:i/>
          <w:iCs/>
        </w:rPr>
        <w:t>William Ewart Gladstone,</w:t>
      </w:r>
      <w:r w:rsidR="00C6499D">
        <w:rPr>
          <w:i/>
          <w:iCs/>
        </w:rPr>
        <w:t xml:space="preserve"> 178-179.</w:t>
      </w:r>
    </w:p>
  </w:footnote>
  <w:footnote w:id="14">
    <w:p w14:paraId="177EA56B" w14:textId="73BD15B3" w:rsidR="002424EB" w:rsidRPr="002424EB" w:rsidRDefault="002424EB">
      <w:pPr>
        <w:pStyle w:val="FootnoteText"/>
        <w:rPr>
          <w:lang w:val="en-GB"/>
        </w:rPr>
      </w:pPr>
      <w:r>
        <w:rPr>
          <w:rStyle w:val="FootnoteReference"/>
        </w:rPr>
        <w:footnoteRef/>
      </w:r>
      <w:r w:rsidR="008266B1">
        <w:rPr>
          <w:lang w:val="en-GB"/>
        </w:rPr>
        <w:t xml:space="preserve"> </w:t>
      </w:r>
      <w:r w:rsidR="00AC6EF3">
        <w:rPr>
          <w:lang w:val="en-GB"/>
        </w:rPr>
        <w:t xml:space="preserve">Kinzer, ed., </w:t>
      </w:r>
      <w:r w:rsidR="00AC6EF3" w:rsidRPr="00C778C3">
        <w:rPr>
          <w:i/>
          <w:iCs/>
          <w:lang w:val="en-GB"/>
        </w:rPr>
        <w:t xml:space="preserve">The Gladstonian Turn </w:t>
      </w:r>
      <w:proofErr w:type="gramStart"/>
      <w:r w:rsidR="00AC6EF3" w:rsidRPr="00C778C3">
        <w:rPr>
          <w:i/>
          <w:iCs/>
          <w:lang w:val="en-GB"/>
        </w:rPr>
        <w:t>Of</w:t>
      </w:r>
      <w:proofErr w:type="gramEnd"/>
      <w:r w:rsidR="00AC6EF3" w:rsidRPr="00C778C3">
        <w:rPr>
          <w:i/>
          <w:iCs/>
          <w:lang w:val="en-GB"/>
        </w:rPr>
        <w:t xml:space="preserve"> Mind</w:t>
      </w:r>
      <w:r w:rsidR="00AC6EF3">
        <w:rPr>
          <w:i/>
          <w:iCs/>
          <w:lang w:val="en-GB"/>
        </w:rPr>
        <w:t>, 28-29</w:t>
      </w:r>
      <w:r w:rsidR="00851FCF">
        <w:rPr>
          <w:i/>
          <w:iCs/>
          <w:lang w:val="en-GB"/>
        </w:rPr>
        <w:t>.</w:t>
      </w:r>
    </w:p>
  </w:footnote>
  <w:footnote w:id="15">
    <w:p w14:paraId="0B5F8A3D" w14:textId="501FF225" w:rsidR="009E7B6F" w:rsidRPr="009E7B6F" w:rsidRDefault="009E7B6F">
      <w:pPr>
        <w:pStyle w:val="FootnoteText"/>
        <w:rPr>
          <w:lang w:val="en-GB"/>
        </w:rPr>
      </w:pPr>
      <w:r>
        <w:rPr>
          <w:rStyle w:val="FootnoteReference"/>
        </w:rPr>
        <w:footnoteRef/>
      </w:r>
      <w:r>
        <w:t xml:space="preserve"> </w:t>
      </w:r>
      <w:r>
        <w:rPr>
          <w:lang w:val="en-GB"/>
        </w:rPr>
        <w:t xml:space="preserve">Kinzer, ed., </w:t>
      </w:r>
      <w:r w:rsidRPr="00C778C3">
        <w:rPr>
          <w:i/>
          <w:iCs/>
          <w:lang w:val="en-GB"/>
        </w:rPr>
        <w:t xml:space="preserve">The Gladstonian Turn </w:t>
      </w:r>
      <w:proofErr w:type="gramStart"/>
      <w:r w:rsidRPr="00C778C3">
        <w:rPr>
          <w:i/>
          <w:iCs/>
          <w:lang w:val="en-GB"/>
        </w:rPr>
        <w:t>Of</w:t>
      </w:r>
      <w:proofErr w:type="gramEnd"/>
      <w:r w:rsidRPr="00C778C3">
        <w:rPr>
          <w:i/>
          <w:iCs/>
          <w:lang w:val="en-GB"/>
        </w:rPr>
        <w:t xml:space="preserve"> Mind</w:t>
      </w:r>
      <w:r>
        <w:rPr>
          <w:i/>
          <w:iCs/>
          <w:lang w:val="en-GB"/>
        </w:rPr>
        <w:t>, 32.</w:t>
      </w:r>
    </w:p>
  </w:footnote>
  <w:footnote w:id="16">
    <w:p w14:paraId="1549DC27" w14:textId="540E1CE0" w:rsidR="00C53B13" w:rsidRPr="00C53B13" w:rsidRDefault="00C53B13">
      <w:pPr>
        <w:pStyle w:val="FootnoteText"/>
        <w:rPr>
          <w:lang w:val="en-GB"/>
        </w:rPr>
      </w:pPr>
      <w:r>
        <w:rPr>
          <w:rStyle w:val="FootnoteReference"/>
        </w:rPr>
        <w:footnoteRef/>
      </w:r>
      <w:r>
        <w:t xml:space="preserve"> </w:t>
      </w:r>
      <w:r w:rsidR="007E6A73">
        <w:t>Peter Ghosh</w:t>
      </w:r>
      <w:r w:rsidR="00022F3C">
        <w:t>, ‘Gladstone and Peel</w:t>
      </w:r>
      <w:r w:rsidR="00541684">
        <w:t>’, http:/</w:t>
      </w:r>
      <w:r w:rsidR="00B12B21">
        <w:t>doi.org</w:t>
      </w:r>
      <w:r w:rsidR="00541684">
        <w:t>/</w:t>
      </w:r>
      <w:r w:rsidR="005A26DA">
        <w:t>10</w:t>
      </w:r>
      <w:r w:rsidR="003119B3">
        <w:t>93/acprof:</w:t>
      </w:r>
      <w:r w:rsidR="002755A0">
        <w:t>050/9</w:t>
      </w:r>
      <w:r w:rsidR="003479B6">
        <w:t>780199253456.003.0005</w:t>
      </w:r>
      <w:r w:rsidR="00BB07F9">
        <w:t xml:space="preserve">, </w:t>
      </w:r>
      <w:r w:rsidR="00B64E87">
        <w:t>12 June 2024.</w:t>
      </w:r>
    </w:p>
  </w:footnote>
  <w:footnote w:id="17">
    <w:p w14:paraId="7A8F85E6" w14:textId="5EBA4194" w:rsidR="006E0A7C" w:rsidRPr="00427697" w:rsidRDefault="006E0A7C">
      <w:pPr>
        <w:pStyle w:val="FootnoteText"/>
        <w:rPr>
          <w:lang w:val="en-GB"/>
        </w:rPr>
      </w:pPr>
      <w:r>
        <w:rPr>
          <w:rStyle w:val="FootnoteReference"/>
        </w:rPr>
        <w:footnoteRef/>
      </w:r>
      <w:r>
        <w:t xml:space="preserve"> </w:t>
      </w:r>
      <w:r w:rsidR="009A5718">
        <w:rPr>
          <w:lang w:val="en-GB"/>
        </w:rPr>
        <w:t>David W. Bebbington,</w:t>
      </w:r>
      <w:r w:rsidR="00093D82">
        <w:rPr>
          <w:lang w:val="en-GB"/>
        </w:rPr>
        <w:t xml:space="preserve"> </w:t>
      </w:r>
      <w:r w:rsidR="00093D82">
        <w:rPr>
          <w:i/>
          <w:iCs/>
          <w:lang w:val="en-GB"/>
        </w:rPr>
        <w:t xml:space="preserve">The Mind </w:t>
      </w:r>
      <w:proofErr w:type="gramStart"/>
      <w:r w:rsidR="00093D82">
        <w:rPr>
          <w:i/>
          <w:iCs/>
          <w:lang w:val="en-GB"/>
        </w:rPr>
        <w:t>Of</w:t>
      </w:r>
      <w:proofErr w:type="gramEnd"/>
      <w:r w:rsidR="00093D82">
        <w:rPr>
          <w:i/>
          <w:iCs/>
          <w:lang w:val="en-GB"/>
        </w:rPr>
        <w:t xml:space="preserve"> Gladstone</w:t>
      </w:r>
      <w:r w:rsidR="007711EC">
        <w:rPr>
          <w:i/>
          <w:iCs/>
          <w:lang w:val="en-GB"/>
        </w:rPr>
        <w:t xml:space="preserve">, </w:t>
      </w:r>
      <w:r w:rsidR="007711EC">
        <w:rPr>
          <w:lang w:val="en-GB"/>
        </w:rPr>
        <w:t xml:space="preserve">(New York: </w:t>
      </w:r>
      <w:r w:rsidR="00427697">
        <w:rPr>
          <w:lang w:val="en-GB"/>
        </w:rPr>
        <w:t>O</w:t>
      </w:r>
      <w:r w:rsidR="007711EC">
        <w:rPr>
          <w:lang w:val="en-GB"/>
        </w:rPr>
        <w:t>xford University Press</w:t>
      </w:r>
      <w:r w:rsidR="00310B64">
        <w:rPr>
          <w:i/>
          <w:iCs/>
          <w:lang w:val="en-GB"/>
        </w:rPr>
        <w:t xml:space="preserve">, </w:t>
      </w:r>
      <w:r w:rsidR="00427697">
        <w:rPr>
          <w:lang w:val="en-GB"/>
        </w:rPr>
        <w:t>2004</w:t>
      </w:r>
      <w:r w:rsidR="00B4287A">
        <w:rPr>
          <w:lang w:val="en-GB"/>
        </w:rPr>
        <w:t>), 291.</w:t>
      </w:r>
    </w:p>
  </w:footnote>
  <w:footnote w:id="18">
    <w:p w14:paraId="0CB40DE1" w14:textId="3BC192D4" w:rsidR="00B4287A" w:rsidRPr="00926C96" w:rsidRDefault="00B4287A">
      <w:pPr>
        <w:pStyle w:val="FootnoteText"/>
        <w:rPr>
          <w:i/>
          <w:iCs/>
          <w:lang w:val="en-GB"/>
        </w:rPr>
      </w:pPr>
      <w:r>
        <w:rPr>
          <w:rStyle w:val="FootnoteReference"/>
        </w:rPr>
        <w:footnoteRef/>
      </w:r>
      <w:r>
        <w:t xml:space="preserve"> </w:t>
      </w:r>
      <w:r>
        <w:rPr>
          <w:lang w:val="en-GB"/>
        </w:rPr>
        <w:t>Magnus</w:t>
      </w:r>
      <w:r w:rsidR="00926C96">
        <w:rPr>
          <w:lang w:val="en-GB"/>
        </w:rPr>
        <w:t xml:space="preserve">, </w:t>
      </w:r>
      <w:r w:rsidR="00926C96">
        <w:rPr>
          <w:i/>
          <w:iCs/>
          <w:lang w:val="en-GB"/>
        </w:rPr>
        <w:t>Gladstone, 204.</w:t>
      </w:r>
    </w:p>
  </w:footnote>
  <w:footnote w:id="19">
    <w:p w14:paraId="6B51FD92" w14:textId="08A8F319" w:rsidR="003B6A35" w:rsidRPr="00203AD7" w:rsidRDefault="003B6A35">
      <w:pPr>
        <w:pStyle w:val="FootnoteText"/>
        <w:rPr>
          <w:lang w:val="en-GB"/>
        </w:rPr>
      </w:pPr>
      <w:r>
        <w:rPr>
          <w:rStyle w:val="FootnoteReference"/>
        </w:rPr>
        <w:footnoteRef/>
      </w:r>
      <w:r>
        <w:t xml:space="preserve"> </w:t>
      </w:r>
      <w:r w:rsidR="00203AD7">
        <w:rPr>
          <w:lang w:val="en-GB"/>
        </w:rPr>
        <w:t xml:space="preserve">Magnus, </w:t>
      </w:r>
      <w:r w:rsidR="00203AD7">
        <w:rPr>
          <w:i/>
          <w:iCs/>
          <w:lang w:val="en-GB"/>
        </w:rPr>
        <w:t xml:space="preserve">Gladstone, </w:t>
      </w:r>
      <w:r w:rsidR="00203AD7">
        <w:rPr>
          <w:lang w:val="en-GB"/>
        </w:rPr>
        <w:t>382.</w:t>
      </w:r>
    </w:p>
  </w:footnote>
  <w:footnote w:id="20">
    <w:p w14:paraId="26247876" w14:textId="6BA1D9E0" w:rsidR="005B1B3F" w:rsidRPr="005B1B3F" w:rsidRDefault="005B1B3F">
      <w:pPr>
        <w:pStyle w:val="FootnoteText"/>
        <w:rPr>
          <w:lang w:val="en-GB"/>
        </w:rPr>
      </w:pPr>
      <w:r>
        <w:rPr>
          <w:rStyle w:val="FootnoteReference"/>
        </w:rPr>
        <w:footnoteRef/>
      </w:r>
      <w:r>
        <w:t xml:space="preserve"> </w:t>
      </w:r>
      <w:r>
        <w:rPr>
          <w:lang w:val="en-GB"/>
        </w:rPr>
        <w:t xml:space="preserve">Magnus, </w:t>
      </w:r>
      <w:r>
        <w:rPr>
          <w:i/>
          <w:iCs/>
          <w:lang w:val="en-GB"/>
        </w:rPr>
        <w:t>Gladstone,</w:t>
      </w:r>
      <w:r>
        <w:rPr>
          <w:lang w:val="en-GB"/>
        </w:rPr>
        <w:t xml:space="preserve"> 71-74.</w:t>
      </w:r>
    </w:p>
  </w:footnote>
  <w:footnote w:id="21">
    <w:p w14:paraId="6ABEB349" w14:textId="25FF1A61" w:rsidR="003A1F38" w:rsidRPr="003A1F38" w:rsidRDefault="003A1F38">
      <w:pPr>
        <w:pStyle w:val="FootnoteText"/>
        <w:rPr>
          <w:lang w:val="en-GB"/>
        </w:rPr>
      </w:pPr>
      <w:r>
        <w:rPr>
          <w:rStyle w:val="FootnoteReference"/>
        </w:rPr>
        <w:footnoteRef/>
      </w:r>
      <w:r>
        <w:t xml:space="preserve"> </w:t>
      </w:r>
      <w:r w:rsidR="000907A6">
        <w:rPr>
          <w:lang w:val="en-GB"/>
        </w:rPr>
        <w:t xml:space="preserve">Bebbington, </w:t>
      </w:r>
      <w:r w:rsidR="000907A6">
        <w:rPr>
          <w:i/>
          <w:iCs/>
          <w:lang w:val="en-GB"/>
        </w:rPr>
        <w:t xml:space="preserve">The Mind </w:t>
      </w:r>
      <w:proofErr w:type="gramStart"/>
      <w:r w:rsidR="000907A6">
        <w:rPr>
          <w:i/>
          <w:iCs/>
          <w:lang w:val="en-GB"/>
        </w:rPr>
        <w:t>Of</w:t>
      </w:r>
      <w:proofErr w:type="gramEnd"/>
      <w:r w:rsidR="000907A6">
        <w:rPr>
          <w:i/>
          <w:iCs/>
          <w:lang w:val="en-GB"/>
        </w:rPr>
        <w:t xml:space="preserve"> Gladstone, </w:t>
      </w:r>
      <w:r w:rsidR="007A6F55">
        <w:rPr>
          <w:i/>
          <w:iCs/>
          <w:lang w:val="en-GB"/>
        </w:rPr>
        <w:t>94-96.</w:t>
      </w:r>
    </w:p>
  </w:footnote>
  <w:footnote w:id="22">
    <w:p w14:paraId="2E332009" w14:textId="03ED70D4" w:rsidR="003E7195" w:rsidRPr="00F55D49" w:rsidRDefault="003E7195" w:rsidP="007A3D7B">
      <w:pPr>
        <w:pStyle w:val="FootnoteText"/>
        <w:rPr>
          <w:lang w:val="en-GB"/>
        </w:rPr>
      </w:pPr>
      <w:r>
        <w:rPr>
          <w:rStyle w:val="FootnoteReference"/>
        </w:rPr>
        <w:footnoteRef/>
      </w:r>
      <w:r>
        <w:t xml:space="preserve"> </w:t>
      </w:r>
      <w:r w:rsidR="00E76F30">
        <w:rPr>
          <w:lang w:val="en-GB"/>
        </w:rPr>
        <w:t xml:space="preserve">Bebbington, </w:t>
      </w:r>
      <w:r w:rsidR="00E76F30">
        <w:rPr>
          <w:i/>
          <w:iCs/>
        </w:rPr>
        <w:t>William Ewart Gladstone</w:t>
      </w:r>
      <w:r w:rsidR="005A4405">
        <w:rPr>
          <w:i/>
          <w:iCs/>
        </w:rPr>
        <w:t xml:space="preserve">, </w:t>
      </w:r>
      <w:r w:rsidR="005A4405" w:rsidRPr="00F55D49">
        <w:t>68.</w:t>
      </w:r>
    </w:p>
  </w:footnote>
  <w:footnote w:id="23">
    <w:p w14:paraId="78EB46D9" w14:textId="3D3072F4" w:rsidR="003022CD" w:rsidRPr="00F55D49" w:rsidRDefault="003022CD" w:rsidP="007A3D7B">
      <w:pPr>
        <w:pStyle w:val="FootnoteText"/>
        <w:rPr>
          <w:lang w:val="en-GB"/>
        </w:rPr>
      </w:pPr>
      <w:r>
        <w:rPr>
          <w:rStyle w:val="FootnoteReference"/>
        </w:rPr>
        <w:footnoteRef/>
      </w:r>
      <w:r>
        <w:t xml:space="preserve"> </w:t>
      </w:r>
      <w:r w:rsidR="00F55D49">
        <w:rPr>
          <w:lang w:val="en-GB"/>
        </w:rPr>
        <w:t xml:space="preserve">Bebbington, </w:t>
      </w:r>
      <w:r w:rsidR="00F55D49">
        <w:rPr>
          <w:i/>
          <w:iCs/>
          <w:lang w:val="en-GB"/>
        </w:rPr>
        <w:t xml:space="preserve">The Mind </w:t>
      </w:r>
      <w:proofErr w:type="gramStart"/>
      <w:r w:rsidR="00F55D49">
        <w:rPr>
          <w:i/>
          <w:iCs/>
          <w:lang w:val="en-GB"/>
        </w:rPr>
        <w:t>Of</w:t>
      </w:r>
      <w:proofErr w:type="gramEnd"/>
      <w:r w:rsidR="00F55D49">
        <w:rPr>
          <w:i/>
          <w:iCs/>
          <w:lang w:val="en-GB"/>
        </w:rPr>
        <w:t xml:space="preserve"> Gladstone, </w:t>
      </w:r>
      <w:r w:rsidR="00F55D49" w:rsidRPr="00F55D49">
        <w:rPr>
          <w:lang w:val="en-GB"/>
        </w:rPr>
        <w:t>258-261.</w:t>
      </w:r>
    </w:p>
  </w:footnote>
  <w:footnote w:id="24">
    <w:p w14:paraId="63A2D97D" w14:textId="23100698" w:rsidR="00F6591D" w:rsidRPr="004D002C" w:rsidRDefault="00F6591D" w:rsidP="007A3D7B">
      <w:pPr>
        <w:pStyle w:val="FootnoteText"/>
        <w:rPr>
          <w:lang w:val="en-GB"/>
        </w:rPr>
      </w:pPr>
      <w:r>
        <w:rPr>
          <w:rStyle w:val="FootnoteReference"/>
        </w:rPr>
        <w:footnoteRef/>
      </w:r>
      <w:r>
        <w:t xml:space="preserve"> </w:t>
      </w:r>
      <w:r>
        <w:rPr>
          <w:lang w:val="en-GB"/>
        </w:rPr>
        <w:t xml:space="preserve">Bebbington, </w:t>
      </w:r>
      <w:r>
        <w:rPr>
          <w:i/>
          <w:iCs/>
          <w:lang w:val="en-GB"/>
        </w:rPr>
        <w:t xml:space="preserve">The Mind </w:t>
      </w:r>
      <w:proofErr w:type="gramStart"/>
      <w:r>
        <w:rPr>
          <w:i/>
          <w:iCs/>
          <w:lang w:val="en-GB"/>
        </w:rPr>
        <w:t>Of</w:t>
      </w:r>
      <w:proofErr w:type="gramEnd"/>
      <w:r>
        <w:rPr>
          <w:i/>
          <w:iCs/>
          <w:lang w:val="en-GB"/>
        </w:rPr>
        <w:t xml:space="preserve"> Gladstone</w:t>
      </w:r>
      <w:r w:rsidR="004D002C" w:rsidRPr="004D002C">
        <w:rPr>
          <w:lang w:val="en-GB"/>
        </w:rPr>
        <w:t>, 263-264.</w:t>
      </w:r>
    </w:p>
  </w:footnote>
  <w:footnote w:id="25">
    <w:p w14:paraId="1DD901CE" w14:textId="3FF700B8" w:rsidR="004D002C" w:rsidRPr="008B10C2" w:rsidRDefault="004D002C" w:rsidP="007A3D7B">
      <w:pPr>
        <w:pStyle w:val="FootnoteText"/>
        <w:rPr>
          <w:lang w:val="en-GB"/>
        </w:rPr>
      </w:pPr>
      <w:r>
        <w:rPr>
          <w:rStyle w:val="FootnoteReference"/>
        </w:rPr>
        <w:footnoteRef/>
      </w:r>
      <w:r>
        <w:t xml:space="preserve"> </w:t>
      </w:r>
      <w:r>
        <w:rPr>
          <w:lang w:val="en-GB"/>
        </w:rPr>
        <w:t xml:space="preserve">Bebbington, </w:t>
      </w:r>
      <w:r>
        <w:rPr>
          <w:i/>
          <w:iCs/>
          <w:lang w:val="en-GB"/>
        </w:rPr>
        <w:t xml:space="preserve">The Mind </w:t>
      </w:r>
      <w:proofErr w:type="gramStart"/>
      <w:r>
        <w:rPr>
          <w:i/>
          <w:iCs/>
          <w:lang w:val="en-GB"/>
        </w:rPr>
        <w:t>Of</w:t>
      </w:r>
      <w:proofErr w:type="gramEnd"/>
      <w:r>
        <w:rPr>
          <w:i/>
          <w:iCs/>
          <w:lang w:val="en-GB"/>
        </w:rPr>
        <w:t xml:space="preserve"> Gladstone</w:t>
      </w:r>
      <w:r w:rsidR="008B10C2">
        <w:rPr>
          <w:i/>
          <w:iCs/>
          <w:lang w:val="en-GB"/>
        </w:rPr>
        <w:t xml:space="preserve">, </w:t>
      </w:r>
      <w:r w:rsidR="008B10C2">
        <w:rPr>
          <w:lang w:val="en-GB"/>
        </w:rPr>
        <w:t>268.</w:t>
      </w:r>
    </w:p>
  </w:footnote>
  <w:footnote w:id="26">
    <w:p w14:paraId="6CC84E6D" w14:textId="31AB174F" w:rsidR="003335FB" w:rsidRPr="003335FB" w:rsidRDefault="003335FB" w:rsidP="007A3D7B">
      <w:pPr>
        <w:pStyle w:val="FootnoteText"/>
        <w:rPr>
          <w:lang w:val="en-GB"/>
        </w:rPr>
      </w:pPr>
      <w:r>
        <w:rPr>
          <w:rStyle w:val="FootnoteReference"/>
        </w:rPr>
        <w:footnoteRef/>
      </w:r>
      <w:r>
        <w:t xml:space="preserve"> </w:t>
      </w:r>
      <w:r w:rsidR="002965B0">
        <w:rPr>
          <w:lang w:val="en-GB"/>
        </w:rPr>
        <w:t xml:space="preserve">Bebbington, </w:t>
      </w:r>
      <w:r w:rsidR="002965B0">
        <w:rPr>
          <w:i/>
          <w:iCs/>
        </w:rPr>
        <w:t xml:space="preserve">William Ewart Gladstone, </w:t>
      </w:r>
      <w:r w:rsidR="002965B0">
        <w:t>199.</w:t>
      </w:r>
    </w:p>
  </w:footnote>
  <w:footnote w:id="27">
    <w:p w14:paraId="68F2137A" w14:textId="0FE1DE92" w:rsidR="002965B0" w:rsidRPr="00F55D49" w:rsidRDefault="002965B0" w:rsidP="002965B0">
      <w:pPr>
        <w:pStyle w:val="FootnoteText"/>
        <w:rPr>
          <w:lang w:val="en-GB"/>
        </w:rPr>
      </w:pPr>
      <w:r>
        <w:rPr>
          <w:rStyle w:val="FootnoteReference"/>
        </w:rPr>
        <w:footnoteRef/>
      </w:r>
      <w:r>
        <w:t xml:space="preserve"> </w:t>
      </w:r>
      <w:r>
        <w:rPr>
          <w:lang w:val="en-GB"/>
        </w:rPr>
        <w:t xml:space="preserve">Bebbington, </w:t>
      </w:r>
      <w:r>
        <w:rPr>
          <w:i/>
          <w:iCs/>
        </w:rPr>
        <w:t xml:space="preserve">William Ewart Gladstone, </w:t>
      </w:r>
      <w:r>
        <w:t>200</w:t>
      </w:r>
      <w:r w:rsidRPr="00F55D49">
        <w:t>.</w:t>
      </w:r>
    </w:p>
    <w:p w14:paraId="789D0097" w14:textId="29E22EC6" w:rsidR="002965B0" w:rsidRPr="002965B0" w:rsidRDefault="002965B0">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0CDE82" w14:textId="77777777" w:rsidR="00B643D0" w:rsidRDefault="00B643D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C2E45"/>
    <w:multiLevelType w:val="hybridMultilevel"/>
    <w:tmpl w:val="8A02E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3634DB"/>
    <w:multiLevelType w:val="hybridMultilevel"/>
    <w:tmpl w:val="D6E4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8437199">
    <w:abstractNumId w:val="1"/>
  </w:num>
  <w:num w:numId="2" w16cid:durableId="1251738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3D0"/>
    <w:rsid w:val="000059A6"/>
    <w:rsid w:val="00022F3C"/>
    <w:rsid w:val="0003189C"/>
    <w:rsid w:val="00037FED"/>
    <w:rsid w:val="0004620B"/>
    <w:rsid w:val="000577CC"/>
    <w:rsid w:val="000907A6"/>
    <w:rsid w:val="00093D82"/>
    <w:rsid w:val="000A1DE1"/>
    <w:rsid w:val="000A3902"/>
    <w:rsid w:val="000A5A6C"/>
    <w:rsid w:val="000C73CA"/>
    <w:rsid w:val="000F7623"/>
    <w:rsid w:val="000F7D9A"/>
    <w:rsid w:val="0010676D"/>
    <w:rsid w:val="00124461"/>
    <w:rsid w:val="00126FDE"/>
    <w:rsid w:val="001274A0"/>
    <w:rsid w:val="00127A16"/>
    <w:rsid w:val="00137AF8"/>
    <w:rsid w:val="0016144D"/>
    <w:rsid w:val="00174242"/>
    <w:rsid w:val="001B3B47"/>
    <w:rsid w:val="001B5CF7"/>
    <w:rsid w:val="001B7DC7"/>
    <w:rsid w:val="001F0454"/>
    <w:rsid w:val="001F3F06"/>
    <w:rsid w:val="00203AD7"/>
    <w:rsid w:val="002173BE"/>
    <w:rsid w:val="002207CA"/>
    <w:rsid w:val="002358A6"/>
    <w:rsid w:val="002424EB"/>
    <w:rsid w:val="00256C28"/>
    <w:rsid w:val="002607D8"/>
    <w:rsid w:val="00267B4C"/>
    <w:rsid w:val="00272A9B"/>
    <w:rsid w:val="00275113"/>
    <w:rsid w:val="002755A0"/>
    <w:rsid w:val="00275F7C"/>
    <w:rsid w:val="002809D1"/>
    <w:rsid w:val="002965B0"/>
    <w:rsid w:val="002C298E"/>
    <w:rsid w:val="002E7B59"/>
    <w:rsid w:val="002F1286"/>
    <w:rsid w:val="003022CD"/>
    <w:rsid w:val="0030770F"/>
    <w:rsid w:val="00310B64"/>
    <w:rsid w:val="003119B3"/>
    <w:rsid w:val="00331445"/>
    <w:rsid w:val="003335FB"/>
    <w:rsid w:val="00341AD0"/>
    <w:rsid w:val="003479B6"/>
    <w:rsid w:val="00373614"/>
    <w:rsid w:val="003945F6"/>
    <w:rsid w:val="003A1F38"/>
    <w:rsid w:val="003A7040"/>
    <w:rsid w:val="003B20BA"/>
    <w:rsid w:val="003B6A35"/>
    <w:rsid w:val="003E7195"/>
    <w:rsid w:val="00402F1C"/>
    <w:rsid w:val="004128A7"/>
    <w:rsid w:val="00422ED0"/>
    <w:rsid w:val="00427697"/>
    <w:rsid w:val="0045595C"/>
    <w:rsid w:val="00460D13"/>
    <w:rsid w:val="004776EE"/>
    <w:rsid w:val="004900C7"/>
    <w:rsid w:val="004B006F"/>
    <w:rsid w:val="004D002C"/>
    <w:rsid w:val="004D3D7B"/>
    <w:rsid w:val="004F390A"/>
    <w:rsid w:val="00503271"/>
    <w:rsid w:val="005157ED"/>
    <w:rsid w:val="00536DEC"/>
    <w:rsid w:val="00541684"/>
    <w:rsid w:val="00566BC8"/>
    <w:rsid w:val="005A26DA"/>
    <w:rsid w:val="005A4405"/>
    <w:rsid w:val="005B1B3F"/>
    <w:rsid w:val="005B5A53"/>
    <w:rsid w:val="005B7EDA"/>
    <w:rsid w:val="00617268"/>
    <w:rsid w:val="00624C61"/>
    <w:rsid w:val="0064106D"/>
    <w:rsid w:val="00672E50"/>
    <w:rsid w:val="006C5672"/>
    <w:rsid w:val="006E0A7C"/>
    <w:rsid w:val="006E357E"/>
    <w:rsid w:val="006E5EF5"/>
    <w:rsid w:val="006E7E3D"/>
    <w:rsid w:val="007222A1"/>
    <w:rsid w:val="007223B4"/>
    <w:rsid w:val="00733FFA"/>
    <w:rsid w:val="00747DD8"/>
    <w:rsid w:val="00753B03"/>
    <w:rsid w:val="007711EC"/>
    <w:rsid w:val="00783140"/>
    <w:rsid w:val="00792844"/>
    <w:rsid w:val="007A3D7B"/>
    <w:rsid w:val="007A6F55"/>
    <w:rsid w:val="007B6DC3"/>
    <w:rsid w:val="007E69E5"/>
    <w:rsid w:val="007E6A73"/>
    <w:rsid w:val="008072B8"/>
    <w:rsid w:val="0082060C"/>
    <w:rsid w:val="008266B1"/>
    <w:rsid w:val="008271A5"/>
    <w:rsid w:val="00827C1A"/>
    <w:rsid w:val="00844C6D"/>
    <w:rsid w:val="00847E7E"/>
    <w:rsid w:val="00851FCF"/>
    <w:rsid w:val="00857763"/>
    <w:rsid w:val="0087386F"/>
    <w:rsid w:val="00873DDB"/>
    <w:rsid w:val="008769DA"/>
    <w:rsid w:val="008913D1"/>
    <w:rsid w:val="008B10C2"/>
    <w:rsid w:val="008E0A4F"/>
    <w:rsid w:val="008F6D1B"/>
    <w:rsid w:val="0090644C"/>
    <w:rsid w:val="00926C96"/>
    <w:rsid w:val="00932FE2"/>
    <w:rsid w:val="00985CBA"/>
    <w:rsid w:val="00991AEE"/>
    <w:rsid w:val="009A5718"/>
    <w:rsid w:val="009D25A5"/>
    <w:rsid w:val="009E2418"/>
    <w:rsid w:val="009E7B6F"/>
    <w:rsid w:val="009F0A40"/>
    <w:rsid w:val="009F432E"/>
    <w:rsid w:val="009F6090"/>
    <w:rsid w:val="00A252B0"/>
    <w:rsid w:val="00A2560A"/>
    <w:rsid w:val="00A57A51"/>
    <w:rsid w:val="00A7216D"/>
    <w:rsid w:val="00A93583"/>
    <w:rsid w:val="00AA22F0"/>
    <w:rsid w:val="00AB0626"/>
    <w:rsid w:val="00AC6EF3"/>
    <w:rsid w:val="00AD2813"/>
    <w:rsid w:val="00AD3280"/>
    <w:rsid w:val="00AD718E"/>
    <w:rsid w:val="00AD7DAE"/>
    <w:rsid w:val="00AF606B"/>
    <w:rsid w:val="00B02976"/>
    <w:rsid w:val="00B054D4"/>
    <w:rsid w:val="00B12B21"/>
    <w:rsid w:val="00B36ECD"/>
    <w:rsid w:val="00B40265"/>
    <w:rsid w:val="00B4287A"/>
    <w:rsid w:val="00B643D0"/>
    <w:rsid w:val="00B64E87"/>
    <w:rsid w:val="00B67212"/>
    <w:rsid w:val="00B7504D"/>
    <w:rsid w:val="00B8376C"/>
    <w:rsid w:val="00BB07F9"/>
    <w:rsid w:val="00BF4D9D"/>
    <w:rsid w:val="00C02D95"/>
    <w:rsid w:val="00C4596A"/>
    <w:rsid w:val="00C53B13"/>
    <w:rsid w:val="00C60249"/>
    <w:rsid w:val="00C611D5"/>
    <w:rsid w:val="00C6499D"/>
    <w:rsid w:val="00C65DE3"/>
    <w:rsid w:val="00C778C3"/>
    <w:rsid w:val="00C84B62"/>
    <w:rsid w:val="00C9497E"/>
    <w:rsid w:val="00CA36F3"/>
    <w:rsid w:val="00CA407C"/>
    <w:rsid w:val="00CF3AE5"/>
    <w:rsid w:val="00CF79F8"/>
    <w:rsid w:val="00D0101F"/>
    <w:rsid w:val="00D32744"/>
    <w:rsid w:val="00D32909"/>
    <w:rsid w:val="00D552BE"/>
    <w:rsid w:val="00D9045A"/>
    <w:rsid w:val="00D91C5F"/>
    <w:rsid w:val="00DB59BD"/>
    <w:rsid w:val="00E01CFE"/>
    <w:rsid w:val="00E505B6"/>
    <w:rsid w:val="00E76F30"/>
    <w:rsid w:val="00E80BE8"/>
    <w:rsid w:val="00E86C25"/>
    <w:rsid w:val="00EA09DC"/>
    <w:rsid w:val="00EB5433"/>
    <w:rsid w:val="00EF6175"/>
    <w:rsid w:val="00F22AF9"/>
    <w:rsid w:val="00F55D49"/>
    <w:rsid w:val="00F6591D"/>
    <w:rsid w:val="00FC3923"/>
    <w:rsid w:val="00FC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CDE43"/>
  <w15:docId w15:val="{B8847190-FC0A-4688-8B34-62DDB7F00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styleId="FootnoteText">
    <w:name w:val="footnote text"/>
    <w:basedOn w:val="Normal"/>
    <w:link w:val="FootnoteTextChar"/>
    <w:uiPriority w:val="99"/>
    <w:semiHidden/>
    <w:unhideWhenUsed/>
    <w:rsid w:val="009D25A5"/>
    <w:rPr>
      <w:sz w:val="20"/>
      <w:szCs w:val="20"/>
    </w:rPr>
  </w:style>
  <w:style w:type="character" w:customStyle="1" w:styleId="FootnoteTextChar">
    <w:name w:val="Footnote Text Char"/>
    <w:basedOn w:val="DefaultParagraphFont"/>
    <w:link w:val="FootnoteText"/>
    <w:uiPriority w:val="99"/>
    <w:semiHidden/>
    <w:rsid w:val="009D25A5"/>
    <w:rPr>
      <w:lang w:val="en-US" w:eastAsia="en-US"/>
    </w:rPr>
  </w:style>
  <w:style w:type="character" w:styleId="FootnoteReference">
    <w:name w:val="footnote reference"/>
    <w:basedOn w:val="DefaultParagraphFont"/>
    <w:uiPriority w:val="99"/>
    <w:semiHidden/>
    <w:unhideWhenUsed/>
    <w:rsid w:val="009D25A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12687">
      <w:bodyDiv w:val="1"/>
      <w:marLeft w:val="0"/>
      <w:marRight w:val="0"/>
      <w:marTop w:val="0"/>
      <w:marBottom w:val="0"/>
      <w:divBdr>
        <w:top w:val="none" w:sz="0" w:space="0" w:color="auto"/>
        <w:left w:val="none" w:sz="0" w:space="0" w:color="auto"/>
        <w:bottom w:val="none" w:sz="0" w:space="0" w:color="auto"/>
        <w:right w:val="none" w:sz="0" w:space="0" w:color="auto"/>
      </w:divBdr>
    </w:div>
    <w:div w:id="47531793">
      <w:bodyDiv w:val="1"/>
      <w:marLeft w:val="0"/>
      <w:marRight w:val="0"/>
      <w:marTop w:val="0"/>
      <w:marBottom w:val="0"/>
      <w:divBdr>
        <w:top w:val="none" w:sz="0" w:space="0" w:color="auto"/>
        <w:left w:val="none" w:sz="0" w:space="0" w:color="auto"/>
        <w:bottom w:val="none" w:sz="0" w:space="0" w:color="auto"/>
        <w:right w:val="none" w:sz="0" w:space="0" w:color="auto"/>
      </w:divBdr>
    </w:div>
    <w:div w:id="341012846">
      <w:bodyDiv w:val="1"/>
      <w:marLeft w:val="0"/>
      <w:marRight w:val="0"/>
      <w:marTop w:val="0"/>
      <w:marBottom w:val="0"/>
      <w:divBdr>
        <w:top w:val="none" w:sz="0" w:space="0" w:color="auto"/>
        <w:left w:val="none" w:sz="0" w:space="0" w:color="auto"/>
        <w:bottom w:val="none" w:sz="0" w:space="0" w:color="auto"/>
        <w:right w:val="none" w:sz="0" w:space="0" w:color="auto"/>
      </w:divBdr>
    </w:div>
    <w:div w:id="484008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B6D9581-58FC-4EA7-9523-25E024875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8</Pages>
  <Words>3845</Words>
  <Characters>21919</Characters>
  <Application>Microsoft Office Word</Application>
  <DocSecurity>0</DocSecurity>
  <Lines>182</Lines>
  <Paragraphs>51</Paragraphs>
  <ScaleCrop>false</ScaleCrop>
  <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Glyn Conway (2116218)</cp:lastModifiedBy>
  <cp:revision>183</cp:revision>
  <dcterms:created xsi:type="dcterms:W3CDTF">2024-06-26T13:14:00Z</dcterms:created>
  <dcterms:modified xsi:type="dcterms:W3CDTF">2024-06-27T13:20:00Z</dcterms:modified>
</cp:coreProperties>
</file>