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9DB40C" w14:textId="77777777" w:rsidR="00386535" w:rsidRPr="007E596C" w:rsidRDefault="00386535" w:rsidP="00E5539B">
      <w:pPr>
        <w:rPr>
          <w:rFonts w:cs="Times New Roman"/>
          <w:szCs w:val="24"/>
        </w:rPr>
      </w:pPr>
    </w:p>
    <w:p w14:paraId="6A10E209" w14:textId="77777777" w:rsidR="00877AC1" w:rsidRPr="007E596C" w:rsidRDefault="00877AC1" w:rsidP="00E5539B">
      <w:pPr>
        <w:rPr>
          <w:rFonts w:cs="Times New Roman"/>
          <w:szCs w:val="24"/>
        </w:rPr>
      </w:pPr>
    </w:p>
    <w:p w14:paraId="24BC5D85" w14:textId="77777777" w:rsidR="00877AC1" w:rsidRPr="007E596C" w:rsidRDefault="00877AC1" w:rsidP="00E5539B">
      <w:pPr>
        <w:rPr>
          <w:rFonts w:cs="Times New Roman"/>
          <w:szCs w:val="24"/>
        </w:rPr>
      </w:pPr>
    </w:p>
    <w:p w14:paraId="695C8085" w14:textId="77777777" w:rsidR="00877AC1" w:rsidRPr="007E596C" w:rsidRDefault="00877AC1" w:rsidP="00E5539B">
      <w:pPr>
        <w:rPr>
          <w:rFonts w:cs="Times New Roman"/>
          <w:szCs w:val="24"/>
        </w:rPr>
      </w:pPr>
    </w:p>
    <w:p w14:paraId="1CBB59EA" w14:textId="77777777" w:rsidR="00877AC1" w:rsidRPr="007E596C" w:rsidRDefault="00877AC1" w:rsidP="00E5539B">
      <w:pPr>
        <w:rPr>
          <w:rFonts w:cs="Times New Roman"/>
          <w:szCs w:val="24"/>
        </w:rPr>
      </w:pPr>
    </w:p>
    <w:p w14:paraId="5A75398D" w14:textId="77777777" w:rsidR="00877AC1" w:rsidRPr="007E596C" w:rsidRDefault="00877AC1" w:rsidP="00E5539B">
      <w:pPr>
        <w:rPr>
          <w:rFonts w:cs="Times New Roman"/>
          <w:szCs w:val="24"/>
        </w:rPr>
      </w:pPr>
    </w:p>
    <w:p w14:paraId="5E2DC45E" w14:textId="77777777" w:rsidR="00877AC1" w:rsidRPr="007E596C" w:rsidRDefault="00877AC1" w:rsidP="00E5539B">
      <w:pPr>
        <w:rPr>
          <w:rFonts w:cs="Times New Roman"/>
          <w:szCs w:val="24"/>
        </w:rPr>
      </w:pPr>
    </w:p>
    <w:p w14:paraId="1CD32471" w14:textId="6ECE4D57" w:rsidR="00877AC1" w:rsidRPr="0038335A" w:rsidRDefault="00D6648D" w:rsidP="00E5539B">
      <w:pPr>
        <w:jc w:val="center"/>
        <w:rPr>
          <w:rFonts w:cs="Times New Roman"/>
          <w:b/>
          <w:sz w:val="32"/>
          <w:szCs w:val="32"/>
        </w:rPr>
      </w:pPr>
      <w:r w:rsidRPr="0038335A">
        <w:rPr>
          <w:rFonts w:cs="Times New Roman"/>
          <w:b/>
          <w:sz w:val="32"/>
          <w:szCs w:val="32"/>
        </w:rPr>
        <w:t xml:space="preserve">Financial </w:t>
      </w:r>
      <w:r w:rsidR="007F03BE" w:rsidRPr="0038335A">
        <w:rPr>
          <w:rFonts w:cs="Times New Roman"/>
          <w:b/>
          <w:sz w:val="32"/>
          <w:szCs w:val="32"/>
        </w:rPr>
        <w:t>Management</w:t>
      </w:r>
      <w:r w:rsidRPr="0038335A">
        <w:rPr>
          <w:rFonts w:cs="Times New Roman"/>
          <w:b/>
          <w:sz w:val="32"/>
          <w:szCs w:val="32"/>
        </w:rPr>
        <w:t xml:space="preserve"> </w:t>
      </w:r>
      <w:r w:rsidR="007F03BE" w:rsidRPr="0038335A">
        <w:rPr>
          <w:rFonts w:cs="Times New Roman"/>
          <w:b/>
          <w:sz w:val="32"/>
          <w:szCs w:val="32"/>
        </w:rPr>
        <w:t>for the Hotel Industry</w:t>
      </w:r>
      <w:r w:rsidRPr="0038335A">
        <w:rPr>
          <w:rFonts w:cs="Times New Roman"/>
          <w:b/>
          <w:sz w:val="32"/>
          <w:szCs w:val="32"/>
        </w:rPr>
        <w:t xml:space="preserve"> </w:t>
      </w:r>
    </w:p>
    <w:p w14:paraId="0FF6318A" w14:textId="76235879" w:rsidR="007F03BE" w:rsidRPr="0038335A" w:rsidRDefault="007F03BE" w:rsidP="00E5539B">
      <w:pPr>
        <w:jc w:val="center"/>
        <w:rPr>
          <w:rFonts w:cs="Times New Roman"/>
          <w:b/>
          <w:sz w:val="32"/>
          <w:szCs w:val="32"/>
        </w:rPr>
      </w:pPr>
      <w:r w:rsidRPr="0038335A">
        <w:rPr>
          <w:rFonts w:cs="Times New Roman"/>
          <w:b/>
          <w:sz w:val="32"/>
          <w:szCs w:val="32"/>
        </w:rPr>
        <w:t>Report Case Study: The City Hotel</w:t>
      </w:r>
    </w:p>
    <w:p w14:paraId="137487AF" w14:textId="23DDA90B" w:rsidR="007F03BE" w:rsidRPr="0038335A" w:rsidRDefault="007F03BE" w:rsidP="00E5539B">
      <w:pPr>
        <w:jc w:val="center"/>
        <w:rPr>
          <w:rFonts w:cs="Times New Roman"/>
          <w:b/>
          <w:sz w:val="32"/>
          <w:szCs w:val="32"/>
        </w:rPr>
      </w:pPr>
      <w:r w:rsidRPr="0038335A">
        <w:rPr>
          <w:rFonts w:cs="Times New Roman"/>
          <w:b/>
          <w:sz w:val="32"/>
          <w:szCs w:val="32"/>
        </w:rPr>
        <w:t>BMIH5007</w:t>
      </w:r>
    </w:p>
    <w:p w14:paraId="7B508077" w14:textId="6BF6BA5F" w:rsidR="007F03BE" w:rsidRPr="0038335A" w:rsidRDefault="007F03BE" w:rsidP="00E5539B">
      <w:pPr>
        <w:jc w:val="center"/>
        <w:rPr>
          <w:rFonts w:cs="Times New Roman"/>
          <w:b/>
          <w:sz w:val="32"/>
          <w:szCs w:val="32"/>
        </w:rPr>
      </w:pPr>
      <w:r w:rsidRPr="0038335A">
        <w:rPr>
          <w:rFonts w:cs="Times New Roman"/>
          <w:b/>
          <w:sz w:val="32"/>
          <w:szCs w:val="32"/>
        </w:rPr>
        <w:t>Tutor Tristan Hawkins</w:t>
      </w:r>
    </w:p>
    <w:p w14:paraId="30BFD713" w14:textId="416053F1" w:rsidR="007F03BE" w:rsidRPr="0038335A" w:rsidRDefault="007F03BE" w:rsidP="00E5539B">
      <w:pPr>
        <w:jc w:val="center"/>
        <w:rPr>
          <w:rFonts w:cs="Times New Roman"/>
          <w:b/>
          <w:sz w:val="32"/>
          <w:szCs w:val="32"/>
        </w:rPr>
      </w:pPr>
      <w:r w:rsidRPr="0038335A">
        <w:rPr>
          <w:rFonts w:cs="Times New Roman"/>
          <w:b/>
          <w:sz w:val="32"/>
          <w:szCs w:val="32"/>
        </w:rPr>
        <w:t>Saima Jabeen</w:t>
      </w:r>
    </w:p>
    <w:p w14:paraId="1C52E69A" w14:textId="675A6EF0" w:rsidR="007F03BE" w:rsidRPr="0038335A" w:rsidRDefault="007F03BE" w:rsidP="00E5539B">
      <w:pPr>
        <w:jc w:val="center"/>
        <w:rPr>
          <w:rFonts w:cs="Times New Roman"/>
          <w:b/>
          <w:sz w:val="32"/>
          <w:szCs w:val="32"/>
        </w:rPr>
      </w:pPr>
      <w:r w:rsidRPr="0038335A">
        <w:rPr>
          <w:rFonts w:cs="Times New Roman"/>
          <w:b/>
          <w:sz w:val="32"/>
          <w:szCs w:val="32"/>
        </w:rPr>
        <w:t>2241265</w:t>
      </w:r>
    </w:p>
    <w:p w14:paraId="39C35E26" w14:textId="6196B329" w:rsidR="007F03BE" w:rsidRPr="0038335A" w:rsidRDefault="007F03BE" w:rsidP="00E5539B">
      <w:pPr>
        <w:jc w:val="center"/>
        <w:rPr>
          <w:rFonts w:cs="Times New Roman"/>
          <w:b/>
          <w:sz w:val="32"/>
          <w:szCs w:val="32"/>
        </w:rPr>
      </w:pPr>
      <w:r w:rsidRPr="0038335A">
        <w:rPr>
          <w:rFonts w:cs="Times New Roman"/>
          <w:b/>
          <w:sz w:val="32"/>
          <w:szCs w:val="32"/>
        </w:rPr>
        <w:t>14/11/2024</w:t>
      </w:r>
    </w:p>
    <w:p w14:paraId="6B29B1CE" w14:textId="7F2436E2" w:rsidR="00877AC1" w:rsidRPr="0038335A" w:rsidRDefault="0038335A" w:rsidP="0038335A">
      <w:pPr>
        <w:jc w:val="center"/>
        <w:rPr>
          <w:rFonts w:cs="Times New Roman"/>
          <w:b/>
          <w:bCs/>
          <w:sz w:val="32"/>
          <w:szCs w:val="32"/>
        </w:rPr>
      </w:pPr>
      <w:r w:rsidRPr="0038335A">
        <w:rPr>
          <w:rFonts w:cs="Times New Roman"/>
          <w:b/>
          <w:bCs/>
          <w:sz w:val="32"/>
          <w:szCs w:val="32"/>
        </w:rPr>
        <w:t>Word Count 2200</w:t>
      </w:r>
    </w:p>
    <w:p w14:paraId="49B8AA26" w14:textId="3AC9F4E7" w:rsidR="0038335A" w:rsidRPr="0038335A" w:rsidRDefault="0038335A" w:rsidP="0038335A">
      <w:pPr>
        <w:jc w:val="center"/>
        <w:rPr>
          <w:rFonts w:cs="Times New Roman"/>
          <w:b/>
          <w:bCs/>
          <w:sz w:val="32"/>
          <w:szCs w:val="32"/>
        </w:rPr>
      </w:pPr>
      <w:r w:rsidRPr="0038335A">
        <w:rPr>
          <w:rFonts w:cs="Times New Roman"/>
          <w:b/>
          <w:bCs/>
          <w:sz w:val="32"/>
          <w:szCs w:val="32"/>
        </w:rPr>
        <w:t>I decare I did not use A.I. in this Report</w:t>
      </w:r>
    </w:p>
    <w:p w14:paraId="399712DD" w14:textId="77777777" w:rsidR="00877AC1" w:rsidRPr="007F03BE" w:rsidRDefault="00877AC1" w:rsidP="00E5539B">
      <w:pPr>
        <w:rPr>
          <w:rFonts w:cs="Times New Roman"/>
          <w:sz w:val="36"/>
          <w:szCs w:val="36"/>
        </w:rPr>
      </w:pPr>
    </w:p>
    <w:p w14:paraId="73BB78D5" w14:textId="77777777" w:rsidR="00877AC1" w:rsidRPr="00D27F48" w:rsidRDefault="00877AC1" w:rsidP="00E5539B">
      <w:pPr>
        <w:rPr>
          <w:rFonts w:cs="Times New Roman"/>
          <w:szCs w:val="24"/>
        </w:rPr>
      </w:pPr>
    </w:p>
    <w:p w14:paraId="7A176754" w14:textId="77777777" w:rsidR="00877AC1" w:rsidRPr="00D27F48" w:rsidRDefault="00877AC1" w:rsidP="00E5539B">
      <w:pPr>
        <w:rPr>
          <w:rFonts w:cs="Times New Roman"/>
          <w:szCs w:val="24"/>
        </w:rPr>
      </w:pPr>
    </w:p>
    <w:p w14:paraId="6EE40DB4" w14:textId="77777777" w:rsidR="00877AC1" w:rsidRPr="00D27F48" w:rsidRDefault="00877AC1" w:rsidP="00E5539B">
      <w:pPr>
        <w:rPr>
          <w:rFonts w:cs="Times New Roman"/>
          <w:szCs w:val="24"/>
        </w:rPr>
      </w:pPr>
    </w:p>
    <w:p w14:paraId="3DEEACE6" w14:textId="77777777" w:rsidR="00877AC1" w:rsidRPr="00D27F48" w:rsidRDefault="00877AC1" w:rsidP="00E5539B">
      <w:pPr>
        <w:rPr>
          <w:rFonts w:cs="Times New Roman"/>
          <w:szCs w:val="24"/>
        </w:rPr>
      </w:pPr>
    </w:p>
    <w:p w14:paraId="086BCCCC" w14:textId="77777777" w:rsidR="00877AC1" w:rsidRPr="00D27F48" w:rsidRDefault="00877AC1" w:rsidP="00E5539B">
      <w:pPr>
        <w:rPr>
          <w:rFonts w:cs="Times New Roman"/>
          <w:szCs w:val="24"/>
        </w:rPr>
      </w:pPr>
    </w:p>
    <w:p w14:paraId="2A9C6E66" w14:textId="5E124433" w:rsidR="00877AC1" w:rsidRPr="00D27F48" w:rsidRDefault="00877AC1" w:rsidP="00E5539B">
      <w:pPr>
        <w:rPr>
          <w:rFonts w:cs="Times New Roman"/>
          <w:szCs w:val="24"/>
        </w:rPr>
      </w:pPr>
    </w:p>
    <w:p w14:paraId="117AC80D" w14:textId="77777777" w:rsidR="0038335A" w:rsidRPr="00D27F48" w:rsidRDefault="0038335A" w:rsidP="0038335A">
      <w:pPr>
        <w:ind w:firstLine="0"/>
        <w:rPr>
          <w:rFonts w:cs="Times New Roman"/>
          <w:szCs w:val="24"/>
        </w:rPr>
      </w:pPr>
    </w:p>
    <w:p w14:paraId="4CCF08EA" w14:textId="3D95EA60" w:rsidR="00E5539B" w:rsidRPr="00D27F48" w:rsidRDefault="00E5539B" w:rsidP="00E5539B">
      <w:pPr>
        <w:rPr>
          <w:rFonts w:cs="Times New Roman"/>
          <w:szCs w:val="24"/>
        </w:rPr>
      </w:pPr>
    </w:p>
    <w:p w14:paraId="562CE14F" w14:textId="77777777" w:rsidR="00877AC1" w:rsidRPr="0038335A" w:rsidRDefault="00D6648D" w:rsidP="00AE2818">
      <w:pPr>
        <w:pStyle w:val="Heading1"/>
      </w:pPr>
      <w:r w:rsidRPr="0038335A">
        <w:rPr>
          <w:rStyle w:val="Strong"/>
          <w:b/>
          <w:bCs w:val="0"/>
        </w:rPr>
        <w:t>Introduction</w:t>
      </w:r>
    </w:p>
    <w:p w14:paraId="48620F7E" w14:textId="19B73A92" w:rsidR="00877AC1" w:rsidRPr="0038335A" w:rsidRDefault="00D6648D" w:rsidP="0071701C">
      <w:pPr>
        <w:pStyle w:val="NormalWeb"/>
        <w:spacing w:before="0" w:beforeAutospacing="0" w:after="0" w:afterAutospacing="0" w:line="360" w:lineRule="auto"/>
        <w:ind w:firstLine="0"/>
      </w:pPr>
      <w:r w:rsidRPr="0038335A">
        <w:t xml:space="preserve">The City Hotel provides the guests with a full service for both tourists and individuals on business trips. Although the hotel is centrally located with a large number of facilities and services the revenue, occupancy rate, and overall client satisfaction trends of the hotel have declined in the recent past. This </w:t>
      </w:r>
      <w:r w:rsidR="00227B70" w:rsidRPr="0038335A">
        <w:t xml:space="preserve">assignment </w:t>
      </w:r>
      <w:r w:rsidRPr="0038335A">
        <w:t>seeks to evaluate the hotel's financial performance for the last three years to identify the cause of decreased profitability and offer a realistic strategic plan that will enhance the financial performance of the hotel while at the same time increasing client satisfaction.</w:t>
      </w:r>
    </w:p>
    <w:p w14:paraId="74F9385A" w14:textId="77777777" w:rsidR="00877AC1" w:rsidRPr="0038335A" w:rsidRDefault="00D6648D" w:rsidP="00AE2818">
      <w:pPr>
        <w:pStyle w:val="Heading1"/>
      </w:pPr>
      <w:r w:rsidRPr="0038335A">
        <w:t>Analysis of Financial Performance</w:t>
      </w:r>
    </w:p>
    <w:p w14:paraId="77EC30D0" w14:textId="5415AC25" w:rsidR="008A5C97" w:rsidRPr="0038335A" w:rsidRDefault="00D6648D" w:rsidP="00B044FF">
      <w:pPr>
        <w:pStyle w:val="Heading2"/>
      </w:pPr>
      <w:r w:rsidRPr="0038335A">
        <w:t xml:space="preserve">Review of Financial Statements </w:t>
      </w:r>
    </w:p>
    <w:p w14:paraId="3B19964C" w14:textId="77777777" w:rsidR="008A5C97" w:rsidRPr="0038335A" w:rsidRDefault="008A5C97" w:rsidP="00B044FF">
      <w:pPr>
        <w:jc w:val="center"/>
        <w:rPr>
          <w:rFonts w:eastAsia="Times New Roman" w:cs="Times New Roman"/>
          <w:szCs w:val="24"/>
          <w:lang w:eastAsia="en-GB"/>
        </w:rPr>
      </w:pPr>
      <w:r w:rsidRPr="0038335A">
        <w:rPr>
          <w:rFonts w:eastAsia="Times New Roman" w:cs="Times New Roman"/>
          <w:b/>
          <w:bCs/>
          <w:szCs w:val="24"/>
          <w:lang w:eastAsia="en-GB"/>
        </w:rPr>
        <w:t>Table 1: Key Financial Metrics (2021-2023)</w:t>
      </w:r>
    </w:p>
    <w:tbl>
      <w:tblPr>
        <w:tblStyle w:val="TableGrid"/>
        <w:tblW w:w="0" w:type="auto"/>
        <w:jc w:val="center"/>
        <w:tblLook w:val="04A0" w:firstRow="1" w:lastRow="0" w:firstColumn="1" w:lastColumn="0" w:noHBand="0" w:noVBand="1"/>
      </w:tblPr>
      <w:tblGrid>
        <w:gridCol w:w="2870"/>
        <w:gridCol w:w="1590"/>
        <w:gridCol w:w="1590"/>
        <w:gridCol w:w="1590"/>
      </w:tblGrid>
      <w:tr w:rsidR="008A5C97" w:rsidRPr="0038335A" w14:paraId="6DC5B406" w14:textId="77777777" w:rsidTr="00B044FF">
        <w:trPr>
          <w:jc w:val="center"/>
        </w:trPr>
        <w:tc>
          <w:tcPr>
            <w:tcW w:w="0" w:type="auto"/>
            <w:hideMark/>
          </w:tcPr>
          <w:p w14:paraId="5FA7A977" w14:textId="77777777" w:rsidR="008A5C97" w:rsidRPr="0038335A" w:rsidRDefault="008A5C97" w:rsidP="005C7B7E">
            <w:pPr>
              <w:rPr>
                <w:rFonts w:eastAsia="Times New Roman" w:cs="Times New Roman"/>
                <w:b/>
                <w:bCs/>
                <w:szCs w:val="24"/>
                <w:lang w:eastAsia="en-GB"/>
              </w:rPr>
            </w:pPr>
            <w:r w:rsidRPr="0038335A">
              <w:rPr>
                <w:rFonts w:eastAsia="Times New Roman" w:cs="Times New Roman"/>
                <w:b/>
                <w:bCs/>
                <w:szCs w:val="24"/>
                <w:lang w:eastAsia="en-GB"/>
              </w:rPr>
              <w:t>Metric</w:t>
            </w:r>
          </w:p>
        </w:tc>
        <w:tc>
          <w:tcPr>
            <w:tcW w:w="0" w:type="auto"/>
            <w:hideMark/>
          </w:tcPr>
          <w:p w14:paraId="3E1D1B7D" w14:textId="77777777" w:rsidR="008A5C97" w:rsidRPr="0038335A" w:rsidRDefault="008A5C97" w:rsidP="005C7B7E">
            <w:pPr>
              <w:rPr>
                <w:rFonts w:eastAsia="Times New Roman" w:cs="Times New Roman"/>
                <w:b/>
                <w:bCs/>
                <w:szCs w:val="24"/>
                <w:lang w:eastAsia="en-GB"/>
              </w:rPr>
            </w:pPr>
            <w:r w:rsidRPr="0038335A">
              <w:rPr>
                <w:rFonts w:eastAsia="Times New Roman" w:cs="Times New Roman"/>
                <w:b/>
                <w:bCs/>
                <w:szCs w:val="24"/>
                <w:lang w:eastAsia="en-GB"/>
              </w:rPr>
              <w:t>2021</w:t>
            </w:r>
          </w:p>
        </w:tc>
        <w:tc>
          <w:tcPr>
            <w:tcW w:w="0" w:type="auto"/>
            <w:hideMark/>
          </w:tcPr>
          <w:p w14:paraId="7DB45B67" w14:textId="77777777" w:rsidR="008A5C97" w:rsidRPr="0038335A" w:rsidRDefault="008A5C97" w:rsidP="005C7B7E">
            <w:pPr>
              <w:rPr>
                <w:rFonts w:eastAsia="Times New Roman" w:cs="Times New Roman"/>
                <w:b/>
                <w:bCs/>
                <w:szCs w:val="24"/>
                <w:lang w:eastAsia="en-GB"/>
              </w:rPr>
            </w:pPr>
            <w:r w:rsidRPr="0038335A">
              <w:rPr>
                <w:rFonts w:eastAsia="Times New Roman" w:cs="Times New Roman"/>
                <w:b/>
                <w:bCs/>
                <w:szCs w:val="24"/>
                <w:lang w:eastAsia="en-GB"/>
              </w:rPr>
              <w:t>2022</w:t>
            </w:r>
          </w:p>
        </w:tc>
        <w:tc>
          <w:tcPr>
            <w:tcW w:w="0" w:type="auto"/>
            <w:hideMark/>
          </w:tcPr>
          <w:p w14:paraId="0B238C30" w14:textId="77777777" w:rsidR="008A5C97" w:rsidRPr="0038335A" w:rsidRDefault="008A5C97" w:rsidP="005C7B7E">
            <w:pPr>
              <w:rPr>
                <w:rFonts w:eastAsia="Times New Roman" w:cs="Times New Roman"/>
                <w:b/>
                <w:bCs/>
                <w:szCs w:val="24"/>
                <w:lang w:eastAsia="en-GB"/>
              </w:rPr>
            </w:pPr>
            <w:r w:rsidRPr="0038335A">
              <w:rPr>
                <w:rFonts w:eastAsia="Times New Roman" w:cs="Times New Roman"/>
                <w:b/>
                <w:bCs/>
                <w:szCs w:val="24"/>
                <w:lang w:eastAsia="en-GB"/>
              </w:rPr>
              <w:t>2023</w:t>
            </w:r>
          </w:p>
        </w:tc>
      </w:tr>
      <w:tr w:rsidR="008A5C97" w:rsidRPr="0038335A" w14:paraId="2210D1E1" w14:textId="77777777" w:rsidTr="00B044FF">
        <w:trPr>
          <w:jc w:val="center"/>
        </w:trPr>
        <w:tc>
          <w:tcPr>
            <w:tcW w:w="0" w:type="auto"/>
            <w:hideMark/>
          </w:tcPr>
          <w:p w14:paraId="549838EC"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Revenue</w:t>
            </w:r>
          </w:p>
        </w:tc>
        <w:tc>
          <w:tcPr>
            <w:tcW w:w="0" w:type="auto"/>
            <w:hideMark/>
          </w:tcPr>
          <w:p w14:paraId="6ECCA18E" w14:textId="320E9239" w:rsidR="008A5C97" w:rsidRPr="0038335A" w:rsidRDefault="0071701C" w:rsidP="005C7B7E">
            <w:pPr>
              <w:rPr>
                <w:rFonts w:eastAsia="Times New Roman" w:cs="Times New Roman"/>
                <w:szCs w:val="24"/>
                <w:lang w:eastAsia="en-GB"/>
              </w:rPr>
            </w:pPr>
            <w:r w:rsidRPr="0038335A">
              <w:rPr>
                <w:rFonts w:eastAsia="Times New Roman" w:cs="Times New Roman"/>
                <w:szCs w:val="24"/>
                <w:lang w:eastAsia="en-GB"/>
              </w:rPr>
              <w:t>£</w:t>
            </w:r>
            <w:r w:rsidR="008A5C97" w:rsidRPr="0038335A">
              <w:rPr>
                <w:rFonts w:eastAsia="Times New Roman" w:cs="Times New Roman"/>
                <w:szCs w:val="24"/>
                <w:lang w:eastAsia="en-GB"/>
              </w:rPr>
              <w:t>10M</w:t>
            </w:r>
          </w:p>
        </w:tc>
        <w:tc>
          <w:tcPr>
            <w:tcW w:w="0" w:type="auto"/>
            <w:hideMark/>
          </w:tcPr>
          <w:p w14:paraId="3B5EAD09" w14:textId="1808CFED" w:rsidR="008A5C97" w:rsidRPr="0038335A" w:rsidRDefault="0071701C" w:rsidP="005C7B7E">
            <w:pPr>
              <w:rPr>
                <w:rFonts w:eastAsia="Times New Roman" w:cs="Times New Roman"/>
                <w:szCs w:val="24"/>
                <w:lang w:eastAsia="en-GB"/>
              </w:rPr>
            </w:pPr>
            <w:r w:rsidRPr="0038335A">
              <w:rPr>
                <w:rFonts w:eastAsia="Times New Roman" w:cs="Times New Roman"/>
                <w:szCs w:val="24"/>
                <w:lang w:eastAsia="en-GB"/>
              </w:rPr>
              <w:t>£</w:t>
            </w:r>
            <w:r w:rsidR="008A5C97" w:rsidRPr="0038335A">
              <w:rPr>
                <w:rFonts w:eastAsia="Times New Roman" w:cs="Times New Roman"/>
                <w:szCs w:val="24"/>
                <w:lang w:eastAsia="en-GB"/>
              </w:rPr>
              <w:t>8.8M</w:t>
            </w:r>
          </w:p>
        </w:tc>
        <w:tc>
          <w:tcPr>
            <w:tcW w:w="0" w:type="auto"/>
            <w:hideMark/>
          </w:tcPr>
          <w:p w14:paraId="3A211434" w14:textId="788DAD08" w:rsidR="008A5C97" w:rsidRPr="0038335A" w:rsidRDefault="0071701C" w:rsidP="005C7B7E">
            <w:pPr>
              <w:rPr>
                <w:rFonts w:eastAsia="Times New Roman" w:cs="Times New Roman"/>
                <w:szCs w:val="24"/>
                <w:lang w:eastAsia="en-GB"/>
              </w:rPr>
            </w:pPr>
            <w:r w:rsidRPr="0038335A">
              <w:rPr>
                <w:rFonts w:eastAsia="Times New Roman" w:cs="Times New Roman"/>
                <w:szCs w:val="24"/>
                <w:lang w:eastAsia="en-GB"/>
              </w:rPr>
              <w:t>£</w:t>
            </w:r>
            <w:r w:rsidR="008A5C97" w:rsidRPr="0038335A">
              <w:rPr>
                <w:rFonts w:eastAsia="Times New Roman" w:cs="Times New Roman"/>
                <w:szCs w:val="24"/>
                <w:lang w:eastAsia="en-GB"/>
              </w:rPr>
              <w:t>8.1M</w:t>
            </w:r>
          </w:p>
        </w:tc>
      </w:tr>
      <w:tr w:rsidR="008A5C97" w:rsidRPr="0038335A" w14:paraId="3A33E788" w14:textId="77777777" w:rsidTr="00B044FF">
        <w:trPr>
          <w:jc w:val="center"/>
        </w:trPr>
        <w:tc>
          <w:tcPr>
            <w:tcW w:w="0" w:type="auto"/>
            <w:hideMark/>
          </w:tcPr>
          <w:p w14:paraId="7A50670C"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Gross Profit Margin</w:t>
            </w:r>
          </w:p>
        </w:tc>
        <w:tc>
          <w:tcPr>
            <w:tcW w:w="0" w:type="auto"/>
            <w:hideMark/>
          </w:tcPr>
          <w:p w14:paraId="798E2E0B"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35%</w:t>
            </w:r>
          </w:p>
        </w:tc>
        <w:tc>
          <w:tcPr>
            <w:tcW w:w="0" w:type="auto"/>
            <w:hideMark/>
          </w:tcPr>
          <w:p w14:paraId="5E895168"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32%</w:t>
            </w:r>
          </w:p>
        </w:tc>
        <w:tc>
          <w:tcPr>
            <w:tcW w:w="0" w:type="auto"/>
            <w:hideMark/>
          </w:tcPr>
          <w:p w14:paraId="5504F4E5"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30%</w:t>
            </w:r>
          </w:p>
        </w:tc>
      </w:tr>
      <w:tr w:rsidR="008A5C97" w:rsidRPr="0038335A" w14:paraId="056BF5D2" w14:textId="77777777" w:rsidTr="00B044FF">
        <w:trPr>
          <w:jc w:val="center"/>
        </w:trPr>
        <w:tc>
          <w:tcPr>
            <w:tcW w:w="0" w:type="auto"/>
            <w:hideMark/>
          </w:tcPr>
          <w:p w14:paraId="74462D49"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Operating Income</w:t>
            </w:r>
          </w:p>
        </w:tc>
        <w:tc>
          <w:tcPr>
            <w:tcW w:w="0" w:type="auto"/>
            <w:hideMark/>
          </w:tcPr>
          <w:p w14:paraId="43444467" w14:textId="5C4BB0BB" w:rsidR="008A5C97" w:rsidRPr="0038335A" w:rsidRDefault="0071701C" w:rsidP="005C7B7E">
            <w:pPr>
              <w:rPr>
                <w:rFonts w:eastAsia="Times New Roman" w:cs="Times New Roman"/>
                <w:szCs w:val="24"/>
                <w:lang w:eastAsia="en-GB"/>
              </w:rPr>
            </w:pPr>
            <w:r w:rsidRPr="0038335A">
              <w:rPr>
                <w:rFonts w:eastAsia="Times New Roman" w:cs="Times New Roman"/>
                <w:szCs w:val="24"/>
                <w:lang w:eastAsia="en-GB"/>
              </w:rPr>
              <w:t>£</w:t>
            </w:r>
            <w:r w:rsidR="008A5C97" w:rsidRPr="0038335A">
              <w:rPr>
                <w:rFonts w:eastAsia="Times New Roman" w:cs="Times New Roman"/>
                <w:szCs w:val="24"/>
                <w:lang w:eastAsia="en-GB"/>
              </w:rPr>
              <w:t>800K</w:t>
            </w:r>
          </w:p>
        </w:tc>
        <w:tc>
          <w:tcPr>
            <w:tcW w:w="0" w:type="auto"/>
            <w:hideMark/>
          </w:tcPr>
          <w:p w14:paraId="2D00F910" w14:textId="3343E78D" w:rsidR="008A5C97" w:rsidRPr="0038335A" w:rsidRDefault="0071701C" w:rsidP="005C7B7E">
            <w:pPr>
              <w:rPr>
                <w:rFonts w:eastAsia="Times New Roman" w:cs="Times New Roman"/>
                <w:szCs w:val="24"/>
                <w:lang w:eastAsia="en-GB"/>
              </w:rPr>
            </w:pPr>
            <w:r w:rsidRPr="0038335A">
              <w:rPr>
                <w:rFonts w:eastAsia="Times New Roman" w:cs="Times New Roman"/>
                <w:szCs w:val="24"/>
                <w:lang w:eastAsia="en-GB"/>
              </w:rPr>
              <w:t>£</w:t>
            </w:r>
            <w:r w:rsidR="008A5C97" w:rsidRPr="0038335A">
              <w:rPr>
                <w:rFonts w:eastAsia="Times New Roman" w:cs="Times New Roman"/>
                <w:szCs w:val="24"/>
                <w:lang w:eastAsia="en-GB"/>
              </w:rPr>
              <w:t>700K</w:t>
            </w:r>
          </w:p>
        </w:tc>
        <w:tc>
          <w:tcPr>
            <w:tcW w:w="0" w:type="auto"/>
            <w:hideMark/>
          </w:tcPr>
          <w:p w14:paraId="195FA5E5" w14:textId="3976E8A9" w:rsidR="008A5C97" w:rsidRPr="0038335A" w:rsidRDefault="0071701C" w:rsidP="005C7B7E">
            <w:pPr>
              <w:rPr>
                <w:rFonts w:eastAsia="Times New Roman" w:cs="Times New Roman"/>
                <w:szCs w:val="24"/>
                <w:lang w:eastAsia="en-GB"/>
              </w:rPr>
            </w:pPr>
            <w:r w:rsidRPr="0038335A">
              <w:rPr>
                <w:rFonts w:eastAsia="Times New Roman" w:cs="Times New Roman"/>
                <w:szCs w:val="24"/>
                <w:lang w:eastAsia="en-GB"/>
              </w:rPr>
              <w:t>£</w:t>
            </w:r>
            <w:r w:rsidR="008A5C97" w:rsidRPr="0038335A">
              <w:rPr>
                <w:rFonts w:eastAsia="Times New Roman" w:cs="Times New Roman"/>
                <w:szCs w:val="24"/>
                <w:lang w:eastAsia="en-GB"/>
              </w:rPr>
              <w:t>656K</w:t>
            </w:r>
          </w:p>
        </w:tc>
      </w:tr>
      <w:tr w:rsidR="008A5C97" w:rsidRPr="0038335A" w14:paraId="20BE7E21" w14:textId="77777777" w:rsidTr="00B044FF">
        <w:trPr>
          <w:jc w:val="center"/>
        </w:trPr>
        <w:tc>
          <w:tcPr>
            <w:tcW w:w="0" w:type="auto"/>
            <w:hideMark/>
          </w:tcPr>
          <w:p w14:paraId="19C23289"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Net Profit Margin</w:t>
            </w:r>
          </w:p>
        </w:tc>
        <w:tc>
          <w:tcPr>
            <w:tcW w:w="0" w:type="auto"/>
            <w:hideMark/>
          </w:tcPr>
          <w:p w14:paraId="4A1982EB"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8%</w:t>
            </w:r>
          </w:p>
        </w:tc>
        <w:tc>
          <w:tcPr>
            <w:tcW w:w="0" w:type="auto"/>
            <w:hideMark/>
          </w:tcPr>
          <w:p w14:paraId="4FC04058"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5%</w:t>
            </w:r>
          </w:p>
        </w:tc>
        <w:tc>
          <w:tcPr>
            <w:tcW w:w="0" w:type="auto"/>
            <w:hideMark/>
          </w:tcPr>
          <w:p w14:paraId="1D715B0B"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3%</w:t>
            </w:r>
          </w:p>
        </w:tc>
      </w:tr>
      <w:tr w:rsidR="008A5C97" w:rsidRPr="0038335A" w14:paraId="790DF0DA" w14:textId="77777777" w:rsidTr="00B044FF">
        <w:trPr>
          <w:jc w:val="center"/>
        </w:trPr>
        <w:tc>
          <w:tcPr>
            <w:tcW w:w="0" w:type="auto"/>
            <w:hideMark/>
          </w:tcPr>
          <w:p w14:paraId="46F97641"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ROA</w:t>
            </w:r>
          </w:p>
        </w:tc>
        <w:tc>
          <w:tcPr>
            <w:tcW w:w="0" w:type="auto"/>
            <w:hideMark/>
          </w:tcPr>
          <w:p w14:paraId="6B3A7347"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4.5%</w:t>
            </w:r>
          </w:p>
        </w:tc>
        <w:tc>
          <w:tcPr>
            <w:tcW w:w="0" w:type="auto"/>
            <w:hideMark/>
          </w:tcPr>
          <w:p w14:paraId="3C655890"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3.0%</w:t>
            </w:r>
          </w:p>
        </w:tc>
        <w:tc>
          <w:tcPr>
            <w:tcW w:w="0" w:type="auto"/>
            <w:hideMark/>
          </w:tcPr>
          <w:p w14:paraId="17036A33"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2.2%</w:t>
            </w:r>
          </w:p>
        </w:tc>
      </w:tr>
      <w:tr w:rsidR="008A5C97" w:rsidRPr="0038335A" w14:paraId="4E178A99" w14:textId="77777777" w:rsidTr="00B044FF">
        <w:trPr>
          <w:jc w:val="center"/>
        </w:trPr>
        <w:tc>
          <w:tcPr>
            <w:tcW w:w="0" w:type="auto"/>
            <w:hideMark/>
          </w:tcPr>
          <w:p w14:paraId="26DDE298"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ROE</w:t>
            </w:r>
          </w:p>
        </w:tc>
        <w:tc>
          <w:tcPr>
            <w:tcW w:w="0" w:type="auto"/>
            <w:hideMark/>
          </w:tcPr>
          <w:p w14:paraId="294A9D63"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12%</w:t>
            </w:r>
          </w:p>
        </w:tc>
        <w:tc>
          <w:tcPr>
            <w:tcW w:w="0" w:type="auto"/>
            <w:hideMark/>
          </w:tcPr>
          <w:p w14:paraId="2E84B356"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8%</w:t>
            </w:r>
          </w:p>
        </w:tc>
        <w:tc>
          <w:tcPr>
            <w:tcW w:w="0" w:type="auto"/>
            <w:hideMark/>
          </w:tcPr>
          <w:p w14:paraId="33E0B1F3"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5%</w:t>
            </w:r>
          </w:p>
        </w:tc>
      </w:tr>
      <w:tr w:rsidR="008A5C97" w:rsidRPr="0038335A" w14:paraId="79F24C91" w14:textId="77777777" w:rsidTr="00B044FF">
        <w:trPr>
          <w:jc w:val="center"/>
        </w:trPr>
        <w:tc>
          <w:tcPr>
            <w:tcW w:w="0" w:type="auto"/>
            <w:hideMark/>
          </w:tcPr>
          <w:p w14:paraId="782CE8D2"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Current Ratio</w:t>
            </w:r>
          </w:p>
        </w:tc>
        <w:tc>
          <w:tcPr>
            <w:tcW w:w="0" w:type="auto"/>
            <w:hideMark/>
          </w:tcPr>
          <w:p w14:paraId="6DECA6F0"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1.8</w:t>
            </w:r>
          </w:p>
        </w:tc>
        <w:tc>
          <w:tcPr>
            <w:tcW w:w="0" w:type="auto"/>
            <w:hideMark/>
          </w:tcPr>
          <w:p w14:paraId="2ACD3FB2"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1.6</w:t>
            </w:r>
          </w:p>
        </w:tc>
        <w:tc>
          <w:tcPr>
            <w:tcW w:w="0" w:type="auto"/>
            <w:hideMark/>
          </w:tcPr>
          <w:p w14:paraId="1F1168E8" w14:textId="77777777" w:rsidR="008A5C97" w:rsidRPr="0038335A" w:rsidRDefault="008A5C97" w:rsidP="005C7B7E">
            <w:pPr>
              <w:rPr>
                <w:rFonts w:eastAsia="Times New Roman" w:cs="Times New Roman"/>
                <w:szCs w:val="24"/>
                <w:lang w:eastAsia="en-GB"/>
              </w:rPr>
            </w:pPr>
            <w:r w:rsidRPr="0038335A">
              <w:rPr>
                <w:rFonts w:eastAsia="Times New Roman" w:cs="Times New Roman"/>
                <w:szCs w:val="24"/>
                <w:lang w:eastAsia="en-GB"/>
              </w:rPr>
              <w:t>1.4</w:t>
            </w:r>
          </w:p>
        </w:tc>
      </w:tr>
    </w:tbl>
    <w:p w14:paraId="2173F0DE" w14:textId="77777777" w:rsidR="008A5C97" w:rsidRPr="0038335A" w:rsidRDefault="008A5C97" w:rsidP="008A5C97">
      <w:pPr>
        <w:rPr>
          <w:rFonts w:cs="Times New Roman"/>
          <w:lang w:eastAsia="en-GB"/>
        </w:rPr>
      </w:pPr>
    </w:p>
    <w:p w14:paraId="52D392E0" w14:textId="29A7CD61" w:rsidR="0044276A" w:rsidRPr="0038335A" w:rsidRDefault="0044276A" w:rsidP="008A5C97">
      <w:pPr>
        <w:pStyle w:val="Heading3"/>
        <w:tabs>
          <w:tab w:val="left" w:pos="2790"/>
        </w:tabs>
      </w:pPr>
      <w:r w:rsidRPr="0038335A">
        <w:t>Revenue Analysis</w:t>
      </w:r>
    </w:p>
    <w:p w14:paraId="1A8838A3" w14:textId="0C26CAFB" w:rsidR="003446C3"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 xml:space="preserve">It established that generally, The City Hotel recorded a declining revenue from 2021 to 2023. Total revenue was reduced by </w:t>
      </w:r>
      <w:r w:rsidR="0071701C" w:rsidRPr="0038335A">
        <w:rPr>
          <w:rFonts w:eastAsia="Times New Roman" w:cs="Times New Roman"/>
          <w:szCs w:val="24"/>
          <w:lang w:eastAsia="en-GB"/>
        </w:rPr>
        <w:t>£</w:t>
      </w:r>
      <w:r w:rsidRPr="0038335A">
        <w:rPr>
          <w:rFonts w:eastAsia="Times New Roman" w:cs="Times New Roman"/>
          <w:szCs w:val="24"/>
          <w:lang w:eastAsia="en-GB"/>
        </w:rPr>
        <w:t xml:space="preserve">1.2 million from </w:t>
      </w:r>
      <w:r w:rsidR="0071701C" w:rsidRPr="0038335A">
        <w:rPr>
          <w:rFonts w:eastAsia="Times New Roman" w:cs="Times New Roman"/>
          <w:szCs w:val="24"/>
          <w:lang w:eastAsia="en-GB"/>
        </w:rPr>
        <w:t>£</w:t>
      </w:r>
      <w:r w:rsidRPr="0038335A">
        <w:rPr>
          <w:rFonts w:eastAsia="Times New Roman" w:cs="Times New Roman"/>
          <w:szCs w:val="24"/>
          <w:lang w:eastAsia="en-GB"/>
        </w:rPr>
        <w:t xml:space="preserve">10 million in 2021 to </w:t>
      </w:r>
      <w:r w:rsidR="0071701C" w:rsidRPr="0038335A">
        <w:rPr>
          <w:rFonts w:eastAsia="Times New Roman" w:cs="Times New Roman"/>
          <w:szCs w:val="24"/>
          <w:lang w:eastAsia="en-GB"/>
        </w:rPr>
        <w:t>£</w:t>
      </w:r>
      <w:r w:rsidRPr="0038335A">
        <w:rPr>
          <w:rFonts w:eastAsia="Times New Roman" w:cs="Times New Roman"/>
          <w:szCs w:val="24"/>
          <w:lang w:eastAsia="en-GB"/>
        </w:rPr>
        <w:t xml:space="preserve">8.8 million in 2022 and was down again by </w:t>
      </w:r>
      <w:r w:rsidR="0071701C" w:rsidRPr="0038335A">
        <w:rPr>
          <w:rFonts w:eastAsia="Times New Roman" w:cs="Times New Roman"/>
          <w:szCs w:val="24"/>
          <w:lang w:eastAsia="en-GB"/>
        </w:rPr>
        <w:t>£</w:t>
      </w:r>
      <w:r w:rsidRPr="0038335A">
        <w:rPr>
          <w:rFonts w:eastAsia="Times New Roman" w:cs="Times New Roman"/>
          <w:szCs w:val="24"/>
          <w:lang w:eastAsia="en-GB"/>
        </w:rPr>
        <w:t xml:space="preserve">0.7 million to </w:t>
      </w:r>
      <w:r w:rsidR="0071701C" w:rsidRPr="0038335A">
        <w:rPr>
          <w:rFonts w:eastAsia="Times New Roman" w:cs="Times New Roman"/>
          <w:szCs w:val="24"/>
          <w:lang w:eastAsia="en-GB"/>
        </w:rPr>
        <w:t>£</w:t>
      </w:r>
      <w:r w:rsidRPr="0038335A">
        <w:rPr>
          <w:rFonts w:eastAsia="Times New Roman" w:cs="Times New Roman"/>
          <w:szCs w:val="24"/>
          <w:lang w:eastAsia="en-GB"/>
        </w:rPr>
        <w:t>8.1 million in 2023. Some of the causes of this trend can be attributed to external economic factors that led to a dramatic low in travel across the world. Another consideration that contributed to the sector's performance was the rising rivalry from affordable types of online accommodation like Airbnb, which benefited from shifting consumer tendencies towards the direction of the much more economical price points. In addition, the crisis and the subsequent decline in various corporate events and business trips impacted hotels' target customer group and put pressure on the room usage rate. These declines reflect that increased competition is significant to reduce its revenues overcome these reduced services, and improve marketing communication.</w:t>
      </w:r>
    </w:p>
    <w:p w14:paraId="0D0307F2" w14:textId="41740D4C" w:rsidR="003446C3" w:rsidRPr="0038335A" w:rsidRDefault="00D6648D" w:rsidP="00E5539B">
      <w:pPr>
        <w:pStyle w:val="Heading3"/>
      </w:pPr>
      <w:r w:rsidRPr="0038335A">
        <w:t>Cost of Goo</w:t>
      </w:r>
      <w:r w:rsidR="0044276A" w:rsidRPr="0038335A">
        <w:t>ds Sold (COGS) &amp; Employee Costs</w:t>
      </w:r>
    </w:p>
    <w:p w14:paraId="63428481" w14:textId="48548B02" w:rsidR="001018B7"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A Cost of Goods Sold (COGS) was 30% of the total revenue for 2021 and raised to 35% in 2023. This change implies higher input costs, which can be attributed to the problem of high supply costs occasioned by supply shocks, and inflationary pressures that have elevated the price of food and other necessities. A calculation of COGS as a percentage of revenue in each year confirms this trend:</w:t>
      </w:r>
    </w:p>
    <w:p w14:paraId="514AF6BA" w14:textId="50004511" w:rsidR="00B90B55" w:rsidRPr="0038335A" w:rsidRDefault="00D6648D" w:rsidP="00E5539B">
      <w:pPr>
        <w:jc w:val="center"/>
        <w:rPr>
          <w:rFonts w:eastAsia="Times New Roman" w:cs="Times New Roman"/>
          <w:b/>
          <w:i/>
          <w:szCs w:val="24"/>
          <w:lang w:eastAsia="en-GB"/>
        </w:rPr>
      </w:pPr>
      <w:r w:rsidRPr="0038335A">
        <w:rPr>
          <w:rStyle w:val="Strong"/>
          <w:rFonts w:cs="Times New Roman"/>
          <w:b w:val="0"/>
          <w:i/>
          <w:color w:val="333333"/>
          <w:szCs w:val="24"/>
        </w:rPr>
        <w:t>COGS = (beginning inventory + purchases – ending inventory) / Total Revenue x 100</w:t>
      </w:r>
    </w:p>
    <w:p w14:paraId="45654D86" w14:textId="53647804" w:rsidR="001018B7"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 xml:space="preserve">Continual problems also include higher COGS as well as employee costs that have been explored throughout the years. Despite a reduction in the number of staff members from 10 to 9, employee costs, which were </w:t>
      </w:r>
      <w:r w:rsidR="0071701C" w:rsidRPr="0038335A">
        <w:rPr>
          <w:rFonts w:eastAsia="Times New Roman" w:cs="Times New Roman"/>
          <w:szCs w:val="24"/>
          <w:lang w:eastAsia="en-GB"/>
        </w:rPr>
        <w:t>£</w:t>
      </w:r>
      <w:r w:rsidRPr="0038335A">
        <w:rPr>
          <w:rFonts w:eastAsia="Times New Roman" w:cs="Times New Roman"/>
          <w:szCs w:val="24"/>
          <w:lang w:eastAsia="en-GB"/>
        </w:rPr>
        <w:t xml:space="preserve">1.5 million in 2021, rose to </w:t>
      </w:r>
      <w:r w:rsidR="0071701C" w:rsidRPr="0038335A">
        <w:rPr>
          <w:rFonts w:eastAsia="Times New Roman" w:cs="Times New Roman"/>
          <w:szCs w:val="24"/>
          <w:lang w:eastAsia="en-GB"/>
        </w:rPr>
        <w:t>£</w:t>
      </w:r>
      <w:r w:rsidRPr="0038335A">
        <w:rPr>
          <w:rFonts w:eastAsia="Times New Roman" w:cs="Times New Roman"/>
          <w:szCs w:val="24"/>
          <w:lang w:eastAsia="en-GB"/>
        </w:rPr>
        <w:t>1.8 million in 2023; it lets one assume inefficiency or too many staff members in some divisions. This increase could also be attributed to poor management of human resources in that tasks could be automated or personnel from other departments trained to perform this task thus cutting down on the number of personnel required. This is a clear indication of operational cost wastage areas that have not received corresponding revenues that can boost profitability.</w:t>
      </w:r>
    </w:p>
    <w:tbl>
      <w:tblPr>
        <w:tblStyle w:val="TableGrid"/>
        <w:tblW w:w="0" w:type="auto"/>
        <w:tblLook w:val="04A0" w:firstRow="1" w:lastRow="0" w:firstColumn="1" w:lastColumn="0" w:noHBand="0" w:noVBand="1"/>
      </w:tblPr>
      <w:tblGrid>
        <w:gridCol w:w="724"/>
        <w:gridCol w:w="1646"/>
        <w:gridCol w:w="1317"/>
        <w:gridCol w:w="1712"/>
        <w:gridCol w:w="1626"/>
        <w:gridCol w:w="2325"/>
      </w:tblGrid>
      <w:tr w:rsidR="00487787" w:rsidRPr="0038335A" w14:paraId="5356F2C8" w14:textId="77777777" w:rsidTr="00B90B55">
        <w:tc>
          <w:tcPr>
            <w:tcW w:w="0" w:type="auto"/>
            <w:hideMark/>
          </w:tcPr>
          <w:p w14:paraId="3B2C7D8F" w14:textId="77777777" w:rsidR="00B90B55" w:rsidRPr="0038335A" w:rsidRDefault="00D6648D" w:rsidP="00E541EA">
            <w:pPr>
              <w:ind w:firstLine="0"/>
              <w:rPr>
                <w:rFonts w:eastAsia="Times New Roman" w:cs="Times New Roman"/>
                <w:b/>
                <w:bCs/>
                <w:szCs w:val="24"/>
                <w:lang w:eastAsia="en-GB"/>
              </w:rPr>
            </w:pPr>
            <w:r w:rsidRPr="0038335A">
              <w:rPr>
                <w:rFonts w:eastAsia="Times New Roman" w:cs="Times New Roman"/>
                <w:b/>
                <w:bCs/>
                <w:szCs w:val="24"/>
                <w:lang w:eastAsia="en-GB"/>
              </w:rPr>
              <w:t>Year</w:t>
            </w:r>
          </w:p>
        </w:tc>
        <w:tc>
          <w:tcPr>
            <w:tcW w:w="0" w:type="auto"/>
            <w:hideMark/>
          </w:tcPr>
          <w:p w14:paraId="34D9A028" w14:textId="77777777" w:rsidR="00B90B55" w:rsidRPr="0038335A" w:rsidRDefault="00D6648D" w:rsidP="00E541EA">
            <w:pPr>
              <w:ind w:firstLine="0"/>
              <w:rPr>
                <w:rFonts w:eastAsia="Times New Roman" w:cs="Times New Roman"/>
                <w:b/>
                <w:bCs/>
                <w:szCs w:val="24"/>
                <w:lang w:eastAsia="en-GB"/>
              </w:rPr>
            </w:pPr>
            <w:r w:rsidRPr="0038335A">
              <w:rPr>
                <w:rFonts w:eastAsia="Times New Roman" w:cs="Times New Roman"/>
                <w:b/>
                <w:bCs/>
                <w:szCs w:val="24"/>
                <w:lang w:eastAsia="en-GB"/>
              </w:rPr>
              <w:t>Employee Costs (USD)</w:t>
            </w:r>
          </w:p>
        </w:tc>
        <w:tc>
          <w:tcPr>
            <w:tcW w:w="0" w:type="auto"/>
            <w:hideMark/>
          </w:tcPr>
          <w:p w14:paraId="1BE1E3C4" w14:textId="77777777" w:rsidR="00B90B55" w:rsidRPr="0038335A" w:rsidRDefault="00D6648D" w:rsidP="00E541EA">
            <w:pPr>
              <w:ind w:firstLine="0"/>
              <w:rPr>
                <w:rFonts w:eastAsia="Times New Roman" w:cs="Times New Roman"/>
                <w:b/>
                <w:bCs/>
                <w:szCs w:val="24"/>
                <w:lang w:eastAsia="en-GB"/>
              </w:rPr>
            </w:pPr>
            <w:r w:rsidRPr="0038335A">
              <w:rPr>
                <w:rFonts w:eastAsia="Times New Roman" w:cs="Times New Roman"/>
                <w:b/>
                <w:bCs/>
                <w:szCs w:val="24"/>
                <w:lang w:eastAsia="en-GB"/>
              </w:rPr>
              <w:t>Staff Numbers</w:t>
            </w:r>
          </w:p>
        </w:tc>
        <w:tc>
          <w:tcPr>
            <w:tcW w:w="0" w:type="auto"/>
            <w:hideMark/>
          </w:tcPr>
          <w:p w14:paraId="43EBA9C0" w14:textId="77777777" w:rsidR="00B90B55" w:rsidRPr="0038335A" w:rsidRDefault="00D6648D" w:rsidP="00E541EA">
            <w:pPr>
              <w:ind w:firstLine="0"/>
              <w:rPr>
                <w:rFonts w:eastAsia="Times New Roman" w:cs="Times New Roman"/>
                <w:b/>
                <w:bCs/>
                <w:szCs w:val="24"/>
                <w:lang w:eastAsia="en-GB"/>
              </w:rPr>
            </w:pPr>
            <w:r w:rsidRPr="0038335A">
              <w:rPr>
                <w:rFonts w:eastAsia="Times New Roman" w:cs="Times New Roman"/>
                <w:b/>
                <w:bCs/>
                <w:szCs w:val="24"/>
                <w:lang w:eastAsia="en-GB"/>
              </w:rPr>
              <w:t>Change in Employee Costs</w:t>
            </w:r>
          </w:p>
        </w:tc>
        <w:tc>
          <w:tcPr>
            <w:tcW w:w="0" w:type="auto"/>
            <w:hideMark/>
          </w:tcPr>
          <w:p w14:paraId="42DBF288" w14:textId="77777777" w:rsidR="00B90B55" w:rsidRPr="0038335A" w:rsidRDefault="00D6648D" w:rsidP="00E541EA">
            <w:pPr>
              <w:ind w:firstLine="0"/>
              <w:rPr>
                <w:rFonts w:eastAsia="Times New Roman" w:cs="Times New Roman"/>
                <w:b/>
                <w:bCs/>
                <w:szCs w:val="24"/>
                <w:lang w:eastAsia="en-GB"/>
              </w:rPr>
            </w:pPr>
            <w:r w:rsidRPr="0038335A">
              <w:rPr>
                <w:rFonts w:eastAsia="Times New Roman" w:cs="Times New Roman"/>
                <w:b/>
                <w:bCs/>
                <w:szCs w:val="24"/>
                <w:lang w:eastAsia="en-GB"/>
              </w:rPr>
              <w:t>Change in Staff Numbers</w:t>
            </w:r>
          </w:p>
        </w:tc>
        <w:tc>
          <w:tcPr>
            <w:tcW w:w="0" w:type="auto"/>
            <w:hideMark/>
          </w:tcPr>
          <w:p w14:paraId="0AF425B3" w14:textId="77777777" w:rsidR="00B90B55" w:rsidRPr="0038335A" w:rsidRDefault="00D6648D" w:rsidP="00E541EA">
            <w:pPr>
              <w:ind w:firstLine="0"/>
              <w:rPr>
                <w:rFonts w:eastAsia="Times New Roman" w:cs="Times New Roman"/>
                <w:b/>
                <w:bCs/>
                <w:szCs w:val="24"/>
                <w:lang w:eastAsia="en-GB"/>
              </w:rPr>
            </w:pPr>
            <w:r w:rsidRPr="0038335A">
              <w:rPr>
                <w:rFonts w:eastAsia="Times New Roman" w:cs="Times New Roman"/>
                <w:b/>
                <w:bCs/>
                <w:szCs w:val="24"/>
                <w:lang w:eastAsia="en-GB"/>
              </w:rPr>
              <w:t>Implication</w:t>
            </w:r>
          </w:p>
        </w:tc>
      </w:tr>
      <w:tr w:rsidR="00487787" w:rsidRPr="0038335A" w14:paraId="7717BBD4" w14:textId="77777777" w:rsidTr="00B90B55">
        <w:tc>
          <w:tcPr>
            <w:tcW w:w="0" w:type="auto"/>
            <w:hideMark/>
          </w:tcPr>
          <w:p w14:paraId="49ACC9AF"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2021</w:t>
            </w:r>
          </w:p>
        </w:tc>
        <w:tc>
          <w:tcPr>
            <w:tcW w:w="0" w:type="auto"/>
            <w:hideMark/>
          </w:tcPr>
          <w:p w14:paraId="04C20F0D" w14:textId="33F86899" w:rsidR="00B90B55" w:rsidRPr="0038335A" w:rsidRDefault="0071701C" w:rsidP="00E541EA">
            <w:pPr>
              <w:ind w:firstLine="0"/>
              <w:rPr>
                <w:rFonts w:eastAsia="Times New Roman" w:cs="Times New Roman"/>
                <w:szCs w:val="24"/>
                <w:lang w:eastAsia="en-GB"/>
              </w:rPr>
            </w:pPr>
            <w:r w:rsidRPr="0038335A">
              <w:rPr>
                <w:rFonts w:eastAsia="Times New Roman" w:cs="Times New Roman"/>
                <w:szCs w:val="24"/>
                <w:lang w:eastAsia="en-GB"/>
              </w:rPr>
              <w:t>£</w:t>
            </w:r>
            <w:r w:rsidR="00D6648D" w:rsidRPr="0038335A">
              <w:rPr>
                <w:rFonts w:eastAsia="Times New Roman" w:cs="Times New Roman"/>
                <w:szCs w:val="24"/>
                <w:lang w:eastAsia="en-GB"/>
              </w:rPr>
              <w:t>1,500,000</w:t>
            </w:r>
          </w:p>
        </w:tc>
        <w:tc>
          <w:tcPr>
            <w:tcW w:w="0" w:type="auto"/>
            <w:hideMark/>
          </w:tcPr>
          <w:p w14:paraId="23C81C59"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Base (100%)</w:t>
            </w:r>
          </w:p>
        </w:tc>
        <w:tc>
          <w:tcPr>
            <w:tcW w:w="0" w:type="auto"/>
            <w:hideMark/>
          </w:tcPr>
          <w:p w14:paraId="4EF445C4"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w:t>
            </w:r>
          </w:p>
        </w:tc>
        <w:tc>
          <w:tcPr>
            <w:tcW w:w="0" w:type="auto"/>
            <w:hideMark/>
          </w:tcPr>
          <w:p w14:paraId="0C255C54"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w:t>
            </w:r>
          </w:p>
        </w:tc>
        <w:tc>
          <w:tcPr>
            <w:tcW w:w="0" w:type="auto"/>
            <w:hideMark/>
          </w:tcPr>
          <w:p w14:paraId="1053BA1E"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Reference year for comparison</w:t>
            </w:r>
          </w:p>
        </w:tc>
      </w:tr>
      <w:tr w:rsidR="00487787" w:rsidRPr="0038335A" w14:paraId="1781E80D" w14:textId="77777777" w:rsidTr="00B90B55">
        <w:tc>
          <w:tcPr>
            <w:tcW w:w="0" w:type="auto"/>
            <w:hideMark/>
          </w:tcPr>
          <w:p w14:paraId="648DB74A"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2022</w:t>
            </w:r>
          </w:p>
        </w:tc>
        <w:tc>
          <w:tcPr>
            <w:tcW w:w="0" w:type="auto"/>
            <w:hideMark/>
          </w:tcPr>
          <w:p w14:paraId="2BBD74B7" w14:textId="1116384E" w:rsidR="00B90B55" w:rsidRPr="0038335A" w:rsidRDefault="0071701C" w:rsidP="00E541EA">
            <w:pPr>
              <w:ind w:firstLine="0"/>
              <w:rPr>
                <w:rFonts w:eastAsia="Times New Roman" w:cs="Times New Roman"/>
                <w:szCs w:val="24"/>
                <w:lang w:eastAsia="en-GB"/>
              </w:rPr>
            </w:pPr>
            <w:r w:rsidRPr="0038335A">
              <w:rPr>
                <w:rFonts w:eastAsia="Times New Roman" w:cs="Times New Roman"/>
                <w:szCs w:val="24"/>
                <w:lang w:eastAsia="en-GB"/>
              </w:rPr>
              <w:t>£</w:t>
            </w:r>
            <w:r w:rsidR="00D6648D" w:rsidRPr="0038335A">
              <w:rPr>
                <w:rFonts w:eastAsia="Times New Roman" w:cs="Times New Roman"/>
                <w:szCs w:val="24"/>
                <w:lang w:eastAsia="en-GB"/>
              </w:rPr>
              <w:t>1,650,000</w:t>
            </w:r>
          </w:p>
        </w:tc>
        <w:tc>
          <w:tcPr>
            <w:tcW w:w="0" w:type="auto"/>
            <w:hideMark/>
          </w:tcPr>
          <w:p w14:paraId="1E335A5D"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5% reduction</w:t>
            </w:r>
          </w:p>
        </w:tc>
        <w:tc>
          <w:tcPr>
            <w:tcW w:w="0" w:type="auto"/>
            <w:hideMark/>
          </w:tcPr>
          <w:p w14:paraId="331E5902"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+10%</w:t>
            </w:r>
          </w:p>
        </w:tc>
        <w:tc>
          <w:tcPr>
            <w:tcW w:w="0" w:type="auto"/>
            <w:hideMark/>
          </w:tcPr>
          <w:p w14:paraId="2E49768C"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-5%</w:t>
            </w:r>
          </w:p>
        </w:tc>
        <w:tc>
          <w:tcPr>
            <w:tcW w:w="0" w:type="auto"/>
            <w:hideMark/>
          </w:tcPr>
          <w:p w14:paraId="5355A403"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Increase in employee costs despite fewer staff</w:t>
            </w:r>
          </w:p>
        </w:tc>
      </w:tr>
      <w:tr w:rsidR="00487787" w:rsidRPr="0038335A" w14:paraId="4BD51E7F" w14:textId="77777777" w:rsidTr="00B90B55">
        <w:tc>
          <w:tcPr>
            <w:tcW w:w="0" w:type="auto"/>
            <w:hideMark/>
          </w:tcPr>
          <w:p w14:paraId="6DAFEFD8"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2023</w:t>
            </w:r>
          </w:p>
        </w:tc>
        <w:tc>
          <w:tcPr>
            <w:tcW w:w="0" w:type="auto"/>
            <w:hideMark/>
          </w:tcPr>
          <w:p w14:paraId="1191295B" w14:textId="222C448B" w:rsidR="00B90B55" w:rsidRPr="0038335A" w:rsidRDefault="0071701C" w:rsidP="00E541EA">
            <w:pPr>
              <w:ind w:firstLine="0"/>
              <w:rPr>
                <w:rFonts w:eastAsia="Times New Roman" w:cs="Times New Roman"/>
                <w:szCs w:val="24"/>
                <w:lang w:eastAsia="en-GB"/>
              </w:rPr>
            </w:pPr>
            <w:r w:rsidRPr="0038335A">
              <w:rPr>
                <w:rFonts w:eastAsia="Times New Roman" w:cs="Times New Roman"/>
                <w:szCs w:val="24"/>
                <w:lang w:eastAsia="en-GB"/>
              </w:rPr>
              <w:t>£</w:t>
            </w:r>
            <w:r w:rsidR="00D6648D" w:rsidRPr="0038335A">
              <w:rPr>
                <w:rFonts w:eastAsia="Times New Roman" w:cs="Times New Roman"/>
                <w:szCs w:val="24"/>
                <w:lang w:eastAsia="en-GB"/>
              </w:rPr>
              <w:t>,800,000</w:t>
            </w:r>
          </w:p>
        </w:tc>
        <w:tc>
          <w:tcPr>
            <w:tcW w:w="0" w:type="auto"/>
            <w:hideMark/>
          </w:tcPr>
          <w:p w14:paraId="08EC5384"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10% reduction</w:t>
            </w:r>
          </w:p>
        </w:tc>
        <w:tc>
          <w:tcPr>
            <w:tcW w:w="0" w:type="auto"/>
            <w:hideMark/>
          </w:tcPr>
          <w:p w14:paraId="6D4C9F0E"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+9.1%</w:t>
            </w:r>
          </w:p>
        </w:tc>
        <w:tc>
          <w:tcPr>
            <w:tcW w:w="0" w:type="auto"/>
            <w:hideMark/>
          </w:tcPr>
          <w:p w14:paraId="2F7ECD74"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-10%</w:t>
            </w:r>
          </w:p>
        </w:tc>
        <w:tc>
          <w:tcPr>
            <w:tcW w:w="0" w:type="auto"/>
            <w:hideMark/>
          </w:tcPr>
          <w:p w14:paraId="2E9CAE3D" w14:textId="77777777" w:rsidR="00B90B55" w:rsidRPr="0038335A" w:rsidRDefault="00D6648D" w:rsidP="00E541EA">
            <w:pPr>
              <w:ind w:firstLine="0"/>
              <w:rPr>
                <w:rFonts w:eastAsia="Times New Roman" w:cs="Times New Roman"/>
                <w:szCs w:val="24"/>
                <w:lang w:eastAsia="en-GB"/>
              </w:rPr>
            </w:pPr>
            <w:r w:rsidRPr="0038335A">
              <w:rPr>
                <w:rFonts w:eastAsia="Times New Roman" w:cs="Times New Roman"/>
                <w:szCs w:val="24"/>
                <w:lang w:eastAsia="en-GB"/>
              </w:rPr>
              <w:t>Significant rise in costs, reflecting inefficiency</w:t>
            </w:r>
          </w:p>
        </w:tc>
      </w:tr>
    </w:tbl>
    <w:p w14:paraId="4FD3B02C" w14:textId="77777777" w:rsidR="00B90B55" w:rsidRPr="0038335A" w:rsidRDefault="00B90B55" w:rsidP="00E5539B">
      <w:pPr>
        <w:rPr>
          <w:rFonts w:eastAsia="Times New Roman" w:cs="Times New Roman"/>
          <w:szCs w:val="24"/>
          <w:lang w:eastAsia="en-GB"/>
        </w:rPr>
      </w:pPr>
    </w:p>
    <w:p w14:paraId="1E4B55C7" w14:textId="3A1EA989" w:rsidR="003446C3" w:rsidRPr="0038335A" w:rsidRDefault="00E541EA" w:rsidP="00E5539B">
      <w:pPr>
        <w:pStyle w:val="Heading3"/>
      </w:pPr>
      <w:r w:rsidRPr="0038335A">
        <w:t>External Expenses and Taxes</w:t>
      </w:r>
    </w:p>
    <w:p w14:paraId="2AEED61C" w14:textId="4A0CF790" w:rsidR="003446C3"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 xml:space="preserve">Other </w:t>
      </w:r>
      <w:r w:rsidR="003446C3" w:rsidRPr="0038335A">
        <w:rPr>
          <w:rFonts w:eastAsia="Times New Roman" w:cs="Times New Roman"/>
          <w:szCs w:val="24"/>
          <w:lang w:eastAsia="en-GB"/>
        </w:rPr>
        <w:t>costs, which include administrative costs, selling and distribution costs, and freight costs,</w:t>
      </w:r>
      <w:r w:rsidRPr="0038335A">
        <w:rPr>
          <w:rFonts w:eastAsia="Times New Roman" w:cs="Times New Roman"/>
          <w:szCs w:val="24"/>
          <w:lang w:eastAsia="en-GB"/>
        </w:rPr>
        <w:t xml:space="preserve"> were also on the rise in the same period. Marketing costs increased from </w:t>
      </w:r>
      <w:r w:rsidR="0071701C" w:rsidRPr="0038335A">
        <w:rPr>
          <w:rFonts w:eastAsia="Times New Roman" w:cs="Times New Roman"/>
          <w:szCs w:val="24"/>
          <w:lang w:eastAsia="en-GB"/>
        </w:rPr>
        <w:t>£</w:t>
      </w:r>
      <w:r w:rsidRPr="0038335A">
        <w:rPr>
          <w:rFonts w:eastAsia="Times New Roman" w:cs="Times New Roman"/>
          <w:szCs w:val="24"/>
          <w:lang w:eastAsia="en-GB"/>
        </w:rPr>
        <w:t>200,000 in the yea</w:t>
      </w:r>
      <w:r w:rsidR="003446C3" w:rsidRPr="0038335A">
        <w:rPr>
          <w:rFonts w:eastAsia="Times New Roman" w:cs="Times New Roman"/>
          <w:szCs w:val="24"/>
          <w:lang w:eastAsia="en-GB"/>
        </w:rPr>
        <w:t xml:space="preserve">r 2021 to </w:t>
      </w:r>
      <w:r w:rsidR="0071701C" w:rsidRPr="0038335A">
        <w:rPr>
          <w:rFonts w:eastAsia="Times New Roman" w:cs="Times New Roman"/>
          <w:szCs w:val="24"/>
          <w:lang w:eastAsia="en-GB"/>
        </w:rPr>
        <w:t>£</w:t>
      </w:r>
      <w:r w:rsidR="003446C3" w:rsidRPr="0038335A">
        <w:rPr>
          <w:rFonts w:eastAsia="Times New Roman" w:cs="Times New Roman"/>
          <w:szCs w:val="24"/>
          <w:lang w:eastAsia="en-GB"/>
        </w:rPr>
        <w:t>330,</w:t>
      </w:r>
      <w:r w:rsidRPr="0038335A">
        <w:rPr>
          <w:rFonts w:eastAsia="Times New Roman" w:cs="Times New Roman"/>
          <w:szCs w:val="24"/>
          <w:lang w:eastAsia="en-GB"/>
        </w:rPr>
        <w:t xml:space="preserve">000 in the year 2023; a 65% increase resulting from an intensive promotion drive to recapture clients' share through the hotel's internet marketing platforms. Yet, these campaigns did not pay off as the acquisition costs increased by 20% coupled with a negligible increase in bookings. There was also an increase in utility costs from </w:t>
      </w:r>
      <w:r w:rsidR="0071701C" w:rsidRPr="0038335A">
        <w:rPr>
          <w:rFonts w:eastAsia="Times New Roman" w:cs="Times New Roman"/>
          <w:szCs w:val="24"/>
          <w:lang w:eastAsia="en-GB"/>
        </w:rPr>
        <w:t>£</w:t>
      </w:r>
      <w:r w:rsidRPr="0038335A">
        <w:rPr>
          <w:rFonts w:eastAsia="Times New Roman" w:cs="Times New Roman"/>
          <w:szCs w:val="24"/>
          <w:lang w:eastAsia="en-GB"/>
        </w:rPr>
        <w:t xml:space="preserve">120,000 in 2021 to </w:t>
      </w:r>
      <w:r w:rsidR="0071701C" w:rsidRPr="0038335A">
        <w:rPr>
          <w:rFonts w:eastAsia="Times New Roman" w:cs="Times New Roman"/>
          <w:szCs w:val="24"/>
          <w:lang w:eastAsia="en-GB"/>
        </w:rPr>
        <w:t>£</w:t>
      </w:r>
      <w:r w:rsidRPr="0038335A">
        <w:rPr>
          <w:rFonts w:eastAsia="Times New Roman" w:cs="Times New Roman"/>
          <w:szCs w:val="24"/>
          <w:lang w:eastAsia="en-GB"/>
        </w:rPr>
        <w:t>150,000 in 2023 because of costs occasioned by inflation and energy efficiency in the Company. While taxes have only slightly gone up, other operating costs such as ineffective marketing suggest that external costs need to be handled more strategically.</w:t>
      </w:r>
    </w:p>
    <w:p w14:paraId="524239A4" w14:textId="76F187AC" w:rsidR="003446C3" w:rsidRPr="0038335A" w:rsidRDefault="00D6648D" w:rsidP="00E5539B">
      <w:pPr>
        <w:pStyle w:val="Heading3"/>
      </w:pPr>
      <w:r w:rsidRPr="0038335A">
        <w:t>Operating Income and Profitability:</w:t>
      </w:r>
    </w:p>
    <w:p w14:paraId="15518E06" w14:textId="10E05CC3" w:rsidR="001018B7"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 xml:space="preserve">Gross Operating Expenses changed from </w:t>
      </w:r>
      <w:r w:rsidR="0071701C" w:rsidRPr="0038335A">
        <w:rPr>
          <w:rFonts w:eastAsia="Times New Roman" w:cs="Times New Roman"/>
          <w:szCs w:val="24"/>
          <w:lang w:eastAsia="en-GB"/>
        </w:rPr>
        <w:t>£</w:t>
      </w:r>
      <w:r w:rsidRPr="0038335A">
        <w:rPr>
          <w:rFonts w:eastAsia="Times New Roman" w:cs="Times New Roman"/>
          <w:szCs w:val="24"/>
          <w:lang w:eastAsia="en-GB"/>
        </w:rPr>
        <w:t xml:space="preserve">600,000 in 2021 to </w:t>
      </w:r>
      <w:r w:rsidR="0071701C" w:rsidRPr="0038335A">
        <w:rPr>
          <w:rFonts w:eastAsia="Times New Roman" w:cs="Times New Roman"/>
          <w:szCs w:val="24"/>
          <w:lang w:eastAsia="en-GB"/>
        </w:rPr>
        <w:t>£</w:t>
      </w:r>
      <w:r w:rsidRPr="0038335A">
        <w:rPr>
          <w:rFonts w:eastAsia="Times New Roman" w:cs="Times New Roman"/>
          <w:szCs w:val="24"/>
          <w:lang w:eastAsia="en-GB"/>
        </w:rPr>
        <w:t xml:space="preserve">496,000 in 2023, a drop of 17 %, and Gross Operating Income fell from </w:t>
      </w:r>
      <w:r w:rsidR="0071701C" w:rsidRPr="0038335A">
        <w:rPr>
          <w:rFonts w:eastAsia="Times New Roman" w:cs="Times New Roman"/>
          <w:szCs w:val="24"/>
          <w:lang w:eastAsia="en-GB"/>
        </w:rPr>
        <w:t>£</w:t>
      </w:r>
      <w:r w:rsidRPr="0038335A">
        <w:rPr>
          <w:rFonts w:eastAsia="Times New Roman" w:cs="Times New Roman"/>
          <w:szCs w:val="24"/>
          <w:lang w:eastAsia="en-GB"/>
        </w:rPr>
        <w:t xml:space="preserve">800,000 in 2021 to </w:t>
      </w:r>
      <w:r w:rsidR="0071701C" w:rsidRPr="0038335A">
        <w:rPr>
          <w:rFonts w:eastAsia="Times New Roman" w:cs="Times New Roman"/>
          <w:szCs w:val="24"/>
          <w:lang w:eastAsia="en-GB"/>
        </w:rPr>
        <w:t>£</w:t>
      </w:r>
      <w:r w:rsidRPr="0038335A">
        <w:rPr>
          <w:rFonts w:eastAsia="Times New Roman" w:cs="Times New Roman"/>
          <w:szCs w:val="24"/>
          <w:lang w:eastAsia="en-GB"/>
        </w:rPr>
        <w:t>656,000 in 2023 a drop of 18%. This decline, due to the decrease in its revenues, and the rise in its operational expenses, subsequently led to the decline of the operating profit margin from 12% to 9%. The hotel's profit margin calculation for each year is shown below:</w:t>
      </w:r>
    </w:p>
    <w:p w14:paraId="1694D329" w14:textId="4E091EC6" w:rsidR="00B90B55" w:rsidRPr="0038335A" w:rsidRDefault="00D6648D" w:rsidP="00E5539B">
      <w:pPr>
        <w:jc w:val="center"/>
        <w:rPr>
          <w:rFonts w:eastAsia="Times New Roman" w:cs="Times New Roman"/>
          <w:i/>
          <w:szCs w:val="24"/>
          <w:lang w:eastAsia="en-GB"/>
        </w:rPr>
      </w:pPr>
      <w:r w:rsidRPr="0038335A">
        <w:rPr>
          <w:rFonts w:cs="Times New Roman"/>
          <w:i/>
          <w:color w:val="000000"/>
          <w:szCs w:val="24"/>
          <w:shd w:val="clear" w:color="auto" w:fill="FFFFFF"/>
        </w:rPr>
        <w:t>Net Profit Margin = Net Profit / Revenue x 100</w:t>
      </w:r>
    </w:p>
    <w:p w14:paraId="28B6475B" w14:textId="37248C9B" w:rsidR="003446C3"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Such a decline in operating profit margin signals inefficiencies and reduces the profitability of the operations. Even if the situation under the conditions described above becomes challenging to maintain the business, several factors may contribute to it, such as the inability to bring revenue back to the previous level or score incrementally each year or higher operating costs.</w:t>
      </w:r>
    </w:p>
    <w:p w14:paraId="575F47EF" w14:textId="2798B721" w:rsidR="001018B7" w:rsidRPr="0038335A" w:rsidRDefault="00D6648D" w:rsidP="00E5539B">
      <w:pPr>
        <w:pStyle w:val="Heading2"/>
      </w:pPr>
      <w:r w:rsidRPr="0038335A">
        <w:t>Liquidity and Solvency Analysis</w:t>
      </w:r>
    </w:p>
    <w:p w14:paraId="0B37B34B" w14:textId="4578407E" w:rsidR="003446C3" w:rsidRPr="0038335A" w:rsidRDefault="00FE31F6" w:rsidP="00E5539B">
      <w:pPr>
        <w:pStyle w:val="Heading3"/>
      </w:pPr>
      <w:r w:rsidRPr="0038335A">
        <w:t>Current Assets and Liabilities</w:t>
      </w:r>
    </w:p>
    <w:p w14:paraId="5D030BC4" w14:textId="492A9CDA" w:rsidR="003446C3" w:rsidRPr="0038335A" w:rsidRDefault="0071701C" w:rsidP="0071701C">
      <w:pPr>
        <w:ind w:firstLine="0"/>
        <w:rPr>
          <w:rFonts w:eastAsia="Times New Roman" w:cs="Times New Roman"/>
          <w:szCs w:val="24"/>
          <w:lang w:eastAsia="en-GB"/>
        </w:rPr>
      </w:pPr>
      <w:r w:rsidRPr="0038335A">
        <w:rPr>
          <w:rFonts w:eastAsia="Times New Roman" w:cs="Times New Roman"/>
          <w:szCs w:val="24"/>
          <w:lang w:eastAsia="en-GB"/>
        </w:rPr>
        <w:t>F</w:t>
      </w:r>
      <w:r w:rsidR="00D6648D" w:rsidRPr="0038335A">
        <w:rPr>
          <w:rFonts w:eastAsia="Times New Roman" w:cs="Times New Roman"/>
          <w:szCs w:val="24"/>
          <w:lang w:eastAsia="en-GB"/>
        </w:rPr>
        <w:t xml:space="preserve">or the years 2021 to 2023, the hotel’s cash and trade receivables, as short-term assets reduced by 8% from </w:t>
      </w:r>
      <w:r w:rsidRPr="0038335A">
        <w:rPr>
          <w:rFonts w:eastAsia="Times New Roman" w:cs="Times New Roman"/>
          <w:szCs w:val="24"/>
          <w:lang w:eastAsia="en-GB"/>
        </w:rPr>
        <w:t>£</w:t>
      </w:r>
      <w:r w:rsidR="00D6648D" w:rsidRPr="0038335A">
        <w:rPr>
          <w:rFonts w:eastAsia="Times New Roman" w:cs="Times New Roman"/>
          <w:szCs w:val="24"/>
          <w:lang w:eastAsia="en-GB"/>
        </w:rPr>
        <w:t xml:space="preserve">450,000 to </w:t>
      </w:r>
      <w:r w:rsidRPr="0038335A">
        <w:rPr>
          <w:rFonts w:eastAsia="Times New Roman" w:cs="Times New Roman"/>
          <w:szCs w:val="24"/>
          <w:lang w:eastAsia="en-GB"/>
        </w:rPr>
        <w:t>£</w:t>
      </w:r>
      <w:r w:rsidR="00D6648D" w:rsidRPr="0038335A">
        <w:rPr>
          <w:rFonts w:eastAsia="Times New Roman" w:cs="Times New Roman"/>
          <w:szCs w:val="24"/>
          <w:lang w:eastAsia="en-GB"/>
        </w:rPr>
        <w:t>414,000. This reduction has been attributed to an increase in customer lead time and slow turnover of receivables, which may suggest possible liquidity problems. Total liabilities on the same note were also up by 10% mainly by trade payables and short-term borrowings as a sign of the ability to access external funds to finance their operations in the same period. These contracts create vulnerabilities to the hotel's solid and consistent cash flows, but there is a call for better management of receivables and payables.</w:t>
      </w:r>
    </w:p>
    <w:p w14:paraId="0F601A17" w14:textId="7B3A5761" w:rsidR="003446C3" w:rsidRPr="0038335A" w:rsidRDefault="00D6648D" w:rsidP="00E5539B">
      <w:pPr>
        <w:pStyle w:val="Heading3"/>
      </w:pPr>
      <w:r w:rsidRPr="0038335A">
        <w:t>L</w:t>
      </w:r>
      <w:r w:rsidR="00FE31F6" w:rsidRPr="0038335A">
        <w:t>iquidity Ratios</w:t>
      </w:r>
    </w:p>
    <w:p w14:paraId="2129D6D6" w14:textId="74D5B068" w:rsidR="001018B7"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Liquidity analysis shows that the current ratio reduced from 1.8 for the year 2021 to 1.4 for the year 2023 suggesting that there could be some problems paying for the near-line liabilities. This ratio is calculated as:</w:t>
      </w:r>
    </w:p>
    <w:p w14:paraId="45F80C66" w14:textId="5A19A13A" w:rsidR="00B90B55" w:rsidRPr="0038335A" w:rsidRDefault="00D6648D" w:rsidP="00E5539B">
      <w:pPr>
        <w:jc w:val="center"/>
        <w:rPr>
          <w:rFonts w:eastAsia="Times New Roman" w:cs="Times New Roman"/>
          <w:i/>
          <w:szCs w:val="24"/>
          <w:lang w:eastAsia="en-GB"/>
        </w:rPr>
      </w:pPr>
      <w:r w:rsidRPr="0038335A">
        <w:rPr>
          <w:rStyle w:val="mord"/>
          <w:rFonts w:cs="Times New Roman"/>
          <w:i/>
          <w:color w:val="111111"/>
          <w:spacing w:val="1"/>
          <w:szCs w:val="24"/>
          <w:shd w:val="clear" w:color="auto" w:fill="FFFFFF"/>
        </w:rPr>
        <w:t>Current Ratio</w:t>
      </w:r>
      <w:r w:rsidR="003446C3" w:rsidRPr="0038335A">
        <w:rPr>
          <w:rStyle w:val="mord"/>
          <w:rFonts w:cs="Times New Roman"/>
          <w:i/>
          <w:color w:val="111111"/>
          <w:spacing w:val="1"/>
          <w:szCs w:val="24"/>
          <w:shd w:val="clear" w:color="auto" w:fill="FFFFFF"/>
        </w:rPr>
        <w:t xml:space="preserve"> </w:t>
      </w:r>
      <w:r w:rsidRPr="0038335A">
        <w:rPr>
          <w:rStyle w:val="mrel"/>
          <w:rFonts w:cs="Times New Roman"/>
          <w:i/>
          <w:color w:val="111111"/>
          <w:spacing w:val="1"/>
          <w:szCs w:val="24"/>
          <w:shd w:val="clear" w:color="auto" w:fill="FFFFFF"/>
        </w:rPr>
        <w:t>=</w:t>
      </w:r>
      <w:r w:rsidR="003446C3" w:rsidRPr="0038335A">
        <w:rPr>
          <w:rStyle w:val="mrel"/>
          <w:rFonts w:cs="Times New Roman"/>
          <w:i/>
          <w:color w:val="111111"/>
          <w:spacing w:val="1"/>
          <w:szCs w:val="24"/>
          <w:shd w:val="clear" w:color="auto" w:fill="FFFFFF"/>
        </w:rPr>
        <w:t xml:space="preserve"> </w:t>
      </w:r>
      <w:r w:rsidRPr="0038335A">
        <w:rPr>
          <w:rStyle w:val="mord"/>
          <w:rFonts w:cs="Times New Roman"/>
          <w:i/>
          <w:color w:val="111111"/>
          <w:spacing w:val="1"/>
          <w:szCs w:val="24"/>
          <w:shd w:val="clear" w:color="auto" w:fill="FFFFFF"/>
        </w:rPr>
        <w:t>Current liabilities/Current assets</w:t>
      </w:r>
      <w:r w:rsidRPr="0038335A">
        <w:rPr>
          <w:rStyle w:val="vlist-s"/>
          <w:rFonts w:cs="Times New Roman"/>
          <w:i/>
          <w:color w:val="111111"/>
          <w:spacing w:val="1"/>
          <w:szCs w:val="24"/>
          <w:shd w:val="clear" w:color="auto" w:fill="FFFFFF"/>
        </w:rPr>
        <w:t>​​</w:t>
      </w:r>
    </w:p>
    <w:p w14:paraId="38B9F70A" w14:textId="66310E03" w:rsidR="003446C3"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Likewise, the quick ratio that takes inventory out of total assets came down from 1.1 to 0.9, thus reducing its positive picture of liquidity. These declining ratios imply that the hotel's working capital is precarious, and the business could face liquidity difficulties without external financing.</w:t>
      </w:r>
    </w:p>
    <w:p w14:paraId="6EFC75FC" w14:textId="3BE3ED01" w:rsidR="003446C3" w:rsidRPr="0038335A" w:rsidRDefault="00D6648D" w:rsidP="00E5539B">
      <w:pPr>
        <w:pStyle w:val="Heading3"/>
      </w:pPr>
      <w:r w:rsidRPr="0038335A">
        <w:t>Solvency A</w:t>
      </w:r>
      <w:r w:rsidR="00FE31F6" w:rsidRPr="0038335A">
        <w:t>nalysis</w:t>
      </w:r>
    </w:p>
    <w:p w14:paraId="6085AD00" w14:textId="66473529" w:rsidR="001018B7"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As far as sustainable solvency is concerned, increased indebtedness for financing The City Hotel's activities has led to an increase in the debt-to-equity ratio from 0.4 in 2021 to 0.6 in 2023. The ratio can be calculated as follows:</w:t>
      </w:r>
    </w:p>
    <w:p w14:paraId="6373D702" w14:textId="54CF6665" w:rsidR="001018B7" w:rsidRPr="0038335A" w:rsidRDefault="00D6648D" w:rsidP="00E5539B">
      <w:pPr>
        <w:jc w:val="center"/>
        <w:rPr>
          <w:rFonts w:eastAsia="Times New Roman" w:cs="Times New Roman"/>
          <w:szCs w:val="24"/>
          <w:lang w:eastAsia="en-GB"/>
        </w:rPr>
      </w:pPr>
      <w:r w:rsidRPr="0038335A">
        <w:rPr>
          <w:rStyle w:val="mord"/>
          <w:rFonts w:cs="Times New Roman"/>
          <w:i/>
          <w:color w:val="111111"/>
          <w:spacing w:val="1"/>
          <w:szCs w:val="24"/>
          <w:shd w:val="clear" w:color="auto" w:fill="FFFFFF"/>
        </w:rPr>
        <w:t>Debt/Equity</w:t>
      </w:r>
      <w:r w:rsidRPr="0038335A">
        <w:rPr>
          <w:rStyle w:val="mrel"/>
          <w:rFonts w:cs="Times New Roman"/>
          <w:i/>
          <w:color w:val="111111"/>
          <w:spacing w:val="1"/>
          <w:szCs w:val="24"/>
          <w:shd w:val="clear" w:color="auto" w:fill="FFFFFF"/>
        </w:rPr>
        <w:t>=</w:t>
      </w:r>
      <w:r w:rsidRPr="0038335A">
        <w:rPr>
          <w:rStyle w:val="mord"/>
          <w:rFonts w:cs="Times New Roman"/>
          <w:i/>
          <w:color w:val="111111"/>
          <w:spacing w:val="1"/>
          <w:szCs w:val="24"/>
          <w:shd w:val="clear" w:color="auto" w:fill="FFFFFF"/>
        </w:rPr>
        <w:t>Total Shareholders’ Equity/Total Liabilities</w:t>
      </w:r>
      <w:r w:rsidRPr="0038335A">
        <w:rPr>
          <w:rStyle w:val="vlist-s"/>
          <w:rFonts w:cs="Times New Roman"/>
          <w:i/>
          <w:color w:val="111111"/>
          <w:spacing w:val="1"/>
          <w:szCs w:val="24"/>
          <w:shd w:val="clear" w:color="auto" w:fill="FFFFFF"/>
        </w:rPr>
        <w:t>​​</w:t>
      </w:r>
    </w:p>
    <w:p w14:paraId="2F8D1042" w14:textId="72BB74C0" w:rsidR="003446C3" w:rsidRPr="0038335A" w:rsidRDefault="00A72437" w:rsidP="0071701C">
      <w:pPr>
        <w:ind w:firstLine="0"/>
        <w:rPr>
          <w:rFonts w:eastAsia="Times New Roman" w:cs="Times New Roman"/>
          <w:szCs w:val="24"/>
          <w:lang w:eastAsia="en-GB"/>
        </w:rPr>
      </w:pPr>
      <w:r w:rsidRPr="0038335A">
        <w:rPr>
          <w:rFonts w:eastAsia="Times New Roman" w:cs="Times New Roman"/>
          <w:szCs w:val="24"/>
          <w:lang w:eastAsia="en-GB"/>
        </w:rPr>
        <w:t xml:space="preserve">Although not substantially higher long-term liabilities improved from </w:t>
      </w:r>
      <w:r w:rsidR="0071701C" w:rsidRPr="0038335A">
        <w:rPr>
          <w:rFonts w:eastAsia="Times New Roman" w:cs="Times New Roman"/>
          <w:szCs w:val="24"/>
          <w:lang w:eastAsia="en-GB"/>
        </w:rPr>
        <w:t>£</w:t>
      </w:r>
      <w:r w:rsidRPr="0038335A">
        <w:rPr>
          <w:rFonts w:eastAsia="Times New Roman" w:cs="Times New Roman"/>
          <w:szCs w:val="24"/>
          <w:lang w:eastAsia="en-GB"/>
        </w:rPr>
        <w:t xml:space="preserve">2 million in 2021 </w:t>
      </w:r>
      <w:r w:rsidR="003446C3" w:rsidRPr="0038335A">
        <w:rPr>
          <w:rFonts w:eastAsia="Times New Roman" w:cs="Times New Roman"/>
          <w:szCs w:val="24"/>
          <w:lang w:eastAsia="en-GB"/>
        </w:rPr>
        <w:t xml:space="preserve">to </w:t>
      </w:r>
      <w:r w:rsidR="0071701C" w:rsidRPr="0038335A">
        <w:rPr>
          <w:rFonts w:eastAsia="Times New Roman" w:cs="Times New Roman"/>
          <w:szCs w:val="24"/>
          <w:lang w:eastAsia="en-GB"/>
        </w:rPr>
        <w:t>£</w:t>
      </w:r>
      <w:r w:rsidRPr="0038335A">
        <w:rPr>
          <w:rFonts w:eastAsia="Times New Roman" w:cs="Times New Roman"/>
          <w:szCs w:val="24"/>
          <w:lang w:eastAsia="en-GB"/>
        </w:rPr>
        <w:t>2.6</w:t>
      </w:r>
      <w:r w:rsidR="003446C3" w:rsidRPr="0038335A">
        <w:rPr>
          <w:rFonts w:eastAsia="Times New Roman" w:cs="Times New Roman"/>
          <w:szCs w:val="24"/>
          <w:lang w:eastAsia="en-GB"/>
        </w:rPr>
        <w:t xml:space="preserve"> </w:t>
      </w:r>
      <w:r w:rsidRPr="0038335A">
        <w:rPr>
          <w:rFonts w:eastAsia="Times New Roman" w:cs="Times New Roman"/>
          <w:szCs w:val="24"/>
          <w:lang w:eastAsia="en-GB"/>
        </w:rPr>
        <w:t>million in 2023 validating that the hotel is assuming additional financial risk. This could be a limitation to future borrowing capacity and is likely to lead to a high cost of capital.</w:t>
      </w:r>
    </w:p>
    <w:p w14:paraId="6E0C5B6A" w14:textId="514718BE" w:rsidR="001018B7" w:rsidRPr="0038335A" w:rsidRDefault="00D6648D" w:rsidP="00E5539B">
      <w:pPr>
        <w:pStyle w:val="Heading2"/>
      </w:pPr>
      <w:r w:rsidRPr="0038335A">
        <w:t>Profitability and Efficiency Ratios</w:t>
      </w:r>
    </w:p>
    <w:p w14:paraId="65CA02E6" w14:textId="4F03A467" w:rsidR="003446C3" w:rsidRPr="0038335A" w:rsidRDefault="00FE31F6" w:rsidP="00E5539B">
      <w:pPr>
        <w:pStyle w:val="Heading3"/>
      </w:pPr>
      <w:r w:rsidRPr="0038335A">
        <w:t>Gross Profit Margin</w:t>
      </w:r>
    </w:p>
    <w:p w14:paraId="6B1BF3BB" w14:textId="11DE1596" w:rsidR="001018B7"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The hotel recorded a measly gross profit margin of 30 in 2023 down from 35 in 2021 due to faster growth in the COGS as compared to the revenues. This margin is calculated as:</w:t>
      </w:r>
    </w:p>
    <w:p w14:paraId="6BB3F86C" w14:textId="7CD94982" w:rsidR="008235C4" w:rsidRPr="0038335A" w:rsidRDefault="00D6648D" w:rsidP="00E5539B">
      <w:pPr>
        <w:jc w:val="center"/>
        <w:rPr>
          <w:rFonts w:eastAsia="Times New Roman" w:cs="Times New Roman"/>
          <w:i/>
          <w:szCs w:val="24"/>
          <w:lang w:eastAsia="en-GB"/>
        </w:rPr>
      </w:pPr>
      <w:r w:rsidRPr="0038335A">
        <w:rPr>
          <w:rStyle w:val="mord"/>
          <w:rFonts w:cs="Times New Roman"/>
          <w:i/>
          <w:color w:val="111111"/>
          <w:spacing w:val="1"/>
          <w:szCs w:val="24"/>
          <w:shd w:val="clear" w:color="auto" w:fill="FFFFFF"/>
        </w:rPr>
        <w:t>Gross Profit Margin</w:t>
      </w:r>
      <w:r w:rsidRPr="0038335A">
        <w:rPr>
          <w:rStyle w:val="mrel"/>
          <w:rFonts w:cs="Times New Roman"/>
          <w:i/>
          <w:color w:val="111111"/>
          <w:spacing w:val="1"/>
          <w:szCs w:val="24"/>
          <w:shd w:val="clear" w:color="auto" w:fill="FFFFFF"/>
        </w:rPr>
        <w:t>=</w:t>
      </w:r>
      <w:r w:rsidRPr="0038335A">
        <w:rPr>
          <w:rStyle w:val="mord"/>
          <w:rFonts w:cs="Times New Roman"/>
          <w:i/>
          <w:color w:val="111111"/>
          <w:spacing w:val="1"/>
          <w:szCs w:val="24"/>
          <w:shd w:val="clear" w:color="auto" w:fill="FFFFFF"/>
        </w:rPr>
        <w:t>Net Sales/(Net Sales </w:t>
      </w:r>
      <w:r w:rsidRPr="0038335A">
        <w:rPr>
          <w:rStyle w:val="mbin"/>
          <w:rFonts w:cs="Times New Roman"/>
          <w:i/>
          <w:color w:val="111111"/>
          <w:spacing w:val="1"/>
          <w:szCs w:val="24"/>
          <w:shd w:val="clear" w:color="auto" w:fill="FFFFFF"/>
        </w:rPr>
        <w:t>–</w:t>
      </w:r>
      <w:r w:rsidRPr="0038335A">
        <w:rPr>
          <w:rStyle w:val="mord"/>
          <w:rFonts w:cs="Times New Roman"/>
          <w:i/>
          <w:color w:val="111111"/>
          <w:spacing w:val="1"/>
          <w:szCs w:val="24"/>
          <w:shd w:val="clear" w:color="auto" w:fill="FFFFFF"/>
        </w:rPr>
        <w:t> COGS) x 100</w:t>
      </w:r>
      <w:r w:rsidRPr="0038335A">
        <w:rPr>
          <w:rStyle w:val="vlist-s"/>
          <w:rFonts w:cs="Times New Roman"/>
          <w:i/>
          <w:color w:val="111111"/>
          <w:spacing w:val="1"/>
          <w:szCs w:val="24"/>
          <w:shd w:val="clear" w:color="auto" w:fill="FFFFFF"/>
        </w:rPr>
        <w:t>​​</w:t>
      </w:r>
    </w:p>
    <w:p w14:paraId="3C480586" w14:textId="04253FA4" w:rsidR="003446C3"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That is why the lower states for the net operating margin indicate a lower operating efficiency, which might be explained by the increased operating costs. This pointed to areas such as better supply chain management or re-establishing contracts with the supplier to bring about a change in profitability.</w:t>
      </w:r>
    </w:p>
    <w:p w14:paraId="5A58514E" w14:textId="36C4E321" w:rsidR="003446C3" w:rsidRPr="0038335A" w:rsidRDefault="00D6648D" w:rsidP="00E5539B">
      <w:pPr>
        <w:pStyle w:val="Heading3"/>
      </w:pPr>
      <w:r w:rsidRPr="0038335A">
        <w:t>N</w:t>
      </w:r>
      <w:r w:rsidR="00FE31F6" w:rsidRPr="0038335A">
        <w:t>et Profit Margin</w:t>
      </w:r>
    </w:p>
    <w:p w14:paraId="392D4D48" w14:textId="0933F827" w:rsidR="001018B7"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Net profitability also reduced its value, with net profit margin getting to 8% in 2021 and decreasing to 3% in 2023. The net profit margin is calculated as:</w:t>
      </w:r>
    </w:p>
    <w:p w14:paraId="374D526F" w14:textId="2792594C" w:rsidR="008235C4" w:rsidRPr="0038335A" w:rsidRDefault="00D6648D" w:rsidP="00E5539B">
      <w:pPr>
        <w:jc w:val="center"/>
        <w:rPr>
          <w:rFonts w:eastAsia="Times New Roman" w:cs="Times New Roman"/>
          <w:i/>
          <w:szCs w:val="24"/>
          <w:lang w:eastAsia="en-GB"/>
        </w:rPr>
      </w:pPr>
      <w:r w:rsidRPr="0038335A">
        <w:rPr>
          <w:rStyle w:val="mord"/>
          <w:rFonts w:cs="Times New Roman"/>
          <w:i/>
          <w:color w:val="111111"/>
          <w:spacing w:val="1"/>
          <w:szCs w:val="24"/>
          <w:shd w:val="clear" w:color="auto" w:fill="FFFFFF"/>
        </w:rPr>
        <w:t>Net Profit Margin</w:t>
      </w:r>
      <w:r w:rsidRPr="0038335A">
        <w:rPr>
          <w:rStyle w:val="mrel"/>
          <w:rFonts w:cs="Times New Roman"/>
          <w:i/>
          <w:color w:val="111111"/>
          <w:spacing w:val="1"/>
          <w:szCs w:val="24"/>
          <w:shd w:val="clear" w:color="auto" w:fill="FFFFFF"/>
        </w:rPr>
        <w:t>=</w:t>
      </w:r>
      <w:r w:rsidRPr="0038335A">
        <w:rPr>
          <w:rStyle w:val="mord"/>
          <w:rFonts w:cs="Times New Roman"/>
          <w:i/>
          <w:color w:val="111111"/>
          <w:spacing w:val="1"/>
          <w:szCs w:val="24"/>
          <w:shd w:val="clear" w:color="auto" w:fill="FFFFFF"/>
        </w:rPr>
        <w:t>Net Profit/Total Revenue x 100</w:t>
      </w:r>
      <w:r w:rsidRPr="0038335A">
        <w:rPr>
          <w:rStyle w:val="vlist-s"/>
          <w:rFonts w:cs="Times New Roman"/>
          <w:i/>
          <w:color w:val="111111"/>
          <w:spacing w:val="1"/>
          <w:szCs w:val="24"/>
          <w:shd w:val="clear" w:color="auto" w:fill="FFFFFF"/>
        </w:rPr>
        <w:t>​​</w:t>
      </w:r>
    </w:p>
    <w:p w14:paraId="1135AAB2" w14:textId="425B0775" w:rsidR="003446C3"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This decline is attributed to reduced levels of revenue and increasing costs which supports the need to have a cost control strategy in order to enhance the capacity to retain profits.</w:t>
      </w:r>
    </w:p>
    <w:p w14:paraId="524438C9" w14:textId="7BEED62F" w:rsidR="003446C3" w:rsidRPr="0038335A" w:rsidRDefault="00D6648D" w:rsidP="00E5539B">
      <w:pPr>
        <w:pStyle w:val="Heading3"/>
      </w:pPr>
      <w:r w:rsidRPr="0038335A">
        <w:t>Return on Assets (</w:t>
      </w:r>
      <w:r w:rsidR="00FE31F6" w:rsidRPr="0038335A">
        <w:t>ROA) and Return on Equity (ROE)</w:t>
      </w:r>
    </w:p>
    <w:p w14:paraId="48B4EB81" w14:textId="21D123D3" w:rsidR="00877AC1"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The level of ROA reduced from 4.5% in 2021 to 2.2% in 2023 proving that the usage of assets in every or</w:t>
      </w:r>
      <w:r w:rsidR="008A5C97" w:rsidRPr="0038335A">
        <w:rPr>
          <w:rFonts w:eastAsia="Times New Roman" w:cs="Times New Roman"/>
          <w:szCs w:val="24"/>
          <w:lang w:eastAsia="en-GB"/>
        </w:rPr>
        <w:t xml:space="preserve">ganization has declined. </w:t>
      </w:r>
      <w:r w:rsidRPr="0038335A">
        <w:rPr>
          <w:rFonts w:eastAsia="Times New Roman" w:cs="Times New Roman"/>
          <w:szCs w:val="24"/>
          <w:lang w:eastAsia="en-GB"/>
        </w:rPr>
        <w:t>These ratios portray problems of inefficient management of assets and reduction in shareholders’ value which call for strategic adjustments so as to optimise asset usage and enhance profitability.</w:t>
      </w:r>
    </w:p>
    <w:p w14:paraId="14856221" w14:textId="77777777" w:rsidR="0071701C" w:rsidRPr="0038335A" w:rsidRDefault="0071701C" w:rsidP="00A30542">
      <w:pPr>
        <w:pStyle w:val="Heading1"/>
        <w:rPr>
          <w:rStyle w:val="Strong"/>
          <w:b/>
          <w:bCs w:val="0"/>
        </w:rPr>
      </w:pPr>
    </w:p>
    <w:p w14:paraId="5FBB9B7D" w14:textId="44F5608A" w:rsidR="00877AC1" w:rsidRPr="0038335A" w:rsidRDefault="00D6648D" w:rsidP="00A30542">
      <w:pPr>
        <w:pStyle w:val="Heading1"/>
      </w:pPr>
      <w:r w:rsidRPr="0038335A">
        <w:rPr>
          <w:rStyle w:val="Strong"/>
          <w:b/>
          <w:bCs w:val="0"/>
        </w:rPr>
        <w:t>Identification of Key Reasons for Decline in Profitability</w:t>
      </w:r>
    </w:p>
    <w:p w14:paraId="3B48EC44" w14:textId="77777777" w:rsidR="007E596C" w:rsidRPr="0038335A" w:rsidRDefault="00D6648D" w:rsidP="00A30542">
      <w:pPr>
        <w:pStyle w:val="Heading2"/>
        <w:rPr>
          <w:rStyle w:val="Strong"/>
          <w:b/>
          <w:bCs/>
        </w:rPr>
      </w:pPr>
      <w:r w:rsidRPr="0038335A">
        <w:rPr>
          <w:rStyle w:val="Strong"/>
          <w:b/>
        </w:rPr>
        <w:t>Market Conditions</w:t>
      </w:r>
    </w:p>
    <w:p w14:paraId="779CCF15" w14:textId="2F0D28A9" w:rsidR="007E596C" w:rsidRPr="0038335A" w:rsidRDefault="00D6648D" w:rsidP="0071701C">
      <w:pPr>
        <w:pStyle w:val="NormalWeb"/>
        <w:spacing w:before="0" w:beforeAutospacing="0" w:after="0" w:afterAutospacing="0" w:line="360" w:lineRule="auto"/>
        <w:ind w:firstLine="0"/>
        <w:rPr>
          <w:rStyle w:val="Strong"/>
          <w:b w:val="0"/>
        </w:rPr>
      </w:pPr>
      <w:r w:rsidRPr="0038335A">
        <w:rPr>
          <w:rStyle w:val="Strong"/>
          <w:b w:val="0"/>
        </w:rPr>
        <w:t>Market forces outside the organisation such as an economic downturn in the global market and inflation have greatly influenced The City Hotel's revenues. After the pandemic, a significant rise in unemployment and a reduction in organisations' travel affected the hotel and reduced the sale of food and drinks</w:t>
      </w:r>
      <w:r w:rsidR="00582F7B" w:rsidRPr="0038335A">
        <w:rPr>
          <w:rStyle w:val="Strong"/>
          <w:b w:val="0"/>
        </w:rPr>
        <w:t xml:space="preserve"> (</w:t>
      </w:r>
      <w:r w:rsidR="00E5539B" w:rsidRPr="0038335A">
        <w:t>Ioannidis et al., 2021</w:t>
      </w:r>
      <w:r w:rsidR="00582F7B" w:rsidRPr="0038335A">
        <w:rPr>
          <w:rStyle w:val="Strong"/>
          <w:b w:val="0"/>
        </w:rPr>
        <w:t>)</w:t>
      </w:r>
      <w:r w:rsidRPr="0038335A">
        <w:rPr>
          <w:rStyle w:val="Strong"/>
          <w:b w:val="0"/>
        </w:rPr>
        <w:t xml:space="preserve">. This has on its part been compounded by </w:t>
      </w:r>
      <w:r w:rsidR="00A32E94" w:rsidRPr="0038335A">
        <w:rPr>
          <w:rStyle w:val="Strong"/>
          <w:b w:val="0"/>
        </w:rPr>
        <w:t>inflation, which has seen operating expenses such as food expenses,</w:t>
      </w:r>
      <w:r w:rsidRPr="0038335A">
        <w:rPr>
          <w:rStyle w:val="Strong"/>
          <w:b w:val="0"/>
        </w:rPr>
        <w:t xml:space="preserve"> and power expenses </w:t>
      </w:r>
      <w:r w:rsidR="00582F7B" w:rsidRPr="0038335A">
        <w:rPr>
          <w:rStyle w:val="Strong"/>
          <w:b w:val="0"/>
        </w:rPr>
        <w:t>surge significantly</w:t>
      </w:r>
      <w:r w:rsidRPr="0038335A">
        <w:rPr>
          <w:rStyle w:val="Strong"/>
          <w:b w:val="0"/>
        </w:rPr>
        <w:t xml:space="preserve">. </w:t>
      </w:r>
      <w:r w:rsidR="00582F7B" w:rsidRPr="0038335A">
        <w:t xml:space="preserve"> </w:t>
      </w:r>
      <w:r w:rsidR="003446C3" w:rsidRPr="0038335A">
        <w:rPr>
          <w:bCs/>
        </w:rPr>
        <w:t xml:space="preserve">The rate of energy increased by 15% in 2023 to </w:t>
      </w:r>
      <w:r w:rsidR="0071701C" w:rsidRPr="0038335A">
        <w:rPr>
          <w:bCs/>
        </w:rPr>
        <w:t>£</w:t>
      </w:r>
      <w:r w:rsidR="003446C3" w:rsidRPr="0038335A">
        <w:rPr>
          <w:bCs/>
        </w:rPr>
        <w:t xml:space="preserve">45,000; thus, there was a larger overhead cost for the period totalling </w:t>
      </w:r>
      <w:r w:rsidR="0071701C" w:rsidRPr="0038335A">
        <w:rPr>
          <w:bCs/>
        </w:rPr>
        <w:t>£</w:t>
      </w:r>
      <w:r w:rsidR="003446C3" w:rsidRPr="0038335A">
        <w:rPr>
          <w:bCs/>
        </w:rPr>
        <w:t xml:space="preserve">50,000. </w:t>
      </w:r>
      <w:r w:rsidR="00582F7B" w:rsidRPr="0038335A">
        <w:rPr>
          <w:rStyle w:val="Strong"/>
          <w:b w:val="0"/>
        </w:rPr>
        <w:t>(U.S. Bureau of Labor Statistics, 2023).</w:t>
      </w:r>
      <w:r w:rsidRPr="0038335A">
        <w:rPr>
          <w:rStyle w:val="Strong"/>
          <w:b w:val="0"/>
        </w:rPr>
        <w:t xml:space="preserve"> There is also uptight competition from other players in the same industry, such as from other accommodation service providers like Airbnb, which occupy a higher proportion of the online market share</w:t>
      </w:r>
      <w:r w:rsidR="00A32E94" w:rsidRPr="0038335A">
        <w:rPr>
          <w:rStyle w:val="Strong"/>
          <w:b w:val="0"/>
        </w:rPr>
        <w:t xml:space="preserve">. </w:t>
      </w:r>
      <w:r w:rsidR="003446C3" w:rsidRPr="0038335A">
        <w:rPr>
          <w:rStyle w:val="Strong"/>
          <w:b w:val="0"/>
        </w:rPr>
        <w:t xml:space="preserve">Airbnb is even more rapidly expanding its market in different parts of the world than the traditional hotel market </w:t>
      </w:r>
      <w:r w:rsidRPr="0038335A">
        <w:rPr>
          <w:rStyle w:val="Strong"/>
          <w:b w:val="0"/>
        </w:rPr>
        <w:t>(</w:t>
      </w:r>
      <w:r w:rsidR="00E13E24" w:rsidRPr="0038335A">
        <w:rPr>
          <w:rStyle w:val="Strong"/>
          <w:b w:val="0"/>
        </w:rPr>
        <w:t>Bhattacharyya and Malik, 2020</w:t>
      </w:r>
      <w:r w:rsidRPr="0038335A">
        <w:rPr>
          <w:rStyle w:val="Strong"/>
          <w:b w:val="0"/>
        </w:rPr>
        <w:t>).</w:t>
      </w:r>
    </w:p>
    <w:p w14:paraId="06389D40" w14:textId="77777777" w:rsidR="0071701C" w:rsidRPr="0038335A" w:rsidRDefault="0071701C" w:rsidP="00E5539B">
      <w:pPr>
        <w:pStyle w:val="Heading2"/>
        <w:rPr>
          <w:rStyle w:val="Strong"/>
          <w:b/>
        </w:rPr>
      </w:pPr>
    </w:p>
    <w:p w14:paraId="55C1456C" w14:textId="44DA4FEA" w:rsidR="007E596C" w:rsidRPr="0038335A" w:rsidRDefault="00D6648D" w:rsidP="00E5539B">
      <w:pPr>
        <w:pStyle w:val="Heading2"/>
        <w:rPr>
          <w:rStyle w:val="Strong"/>
          <w:b/>
        </w:rPr>
      </w:pPr>
      <w:r w:rsidRPr="0038335A">
        <w:rPr>
          <w:rStyle w:val="Strong"/>
          <w:b/>
        </w:rPr>
        <w:t>Operational Inefficiencies</w:t>
      </w:r>
    </w:p>
    <w:p w14:paraId="7291368B" w14:textId="2ADE4C2A" w:rsidR="007E596C" w:rsidRPr="0038335A" w:rsidRDefault="00D6648D" w:rsidP="0071701C">
      <w:pPr>
        <w:pStyle w:val="NormalWeb"/>
        <w:spacing w:before="0" w:beforeAutospacing="0" w:after="0" w:afterAutospacing="0" w:line="360" w:lineRule="auto"/>
        <w:ind w:firstLine="0"/>
        <w:rPr>
          <w:rStyle w:val="Strong"/>
          <w:b w:val="0"/>
        </w:rPr>
      </w:pPr>
      <w:r w:rsidRPr="0038335A">
        <w:rPr>
          <w:rStyle w:val="Strong"/>
          <w:b w:val="0"/>
        </w:rPr>
        <w:t>On the internal side, there are various problems</w:t>
      </w:r>
      <w:r w:rsidR="00582F7B" w:rsidRPr="0038335A">
        <w:rPr>
          <w:rStyle w:val="Strong"/>
          <w:b w:val="0"/>
        </w:rPr>
        <w:t xml:space="preserve"> such as </w:t>
      </w:r>
      <w:r w:rsidR="00582F7B" w:rsidRPr="0038335A">
        <w:t>overstaffing and ineffective staff allocation, high employee turnover, high employee turnover, energy inefficiency, and limited use of technology,</w:t>
      </w:r>
      <w:r w:rsidRPr="0038335A">
        <w:rPr>
          <w:rStyle w:val="Strong"/>
          <w:b w:val="0"/>
        </w:rPr>
        <w:t xml:space="preserve"> implying a decrease in production efficiency and, therefore, reducing the enterprise’s profits. One main factor has been the problems relating to </w:t>
      </w:r>
      <w:r w:rsidR="00582F7B" w:rsidRPr="0038335A">
        <w:rPr>
          <w:rStyle w:val="Strong"/>
          <w:b w:val="0"/>
        </w:rPr>
        <w:t>overstaffing</w:t>
      </w:r>
      <w:r w:rsidRPr="0038335A">
        <w:rPr>
          <w:rStyle w:val="Strong"/>
          <w:b w:val="0"/>
        </w:rPr>
        <w:t xml:space="preserve"> especially in non-strategic business functions like maintenance and administration. Total </w:t>
      </w:r>
      <w:r w:rsidR="00A32E94" w:rsidRPr="0038335A">
        <w:rPr>
          <w:rStyle w:val="Strong"/>
          <w:b w:val="0"/>
        </w:rPr>
        <w:t>labour</w:t>
      </w:r>
      <w:r w:rsidRPr="0038335A">
        <w:rPr>
          <w:rStyle w:val="Strong"/>
          <w:b w:val="0"/>
        </w:rPr>
        <w:t xml:space="preserve"> costs were somewhat </w:t>
      </w:r>
      <w:r w:rsidR="00A32E94" w:rsidRPr="0038335A">
        <w:rPr>
          <w:rStyle w:val="Strong"/>
          <w:b w:val="0"/>
        </w:rPr>
        <w:t>tremulous</w:t>
      </w:r>
      <w:r w:rsidRPr="0038335A">
        <w:rPr>
          <w:rStyle w:val="Strong"/>
          <w:b w:val="0"/>
        </w:rPr>
        <w:t xml:space="preserve"> and surged 5% annually whereas the workforce declined 10% in 2023 due to ineffective staffing and managing strategies and lack of use of technology for routine jobs. Moreover, the lack of effective cost control measures especially in food and beverage led to an increase in the COGS, which has a volatility of thirty percent in 2021 to thirty-five percent in 2023 but lacks a proportional increase in the revenue. This means that there is a need to enhance supply chain management and proper inventory management.</w:t>
      </w:r>
      <w:r w:rsidR="007A33C3" w:rsidRPr="0038335A">
        <w:rPr>
          <w:rStyle w:val="Strong"/>
          <w:b w:val="0"/>
        </w:rPr>
        <w:t xml:space="preserve"> </w:t>
      </w:r>
    </w:p>
    <w:p w14:paraId="2D1CA9F2" w14:textId="1FC8CF0B" w:rsidR="007A33C3" w:rsidRPr="0038335A" w:rsidRDefault="00D6648D" w:rsidP="0071701C">
      <w:pPr>
        <w:pStyle w:val="NormalWeb"/>
        <w:spacing w:before="0" w:beforeAutospacing="0" w:after="0" w:afterAutospacing="0" w:line="360" w:lineRule="auto"/>
        <w:ind w:firstLine="0"/>
        <w:rPr>
          <w:rStyle w:val="Strong"/>
          <w:b w:val="0"/>
        </w:rPr>
      </w:pPr>
      <w:r w:rsidRPr="0038335A">
        <w:t>Inefficient resource management, excessive staffing, and improper inventory management have also been supported by research made at McKinsey &amp; Company (2022) highlighted the effects of poor workforce optimization and lack of automation. In addition, the COGS, increased from, 30 percent in 2021 to 35 percent in 2023 shows poor supply chain management. Solving them with such a focus on these areas should be accomplished with different approaches to resource usage and inventory as well as the application of automation.</w:t>
      </w:r>
    </w:p>
    <w:p w14:paraId="2FCF7578" w14:textId="77777777" w:rsidR="0071701C" w:rsidRPr="0038335A" w:rsidRDefault="0071701C" w:rsidP="00E5539B">
      <w:pPr>
        <w:pStyle w:val="Heading2"/>
        <w:rPr>
          <w:rStyle w:val="Strong"/>
          <w:b/>
        </w:rPr>
      </w:pPr>
    </w:p>
    <w:p w14:paraId="47E66B6E" w14:textId="5FB4A29E" w:rsidR="007E596C" w:rsidRPr="0038335A" w:rsidRDefault="00D6648D" w:rsidP="00E5539B">
      <w:pPr>
        <w:pStyle w:val="Heading2"/>
        <w:rPr>
          <w:rStyle w:val="Strong"/>
          <w:b/>
        </w:rPr>
      </w:pPr>
      <w:r w:rsidRPr="0038335A">
        <w:rPr>
          <w:rStyle w:val="Strong"/>
          <w:b/>
        </w:rPr>
        <w:t>Customer Satisfaction Issues</w:t>
      </w:r>
    </w:p>
    <w:p w14:paraId="365762C4" w14:textId="67942B77" w:rsidR="00877AC1" w:rsidRPr="0038335A" w:rsidRDefault="00D6648D" w:rsidP="0071701C">
      <w:pPr>
        <w:pStyle w:val="NormalWeb"/>
        <w:spacing w:before="0" w:beforeAutospacing="0" w:after="0" w:afterAutospacing="0" w:line="360" w:lineRule="auto"/>
        <w:ind w:firstLine="0"/>
        <w:rPr>
          <w:bCs/>
        </w:rPr>
      </w:pPr>
      <w:r w:rsidRPr="0038335A">
        <w:rPr>
          <w:rStyle w:val="Strong"/>
          <w:b w:val="0"/>
        </w:rPr>
        <w:t>Another one has been a reduction in customer satisfaction levels. The average rating of the hotel decreased from 4.2 in 2021 to 3.6 in 2023; thus, the revisiting guests decreased as well</w:t>
      </w:r>
      <w:r w:rsidR="007A33C3" w:rsidRPr="0038335A">
        <w:rPr>
          <w:rStyle w:val="Strong"/>
          <w:b w:val="0"/>
        </w:rPr>
        <w:t xml:space="preserve"> (</w:t>
      </w:r>
      <w:r w:rsidR="00E5539B" w:rsidRPr="0038335A">
        <w:t>Pizam et al., 2022</w:t>
      </w:r>
      <w:r w:rsidR="007A33C3" w:rsidRPr="0038335A">
        <w:rPr>
          <w:rStyle w:val="Strong"/>
          <w:b w:val="0"/>
        </w:rPr>
        <w:t>)</w:t>
      </w:r>
      <w:r w:rsidRPr="0038335A">
        <w:rPr>
          <w:rStyle w:val="Strong"/>
          <w:b w:val="0"/>
        </w:rPr>
        <w:t xml:space="preserve">. This was mainly due to such factors as; </w:t>
      </w:r>
      <w:r w:rsidR="00E13E24" w:rsidRPr="0038335A">
        <w:rPr>
          <w:rStyle w:val="Strong"/>
          <w:b w:val="0"/>
        </w:rPr>
        <w:t>old structures,</w:t>
      </w:r>
      <w:r w:rsidRPr="0038335A">
        <w:rPr>
          <w:rStyle w:val="Strong"/>
          <w:b w:val="0"/>
        </w:rPr>
        <w:t xml:space="preserve"> fluctuating </w:t>
      </w:r>
      <w:r w:rsidR="00E13E24" w:rsidRPr="0038335A">
        <w:rPr>
          <w:rStyle w:val="Strong"/>
          <w:b w:val="0"/>
        </w:rPr>
        <w:t xml:space="preserve">standards of service delivery, </w:t>
      </w:r>
      <w:r w:rsidRPr="0038335A">
        <w:rPr>
          <w:rStyle w:val="Strong"/>
          <w:b w:val="0"/>
        </w:rPr>
        <w:t xml:space="preserve">and absence of the contemporary comforts. Hospitality industry data shows that hotels listed with lower customer ratings tend to attract up to 80% fewer guests compared to other </w:t>
      </w:r>
      <w:r w:rsidR="00A32E94" w:rsidRPr="0038335A">
        <w:rPr>
          <w:rStyle w:val="Strong"/>
          <w:b w:val="0"/>
        </w:rPr>
        <w:t>better-rated</w:t>
      </w:r>
      <w:r w:rsidRPr="0038335A">
        <w:rPr>
          <w:rStyle w:val="Strong"/>
          <w:b w:val="0"/>
        </w:rPr>
        <w:t xml:space="preserve"> properties (TripAdvisor, 2023).</w:t>
      </w:r>
    </w:p>
    <w:p w14:paraId="46A8C0E8" w14:textId="77777777" w:rsidR="0071701C" w:rsidRPr="0038335A" w:rsidRDefault="0071701C" w:rsidP="00A30542">
      <w:pPr>
        <w:pStyle w:val="Heading1"/>
        <w:rPr>
          <w:rStyle w:val="Strong"/>
          <w:b/>
          <w:bCs w:val="0"/>
        </w:rPr>
      </w:pPr>
    </w:p>
    <w:p w14:paraId="5174C15C" w14:textId="5C125737" w:rsidR="00877AC1" w:rsidRPr="0038335A" w:rsidRDefault="00D6648D" w:rsidP="00A30542">
      <w:pPr>
        <w:pStyle w:val="Heading1"/>
      </w:pPr>
      <w:r w:rsidRPr="0038335A">
        <w:rPr>
          <w:rStyle w:val="Strong"/>
          <w:b/>
          <w:bCs w:val="0"/>
        </w:rPr>
        <w:t>Turnaround Strategy Recommendations</w:t>
      </w:r>
    </w:p>
    <w:p w14:paraId="1016DF05" w14:textId="52FD5BA6" w:rsidR="003446C3" w:rsidRPr="0038335A" w:rsidRDefault="00D6648D" w:rsidP="0071701C">
      <w:pPr>
        <w:pStyle w:val="NormalWeb"/>
        <w:spacing w:before="0" w:beforeAutospacing="0" w:after="0" w:afterAutospacing="0" w:line="360" w:lineRule="auto"/>
        <w:ind w:firstLine="0"/>
        <w:rPr>
          <w:rStyle w:val="Strong"/>
          <w:b w:val="0"/>
          <w:bCs w:val="0"/>
        </w:rPr>
      </w:pPr>
      <w:r w:rsidRPr="0038335A">
        <w:rPr>
          <w:rStyle w:val="Strong"/>
          <w:b w:val="0"/>
          <w:bCs w:val="0"/>
        </w:rPr>
        <w:t>To address the profitability decline, it is crucial for the hotel to focus on two key aspects: operational change and changes in financial structure.</w:t>
      </w:r>
    </w:p>
    <w:p w14:paraId="58768234" w14:textId="77777777" w:rsidR="003446C3" w:rsidRPr="0038335A" w:rsidRDefault="00D6648D" w:rsidP="00E5539B">
      <w:pPr>
        <w:pStyle w:val="Heading2"/>
        <w:rPr>
          <w:rStyle w:val="Strong"/>
          <w:b/>
          <w:bCs/>
        </w:rPr>
      </w:pPr>
      <w:r w:rsidRPr="0038335A">
        <w:rPr>
          <w:rStyle w:val="Strong"/>
          <w:b/>
          <w:bCs/>
        </w:rPr>
        <w:t>Operational Improvements</w:t>
      </w:r>
    </w:p>
    <w:p w14:paraId="50326F7A" w14:textId="77777777" w:rsidR="00A30542" w:rsidRPr="0038335A" w:rsidRDefault="00D6648D" w:rsidP="0071701C">
      <w:pPr>
        <w:pStyle w:val="NormalWeb"/>
        <w:spacing w:before="0" w:beforeAutospacing="0" w:after="0" w:afterAutospacing="0" w:line="360" w:lineRule="auto"/>
        <w:ind w:firstLine="0"/>
        <w:rPr>
          <w:rStyle w:val="Strong"/>
          <w:b w:val="0"/>
          <w:bCs w:val="0"/>
        </w:rPr>
      </w:pPr>
      <w:r w:rsidRPr="0038335A">
        <w:rPr>
          <w:rStyle w:val="Strong"/>
          <w:b w:val="0"/>
          <w:bCs w:val="0"/>
        </w:rPr>
        <w:t xml:space="preserve">The first analysis of the company that can be suggested for the improvement of the gross margin is the negotiation of contracts with the suppliers to get better prices for the goods such as food and beverages as well as other services required for its functioning. McKinsey &amp; Company (2022) noted that hotels, that manage to secure supply chain savings through renegotiation, could save between 8 to 10%. In this chapter, the author argues that through proper supplier management, the hotel can obtain a more favourable Contract Rate that reduces the COGS and helps the hotel operate at a better profit margin rate. Also, greater efficiency in staff numbers is possible. The hotel’s employee population should be in line with the real business requirements to effectively curb expenses. </w:t>
      </w:r>
    </w:p>
    <w:p w14:paraId="76DD915F" w14:textId="3BD0F2A5" w:rsidR="003446C3" w:rsidRPr="0038335A" w:rsidRDefault="00D6648D" w:rsidP="0071701C">
      <w:pPr>
        <w:pStyle w:val="NormalWeb"/>
        <w:spacing w:before="0" w:beforeAutospacing="0" w:after="0" w:afterAutospacing="0" w:line="360" w:lineRule="auto"/>
        <w:ind w:firstLine="0"/>
        <w:rPr>
          <w:rStyle w:val="Strong"/>
          <w:b w:val="0"/>
          <w:bCs w:val="0"/>
        </w:rPr>
      </w:pPr>
      <w:r w:rsidRPr="0038335A">
        <w:rPr>
          <w:rStyle w:val="Strong"/>
          <w:b w:val="0"/>
          <w:bCs w:val="0"/>
        </w:rPr>
        <w:t>An audit of the human resources showed that the company had 12% more employees than any similar hotel required, thus pointing to the potential for economising on headcount. Implementing self-service check-in kiosks and ordering food like in a room service format takes out a great deal of work done by human hands while at the same time making it convenient for the client. Hosseinzadeh Shahri and Nematollahi Sarvestani (2020) believe that such programs create conditions for increased productivity with the satisfaction of guests. For instance, one leading hotel performed a 20% cut in the amount of care expenditure by introducing self-service check-in terminals, while having no detrimental influence on the customer satisfaction level (Alkaraan et al., 2023).</w:t>
      </w:r>
    </w:p>
    <w:p w14:paraId="59F968B9" w14:textId="503377AB" w:rsidR="001F1BF5" w:rsidRPr="0038335A" w:rsidRDefault="001F1BF5" w:rsidP="00A30542">
      <w:pPr>
        <w:pStyle w:val="NormalWeb"/>
        <w:spacing w:before="0" w:beforeAutospacing="0" w:after="0" w:afterAutospacing="0" w:line="360" w:lineRule="auto"/>
        <w:rPr>
          <w:rStyle w:val="Strong"/>
          <w:b w:val="0"/>
          <w:bCs w:val="0"/>
        </w:rPr>
      </w:pPr>
    </w:p>
    <w:p w14:paraId="6182BBA1" w14:textId="77777777" w:rsidR="001F1BF5" w:rsidRPr="0038335A" w:rsidRDefault="001F1BF5" w:rsidP="00A30542">
      <w:pPr>
        <w:pStyle w:val="NormalWeb"/>
        <w:spacing w:before="0" w:beforeAutospacing="0" w:after="0" w:afterAutospacing="0" w:line="360" w:lineRule="auto"/>
        <w:rPr>
          <w:rStyle w:val="Strong"/>
          <w:b w:val="0"/>
          <w:bCs w:val="0"/>
        </w:rPr>
      </w:pPr>
    </w:p>
    <w:p w14:paraId="2D1EF34E" w14:textId="77777777" w:rsidR="003446C3" w:rsidRPr="0038335A" w:rsidRDefault="00D6648D" w:rsidP="00E5539B">
      <w:pPr>
        <w:pStyle w:val="Heading2"/>
        <w:rPr>
          <w:rStyle w:val="Strong"/>
          <w:b/>
          <w:bCs/>
        </w:rPr>
      </w:pPr>
      <w:r w:rsidRPr="0038335A">
        <w:rPr>
          <w:rStyle w:val="Strong"/>
          <w:b/>
          <w:bCs/>
        </w:rPr>
        <w:t>Financial Restructuring</w:t>
      </w:r>
    </w:p>
    <w:p w14:paraId="0FB3BC46" w14:textId="3BD3BCD7" w:rsidR="007E596C" w:rsidRPr="0038335A" w:rsidRDefault="00B133A1" w:rsidP="0071701C">
      <w:pPr>
        <w:pStyle w:val="NormalWeb"/>
        <w:spacing w:before="0" w:beforeAutospacing="0" w:after="0" w:afterAutospacing="0" w:line="360" w:lineRule="auto"/>
        <w:ind w:firstLine="0"/>
      </w:pPr>
      <w:r w:rsidRPr="0038335A">
        <w:rPr>
          <w:rStyle w:val="Strong"/>
          <w:b w:val="0"/>
          <w:bCs w:val="0"/>
        </w:rPr>
        <w:t xml:space="preserve">One of the </w:t>
      </w:r>
      <w:r w:rsidR="00D6648D" w:rsidRPr="0038335A">
        <w:rPr>
          <w:rStyle w:val="Strong"/>
          <w:b w:val="0"/>
          <w:bCs w:val="0"/>
        </w:rPr>
        <w:t>recommendation</w:t>
      </w:r>
      <w:r w:rsidRPr="0038335A">
        <w:rPr>
          <w:rStyle w:val="Strong"/>
          <w:b w:val="0"/>
          <w:bCs w:val="0"/>
        </w:rPr>
        <w:t>s</w:t>
      </w:r>
      <w:r w:rsidR="00D6648D" w:rsidRPr="0038335A">
        <w:rPr>
          <w:rStyle w:val="Strong"/>
          <w:b w:val="0"/>
          <w:bCs w:val="0"/>
        </w:rPr>
        <w:t xml:space="preserve"> is financial restructuring through managing the hotel's long-term debts. This means that the hotel should be sensible about the current price and the amount of money it uses to service the debts by at least 20% every year. This can be made by repaying the money little by little or by renegotiating the terms of the existing loans and paying lower interest. According to the firms' restructuring debts, the International Finance Corporation (2022) evidence that such firms have benefitted from substantial cuts in their interest charges. In addition to selecting specific measures for increasing liquidity, the hotel should also work to reduce the average days receivables remain outstanding. To this end, this improvement in cash flow management would ensure that the hotel has adequate liquid cash needed to run the operations it offers services to its clients. Moreover, therefore, projecting and expanding the base of income bases are equally important when it comes to revenue stabilization. It is recommended that the hotel look into complementary programs like weddings, conferences, and events since they can account for up to 30% of a hotel's total revenue (World Tourism Organization, 2023).</w:t>
      </w:r>
    </w:p>
    <w:p w14:paraId="7D4A7004" w14:textId="77777777" w:rsidR="00877AC1" w:rsidRPr="0038335A" w:rsidRDefault="00D6648D" w:rsidP="00E5539B">
      <w:pPr>
        <w:pStyle w:val="Heading1"/>
        <w:rPr>
          <w:b w:val="0"/>
        </w:rPr>
      </w:pPr>
      <w:r w:rsidRPr="0038335A">
        <w:t>Conclusion</w:t>
      </w:r>
    </w:p>
    <w:p w14:paraId="2BB83833" w14:textId="77777777" w:rsidR="00877AC1" w:rsidRPr="0038335A" w:rsidRDefault="00D6648D" w:rsidP="0071701C">
      <w:pPr>
        <w:ind w:firstLine="0"/>
        <w:rPr>
          <w:rFonts w:eastAsia="Times New Roman" w:cs="Times New Roman"/>
          <w:szCs w:val="24"/>
          <w:lang w:eastAsia="en-GB"/>
        </w:rPr>
      </w:pPr>
      <w:r w:rsidRPr="0038335A">
        <w:rPr>
          <w:rFonts w:eastAsia="Times New Roman" w:cs="Times New Roman"/>
          <w:szCs w:val="24"/>
          <w:lang w:eastAsia="en-GB"/>
        </w:rPr>
        <w:t>In summary, The City Hotel has faced significant financial challenges, including declining revenue, increased operational costs, and reduced customer satisfaction. The key reasons for these issues include external market conditions, such as economic downturns and rising inflation, and internal inefficiencies such as overstaffing and poor cost control measures. Additionally, the hotel's lack of innovation in marketing and customer engagement has contributed to its struggles in attracting and retaining guests.</w:t>
      </w:r>
    </w:p>
    <w:p w14:paraId="5550C1FC" w14:textId="77777777" w:rsidR="00877AC1" w:rsidRPr="0038335A" w:rsidRDefault="00877AC1" w:rsidP="00E5539B">
      <w:pPr>
        <w:rPr>
          <w:rFonts w:cs="Times New Roman"/>
          <w:szCs w:val="24"/>
        </w:rPr>
      </w:pPr>
    </w:p>
    <w:p w14:paraId="162EC900" w14:textId="77777777" w:rsidR="00A32E94" w:rsidRPr="0038335A" w:rsidRDefault="00A32E94" w:rsidP="00E5539B">
      <w:pPr>
        <w:rPr>
          <w:rFonts w:cs="Times New Roman"/>
          <w:szCs w:val="24"/>
        </w:rPr>
      </w:pPr>
    </w:p>
    <w:p w14:paraId="1BE1C06C" w14:textId="77777777" w:rsidR="00A32E94" w:rsidRPr="0038335A" w:rsidRDefault="00A32E94" w:rsidP="00E5539B">
      <w:pPr>
        <w:rPr>
          <w:rFonts w:cs="Times New Roman"/>
          <w:szCs w:val="24"/>
        </w:rPr>
      </w:pPr>
    </w:p>
    <w:p w14:paraId="3E9FA449" w14:textId="77777777" w:rsidR="00A32E94" w:rsidRPr="0038335A" w:rsidRDefault="00A32E94" w:rsidP="00E5539B">
      <w:pPr>
        <w:rPr>
          <w:rFonts w:cs="Times New Roman"/>
          <w:szCs w:val="24"/>
        </w:rPr>
      </w:pPr>
    </w:p>
    <w:p w14:paraId="0D6E4F14" w14:textId="77777777" w:rsidR="00A32E94" w:rsidRPr="0038335A" w:rsidRDefault="00A32E94" w:rsidP="00E5539B">
      <w:pPr>
        <w:rPr>
          <w:rFonts w:cs="Times New Roman"/>
          <w:szCs w:val="24"/>
        </w:rPr>
      </w:pPr>
    </w:p>
    <w:p w14:paraId="5BDC5B7A" w14:textId="77777777" w:rsidR="00A32E94" w:rsidRPr="0038335A" w:rsidRDefault="00A32E94" w:rsidP="00E5539B">
      <w:pPr>
        <w:rPr>
          <w:rFonts w:cs="Times New Roman"/>
          <w:szCs w:val="24"/>
        </w:rPr>
      </w:pPr>
    </w:p>
    <w:p w14:paraId="2FAE2D6A" w14:textId="77777777" w:rsidR="00A32E94" w:rsidRPr="0038335A" w:rsidRDefault="00A32E94" w:rsidP="00E5539B">
      <w:pPr>
        <w:rPr>
          <w:rFonts w:cs="Times New Roman"/>
          <w:szCs w:val="24"/>
        </w:rPr>
      </w:pPr>
    </w:p>
    <w:p w14:paraId="48110A08" w14:textId="77777777" w:rsidR="00A32E94" w:rsidRPr="0038335A" w:rsidRDefault="00A32E94" w:rsidP="00E5539B">
      <w:pPr>
        <w:rPr>
          <w:rFonts w:cs="Times New Roman"/>
          <w:szCs w:val="24"/>
        </w:rPr>
      </w:pPr>
    </w:p>
    <w:p w14:paraId="50BABC88" w14:textId="6693D96B" w:rsidR="00A32E94" w:rsidRPr="0038335A" w:rsidRDefault="00A32E94" w:rsidP="00E5539B">
      <w:pPr>
        <w:rPr>
          <w:rFonts w:cs="Times New Roman"/>
          <w:szCs w:val="24"/>
        </w:rPr>
      </w:pPr>
    </w:p>
    <w:p w14:paraId="5108D2D5" w14:textId="5A8D23F9" w:rsidR="003446C3" w:rsidRPr="0038335A" w:rsidRDefault="003446C3" w:rsidP="00E5539B">
      <w:pPr>
        <w:rPr>
          <w:rFonts w:cs="Times New Roman"/>
          <w:szCs w:val="24"/>
        </w:rPr>
      </w:pPr>
    </w:p>
    <w:p w14:paraId="286C7F70" w14:textId="470584A7" w:rsidR="003446C3" w:rsidRPr="0038335A" w:rsidRDefault="003446C3" w:rsidP="00E5539B">
      <w:pPr>
        <w:rPr>
          <w:rFonts w:cs="Times New Roman"/>
          <w:szCs w:val="24"/>
        </w:rPr>
      </w:pPr>
    </w:p>
    <w:p w14:paraId="39BED8DB" w14:textId="69920965" w:rsidR="00E5539B" w:rsidRPr="0038335A" w:rsidRDefault="00E5539B" w:rsidP="00E5539B">
      <w:pPr>
        <w:rPr>
          <w:rFonts w:cs="Times New Roman"/>
          <w:szCs w:val="24"/>
        </w:rPr>
      </w:pPr>
    </w:p>
    <w:p w14:paraId="227F5E9B" w14:textId="0B5D1DE7" w:rsidR="00E5539B" w:rsidRPr="0038335A" w:rsidRDefault="00E5539B" w:rsidP="00E5539B">
      <w:pPr>
        <w:rPr>
          <w:rFonts w:cs="Times New Roman"/>
          <w:szCs w:val="24"/>
        </w:rPr>
      </w:pPr>
    </w:p>
    <w:p w14:paraId="34240257" w14:textId="2A1788DE" w:rsidR="00E5539B" w:rsidRPr="0038335A" w:rsidRDefault="00E5539B" w:rsidP="00E5539B">
      <w:pPr>
        <w:rPr>
          <w:rFonts w:cs="Times New Roman"/>
          <w:szCs w:val="24"/>
        </w:rPr>
      </w:pPr>
    </w:p>
    <w:p w14:paraId="63EA68F7" w14:textId="77777777" w:rsidR="00E5539B" w:rsidRPr="0038335A" w:rsidRDefault="00E5539B" w:rsidP="00E5539B">
      <w:pPr>
        <w:rPr>
          <w:rFonts w:cs="Times New Roman"/>
          <w:szCs w:val="24"/>
        </w:rPr>
      </w:pPr>
    </w:p>
    <w:p w14:paraId="6987DFB8" w14:textId="77777777" w:rsidR="00A32E94" w:rsidRPr="0038335A" w:rsidRDefault="00D6648D" w:rsidP="00E5539B">
      <w:pPr>
        <w:pStyle w:val="Heading1"/>
        <w:rPr>
          <w:b w:val="0"/>
        </w:rPr>
      </w:pPr>
      <w:r w:rsidRPr="0038335A">
        <w:t>References</w:t>
      </w:r>
    </w:p>
    <w:p w14:paraId="1C9E82A4" w14:textId="77777777" w:rsidR="00E13E24" w:rsidRPr="0038335A" w:rsidRDefault="00D6648D" w:rsidP="00E5539B">
      <w:pPr>
        <w:ind w:left="720" w:hanging="720"/>
        <w:rPr>
          <w:rFonts w:cs="Times New Roman"/>
          <w:szCs w:val="24"/>
        </w:rPr>
      </w:pPr>
      <w:r w:rsidRPr="0038335A">
        <w:rPr>
          <w:rFonts w:cs="Times New Roman"/>
          <w:color w:val="222222"/>
          <w:szCs w:val="24"/>
          <w:shd w:val="clear" w:color="auto" w:fill="FFFFFF"/>
        </w:rPr>
        <w:t>Alkaraan, F., Elmarzouky, M., Hussainey, K. and Venkatesh, V.G., 2023. Sustainable strategic investment decision-making practices in UK companies: The influence of governance mechanisms on synergy between industry 4.0 and circular economy. </w:t>
      </w:r>
      <w:r w:rsidRPr="0038335A">
        <w:rPr>
          <w:rFonts w:cs="Times New Roman"/>
          <w:i/>
          <w:iCs/>
          <w:color w:val="222222"/>
          <w:szCs w:val="24"/>
          <w:shd w:val="clear" w:color="auto" w:fill="FFFFFF"/>
        </w:rPr>
        <w:t>Technological Forecasting and Social Change</w:t>
      </w:r>
      <w:r w:rsidRPr="0038335A">
        <w:rPr>
          <w:rFonts w:cs="Times New Roman"/>
          <w:color w:val="222222"/>
          <w:szCs w:val="24"/>
          <w:shd w:val="clear" w:color="auto" w:fill="FFFFFF"/>
        </w:rPr>
        <w:t>, </w:t>
      </w:r>
      <w:r w:rsidRPr="0038335A">
        <w:rPr>
          <w:rFonts w:cs="Times New Roman"/>
          <w:i/>
          <w:iCs/>
          <w:color w:val="222222"/>
          <w:szCs w:val="24"/>
          <w:shd w:val="clear" w:color="auto" w:fill="FFFFFF"/>
        </w:rPr>
        <w:t>187</w:t>
      </w:r>
      <w:r w:rsidRPr="0038335A">
        <w:rPr>
          <w:rFonts w:cs="Times New Roman"/>
          <w:color w:val="222222"/>
          <w:szCs w:val="24"/>
          <w:shd w:val="clear" w:color="auto" w:fill="FFFFFF"/>
        </w:rPr>
        <w:t>, p.122187.</w:t>
      </w:r>
    </w:p>
    <w:p w14:paraId="08069D88" w14:textId="77777777" w:rsidR="00E13E24" w:rsidRPr="0038335A" w:rsidRDefault="00D6648D" w:rsidP="00E5539B">
      <w:pPr>
        <w:ind w:left="720" w:hanging="720"/>
        <w:rPr>
          <w:rFonts w:cs="Times New Roman"/>
          <w:color w:val="222222"/>
          <w:szCs w:val="24"/>
          <w:shd w:val="clear" w:color="auto" w:fill="FFFFFF"/>
        </w:rPr>
      </w:pPr>
      <w:r w:rsidRPr="0038335A">
        <w:rPr>
          <w:rFonts w:cs="Times New Roman"/>
          <w:color w:val="222222"/>
          <w:szCs w:val="24"/>
          <w:shd w:val="clear" w:color="auto" w:fill="FFFFFF"/>
        </w:rPr>
        <w:t>Bhattacharyya, S.S. and Malik, A., 2020. Development of an integrated canvas on turnaround strategy. </w:t>
      </w:r>
      <w:r w:rsidRPr="0038335A">
        <w:rPr>
          <w:rFonts w:cs="Times New Roman"/>
          <w:i/>
          <w:iCs/>
          <w:color w:val="222222"/>
          <w:szCs w:val="24"/>
          <w:shd w:val="clear" w:color="auto" w:fill="FFFFFF"/>
        </w:rPr>
        <w:t>International Journal of Organizational Analysis</w:t>
      </w:r>
      <w:r w:rsidRPr="0038335A">
        <w:rPr>
          <w:rFonts w:cs="Times New Roman"/>
          <w:color w:val="222222"/>
          <w:szCs w:val="24"/>
          <w:shd w:val="clear" w:color="auto" w:fill="FFFFFF"/>
        </w:rPr>
        <w:t>, </w:t>
      </w:r>
      <w:r w:rsidRPr="0038335A">
        <w:rPr>
          <w:rFonts w:cs="Times New Roman"/>
          <w:i/>
          <w:iCs/>
          <w:color w:val="222222"/>
          <w:szCs w:val="24"/>
          <w:shd w:val="clear" w:color="auto" w:fill="FFFFFF"/>
        </w:rPr>
        <w:t>28</w:t>
      </w:r>
      <w:r w:rsidRPr="0038335A">
        <w:rPr>
          <w:rFonts w:cs="Times New Roman"/>
          <w:color w:val="222222"/>
          <w:szCs w:val="24"/>
          <w:shd w:val="clear" w:color="auto" w:fill="FFFFFF"/>
        </w:rPr>
        <w:t>(2), pp.523-554.</w:t>
      </w:r>
    </w:p>
    <w:p w14:paraId="00D6169E" w14:textId="77777777" w:rsidR="00E13E24" w:rsidRPr="0038335A" w:rsidRDefault="00D6648D" w:rsidP="00E5539B">
      <w:pPr>
        <w:ind w:left="720" w:hanging="720"/>
        <w:rPr>
          <w:rFonts w:cs="Times New Roman"/>
          <w:color w:val="222222"/>
          <w:szCs w:val="24"/>
          <w:shd w:val="clear" w:color="auto" w:fill="FFFFFF"/>
        </w:rPr>
      </w:pPr>
      <w:r w:rsidRPr="0038335A">
        <w:rPr>
          <w:rFonts w:cs="Times New Roman"/>
          <w:color w:val="222222"/>
          <w:szCs w:val="24"/>
          <w:shd w:val="clear" w:color="auto" w:fill="FFFFFF"/>
        </w:rPr>
        <w:t>Hosseinzadeh Shahri, M. and Nematollahi Sarvestani, M., 2020. Business model innovation as a turnaround strategy. </w:t>
      </w:r>
      <w:r w:rsidRPr="0038335A">
        <w:rPr>
          <w:rFonts w:cs="Times New Roman"/>
          <w:i/>
          <w:iCs/>
          <w:color w:val="222222"/>
          <w:szCs w:val="24"/>
          <w:shd w:val="clear" w:color="auto" w:fill="FFFFFF"/>
        </w:rPr>
        <w:t>Journal of Strategy and Management</w:t>
      </w:r>
      <w:r w:rsidRPr="0038335A">
        <w:rPr>
          <w:rFonts w:cs="Times New Roman"/>
          <w:color w:val="222222"/>
          <w:szCs w:val="24"/>
          <w:shd w:val="clear" w:color="auto" w:fill="FFFFFF"/>
        </w:rPr>
        <w:t>, </w:t>
      </w:r>
      <w:r w:rsidRPr="0038335A">
        <w:rPr>
          <w:rFonts w:cs="Times New Roman"/>
          <w:i/>
          <w:iCs/>
          <w:color w:val="222222"/>
          <w:szCs w:val="24"/>
          <w:shd w:val="clear" w:color="auto" w:fill="FFFFFF"/>
        </w:rPr>
        <w:t>13</w:t>
      </w:r>
      <w:r w:rsidRPr="0038335A">
        <w:rPr>
          <w:rFonts w:cs="Times New Roman"/>
          <w:color w:val="222222"/>
          <w:szCs w:val="24"/>
          <w:shd w:val="clear" w:color="auto" w:fill="FFFFFF"/>
        </w:rPr>
        <w:t>(2), pp.241-253.</w:t>
      </w:r>
    </w:p>
    <w:p w14:paraId="302E6552" w14:textId="77777777" w:rsidR="00E13E24" w:rsidRPr="0038335A" w:rsidRDefault="00D6648D" w:rsidP="00E5539B">
      <w:pPr>
        <w:ind w:left="720" w:hanging="720"/>
        <w:rPr>
          <w:rFonts w:cs="Times New Roman"/>
          <w:szCs w:val="24"/>
        </w:rPr>
      </w:pPr>
      <w:r w:rsidRPr="0038335A">
        <w:rPr>
          <w:rFonts w:cs="Times New Roman"/>
          <w:szCs w:val="24"/>
        </w:rPr>
        <w:t xml:space="preserve">International Finance Corporation. (2022). </w:t>
      </w:r>
      <w:r w:rsidRPr="0038335A">
        <w:rPr>
          <w:rStyle w:val="Emphasis"/>
          <w:rFonts w:cs="Times New Roman"/>
          <w:szCs w:val="24"/>
        </w:rPr>
        <w:t>Debt management strategies for the hospitality industry</w:t>
      </w:r>
      <w:r w:rsidRPr="0038335A">
        <w:rPr>
          <w:rFonts w:cs="Times New Roman"/>
          <w:szCs w:val="24"/>
        </w:rPr>
        <w:t xml:space="preserve">. Retrieved from </w:t>
      </w:r>
      <w:hyperlink r:id="rId7" w:history="1">
        <w:r w:rsidRPr="0038335A">
          <w:rPr>
            <w:rStyle w:val="Hyperlink"/>
            <w:rFonts w:cs="Times New Roman"/>
            <w:szCs w:val="24"/>
          </w:rPr>
          <w:t>https://www.ifc.org/content/dam/ifc/doc/mgrt-pub/sbo-update-fy23-25-redacted-clean.pdf</w:t>
        </w:r>
      </w:hyperlink>
      <w:r w:rsidRPr="0038335A">
        <w:rPr>
          <w:rFonts w:cs="Times New Roman"/>
          <w:szCs w:val="24"/>
        </w:rPr>
        <w:t xml:space="preserve"> (Accessed on: 6</w:t>
      </w:r>
      <w:r w:rsidRPr="0038335A">
        <w:rPr>
          <w:rFonts w:cs="Times New Roman"/>
          <w:szCs w:val="24"/>
          <w:vertAlign w:val="superscript"/>
        </w:rPr>
        <w:t>th</w:t>
      </w:r>
      <w:r w:rsidRPr="0038335A">
        <w:rPr>
          <w:rFonts w:cs="Times New Roman"/>
          <w:szCs w:val="24"/>
        </w:rPr>
        <w:t xml:space="preserve"> November 2024)</w:t>
      </w:r>
    </w:p>
    <w:p w14:paraId="7EF1BDEC" w14:textId="77777777" w:rsidR="00E13E24" w:rsidRPr="0038335A" w:rsidRDefault="00D6648D" w:rsidP="00E5539B">
      <w:pPr>
        <w:ind w:left="720" w:hanging="720"/>
        <w:rPr>
          <w:rFonts w:cs="Times New Roman"/>
          <w:szCs w:val="24"/>
        </w:rPr>
      </w:pPr>
      <w:r w:rsidRPr="0038335A">
        <w:rPr>
          <w:rFonts w:cs="Times New Roman"/>
          <w:szCs w:val="24"/>
        </w:rPr>
        <w:t xml:space="preserve">McKinsey &amp; Company. (2022). </w:t>
      </w:r>
      <w:r w:rsidRPr="0038335A">
        <w:rPr>
          <w:rStyle w:val="Emphasis"/>
          <w:rFonts w:cs="Times New Roman"/>
          <w:szCs w:val="24"/>
        </w:rPr>
        <w:t>Cost reduction strategies in the hospitality industry</w:t>
      </w:r>
      <w:r w:rsidRPr="0038335A">
        <w:rPr>
          <w:rFonts w:cs="Times New Roman"/>
          <w:szCs w:val="24"/>
        </w:rPr>
        <w:t xml:space="preserve">. Retrieved from </w:t>
      </w:r>
      <w:hyperlink r:id="rId8" w:history="1">
        <w:r w:rsidRPr="0038335A">
          <w:rPr>
            <w:rStyle w:val="Hyperlink"/>
            <w:rFonts w:cs="Times New Roman"/>
            <w:szCs w:val="24"/>
          </w:rPr>
          <w:t>https://www.mckinsey.com/~/media/mckinsey/industries/travel%20logistics%20and%20infrastructure/our%20insights/the%20state%20of%20tourism%20and%20hospitality%202024/the-state-of-tourism-and-hospitality-2024-final.pdf</w:t>
        </w:r>
      </w:hyperlink>
      <w:r w:rsidRPr="0038335A">
        <w:rPr>
          <w:rFonts w:cs="Times New Roman"/>
          <w:szCs w:val="24"/>
        </w:rPr>
        <w:t xml:space="preserve"> (Accessed on: 6</w:t>
      </w:r>
      <w:r w:rsidRPr="0038335A">
        <w:rPr>
          <w:rFonts w:cs="Times New Roman"/>
          <w:szCs w:val="24"/>
          <w:vertAlign w:val="superscript"/>
        </w:rPr>
        <w:t>th</w:t>
      </w:r>
      <w:r w:rsidRPr="0038335A">
        <w:rPr>
          <w:rFonts w:cs="Times New Roman"/>
          <w:szCs w:val="24"/>
        </w:rPr>
        <w:t xml:space="preserve"> November 2024)</w:t>
      </w:r>
    </w:p>
    <w:p w14:paraId="1B1008DA" w14:textId="77777777" w:rsidR="00E13E24" w:rsidRPr="0038335A" w:rsidRDefault="00D6648D" w:rsidP="00E5539B">
      <w:pPr>
        <w:ind w:left="720" w:hanging="720"/>
        <w:rPr>
          <w:rFonts w:cs="Times New Roman"/>
          <w:color w:val="222222"/>
          <w:szCs w:val="24"/>
          <w:shd w:val="clear" w:color="auto" w:fill="FFFFFF"/>
        </w:rPr>
      </w:pPr>
      <w:r w:rsidRPr="0038335A">
        <w:rPr>
          <w:rFonts w:cs="Times New Roman"/>
          <w:color w:val="222222"/>
          <w:szCs w:val="24"/>
          <w:shd w:val="clear" w:color="auto" w:fill="FFFFFF"/>
        </w:rPr>
        <w:t>Nyagiloh, K.A. and Kilika, J.M., 2020. Theoretical review of turnaround strategy and its organizational outcomes. </w:t>
      </w:r>
      <w:r w:rsidRPr="0038335A">
        <w:rPr>
          <w:rFonts w:cs="Times New Roman"/>
          <w:i/>
          <w:iCs/>
          <w:color w:val="222222"/>
          <w:szCs w:val="24"/>
          <w:shd w:val="clear" w:color="auto" w:fill="FFFFFF"/>
        </w:rPr>
        <w:t>Available at SSRN 3514730</w:t>
      </w:r>
      <w:r w:rsidRPr="0038335A">
        <w:rPr>
          <w:rFonts w:cs="Times New Roman"/>
          <w:color w:val="222222"/>
          <w:szCs w:val="24"/>
          <w:shd w:val="clear" w:color="auto" w:fill="FFFFFF"/>
        </w:rPr>
        <w:t>.</w:t>
      </w:r>
    </w:p>
    <w:p w14:paraId="513043AC" w14:textId="77777777" w:rsidR="00E13E24" w:rsidRPr="0038335A" w:rsidRDefault="00D6648D" w:rsidP="00E5539B">
      <w:pPr>
        <w:ind w:left="720" w:hanging="720"/>
        <w:rPr>
          <w:rFonts w:cs="Times New Roman"/>
          <w:szCs w:val="24"/>
        </w:rPr>
      </w:pPr>
      <w:r w:rsidRPr="0038335A">
        <w:rPr>
          <w:rFonts w:cs="Times New Roman"/>
          <w:szCs w:val="24"/>
        </w:rPr>
        <w:t xml:space="preserve">Tourism Review. (2023). </w:t>
      </w:r>
      <w:r w:rsidRPr="0038335A">
        <w:rPr>
          <w:rStyle w:val="Emphasis"/>
          <w:rFonts w:cs="Times New Roman"/>
          <w:szCs w:val="24"/>
        </w:rPr>
        <w:t>Staycation trends and hotel marketing strategies</w:t>
      </w:r>
      <w:r w:rsidRPr="0038335A">
        <w:rPr>
          <w:rFonts w:cs="Times New Roman"/>
          <w:szCs w:val="24"/>
        </w:rPr>
        <w:t xml:space="preserve">. Retrieved from </w:t>
      </w:r>
      <w:hyperlink r:id="rId9" w:tgtFrame="_new" w:history="1">
        <w:r w:rsidRPr="0038335A">
          <w:rPr>
            <w:rStyle w:val="Hyperlink"/>
            <w:rFonts w:cs="Times New Roman"/>
            <w:szCs w:val="24"/>
          </w:rPr>
          <w:t>https://www.tourism-review.com</w:t>
        </w:r>
      </w:hyperlink>
      <w:r w:rsidRPr="0038335A">
        <w:rPr>
          <w:rFonts w:cs="Times New Roman"/>
          <w:szCs w:val="24"/>
        </w:rPr>
        <w:t xml:space="preserve"> (Accessed on: 6</w:t>
      </w:r>
      <w:r w:rsidRPr="0038335A">
        <w:rPr>
          <w:rFonts w:cs="Times New Roman"/>
          <w:szCs w:val="24"/>
          <w:vertAlign w:val="superscript"/>
        </w:rPr>
        <w:t>th</w:t>
      </w:r>
      <w:r w:rsidRPr="0038335A">
        <w:rPr>
          <w:rFonts w:cs="Times New Roman"/>
          <w:szCs w:val="24"/>
        </w:rPr>
        <w:t xml:space="preserve"> November 2024)</w:t>
      </w:r>
    </w:p>
    <w:p w14:paraId="43A10B54" w14:textId="77777777" w:rsidR="00E13E24" w:rsidRPr="0038335A" w:rsidRDefault="00D6648D" w:rsidP="00E5539B">
      <w:pPr>
        <w:ind w:left="720" w:hanging="720"/>
        <w:rPr>
          <w:rFonts w:cs="Times New Roman"/>
          <w:szCs w:val="24"/>
        </w:rPr>
      </w:pPr>
      <w:r w:rsidRPr="0038335A">
        <w:rPr>
          <w:rFonts w:cs="Times New Roman"/>
          <w:szCs w:val="24"/>
        </w:rPr>
        <w:t xml:space="preserve">World Tourism Organization. (2023). </w:t>
      </w:r>
      <w:r w:rsidRPr="0038335A">
        <w:rPr>
          <w:rStyle w:val="Emphasis"/>
          <w:rFonts w:cs="Times New Roman"/>
          <w:szCs w:val="24"/>
        </w:rPr>
        <w:t>Revenue diversification strategies in the hospitality industry</w:t>
      </w:r>
      <w:r w:rsidRPr="0038335A">
        <w:rPr>
          <w:rFonts w:cs="Times New Roman"/>
          <w:szCs w:val="24"/>
        </w:rPr>
        <w:t xml:space="preserve">. Retrieved from </w:t>
      </w:r>
      <w:hyperlink r:id="rId10" w:history="1">
        <w:r w:rsidRPr="0038335A">
          <w:rPr>
            <w:rStyle w:val="Hyperlink"/>
            <w:rFonts w:cs="Times New Roman"/>
            <w:szCs w:val="24"/>
          </w:rPr>
          <w:t>https://www.unwto.org/world-tourism-day-2023</w:t>
        </w:r>
      </w:hyperlink>
      <w:r w:rsidRPr="0038335A">
        <w:rPr>
          <w:rFonts w:cs="Times New Roman"/>
          <w:szCs w:val="24"/>
        </w:rPr>
        <w:t xml:space="preserve"> (Accessed on: 6</w:t>
      </w:r>
      <w:r w:rsidRPr="0038335A">
        <w:rPr>
          <w:rFonts w:cs="Times New Roman"/>
          <w:szCs w:val="24"/>
          <w:vertAlign w:val="superscript"/>
        </w:rPr>
        <w:t>th</w:t>
      </w:r>
      <w:r w:rsidRPr="0038335A">
        <w:rPr>
          <w:rFonts w:cs="Times New Roman"/>
          <w:szCs w:val="24"/>
        </w:rPr>
        <w:t xml:space="preserve"> November 2024)</w:t>
      </w:r>
    </w:p>
    <w:p w14:paraId="143C7A4C" w14:textId="77777777" w:rsidR="00E13E24" w:rsidRPr="0038335A" w:rsidRDefault="00D6648D" w:rsidP="00E5539B">
      <w:pPr>
        <w:ind w:left="720" w:hanging="720"/>
        <w:rPr>
          <w:rFonts w:eastAsia="Times New Roman" w:cs="Times New Roman"/>
          <w:szCs w:val="24"/>
          <w:lang w:eastAsia="en-GB"/>
        </w:rPr>
      </w:pPr>
      <w:r w:rsidRPr="0038335A">
        <w:rPr>
          <w:rFonts w:eastAsia="Times New Roman" w:cs="Times New Roman"/>
          <w:szCs w:val="24"/>
          <w:lang w:eastAsia="en-GB"/>
        </w:rPr>
        <w:t xml:space="preserve">TripAdvisor. (2023). </w:t>
      </w:r>
      <w:r w:rsidRPr="0038335A">
        <w:rPr>
          <w:rFonts w:eastAsia="Times New Roman" w:cs="Times New Roman"/>
          <w:i/>
          <w:iCs/>
          <w:szCs w:val="24"/>
          <w:lang w:eastAsia="en-GB"/>
        </w:rPr>
        <w:t>The impact of online reviews on hotel performance</w:t>
      </w:r>
      <w:r w:rsidRPr="0038335A">
        <w:rPr>
          <w:rFonts w:eastAsia="Times New Roman" w:cs="Times New Roman"/>
          <w:szCs w:val="24"/>
          <w:lang w:eastAsia="en-GB"/>
        </w:rPr>
        <w:t xml:space="preserve">. Retrieved from </w:t>
      </w:r>
      <w:hyperlink r:id="rId11" w:history="1">
        <w:r w:rsidRPr="0038335A">
          <w:rPr>
            <w:rStyle w:val="Hyperlink"/>
            <w:rFonts w:eastAsia="Times New Roman" w:cs="Times New Roman"/>
            <w:szCs w:val="24"/>
            <w:lang w:eastAsia="en-GB"/>
          </w:rPr>
          <w:t>https://www.tripadvisor.com/powerofreviews.pdf</w:t>
        </w:r>
      </w:hyperlink>
      <w:r w:rsidRPr="0038335A">
        <w:rPr>
          <w:rFonts w:eastAsia="Times New Roman" w:cs="Times New Roman"/>
          <w:szCs w:val="24"/>
          <w:lang w:eastAsia="en-GB"/>
        </w:rPr>
        <w:t xml:space="preserve"> </w:t>
      </w:r>
      <w:r w:rsidRPr="0038335A">
        <w:rPr>
          <w:rFonts w:cs="Times New Roman"/>
          <w:szCs w:val="24"/>
        </w:rPr>
        <w:t>(Accessed on: 6</w:t>
      </w:r>
      <w:r w:rsidRPr="0038335A">
        <w:rPr>
          <w:rFonts w:cs="Times New Roman"/>
          <w:szCs w:val="24"/>
          <w:vertAlign w:val="superscript"/>
        </w:rPr>
        <w:t>th</w:t>
      </w:r>
      <w:r w:rsidRPr="0038335A">
        <w:rPr>
          <w:rFonts w:cs="Times New Roman"/>
          <w:szCs w:val="24"/>
        </w:rPr>
        <w:t xml:space="preserve"> November 2024)</w:t>
      </w:r>
    </w:p>
    <w:p w14:paraId="6F2C74D9" w14:textId="0F1E710A" w:rsidR="00E13E24" w:rsidRPr="0038335A" w:rsidRDefault="00D6648D" w:rsidP="00E5539B">
      <w:pPr>
        <w:ind w:left="720" w:hanging="720"/>
        <w:rPr>
          <w:rFonts w:cs="Times New Roman"/>
          <w:szCs w:val="24"/>
        </w:rPr>
      </w:pPr>
      <w:r w:rsidRPr="0038335A">
        <w:rPr>
          <w:rFonts w:eastAsia="Times New Roman" w:cs="Times New Roman"/>
          <w:szCs w:val="24"/>
          <w:lang w:eastAsia="en-GB"/>
        </w:rPr>
        <w:t xml:space="preserve">US Bureau of Labor Statistics. (2023). </w:t>
      </w:r>
      <w:r w:rsidRPr="0038335A">
        <w:rPr>
          <w:rFonts w:eastAsia="Times New Roman" w:cs="Times New Roman"/>
          <w:i/>
          <w:iCs/>
          <w:szCs w:val="24"/>
          <w:lang w:eastAsia="en-GB"/>
        </w:rPr>
        <w:t>Energy price trends and their impact on businesses</w:t>
      </w:r>
      <w:r w:rsidRPr="0038335A">
        <w:rPr>
          <w:rFonts w:eastAsia="Times New Roman" w:cs="Times New Roman"/>
          <w:szCs w:val="24"/>
          <w:lang w:eastAsia="en-GB"/>
        </w:rPr>
        <w:t xml:space="preserve">. Retrieved from </w:t>
      </w:r>
      <w:hyperlink r:id="rId12" w:history="1">
        <w:r w:rsidRPr="0038335A">
          <w:rPr>
            <w:rStyle w:val="Hyperlink"/>
            <w:rFonts w:eastAsia="Times New Roman" w:cs="Times New Roman"/>
            <w:szCs w:val="24"/>
            <w:lang w:eastAsia="en-GB"/>
          </w:rPr>
          <w:t>https://www.bls.gov/opub/ted/2023/energy-prices-down-6-4-percent-from-march-2022-to-march-2023.htm</w:t>
        </w:r>
      </w:hyperlink>
      <w:r w:rsidRPr="0038335A">
        <w:rPr>
          <w:rFonts w:eastAsia="Times New Roman" w:cs="Times New Roman"/>
          <w:szCs w:val="24"/>
          <w:lang w:eastAsia="en-GB"/>
        </w:rPr>
        <w:t xml:space="preserve"> </w:t>
      </w:r>
      <w:r w:rsidRPr="0038335A">
        <w:rPr>
          <w:rFonts w:cs="Times New Roman"/>
          <w:szCs w:val="24"/>
        </w:rPr>
        <w:t>(Accessed on: 6</w:t>
      </w:r>
      <w:r w:rsidRPr="0038335A">
        <w:rPr>
          <w:rFonts w:cs="Times New Roman"/>
          <w:szCs w:val="24"/>
          <w:vertAlign w:val="superscript"/>
        </w:rPr>
        <w:t>th</w:t>
      </w:r>
      <w:r w:rsidRPr="0038335A">
        <w:rPr>
          <w:rFonts w:cs="Times New Roman"/>
          <w:szCs w:val="24"/>
        </w:rPr>
        <w:t xml:space="preserve"> November 2024)</w:t>
      </w:r>
    </w:p>
    <w:p w14:paraId="1DE35504" w14:textId="4BF8CDEA" w:rsidR="00E5539B" w:rsidRPr="0038335A" w:rsidRDefault="00E5539B" w:rsidP="00E5539B">
      <w:pPr>
        <w:ind w:left="720" w:hanging="720"/>
        <w:rPr>
          <w:rFonts w:eastAsia="Times New Roman" w:cs="Times New Roman"/>
          <w:szCs w:val="24"/>
          <w:lang w:eastAsia="en-GB"/>
        </w:rPr>
      </w:pPr>
      <w:r w:rsidRPr="0038335A">
        <w:rPr>
          <w:rFonts w:eastAsia="Times New Roman" w:cs="Times New Roman"/>
          <w:szCs w:val="24"/>
          <w:lang w:eastAsia="en-GB"/>
        </w:rPr>
        <w:t>Ioannidis, A., Chalvatzis, K. J., Leonidou, L. C., and Feng, Z. (2021). ‘Applying the reduce, reuse, and recycle principle in the hospitality sector: Its antecedents and performance implications’. </w:t>
      </w:r>
      <w:r w:rsidRPr="0038335A">
        <w:rPr>
          <w:rFonts w:eastAsia="Times New Roman" w:cs="Times New Roman"/>
          <w:i/>
          <w:iCs/>
          <w:szCs w:val="24"/>
          <w:lang w:eastAsia="en-GB"/>
        </w:rPr>
        <w:t>Business Strategy and the Environment</w:t>
      </w:r>
      <w:r w:rsidRPr="0038335A">
        <w:rPr>
          <w:rFonts w:eastAsia="Times New Roman" w:cs="Times New Roman"/>
          <w:szCs w:val="24"/>
          <w:lang w:eastAsia="en-GB"/>
        </w:rPr>
        <w:t>, </w:t>
      </w:r>
      <w:r w:rsidRPr="0038335A">
        <w:rPr>
          <w:rFonts w:eastAsia="Times New Roman" w:cs="Times New Roman"/>
          <w:i/>
          <w:iCs/>
          <w:szCs w:val="24"/>
          <w:lang w:eastAsia="en-GB"/>
        </w:rPr>
        <w:t>30</w:t>
      </w:r>
      <w:r w:rsidRPr="0038335A">
        <w:rPr>
          <w:rFonts w:eastAsia="Times New Roman" w:cs="Times New Roman"/>
          <w:szCs w:val="24"/>
          <w:lang w:eastAsia="en-GB"/>
        </w:rPr>
        <w:t>(7), 3394-3410.</w:t>
      </w:r>
    </w:p>
    <w:p w14:paraId="2300559D" w14:textId="7D531DD0" w:rsidR="00E5539B" w:rsidRPr="0038335A" w:rsidRDefault="00E5539B" w:rsidP="00E5539B">
      <w:pPr>
        <w:ind w:left="720" w:hanging="720"/>
        <w:rPr>
          <w:rFonts w:eastAsia="Times New Roman" w:cs="Times New Roman"/>
          <w:szCs w:val="24"/>
          <w:lang w:eastAsia="en-GB"/>
        </w:rPr>
      </w:pPr>
      <w:r w:rsidRPr="0038335A">
        <w:rPr>
          <w:rFonts w:eastAsia="Times New Roman" w:cs="Times New Roman"/>
          <w:szCs w:val="24"/>
          <w:lang w:eastAsia="en-GB"/>
        </w:rPr>
        <w:t>Pizam, A., Ozturk, A. B., Balderas-Cejudo, A., Buhalis, D., Fuchs, G., Hara, T., and Chaulagain, S. (2022). ‘Factors affecting hotel managers’ intentions to adopt robotic technologies: A global study’. </w:t>
      </w:r>
      <w:r w:rsidRPr="0038335A">
        <w:rPr>
          <w:rFonts w:eastAsia="Times New Roman" w:cs="Times New Roman"/>
          <w:i/>
          <w:iCs/>
          <w:szCs w:val="24"/>
          <w:lang w:eastAsia="en-GB"/>
        </w:rPr>
        <w:t>International Journal of Hospitality Management</w:t>
      </w:r>
      <w:r w:rsidRPr="0038335A">
        <w:rPr>
          <w:rFonts w:eastAsia="Times New Roman" w:cs="Times New Roman"/>
          <w:szCs w:val="24"/>
          <w:lang w:eastAsia="en-GB"/>
        </w:rPr>
        <w:t>, </w:t>
      </w:r>
      <w:r w:rsidRPr="0038335A">
        <w:rPr>
          <w:rFonts w:eastAsia="Times New Roman" w:cs="Times New Roman"/>
          <w:i/>
          <w:iCs/>
          <w:szCs w:val="24"/>
          <w:lang w:eastAsia="en-GB"/>
        </w:rPr>
        <w:t>102</w:t>
      </w:r>
      <w:r w:rsidRPr="0038335A">
        <w:rPr>
          <w:rFonts w:eastAsia="Times New Roman" w:cs="Times New Roman"/>
          <w:szCs w:val="24"/>
          <w:lang w:eastAsia="en-GB"/>
        </w:rPr>
        <w:t>, 103139.</w:t>
      </w:r>
    </w:p>
    <w:sectPr w:rsidR="00E5539B" w:rsidRPr="0038335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26B404" w14:textId="77777777" w:rsidR="005E4D82" w:rsidRDefault="005E4D82" w:rsidP="00E5539B">
      <w:pPr>
        <w:spacing w:line="240" w:lineRule="auto"/>
      </w:pPr>
      <w:r>
        <w:separator/>
      </w:r>
    </w:p>
  </w:endnote>
  <w:endnote w:type="continuationSeparator" w:id="0">
    <w:p w14:paraId="511FE9B7" w14:textId="77777777" w:rsidR="005E4D82" w:rsidRDefault="005E4D82" w:rsidP="00E553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34B471" w14:textId="77777777" w:rsidR="005E4D82" w:rsidRDefault="005E4D82" w:rsidP="00E5539B">
      <w:pPr>
        <w:spacing w:line="240" w:lineRule="auto"/>
      </w:pPr>
      <w:r>
        <w:separator/>
      </w:r>
    </w:p>
  </w:footnote>
  <w:footnote w:type="continuationSeparator" w:id="0">
    <w:p w14:paraId="7F82FDAB" w14:textId="77777777" w:rsidR="005E4D82" w:rsidRDefault="005E4D82" w:rsidP="00E553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7AC1"/>
    <w:rsid w:val="00020B3A"/>
    <w:rsid w:val="00082E23"/>
    <w:rsid w:val="000A0A78"/>
    <w:rsid w:val="000A35F1"/>
    <w:rsid w:val="001018B7"/>
    <w:rsid w:val="00135130"/>
    <w:rsid w:val="001D32E3"/>
    <w:rsid w:val="001D4124"/>
    <w:rsid w:val="001F1BF5"/>
    <w:rsid w:val="00222858"/>
    <w:rsid w:val="00227B70"/>
    <w:rsid w:val="002B0FCE"/>
    <w:rsid w:val="002B2AFC"/>
    <w:rsid w:val="002C3833"/>
    <w:rsid w:val="002D4600"/>
    <w:rsid w:val="00300A46"/>
    <w:rsid w:val="003446C3"/>
    <w:rsid w:val="003627EF"/>
    <w:rsid w:val="0038335A"/>
    <w:rsid w:val="00386535"/>
    <w:rsid w:val="003D4339"/>
    <w:rsid w:val="003F3F33"/>
    <w:rsid w:val="0042663A"/>
    <w:rsid w:val="0044276A"/>
    <w:rsid w:val="00452247"/>
    <w:rsid w:val="00487787"/>
    <w:rsid w:val="00567F97"/>
    <w:rsid w:val="005768DE"/>
    <w:rsid w:val="00582F7B"/>
    <w:rsid w:val="005A147E"/>
    <w:rsid w:val="005E4D82"/>
    <w:rsid w:val="005F29A4"/>
    <w:rsid w:val="005F6A86"/>
    <w:rsid w:val="00665D4D"/>
    <w:rsid w:val="00686F0B"/>
    <w:rsid w:val="006B4A84"/>
    <w:rsid w:val="006F7E23"/>
    <w:rsid w:val="00700530"/>
    <w:rsid w:val="0071701C"/>
    <w:rsid w:val="00727694"/>
    <w:rsid w:val="00777D27"/>
    <w:rsid w:val="00794966"/>
    <w:rsid w:val="00794DA7"/>
    <w:rsid w:val="007A33C3"/>
    <w:rsid w:val="007E596C"/>
    <w:rsid w:val="007F03BE"/>
    <w:rsid w:val="008235C4"/>
    <w:rsid w:val="00877AC1"/>
    <w:rsid w:val="008A5C97"/>
    <w:rsid w:val="008B78C6"/>
    <w:rsid w:val="008D01AC"/>
    <w:rsid w:val="0090128F"/>
    <w:rsid w:val="00A10E03"/>
    <w:rsid w:val="00A1105D"/>
    <w:rsid w:val="00A30542"/>
    <w:rsid w:val="00A32E94"/>
    <w:rsid w:val="00A622A6"/>
    <w:rsid w:val="00A72437"/>
    <w:rsid w:val="00AA7610"/>
    <w:rsid w:val="00AE2818"/>
    <w:rsid w:val="00B044FF"/>
    <w:rsid w:val="00B133A1"/>
    <w:rsid w:val="00B90B55"/>
    <w:rsid w:val="00BE1C9C"/>
    <w:rsid w:val="00C63AB8"/>
    <w:rsid w:val="00C72E52"/>
    <w:rsid w:val="00CA6F4F"/>
    <w:rsid w:val="00CA7828"/>
    <w:rsid w:val="00CC71C5"/>
    <w:rsid w:val="00D20B47"/>
    <w:rsid w:val="00D27F48"/>
    <w:rsid w:val="00D6648D"/>
    <w:rsid w:val="00DE1F05"/>
    <w:rsid w:val="00DF1F34"/>
    <w:rsid w:val="00E0170E"/>
    <w:rsid w:val="00E10494"/>
    <w:rsid w:val="00E13E24"/>
    <w:rsid w:val="00E541EA"/>
    <w:rsid w:val="00E5539B"/>
    <w:rsid w:val="00E663DC"/>
    <w:rsid w:val="00E916C1"/>
    <w:rsid w:val="00EC6F82"/>
    <w:rsid w:val="00F032AE"/>
    <w:rsid w:val="00F57000"/>
    <w:rsid w:val="00F9412F"/>
    <w:rsid w:val="00FE31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05E60C"/>
  <w15:chartTrackingRefBased/>
  <w15:docId w15:val="{08FB39E6-D7BE-4C3C-BFDB-59CA59A2E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818"/>
    <w:pPr>
      <w:spacing w:after="0" w:line="360" w:lineRule="auto"/>
      <w:ind w:firstLine="720"/>
      <w:contextualSpacing/>
      <w:jc w:val="both"/>
    </w:pPr>
    <w:rPr>
      <w:rFonts w:ascii="Times New Roman" w:hAnsi="Times New Roman"/>
      <w:sz w:val="24"/>
      <w:lang w:val="en-GB"/>
    </w:rPr>
  </w:style>
  <w:style w:type="paragraph" w:styleId="Heading1">
    <w:name w:val="heading 1"/>
    <w:basedOn w:val="NormalWeb"/>
    <w:next w:val="Normal"/>
    <w:link w:val="Heading1Char"/>
    <w:uiPriority w:val="9"/>
    <w:qFormat/>
    <w:rsid w:val="00AE2818"/>
    <w:pPr>
      <w:spacing w:before="0" w:beforeAutospacing="0" w:after="0" w:afterAutospacing="0" w:line="360" w:lineRule="auto"/>
      <w:ind w:firstLine="0"/>
      <w:outlineLvl w:val="0"/>
    </w:pPr>
    <w:rPr>
      <w:b/>
    </w:rPr>
  </w:style>
  <w:style w:type="paragraph" w:styleId="Heading2">
    <w:name w:val="heading 2"/>
    <w:basedOn w:val="Normal"/>
    <w:next w:val="Normal"/>
    <w:link w:val="Heading2Char"/>
    <w:uiPriority w:val="9"/>
    <w:unhideWhenUsed/>
    <w:qFormat/>
    <w:rsid w:val="00AE2818"/>
    <w:pPr>
      <w:ind w:firstLine="0"/>
      <w:outlineLvl w:val="1"/>
    </w:pPr>
    <w:rPr>
      <w:rFonts w:eastAsia="Times New Roman" w:cs="Times New Roman"/>
      <w:b/>
      <w:bCs/>
      <w:i/>
      <w:szCs w:val="24"/>
      <w:lang w:eastAsia="en-GB"/>
    </w:rPr>
  </w:style>
  <w:style w:type="paragraph" w:styleId="Heading3">
    <w:name w:val="heading 3"/>
    <w:basedOn w:val="Normal"/>
    <w:next w:val="Normal"/>
    <w:link w:val="Heading3Char"/>
    <w:uiPriority w:val="9"/>
    <w:unhideWhenUsed/>
    <w:qFormat/>
    <w:rsid w:val="00AE2818"/>
    <w:pPr>
      <w:ind w:firstLine="0"/>
      <w:outlineLvl w:val="2"/>
    </w:pPr>
    <w:rPr>
      <w:rFonts w:eastAsia="Times New Roman" w:cs="Times New Roman"/>
      <w:bCs/>
      <w:i/>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7AC1"/>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877AC1"/>
    <w:rPr>
      <w:b/>
      <w:bCs/>
    </w:rPr>
  </w:style>
  <w:style w:type="table" w:styleId="TableGrid">
    <w:name w:val="Table Grid"/>
    <w:basedOn w:val="TableNormal"/>
    <w:uiPriority w:val="39"/>
    <w:rsid w:val="00877A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verflow-hidden">
    <w:name w:val="overflow-hidden"/>
    <w:basedOn w:val="DefaultParagraphFont"/>
    <w:rsid w:val="00877AC1"/>
  </w:style>
  <w:style w:type="character" w:customStyle="1" w:styleId="Heading1Char">
    <w:name w:val="Heading 1 Char"/>
    <w:basedOn w:val="DefaultParagraphFont"/>
    <w:link w:val="Heading1"/>
    <w:uiPriority w:val="9"/>
    <w:rsid w:val="00AE2818"/>
    <w:rPr>
      <w:rFonts w:ascii="Times New Roman" w:eastAsia="Times New Roman" w:hAnsi="Times New Roman" w:cs="Times New Roman"/>
      <w:b/>
      <w:sz w:val="24"/>
      <w:szCs w:val="24"/>
      <w:lang w:val="en-GB" w:eastAsia="en-GB"/>
    </w:rPr>
  </w:style>
  <w:style w:type="character" w:customStyle="1" w:styleId="Heading2Char">
    <w:name w:val="Heading 2 Char"/>
    <w:basedOn w:val="DefaultParagraphFont"/>
    <w:link w:val="Heading2"/>
    <w:uiPriority w:val="9"/>
    <w:rsid w:val="00AE2818"/>
    <w:rPr>
      <w:rFonts w:ascii="Times New Roman" w:eastAsia="Times New Roman" w:hAnsi="Times New Roman" w:cs="Times New Roman"/>
      <w:b/>
      <w:bCs/>
      <w:i/>
      <w:sz w:val="24"/>
      <w:szCs w:val="24"/>
      <w:lang w:val="en-GB" w:eastAsia="en-GB"/>
    </w:rPr>
  </w:style>
  <w:style w:type="character" w:customStyle="1" w:styleId="Heading3Char">
    <w:name w:val="Heading 3 Char"/>
    <w:basedOn w:val="DefaultParagraphFont"/>
    <w:link w:val="Heading3"/>
    <w:uiPriority w:val="9"/>
    <w:rsid w:val="00AE2818"/>
    <w:rPr>
      <w:rFonts w:ascii="Times New Roman" w:eastAsia="Times New Roman" w:hAnsi="Times New Roman" w:cs="Times New Roman"/>
      <w:bCs/>
      <w:i/>
      <w:sz w:val="24"/>
      <w:szCs w:val="24"/>
      <w:lang w:val="en-GB" w:eastAsia="en-GB"/>
    </w:rPr>
  </w:style>
  <w:style w:type="paragraph" w:styleId="Caption">
    <w:name w:val="caption"/>
    <w:basedOn w:val="Normal"/>
    <w:next w:val="Normal"/>
    <w:uiPriority w:val="35"/>
    <w:unhideWhenUsed/>
    <w:qFormat/>
    <w:rsid w:val="007E596C"/>
    <w:pPr>
      <w:spacing w:after="200" w:line="240" w:lineRule="auto"/>
    </w:pPr>
    <w:rPr>
      <w:i/>
      <w:iCs/>
      <w:color w:val="44546A" w:themeColor="text2"/>
      <w:sz w:val="18"/>
      <w:szCs w:val="18"/>
    </w:rPr>
  </w:style>
  <w:style w:type="character" w:styleId="Emphasis">
    <w:name w:val="Emphasis"/>
    <w:basedOn w:val="DefaultParagraphFont"/>
    <w:uiPriority w:val="20"/>
    <w:qFormat/>
    <w:rsid w:val="00E13E24"/>
    <w:rPr>
      <w:i/>
      <w:iCs/>
    </w:rPr>
  </w:style>
  <w:style w:type="character" w:styleId="Hyperlink">
    <w:name w:val="Hyperlink"/>
    <w:basedOn w:val="DefaultParagraphFont"/>
    <w:uiPriority w:val="99"/>
    <w:unhideWhenUsed/>
    <w:rsid w:val="00E13E24"/>
    <w:rPr>
      <w:color w:val="0000FF"/>
      <w:u w:val="single"/>
    </w:rPr>
  </w:style>
  <w:style w:type="character" w:styleId="CommentReference">
    <w:name w:val="annotation reference"/>
    <w:basedOn w:val="DefaultParagraphFont"/>
    <w:uiPriority w:val="99"/>
    <w:semiHidden/>
    <w:unhideWhenUsed/>
    <w:rsid w:val="005A147E"/>
    <w:rPr>
      <w:sz w:val="16"/>
      <w:szCs w:val="16"/>
    </w:rPr>
  </w:style>
  <w:style w:type="paragraph" w:styleId="CommentText">
    <w:name w:val="annotation text"/>
    <w:basedOn w:val="Normal"/>
    <w:link w:val="CommentTextChar"/>
    <w:uiPriority w:val="99"/>
    <w:semiHidden/>
    <w:unhideWhenUsed/>
    <w:rsid w:val="005A147E"/>
    <w:pPr>
      <w:spacing w:line="240" w:lineRule="auto"/>
    </w:pPr>
    <w:rPr>
      <w:sz w:val="20"/>
      <w:szCs w:val="20"/>
    </w:rPr>
  </w:style>
  <w:style w:type="character" w:customStyle="1" w:styleId="CommentTextChar">
    <w:name w:val="Comment Text Char"/>
    <w:basedOn w:val="DefaultParagraphFont"/>
    <w:link w:val="CommentText"/>
    <w:uiPriority w:val="99"/>
    <w:semiHidden/>
    <w:rsid w:val="005A147E"/>
    <w:rPr>
      <w:sz w:val="20"/>
      <w:szCs w:val="20"/>
      <w:lang w:val="en-GB"/>
    </w:rPr>
  </w:style>
  <w:style w:type="paragraph" w:styleId="CommentSubject">
    <w:name w:val="annotation subject"/>
    <w:basedOn w:val="CommentText"/>
    <w:next w:val="CommentText"/>
    <w:link w:val="CommentSubjectChar"/>
    <w:uiPriority w:val="99"/>
    <w:semiHidden/>
    <w:unhideWhenUsed/>
    <w:rsid w:val="005A147E"/>
    <w:rPr>
      <w:b/>
      <w:bCs/>
    </w:rPr>
  </w:style>
  <w:style w:type="character" w:customStyle="1" w:styleId="CommentSubjectChar">
    <w:name w:val="Comment Subject Char"/>
    <w:basedOn w:val="CommentTextChar"/>
    <w:link w:val="CommentSubject"/>
    <w:uiPriority w:val="99"/>
    <w:semiHidden/>
    <w:rsid w:val="005A147E"/>
    <w:rPr>
      <w:b/>
      <w:bCs/>
      <w:sz w:val="20"/>
      <w:szCs w:val="20"/>
      <w:lang w:val="en-GB"/>
    </w:rPr>
  </w:style>
  <w:style w:type="paragraph" w:styleId="BalloonText">
    <w:name w:val="Balloon Text"/>
    <w:basedOn w:val="Normal"/>
    <w:link w:val="BalloonTextChar"/>
    <w:uiPriority w:val="99"/>
    <w:semiHidden/>
    <w:unhideWhenUsed/>
    <w:rsid w:val="005A147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147E"/>
    <w:rPr>
      <w:rFonts w:ascii="Segoe UI" w:hAnsi="Segoe UI" w:cs="Segoe UI"/>
      <w:sz w:val="18"/>
      <w:szCs w:val="18"/>
      <w:lang w:val="en-GB"/>
    </w:rPr>
  </w:style>
  <w:style w:type="character" w:customStyle="1" w:styleId="katex-mathml">
    <w:name w:val="katex-mathml"/>
    <w:basedOn w:val="DefaultParagraphFont"/>
    <w:rsid w:val="001018B7"/>
  </w:style>
  <w:style w:type="character" w:customStyle="1" w:styleId="mord">
    <w:name w:val="mord"/>
    <w:basedOn w:val="DefaultParagraphFont"/>
    <w:rsid w:val="001018B7"/>
  </w:style>
  <w:style w:type="character" w:customStyle="1" w:styleId="mrel">
    <w:name w:val="mrel"/>
    <w:basedOn w:val="DefaultParagraphFont"/>
    <w:rsid w:val="001018B7"/>
  </w:style>
  <w:style w:type="character" w:customStyle="1" w:styleId="delimsizing">
    <w:name w:val="delimsizing"/>
    <w:basedOn w:val="DefaultParagraphFont"/>
    <w:rsid w:val="001018B7"/>
  </w:style>
  <w:style w:type="character" w:customStyle="1" w:styleId="vlist-s">
    <w:name w:val="vlist-s"/>
    <w:basedOn w:val="DefaultParagraphFont"/>
    <w:rsid w:val="001018B7"/>
  </w:style>
  <w:style w:type="character" w:customStyle="1" w:styleId="mbin">
    <w:name w:val="mbin"/>
    <w:basedOn w:val="DefaultParagraphFont"/>
    <w:rsid w:val="001018B7"/>
  </w:style>
  <w:style w:type="character" w:customStyle="1" w:styleId="mspace">
    <w:name w:val="mspace"/>
    <w:basedOn w:val="DefaultParagraphFont"/>
    <w:rsid w:val="008235C4"/>
  </w:style>
  <w:style w:type="character" w:customStyle="1" w:styleId="mtight">
    <w:name w:val="mtight"/>
    <w:basedOn w:val="DefaultParagraphFont"/>
    <w:rsid w:val="008235C4"/>
  </w:style>
  <w:style w:type="paragraph" w:styleId="Header">
    <w:name w:val="header"/>
    <w:basedOn w:val="Normal"/>
    <w:link w:val="HeaderChar"/>
    <w:uiPriority w:val="99"/>
    <w:unhideWhenUsed/>
    <w:rsid w:val="00E5539B"/>
    <w:pPr>
      <w:tabs>
        <w:tab w:val="center" w:pos="4513"/>
        <w:tab w:val="right" w:pos="9026"/>
      </w:tabs>
      <w:spacing w:line="240" w:lineRule="auto"/>
    </w:pPr>
  </w:style>
  <w:style w:type="character" w:customStyle="1" w:styleId="HeaderChar">
    <w:name w:val="Header Char"/>
    <w:basedOn w:val="DefaultParagraphFont"/>
    <w:link w:val="Header"/>
    <w:uiPriority w:val="99"/>
    <w:rsid w:val="00E5539B"/>
    <w:rPr>
      <w:lang w:val="en-GB"/>
    </w:rPr>
  </w:style>
  <w:style w:type="paragraph" w:styleId="Footer">
    <w:name w:val="footer"/>
    <w:basedOn w:val="Normal"/>
    <w:link w:val="FooterChar"/>
    <w:uiPriority w:val="99"/>
    <w:unhideWhenUsed/>
    <w:rsid w:val="00E5539B"/>
    <w:pPr>
      <w:tabs>
        <w:tab w:val="center" w:pos="4513"/>
        <w:tab w:val="right" w:pos="9026"/>
      </w:tabs>
      <w:spacing w:line="240" w:lineRule="auto"/>
    </w:pPr>
  </w:style>
  <w:style w:type="character" w:customStyle="1" w:styleId="FooterChar">
    <w:name w:val="Footer Char"/>
    <w:basedOn w:val="DefaultParagraphFont"/>
    <w:link w:val="Footer"/>
    <w:uiPriority w:val="99"/>
    <w:rsid w:val="00E5539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media/mckinsey/industries/travel%20logistics%20and%20infrastructure/our%20insights/the%20state%20of%20tourism%20and%20hospitality%202024/the-state-of-tourism-and-hospitality-2024-final.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fc.org/content/dam/ifc/doc/mgrt-pub/sbo-update-fy23-25-redacted-clean.pdf" TargetMode="External"/><Relationship Id="rId12" Type="http://schemas.openxmlformats.org/officeDocument/2006/relationships/hyperlink" Target="https://www.bls.gov/opub/ted/2023/energy-prices-down-6-4-percent-from-march-2022-to-march-2023.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ripadvisor.com/powerofreviews.pdf" TargetMode="External"/><Relationship Id="rId5" Type="http://schemas.openxmlformats.org/officeDocument/2006/relationships/footnotes" Target="footnotes.xml"/><Relationship Id="rId10" Type="http://schemas.openxmlformats.org/officeDocument/2006/relationships/hyperlink" Target="https://www.unwto.org/world-tourism-day-2023" TargetMode="External"/><Relationship Id="rId4" Type="http://schemas.openxmlformats.org/officeDocument/2006/relationships/webSettings" Target="webSettings.xml"/><Relationship Id="rId9" Type="http://schemas.openxmlformats.org/officeDocument/2006/relationships/hyperlink" Target="https://www.tourism-review.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C7DFD-DC41-4665-98CE-A63D84FEB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2796</Words>
  <Characters>15940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Saima Jabeen</dc:creator>
  <cp:lastModifiedBy>Rehan Shah</cp:lastModifiedBy>
  <cp:revision>2</cp:revision>
  <dcterms:created xsi:type="dcterms:W3CDTF">2024-11-14T19:15:00Z</dcterms:created>
  <dcterms:modified xsi:type="dcterms:W3CDTF">2024-11-14T19:15:00Z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2dced2c3e249ce1d8c5ee8d56d950041beda767c580107209d26ff3f5f188b4d</vt:lpwstr>
  </property>
</Properties>
</file>