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rFonts w:ascii="Verdana" w:cs="Verdana" w:hAnsi="Verdana" w:eastAsia="Verdana"/>
          <w:b w:val="1"/>
          <w:bCs w:val="1"/>
          <w:sz w:val="24"/>
          <w:szCs w:val="24"/>
        </w:rPr>
      </w:pPr>
      <w:r>
        <w:rPr>
          <w:rFonts w:ascii="Verdana" w:hAnsi="Verdana"/>
          <w:b w:val="1"/>
          <w:bCs w:val="1"/>
          <w:sz w:val="24"/>
          <w:szCs w:val="24"/>
          <w:rtl w:val="0"/>
          <w:lang w:val="en-US"/>
        </w:rPr>
        <w:t>THE PRACTICALITIES OF URBAN LIFE - AMARNA AS CASE STUDY</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Urbanisation is generally accepted as a defining development within a culture.  However, with that new way of living in community came a myriad of societal and individual changes.  Those most focused upon are usually the monumental buildings, the writing and the lives and activities of the people at the top levels of the resulting stratified society (Childe 1950:3-17).  This is logical, since the archaeological evidence most likely to survive is normally that created for, or on behalf of the elite classes, their monuments having been made out of more durable materials or their stories and possessions having been better preserved through burial practices not available to the poorer individuals (Grajetzki 2003:25,66).  However, as well as structural and funereal remains, there is also more ephemeral evidence left behind by the wider population of ancient urban societies which, if it can be discovered and analysed, can bring far more depth of information about the entire society, not just those at the top.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Certainly, the ways in which some of the major logistical issues that come with urbanisation are dealt with, particularly in cities with a large population, can be very informative.  A large, isolated city like Amarna, located between river and desert, would logically need to grow and distribute its own food as well as manage and distribute water, while also importing or transporting the raw materials needed for building, local industries and craft specialists.  But what goes in must also go out, albeit in a changed form, and it is how a city like this deals with its unwanted materials - its waste - which can provide so much information about the attitudes, behaviours, social norms, priorities and possible practical constraints.  The waste itself could consist of a range of things from human waste (of all kinds, from excretory to medical waste), animal waste, industrial waste, unwanted bodies (people with no family to bury them, for instance), animal remains and general rubbish (Dixon 1989:193-7).  The way that all this was managed could, and probably did in many instances, create problems relating to health and also to people</w:t>
      </w:r>
      <w:r>
        <w:rPr>
          <w:rFonts w:ascii="Verdana" w:hAnsi="Verdana" w:hint="default"/>
          <w:sz w:val="24"/>
          <w:szCs w:val="24"/>
          <w:rtl w:val="0"/>
          <w:lang w:val="en-US"/>
        </w:rPr>
        <w:t>’</w:t>
      </w:r>
      <w:r>
        <w:rPr>
          <w:rFonts w:ascii="Verdana" w:hAnsi="Verdana"/>
          <w:sz w:val="24"/>
          <w:szCs w:val="24"/>
          <w:rtl w:val="0"/>
          <w:lang w:val="en-US"/>
        </w:rPr>
        <w:t>s personal safety, especially in the case of organic waste (particularly human and animal), which draws dangerous scavengers, flies and disease-causing micro-organisms - and smells dreadful.</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Despite some of Amarna having been lost to the Nile river and to modern agriculture and settlements within the current flood plain, there is still more than enough information available from which some theories can be drawn about the people who lived there, and how they lived</w:t>
      </w:r>
      <w:r>
        <w:rPr>
          <w:rFonts w:ascii="Verdana" w:hAnsi="Verdana"/>
          <w:b w:val="1"/>
          <w:bCs w:val="1"/>
          <w:sz w:val="24"/>
          <w:szCs w:val="24"/>
          <w:rtl w:val="0"/>
          <w:lang w:val="en-US"/>
        </w:rPr>
        <w:t>.</w:t>
      </w:r>
      <w:r>
        <w:rPr>
          <w:rFonts w:ascii="Verdana" w:hAnsi="Verdana"/>
          <w:sz w:val="24"/>
          <w:szCs w:val="24"/>
          <w:rtl w:val="0"/>
          <w:lang w:val="en-US"/>
        </w:rPr>
        <w:t xml:space="preserve">  Amarna is an interesting and unique case study for this kind of investigation due to its having been in existence as a city for less than twenty years, with no previous building beneath its ruins and no subsequent building above, thus giving a snapshot of a particular, royal Egyptian city at a precise moment in time, during the late Bronze Age </w:t>
      </w:r>
      <w:r>
        <w:rPr>
          <w:rFonts w:ascii="Verdana" w:hAnsi="Verdana"/>
          <w:sz w:val="24"/>
          <w:szCs w:val="24"/>
          <w:rtl w:val="0"/>
          <w:lang w:val="nl-NL"/>
        </w:rPr>
        <w:t>(Stevens 2016:2</w:t>
      </w:r>
      <w:r>
        <w:rPr>
          <w:rFonts w:ascii="Verdana" w:hAnsi="Verdana"/>
          <w:sz w:val="24"/>
          <w:szCs w:val="24"/>
          <w:rtl w:val="0"/>
          <w:lang w:val="en-US"/>
        </w:rPr>
        <w:t>,6</w:t>
      </w:r>
      <w:r>
        <w:rPr>
          <w:rFonts w:ascii="Verdana" w:hAnsi="Verdana"/>
          <w:sz w:val="24"/>
          <w:szCs w:val="24"/>
          <w:rtl w:val="0"/>
        </w:rPr>
        <w:t>)</w:t>
      </w:r>
      <w:r>
        <w:rPr>
          <w:rFonts w:ascii="Verdana" w:hAnsi="Verdana"/>
          <w:sz w:val="24"/>
          <w:szCs w:val="24"/>
          <w:rtl w:val="0"/>
          <w:lang w:val="en-US"/>
        </w:rPr>
        <w:t xml:space="preserve">.  Not only that, the lack of previous habitation meant that there was no previous systems or structures in place influencing decisions made there.  Everything was created from new, and anything could be done differently, if the will was there.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Amarna was a city of at least 20-40,000 people which was designed and built to a plan, by Akhenaten and those who worked in his service.  They brought their knowledge, experience and ideas of how Egyptian cities worked, or should work, along with their beliefs, social attitudes and priorities, as they built everything between river and desert, from the palace in the north, to workmen</w:t>
      </w:r>
      <w:r>
        <w:rPr>
          <w:rFonts w:ascii="Verdana" w:hAnsi="Verdana" w:hint="default"/>
          <w:sz w:val="24"/>
          <w:szCs w:val="24"/>
          <w:rtl w:val="0"/>
          <w:lang w:val="en-US"/>
        </w:rPr>
        <w:t>’</w:t>
      </w:r>
      <w:r>
        <w:rPr>
          <w:rFonts w:ascii="Verdana" w:hAnsi="Verdana"/>
          <w:sz w:val="24"/>
          <w:szCs w:val="24"/>
          <w:rtl w:val="0"/>
          <w:lang w:val="en-US"/>
        </w:rPr>
        <w:t>s village in the west and the South Suburb in the south.  So what was included and excluded, both physically and in the way the city was run, was a series of conscious choices made by those people, and anyone after them who may have made any changes during Amarna</w:t>
      </w:r>
      <w:r>
        <w:rPr>
          <w:rFonts w:ascii="Verdana" w:hAnsi="Verdana" w:hint="default"/>
          <w:sz w:val="24"/>
          <w:szCs w:val="24"/>
          <w:rtl w:val="0"/>
          <w:lang w:val="en-US"/>
        </w:rPr>
        <w:t>’</w:t>
      </w:r>
      <w:r>
        <w:rPr>
          <w:rFonts w:ascii="Verdana" w:hAnsi="Verdana"/>
          <w:sz w:val="24"/>
          <w:szCs w:val="24"/>
          <w:rtl w:val="0"/>
          <w:lang w:val="en-US"/>
        </w:rPr>
        <w:t xml:space="preserve">s existence as a living city </w:t>
      </w:r>
      <w:r>
        <w:rPr>
          <w:rFonts w:ascii="Verdana" w:hAnsi="Verdana"/>
          <w:sz w:val="24"/>
          <w:szCs w:val="24"/>
          <w:rtl w:val="0"/>
        </w:rPr>
        <w:t>(Kemp 2013:17-20)</w:t>
      </w:r>
      <w:r>
        <w:rPr>
          <w:rFonts w:ascii="Verdana" w:hAnsi="Verdana"/>
          <w:sz w:val="24"/>
          <w:szCs w:val="24"/>
          <w:rtl w:val="0"/>
          <w:lang w:val="en-US"/>
        </w:rPr>
        <w:t xml:space="preserv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This then leads to the following questions about those who built Amarna: </w:t>
      </w:r>
    </w:p>
    <w:p>
      <w:pPr>
        <w:pStyle w:val="Body"/>
        <w:numPr>
          <w:ilvl w:val="0"/>
          <w:numId w:val="2"/>
        </w:numPr>
        <w:rPr>
          <w:rFonts w:ascii="Verdana" w:hAnsi="Verdana"/>
          <w:sz w:val="24"/>
          <w:szCs w:val="24"/>
          <w:lang w:val="en-US"/>
        </w:rPr>
      </w:pPr>
      <w:r>
        <w:rPr>
          <w:rFonts w:ascii="Verdana" w:hAnsi="Verdana"/>
          <w:sz w:val="24"/>
          <w:szCs w:val="24"/>
          <w:rtl w:val="0"/>
          <w:lang w:val="en-US"/>
        </w:rPr>
        <w:t xml:space="preserve"> What provision did they make for human waste disposal, if any?   </w:t>
      </w:r>
    </w:p>
    <w:p>
      <w:pPr>
        <w:pStyle w:val="Body"/>
        <w:numPr>
          <w:ilvl w:val="0"/>
          <w:numId w:val="2"/>
        </w:numPr>
        <w:rPr>
          <w:rFonts w:ascii="Verdana" w:hAnsi="Verdana"/>
          <w:sz w:val="24"/>
          <w:szCs w:val="24"/>
          <w:lang w:val="en-US"/>
        </w:rPr>
      </w:pPr>
      <w:r>
        <w:rPr>
          <w:rFonts w:ascii="Verdana" w:hAnsi="Verdana"/>
          <w:sz w:val="24"/>
          <w:szCs w:val="24"/>
          <w:rtl w:val="0"/>
          <w:lang w:val="en-US"/>
        </w:rPr>
        <w:t xml:space="preserve"> What could have been the rationale for their decisions?  </w:t>
      </w:r>
    </w:p>
    <w:p>
      <w:pPr>
        <w:pStyle w:val="Body"/>
        <w:numPr>
          <w:ilvl w:val="0"/>
          <w:numId w:val="2"/>
        </w:numPr>
        <w:rPr>
          <w:rFonts w:ascii="Verdana" w:hAnsi="Verdana"/>
          <w:sz w:val="24"/>
          <w:szCs w:val="24"/>
          <w:lang w:val="en-US"/>
        </w:rPr>
      </w:pPr>
      <w:r>
        <w:rPr>
          <w:rFonts w:ascii="Verdana" w:hAnsi="Verdana"/>
          <w:sz w:val="24"/>
          <w:szCs w:val="24"/>
          <w:rtl w:val="0"/>
          <w:lang w:val="en-US"/>
        </w:rPr>
        <w:t xml:space="preserve"> What provision did they make for domestic rubbish, food waste and animal   waste disposal?  </w:t>
      </w:r>
    </w:p>
    <w:p>
      <w:pPr>
        <w:pStyle w:val="Body"/>
        <w:numPr>
          <w:ilvl w:val="0"/>
          <w:numId w:val="2"/>
        </w:numPr>
        <w:rPr>
          <w:rFonts w:ascii="Verdana" w:hAnsi="Verdana"/>
          <w:sz w:val="24"/>
          <w:szCs w:val="24"/>
          <w:lang w:val="en-US"/>
        </w:rPr>
      </w:pPr>
      <w:r>
        <w:rPr>
          <w:rFonts w:ascii="Verdana" w:hAnsi="Verdana"/>
          <w:sz w:val="24"/>
          <w:szCs w:val="24"/>
          <w:rtl w:val="0"/>
          <w:lang w:val="en-US"/>
        </w:rPr>
        <w:t xml:space="preserve"> What could have been the rationale for their decisions?</w:t>
      </w:r>
    </w:p>
    <w:p>
      <w:pPr>
        <w:pStyle w:val="Body"/>
        <w:numPr>
          <w:ilvl w:val="0"/>
          <w:numId w:val="2"/>
        </w:numPr>
        <w:rPr>
          <w:rFonts w:ascii="Verdana" w:hAnsi="Verdana"/>
          <w:sz w:val="24"/>
          <w:szCs w:val="24"/>
          <w:lang w:val="en-US"/>
        </w:rPr>
      </w:pPr>
      <w:r>
        <w:rPr>
          <w:rFonts w:ascii="Verdana" w:hAnsi="Verdana"/>
          <w:sz w:val="24"/>
          <w:szCs w:val="24"/>
          <w:rtl w:val="0"/>
          <w:lang w:val="en-US"/>
        </w:rPr>
        <w:t xml:space="preserve"> What provision did they make for industrial waste?  </w:t>
      </w:r>
    </w:p>
    <w:p>
      <w:pPr>
        <w:pStyle w:val="Body"/>
        <w:numPr>
          <w:ilvl w:val="0"/>
          <w:numId w:val="2"/>
        </w:numPr>
        <w:rPr>
          <w:rFonts w:ascii="Verdana" w:hAnsi="Verdana"/>
          <w:sz w:val="24"/>
          <w:szCs w:val="24"/>
          <w:lang w:val="en-US"/>
        </w:rPr>
      </w:pPr>
      <w:r>
        <w:rPr>
          <w:rFonts w:ascii="Verdana" w:hAnsi="Verdana"/>
          <w:sz w:val="24"/>
          <w:szCs w:val="24"/>
          <w:rtl w:val="0"/>
          <w:lang w:val="en-US"/>
        </w:rPr>
        <w:t xml:space="preserve"> What actually happened to it and why? </w:t>
      </w:r>
    </w:p>
    <w:p>
      <w:pPr>
        <w:pStyle w:val="Body"/>
        <w:numPr>
          <w:ilvl w:val="0"/>
          <w:numId w:val="2"/>
        </w:numPr>
        <w:rPr>
          <w:rFonts w:ascii="Verdana" w:hAnsi="Verdana"/>
          <w:sz w:val="24"/>
          <w:szCs w:val="24"/>
          <w:lang w:val="en-US"/>
        </w:rPr>
      </w:pPr>
      <w:r>
        <w:rPr>
          <w:rFonts w:ascii="Verdana" w:hAnsi="Verdana"/>
          <w:sz w:val="24"/>
          <w:szCs w:val="24"/>
          <w:rtl w:val="0"/>
          <w:lang w:val="en-US"/>
        </w:rPr>
        <w:t xml:space="preserve"> Was anything done differently in Amarna to everywhere else and, if so, </w:t>
      </w:r>
    </w:p>
    <w:p>
      <w:pPr>
        <w:pStyle w:val="Body"/>
        <w:rPr>
          <w:rFonts w:ascii="Verdana" w:cs="Verdana" w:hAnsi="Verdana" w:eastAsia="Verdana"/>
          <w:sz w:val="24"/>
          <w:szCs w:val="24"/>
        </w:rPr>
      </w:pPr>
      <w:r>
        <w:rPr>
          <w:rFonts w:ascii="Verdana" w:hAnsi="Verdana"/>
          <w:sz w:val="24"/>
          <w:szCs w:val="24"/>
          <w:rtl w:val="0"/>
          <w:lang w:val="en-US"/>
        </w:rPr>
        <w:t xml:space="preserve">     what - and why?</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u w:val="single"/>
          <w:rtl w:val="0"/>
          <w:lang w:val="en-US"/>
        </w:rPr>
        <w:t>Human waste.</w:t>
      </w:r>
      <w:r>
        <w:rPr>
          <w:rFonts w:ascii="Verdana" w:hAnsi="Verdana"/>
          <w:sz w:val="24"/>
          <w:szCs w:val="24"/>
          <w:rtl w:val="0"/>
          <w:lang w:val="en-US"/>
        </w:rPr>
        <w:t xml:space="preserve"> </w:t>
      </w:r>
    </w:p>
    <w:p>
      <w:pPr>
        <w:pStyle w:val="Body"/>
        <w:rPr>
          <w:rFonts w:ascii="Verdana" w:cs="Verdana" w:hAnsi="Verdana" w:eastAsia="Verdana"/>
          <w:sz w:val="24"/>
          <w:szCs w:val="24"/>
        </w:rPr>
      </w:pPr>
      <w:r>
        <w:rPr>
          <w:rFonts w:ascii="Verdana" w:hAnsi="Verdana"/>
          <w:sz w:val="24"/>
          <w:szCs w:val="24"/>
          <w:rtl w:val="0"/>
          <w:lang w:val="en-US"/>
        </w:rPr>
        <w:t xml:space="preserve">Royalty had had mostly commode-style toilets, certainly since the 2nd dynasty.  They were found in their tombs and would also have been in their homes, as the inside of tombs were built to reflect the layout of a home, in those times (Emery 1961: 129).  The toilets generally consisted of either stone or wooden seats with space for an empty-able receptacle underneath, although there were also </w:t>
      </w:r>
      <w:r>
        <w:rPr>
          <w:rFonts w:ascii="Verdana" w:hAnsi="Verdana" w:hint="default"/>
          <w:sz w:val="24"/>
          <w:szCs w:val="24"/>
          <w:rtl w:val="0"/>
          <w:lang w:val="en-US"/>
        </w:rPr>
        <w:t>‘</w:t>
      </w:r>
      <w:r>
        <w:rPr>
          <w:rFonts w:ascii="Verdana" w:hAnsi="Verdana"/>
          <w:sz w:val="24"/>
          <w:szCs w:val="24"/>
          <w:rtl w:val="0"/>
          <w:lang w:val="en-US"/>
        </w:rPr>
        <w:t>sand latrines</w:t>
      </w:r>
      <w:r>
        <w:rPr>
          <w:rFonts w:ascii="Verdana" w:hAnsi="Verdana" w:hint="default"/>
          <w:sz w:val="24"/>
          <w:szCs w:val="24"/>
          <w:rtl w:val="0"/>
          <w:lang w:val="en-US"/>
        </w:rPr>
        <w:t xml:space="preserve">’ </w:t>
      </w:r>
      <w:r>
        <w:rPr>
          <w:rFonts w:ascii="Verdana" w:hAnsi="Verdana"/>
          <w:sz w:val="24"/>
          <w:szCs w:val="24"/>
          <w:rtl w:val="0"/>
          <w:lang w:val="en-US"/>
        </w:rPr>
        <w:t xml:space="preserve">which would equate to an earth closet or pit toilet (Cox &amp; Peel 1972: 32).  By the time of the Amarna period, middle class people also had stone or mud-brick built, seated toilets in their homes, again with room underneath for a receptacle.  Evidence of this has been found within houses in Amarna (Kemp 2013: 204-5).  Wooden commode chairs and stools were also used but evidence for them is more difficult to find as it is less likely to have survived.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There appears to be no evidence of cesspits or pit latrines found in Amarna thus far.  This could indicate a number of things: they may have known it would pollute the water table; it would be an ongoing task to keep digging more of them as they filled up and perhaps using labour, or land, in that way was not acceptable; or perhaps they saw value in the waste and chose to recycle it.  Because, whatever the toileting option was for those in the main city, it still meant that the contents of any receptacles had to go somewhere.  No evidence has yet been found of any dumping place for human waste within the city, either within the courtyards of people</w:t>
      </w:r>
      <w:r>
        <w:rPr>
          <w:rFonts w:ascii="Verdana" w:hAnsi="Verdana" w:hint="default"/>
          <w:sz w:val="24"/>
          <w:szCs w:val="24"/>
          <w:rtl w:val="0"/>
          <w:lang w:val="en-US"/>
        </w:rPr>
        <w:t>’</w:t>
      </w:r>
      <w:r>
        <w:rPr>
          <w:rFonts w:ascii="Verdana" w:hAnsi="Verdana"/>
          <w:sz w:val="24"/>
          <w:szCs w:val="24"/>
          <w:rtl w:val="0"/>
          <w:lang w:val="en-US"/>
        </w:rPr>
        <w:t xml:space="preserve">s estates or houses, or in the streets, all which was common in other locations.  The current assumption is that there was either some kind of regular collection service which took the material and dumped it in the river, but perhaps there may have been a city rule that meant people had to arrange for this to be done for themselves, or a combination of the two, depending on your social standing.  The river seems to be the most logical location for disposal but no evidence is likely to be found to confirm it </w:t>
      </w:r>
      <w:r>
        <w:rPr>
          <w:rFonts w:ascii="Verdana" w:hAnsi="Verdana"/>
          <w:sz w:val="24"/>
          <w:szCs w:val="24"/>
          <w:rtl w:val="0"/>
        </w:rPr>
        <w:t>(Kemp 2013:205-7)</w:t>
      </w:r>
      <w:r>
        <w:rPr>
          <w:rFonts w:ascii="Verdana" w:hAnsi="Verdana"/>
          <w:sz w:val="24"/>
          <w:szCs w:val="24"/>
          <w:rtl w:val="0"/>
          <w:lang w:val="en-US"/>
        </w:rPr>
        <w:t>.</w:t>
      </w:r>
    </w:p>
    <w:p>
      <w:pPr>
        <w:pStyle w:val="Body"/>
        <w:rPr>
          <w:rFonts w:ascii="Verdana" w:cs="Verdana" w:hAnsi="Verdana" w:eastAsia="Verdana"/>
          <w:sz w:val="24"/>
          <w:szCs w:val="24"/>
        </w:rPr>
      </w:pPr>
      <w:r>
        <w:rPr>
          <w:rFonts w:ascii="Verdana" w:hAnsi="Verdana"/>
          <w:sz w:val="24"/>
          <w:szCs w:val="24"/>
          <w:rtl w:val="0"/>
          <w:lang w:val="en-US"/>
        </w:rPr>
        <w:t xml:space="preserve">   </w:t>
      </w:r>
    </w:p>
    <w:p>
      <w:pPr>
        <w:pStyle w:val="Body"/>
        <w:rPr>
          <w:rFonts w:ascii="Verdana" w:cs="Verdana" w:hAnsi="Verdana" w:eastAsia="Verdana"/>
          <w:sz w:val="24"/>
          <w:szCs w:val="24"/>
        </w:rPr>
      </w:pPr>
      <w:r>
        <w:rPr>
          <w:rFonts w:ascii="Verdana" w:hAnsi="Verdana"/>
          <w:sz w:val="24"/>
          <w:szCs w:val="24"/>
          <w:rtl w:val="0"/>
          <w:lang w:val="en-US"/>
        </w:rPr>
        <w:t xml:space="preserve">However, some cultures use human excreta as manure on their crops (Jensen et al. 2008:432).  In Amarna the crops were grown across the river from the main city (Stevens 2016:2) so it is not an impossibility that they may have used human manure, but there currently is no way to determine this, not least because people working in the fields would naturally have gone to the toilet near where they were working, as a matter of practical convenience.  It might seem excessive to transport human waste across the river, but there would have been boats bringing grain and food animals across the river to the city, so back-loading the boats would be a practical thing to do rather than sending them back empty, particularly if they valued human poop as fertiliser.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There were animals providing manure as well (Kemp 2013:110), but within the city there were many people using kilns to make pottery, glass and faience (Kemp 2013:207) and there were no trees to provide wood to fire them.  So it seems likely that horse and bovine manure, dried out, would have been used as fuel for the city</w:t>
      </w:r>
      <w:r>
        <w:rPr>
          <w:rFonts w:ascii="Verdana" w:hAnsi="Verdana" w:hint="default"/>
          <w:sz w:val="24"/>
          <w:szCs w:val="24"/>
          <w:rtl w:val="0"/>
          <w:lang w:val="en-US"/>
        </w:rPr>
        <w:t>’</w:t>
      </w:r>
      <w:r>
        <w:rPr>
          <w:rFonts w:ascii="Verdana" w:hAnsi="Verdana"/>
          <w:sz w:val="24"/>
          <w:szCs w:val="24"/>
          <w:rtl w:val="0"/>
          <w:lang w:val="en-US"/>
        </w:rPr>
        <w:t xml:space="preserve">s kilns (rather than as fertiliser) - a practice that is not uncommon in other cultures (Wikipedia: Dry Dung Fuel).  It is also possible that (at least some) human urine may have been collected for use in the tanning of hides.  This is a very common practice in many cultures </w:t>
      </w:r>
      <w:r>
        <w:rPr>
          <w:rFonts w:ascii="Verdana" w:hAnsi="Verdana"/>
          <w:sz w:val="24"/>
          <w:szCs w:val="24"/>
          <w:rtl w:val="0"/>
          <w:lang w:val="en-US"/>
        </w:rPr>
        <w:t>(Leather Dictionary: Tanning Leather)</w:t>
      </w:r>
      <w:r>
        <w:rPr>
          <w:rFonts w:ascii="Verdana" w:hAnsi="Verdana"/>
          <w:sz w:val="24"/>
          <w:szCs w:val="24"/>
          <w:rtl w:val="0"/>
          <w:lang w:val="en-US"/>
        </w:rPr>
        <w:t xml:space="preserve">.  There is currently no evidence to suggest this happened in Amarna, but if any tanneries are excavated it might be a line of enquiry worth investigating.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There was, however, no river disposal or recycling options available for people living and working any distance away from the city.  People living in the workmen</w:t>
      </w:r>
      <w:r>
        <w:rPr>
          <w:rFonts w:ascii="Verdana" w:hAnsi="Verdana" w:hint="default"/>
          <w:sz w:val="24"/>
          <w:szCs w:val="24"/>
          <w:rtl w:val="0"/>
          <w:lang w:val="en-US"/>
        </w:rPr>
        <w:t>’</w:t>
      </w:r>
      <w:r>
        <w:rPr>
          <w:rFonts w:ascii="Verdana" w:hAnsi="Verdana"/>
          <w:sz w:val="24"/>
          <w:szCs w:val="24"/>
          <w:rtl w:val="0"/>
          <w:lang w:val="en-US"/>
        </w:rPr>
        <w:t>s village therefore had to make their own arrangements.  There is no evidence of any toilet seats built into their homes, or space left specifically for that purpose.  It is not improbable to suppose that they may have built themselves wooden commodes for use in the home, rather than just crouch directly over a receptacle (and hope for the best that they didn</w:t>
      </w:r>
      <w:r>
        <w:rPr>
          <w:rFonts w:ascii="Verdana" w:hAnsi="Verdana" w:hint="default"/>
          <w:sz w:val="24"/>
          <w:szCs w:val="24"/>
          <w:rtl w:val="0"/>
          <w:lang w:val="en-US"/>
        </w:rPr>
        <w:t>’</w:t>
      </w:r>
      <w:r>
        <w:rPr>
          <w:rFonts w:ascii="Verdana" w:hAnsi="Verdana"/>
          <w:sz w:val="24"/>
          <w:szCs w:val="24"/>
          <w:rtl w:val="0"/>
          <w:lang w:val="en-US"/>
        </w:rPr>
        <w:t xml:space="preserve">t miss, or fall backwards).  Wandering about at night in order to use an outdoor location was not likely to be particularly safe, due to the presence of wild animals in the area, so having some kind of practical in-home option was most likely.  During the day, the desert was safer and the outdoors was used by the workers when they were on duty (Kemp 2013:190-4).  </w:t>
      </w:r>
    </w:p>
    <w:p>
      <w:pPr>
        <w:pStyle w:val="Body"/>
        <w:rPr>
          <w:rFonts w:ascii="Verdana" w:cs="Verdana" w:hAnsi="Verdana" w:eastAsia="Verdana"/>
          <w:sz w:val="24"/>
          <w:szCs w:val="24"/>
        </w:rPr>
      </w:pPr>
    </w:p>
    <w:p>
      <w:pPr>
        <w:pStyle w:val="Body"/>
        <w:rPr>
          <w:rFonts w:ascii="Verdana" w:cs="Verdana" w:hAnsi="Verdana" w:eastAsia="Verdana"/>
          <w:b w:val="1"/>
          <w:bCs w:val="1"/>
          <w:sz w:val="24"/>
          <w:szCs w:val="24"/>
        </w:rPr>
      </w:pPr>
      <w:r>
        <w:rPr>
          <w:rFonts w:ascii="Verdana" w:hAnsi="Verdana"/>
          <w:sz w:val="24"/>
          <w:szCs w:val="24"/>
          <w:rtl w:val="0"/>
          <w:lang w:val="en-US"/>
        </w:rPr>
        <w:t xml:space="preserve">The waste collected in the home could not be taken to the river or to any city collection or deposition service, so a more local solution had to be found.  All their domestic waste was taken outside the village, which was walled, and dumped on the rough ground nearby, particularly in the abandoned quarries and pits that had been used to provide clay for brick-making (Kemp 2013:207). </w:t>
      </w:r>
    </w:p>
    <w:p>
      <w:pPr>
        <w:pStyle w:val="Body"/>
        <w:rPr>
          <w:rFonts w:ascii="Verdana" w:cs="Verdana" w:hAnsi="Verdana" w:eastAsia="Verdana"/>
          <w:sz w:val="24"/>
          <w:szCs w:val="24"/>
        </w:rPr>
      </w:pPr>
    </w:p>
    <w:p>
      <w:pPr>
        <w:pStyle w:val="Body"/>
        <w:rPr>
          <w:rFonts w:ascii="Verdana" w:cs="Verdana" w:hAnsi="Verdana" w:eastAsia="Verdana"/>
          <w:sz w:val="24"/>
          <w:szCs w:val="24"/>
          <w:u w:val="single"/>
        </w:rPr>
      </w:pPr>
      <w:r>
        <w:rPr>
          <w:rFonts w:ascii="Verdana" w:hAnsi="Verdana"/>
          <w:sz w:val="24"/>
          <w:szCs w:val="24"/>
          <w:u w:val="single"/>
          <w:rtl w:val="0"/>
          <w:lang w:val="en-US"/>
        </w:rPr>
        <w:t>Domestic rubbish, food waste and animal waste = organic but non-human.</w:t>
      </w:r>
    </w:p>
    <w:p>
      <w:pPr>
        <w:pStyle w:val="Body"/>
        <w:rPr>
          <w:rFonts w:ascii="Verdana" w:cs="Verdana" w:hAnsi="Verdana" w:eastAsia="Verdana"/>
          <w:sz w:val="24"/>
          <w:szCs w:val="24"/>
        </w:rPr>
      </w:pPr>
      <w:r>
        <w:rPr>
          <w:rFonts w:ascii="Verdana" w:hAnsi="Verdana"/>
          <w:sz w:val="24"/>
          <w:szCs w:val="24"/>
          <w:rtl w:val="0"/>
          <w:lang w:val="en-US"/>
        </w:rPr>
        <w:t>As with human waste, there has also been no evidence of citizens having any habit of dumping any of these in or near their homes.  Again, it appears that a collection or deposition service must have been available to residents.  However the options for recycling, other than as animal food in the case of food waste, would be limited, so the river is assumed to be the most likely solution for disposal in the city (Kemp 2013:206-7) While, in the workmen</w:t>
      </w:r>
      <w:r>
        <w:rPr>
          <w:rFonts w:ascii="Verdana" w:hAnsi="Verdana" w:hint="default"/>
          <w:sz w:val="24"/>
          <w:szCs w:val="24"/>
          <w:rtl w:val="0"/>
          <w:lang w:val="en-US"/>
        </w:rPr>
        <w:t>’</w:t>
      </w:r>
      <w:r>
        <w:rPr>
          <w:rFonts w:ascii="Verdana" w:hAnsi="Verdana"/>
          <w:sz w:val="24"/>
          <w:szCs w:val="24"/>
          <w:rtl w:val="0"/>
          <w:lang w:val="en-US"/>
        </w:rPr>
        <w:t>s village, their solution was the same as for their personal waste.</w:t>
      </w:r>
    </w:p>
    <w:p>
      <w:pPr>
        <w:pStyle w:val="Body"/>
        <w:rPr>
          <w:rFonts w:ascii="Verdana" w:cs="Verdana" w:hAnsi="Verdana" w:eastAsia="Verdana"/>
          <w:sz w:val="24"/>
          <w:szCs w:val="24"/>
        </w:rPr>
      </w:pPr>
    </w:p>
    <w:p>
      <w:pPr>
        <w:pStyle w:val="Body"/>
        <w:rPr>
          <w:rFonts w:ascii="Verdana" w:cs="Verdana" w:hAnsi="Verdana" w:eastAsia="Verdana"/>
          <w:sz w:val="24"/>
          <w:szCs w:val="24"/>
          <w:u w:val="single"/>
        </w:rPr>
      </w:pPr>
      <w:r>
        <w:rPr>
          <w:rFonts w:ascii="Verdana" w:hAnsi="Verdana"/>
          <w:sz w:val="24"/>
          <w:szCs w:val="24"/>
          <w:u w:val="single"/>
          <w:rtl w:val="0"/>
          <w:lang w:val="en-US"/>
        </w:rPr>
        <w:t>Industrial waste.</w:t>
      </w:r>
    </w:p>
    <w:p>
      <w:pPr>
        <w:pStyle w:val="Body"/>
        <w:rPr>
          <w:rFonts w:ascii="Verdana" w:cs="Verdana" w:hAnsi="Verdana" w:eastAsia="Verdana"/>
          <w:sz w:val="24"/>
          <w:szCs w:val="24"/>
        </w:rPr>
      </w:pPr>
      <w:r>
        <w:rPr>
          <w:rFonts w:ascii="Verdana" w:hAnsi="Verdana"/>
          <w:sz w:val="24"/>
          <w:szCs w:val="24"/>
          <w:rtl w:val="0"/>
          <w:lang w:val="en-US"/>
        </w:rPr>
        <w:t xml:space="preserve">It appears from the evidence so far that there was little or no organic waste coming from local industries making glass, pottery, faience and other practical or valuable items.  The most abundant waste found has been broken pottery and it has been found in various locations within courtyards and streets in the city (Kemp 2013:207).  Perhaps because it was not organic and smelly and did not draw in scavengers, flies and decay it was not a priority.  Which is an interesting consideration: not all of what we would deem as refuse to be removed from sight was seen as such in Amarna.   </w:t>
      </w:r>
    </w:p>
    <w:p>
      <w:pPr>
        <w:pStyle w:val="Body"/>
        <w:rPr>
          <w:rFonts w:ascii="Verdana" w:cs="Verdana" w:hAnsi="Verdana" w:eastAsia="Verdana"/>
          <w:sz w:val="24"/>
          <w:szCs w:val="24"/>
        </w:rPr>
      </w:pPr>
    </w:p>
    <w:p>
      <w:pPr>
        <w:pStyle w:val="Body"/>
        <w:rPr>
          <w:rFonts w:ascii="Verdana" w:cs="Verdana" w:hAnsi="Verdana" w:eastAsia="Verdana"/>
          <w:sz w:val="24"/>
          <w:szCs w:val="24"/>
          <w:u w:val="single"/>
        </w:rPr>
      </w:pPr>
      <w:r>
        <w:rPr>
          <w:rFonts w:ascii="Verdana" w:hAnsi="Verdana"/>
          <w:sz w:val="24"/>
          <w:szCs w:val="24"/>
          <w:u w:val="single"/>
          <w:rtl w:val="0"/>
          <w:lang w:val="en-US"/>
        </w:rPr>
        <w:t>Dead bodies, medical waste, etc.</w:t>
      </w:r>
    </w:p>
    <w:p>
      <w:pPr>
        <w:pStyle w:val="Body"/>
        <w:rPr>
          <w:rFonts w:ascii="Verdana" w:cs="Verdana" w:hAnsi="Verdana" w:eastAsia="Verdana"/>
          <w:sz w:val="24"/>
          <w:szCs w:val="24"/>
        </w:rPr>
      </w:pPr>
      <w:r>
        <w:rPr>
          <w:rFonts w:ascii="Verdana" w:hAnsi="Verdana"/>
          <w:sz w:val="24"/>
          <w:szCs w:val="24"/>
          <w:rtl w:val="0"/>
          <w:lang w:val="en-US"/>
        </w:rPr>
        <w:t>The assumption with this kind of waste is that it went into the river Dixon 1989:194; Kemp 2013:206-7).  Certainly it would not be suitable for recycling as manure or anything else, so removing it, as organic waste, away from people would be the logical conclusions, not just because of the smell and decay but because it would draw dangerous scavengers into or close to the city (Dixon 1989:194-6).</w:t>
      </w:r>
    </w:p>
    <w:p>
      <w:pPr>
        <w:pStyle w:val="Body"/>
        <w:rPr>
          <w:rFonts w:ascii="Verdana" w:cs="Verdana" w:hAnsi="Verdana" w:eastAsia="Verdana"/>
          <w:sz w:val="24"/>
          <w:szCs w:val="24"/>
        </w:rPr>
      </w:pPr>
    </w:p>
    <w:p>
      <w:pPr>
        <w:pStyle w:val="Body"/>
        <w:rPr>
          <w:rFonts w:ascii="Verdana" w:cs="Verdana" w:hAnsi="Verdana" w:eastAsia="Verdana"/>
          <w:sz w:val="24"/>
          <w:szCs w:val="24"/>
          <w:u w:val="single"/>
        </w:rPr>
      </w:pPr>
      <w:r>
        <w:rPr>
          <w:rFonts w:ascii="Verdana" w:hAnsi="Verdana"/>
          <w:sz w:val="24"/>
          <w:szCs w:val="24"/>
          <w:u w:val="single"/>
          <w:rtl w:val="0"/>
          <w:lang w:val="en-US"/>
        </w:rPr>
        <w:t>Other locations.</w:t>
      </w:r>
    </w:p>
    <w:p>
      <w:pPr>
        <w:pStyle w:val="Body"/>
        <w:rPr>
          <w:rFonts w:ascii="Verdana" w:cs="Verdana" w:hAnsi="Verdana" w:eastAsia="Verdana"/>
          <w:sz w:val="24"/>
          <w:szCs w:val="24"/>
        </w:rPr>
      </w:pPr>
      <w:r>
        <w:rPr>
          <w:rFonts w:ascii="Verdana" w:hAnsi="Verdana"/>
          <w:sz w:val="24"/>
          <w:szCs w:val="24"/>
          <w:rtl w:val="0"/>
          <w:lang w:val="en-US"/>
        </w:rPr>
        <w:t xml:space="preserve">It is very interesting to realise that, with respect to the wholesale removal of organic waste from the city, Amarna was rather unique.   While the pharaohs and elites, in other times and locations, preferred to keep themselves as far away from decaying waste as possible, there was no provision for anyone else. So homes, courtyards, streets, ponds and waterways, as well as the desert edge, all show evidence of human waste, dumped bodies, animal waste (Dixon 1989:193-4).  While the elites might still have had their toilets, there appears to have been no desire or motivation to remove organic waste from cities.  It was just left there to rot.  </w:t>
      </w:r>
    </w:p>
    <w:p>
      <w:pPr>
        <w:pStyle w:val="Body"/>
        <w:rPr>
          <w:rFonts w:ascii="Verdana" w:cs="Verdana" w:hAnsi="Verdana" w:eastAsia="Verdana"/>
          <w:sz w:val="24"/>
          <w:szCs w:val="24"/>
        </w:rPr>
      </w:pPr>
    </w:p>
    <w:p>
      <w:pPr>
        <w:pStyle w:val="Body"/>
        <w:rPr>
          <w:rFonts w:ascii="Verdana" w:cs="Verdana" w:hAnsi="Verdana" w:eastAsia="Verdana"/>
          <w:sz w:val="24"/>
          <w:szCs w:val="24"/>
          <w:u w:val="single"/>
        </w:rPr>
      </w:pPr>
      <w:r>
        <w:rPr>
          <w:rFonts w:ascii="Verdana" w:hAnsi="Verdana"/>
          <w:sz w:val="24"/>
          <w:szCs w:val="24"/>
          <w:u w:val="single"/>
          <w:rtl w:val="0"/>
          <w:lang w:val="en-US"/>
        </w:rPr>
        <w:t>Summary..</w:t>
      </w:r>
    </w:p>
    <w:p>
      <w:pPr>
        <w:pStyle w:val="Body"/>
        <w:rPr>
          <w:rFonts w:ascii="Verdana" w:cs="Verdana" w:hAnsi="Verdana" w:eastAsia="Verdana"/>
          <w:sz w:val="24"/>
          <w:szCs w:val="24"/>
        </w:rPr>
      </w:pPr>
      <w:r>
        <w:rPr>
          <w:rFonts w:ascii="Verdana" w:hAnsi="Verdana"/>
          <w:sz w:val="24"/>
          <w:szCs w:val="24"/>
          <w:rtl w:val="0"/>
          <w:lang w:val="en-US"/>
        </w:rPr>
        <w:t xml:space="preserve">The possible rationale for Amarna having done things differently from other cities at the time is an interesting conundrum.  Their decision to ensure the removal and disposal or organic waste, away from homes and daily life, could have been to do with the smell and the flies, which would have been drawn in their millions to the waste, despite the hot sun drying things out over time, as well as the danger of scavengers.  In a city of well over 20,000 people, the amount of it would have been significant and it would have accumulated very quickly and been disgusting to be anywhere near.  It would also have constituted a major health hazard, but whether the Egyptians knew of the health hazards is unknown.  While they did know enough to not drink the river water, they also tended to believe illness was caused by discarnate entities with bad intentions.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However, there is another possible consideration.  With the creation of this new city of Amarna, Akhenaten had broken away from tradition, from how things had always been done, so he could have chosen to do more than create Amarna itself for the adoration of the Aten.  It is not unreasonable to suggest that the cleanliness might also have been for the benefit of the god, and for the royal family as they had to travel from the North Palace into the Central City, where the temple and ceremonial buildings were (Stevens 2016:2).  Perhaps arranging for the absence of the smell and the scavengers and all the other aspects of decay was part of respecting the god.  It certainly did not extend to complete tidiness and the absence of everything we would consider rubbish, or all the broken pots would have been cleared up as well.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There is also the recycling aspect already suggested as a possibility.  Being a practical and pragmatic culture, recycling the majority of their waste would make logical sense for the ancient Egyptians.  And, since Amarna was in a political situation where aiming for self-sufficiency would probably have been preferable, thanks to the bad feelings generated across the country due to the knock-on effects of the new monotheism, recycling usable resources would make good sense as part of that aim.</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So, was the decision to keep Amarna poop-free a public health initiative, an act of piety or simple pragmatism?   My money is on it having been a mixture of all three, perhaps with the Aten as prime motivation, and the other two as added bonuses.  However, Egypt had connections with the Levant, and the civilisations there had connections to the Indus Valley (IV) - and just maybe lessons were learned (and shared) from the IV</w:t>
      </w:r>
      <w:r>
        <w:rPr>
          <w:rFonts w:ascii="Verdana" w:hAnsi="Verdana" w:hint="default"/>
          <w:sz w:val="24"/>
          <w:szCs w:val="24"/>
          <w:rtl w:val="0"/>
          <w:lang w:val="en-US"/>
        </w:rPr>
        <w:t>’</w:t>
      </w:r>
      <w:r>
        <w:rPr>
          <w:rFonts w:ascii="Verdana" w:hAnsi="Verdana"/>
          <w:sz w:val="24"/>
          <w:szCs w:val="24"/>
          <w:rtl w:val="0"/>
          <w:lang w:val="en-US"/>
        </w:rPr>
        <w:t>s ubiquitous sanitation initiatives, with respect to improvements in public health (Marshall 1931: Vol 1, p.v.).  If so, did Akhenaten care about public health among his staff and all the other supporting workers?  Or did it turn out to be an added bonus?  We don</w:t>
      </w:r>
      <w:r>
        <w:rPr>
          <w:rFonts w:ascii="Verdana" w:hAnsi="Verdana" w:hint="default"/>
          <w:sz w:val="24"/>
          <w:szCs w:val="24"/>
          <w:rtl w:val="0"/>
          <w:lang w:val="en-US"/>
        </w:rPr>
        <w:t>’</w:t>
      </w:r>
      <w:r>
        <w:rPr>
          <w:rFonts w:ascii="Verdana" w:hAnsi="Verdana"/>
          <w:sz w:val="24"/>
          <w:szCs w:val="24"/>
          <w:rtl w:val="0"/>
          <w:lang w:val="en-US"/>
        </w:rPr>
        <w:t>t know any of this but, it is interesting to construct hypotheses and h</w:t>
      </w:r>
      <w:r>
        <w:rPr>
          <w:rFonts w:ascii="Verdana" w:hAnsi="Verdana"/>
          <w:sz w:val="24"/>
          <w:szCs w:val="24"/>
          <w:rtl w:val="0"/>
          <w:lang w:val="en-US"/>
        </w:rPr>
        <w:t xml:space="preserve">opefully, eventually, research will help to provide </w:t>
      </w:r>
      <w:r>
        <w:rPr>
          <w:rFonts w:ascii="Verdana" w:hAnsi="Verdana"/>
          <w:sz w:val="24"/>
          <w:szCs w:val="24"/>
          <w:rtl w:val="0"/>
          <w:lang w:val="en-US"/>
        </w:rPr>
        <w:t>the real</w:t>
      </w:r>
      <w:r>
        <w:rPr>
          <w:rFonts w:ascii="Verdana" w:hAnsi="Verdana"/>
          <w:sz w:val="24"/>
          <w:szCs w:val="24"/>
          <w:rtl w:val="0"/>
          <w:lang w:val="en-US"/>
        </w:rPr>
        <w:t xml:space="preserve"> answer</w:t>
      </w:r>
      <w:r>
        <w:rPr>
          <w:rFonts w:ascii="Verdana" w:hAnsi="Verdana"/>
          <w:sz w:val="24"/>
          <w:szCs w:val="24"/>
          <w:rtl w:val="0"/>
          <w:lang w:val="en-US"/>
        </w:rPr>
        <w:t xml:space="preserve"> - one which will deepen our knowledge and understanding of this culture at this time and place</w:t>
      </w:r>
      <w:r>
        <w:rPr>
          <w:rFonts w:ascii="Verdana" w:hAnsi="Verdana"/>
          <w:sz w:val="24"/>
          <w:szCs w:val="24"/>
          <w:rtl w:val="0"/>
        </w:rPr>
        <w:t>.</w:t>
      </w:r>
      <w:r>
        <w:rPr>
          <w:rFonts w:ascii="Verdana" w:hAnsi="Verdana"/>
          <w:sz w:val="24"/>
          <w:szCs w:val="24"/>
          <w:rtl w:val="0"/>
          <w:lang w:val="en-US"/>
        </w:rPr>
        <w:t xml:space="preserve">  </w:t>
      </w:r>
    </w:p>
    <w:p>
      <w:pPr>
        <w:pStyle w:val="Body"/>
        <w:rPr>
          <w:rFonts w:ascii="Verdana" w:cs="Verdana" w:hAnsi="Verdana" w:eastAsia="Verdana"/>
          <w:sz w:val="24"/>
          <w:szCs w:val="24"/>
        </w:rPr>
      </w:pPr>
    </w:p>
    <w:p>
      <w:pPr>
        <w:pStyle w:val="Body"/>
        <w:jc w:val="center"/>
        <w:rPr>
          <w:rFonts w:ascii="Verdana" w:cs="Verdana" w:hAnsi="Verdana" w:eastAsia="Verdana"/>
          <w:sz w:val="24"/>
          <w:szCs w:val="24"/>
        </w:rPr>
      </w:pPr>
      <w:r>
        <w:rPr>
          <w:rFonts w:ascii="Verdana" w:hAnsi="Verdana" w:hint="default"/>
          <w:sz w:val="24"/>
          <w:szCs w:val="24"/>
          <w:rtl w:val="0"/>
          <w:lang w:val="en-US"/>
        </w:rPr>
        <w:t>§§§§§</w:t>
      </w: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u w:val="single"/>
        </w:rPr>
      </w:pPr>
      <w:r>
        <w:rPr>
          <w:rFonts w:ascii="Verdana" w:hAnsi="Verdana"/>
          <w:sz w:val="24"/>
          <w:szCs w:val="24"/>
          <w:u w:val="single"/>
          <w:rtl w:val="0"/>
          <w:lang w:val="en-US"/>
        </w:rPr>
        <w:t xml:space="preserve">References.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Childe, V.G. 1950. The Urban Revolution. </w:t>
      </w:r>
      <w:r>
        <w:rPr>
          <w:rFonts w:ascii="Verdana" w:hAnsi="Verdana"/>
          <w:i w:val="1"/>
          <w:iCs w:val="1"/>
          <w:sz w:val="24"/>
          <w:szCs w:val="24"/>
          <w:rtl w:val="0"/>
          <w:lang w:val="en-US"/>
        </w:rPr>
        <w:t>Town Planning Review</w:t>
      </w:r>
      <w:r>
        <w:rPr>
          <w:rFonts w:ascii="Verdana" w:hAnsi="Verdana"/>
          <w:sz w:val="24"/>
          <w:szCs w:val="24"/>
          <w:rtl w:val="0"/>
          <w:lang w:val="en-US"/>
        </w:rPr>
        <w:t xml:space="preserve"> 21(1):3-17.</w:t>
      </w:r>
    </w:p>
    <w:p>
      <w:pPr>
        <w:pStyle w:val="Body"/>
        <w:rPr>
          <w:rFonts w:ascii="Verdana" w:cs="Verdana" w:hAnsi="Verdana" w:eastAsia="Verdana"/>
          <w:sz w:val="24"/>
          <w:szCs w:val="24"/>
        </w:rPr>
      </w:pPr>
    </w:p>
    <w:p>
      <w:pPr>
        <w:pStyle w:val="Default"/>
        <w:bidi w:val="0"/>
        <w:spacing w:after="240" w:line="380" w:lineRule="atLeast"/>
        <w:ind w:left="0" w:right="0" w:firstLine="0"/>
        <w:jc w:val="left"/>
        <w:rPr>
          <w:rFonts w:ascii="Verdana" w:cs="Verdana" w:hAnsi="Verdana" w:eastAsia="Verdana"/>
          <w:sz w:val="24"/>
          <w:szCs w:val="24"/>
          <w:shd w:val="clear" w:color="auto" w:fill="ffffff"/>
          <w:rtl w:val="0"/>
        </w:rPr>
      </w:pPr>
      <w:r>
        <w:rPr>
          <w:rFonts w:ascii="Verdana" w:hAnsi="Verdana"/>
          <w:sz w:val="24"/>
          <w:szCs w:val="24"/>
          <w:shd w:val="clear" w:color="auto" w:fill="ffffff"/>
          <w:rtl w:val="0"/>
          <w:lang w:val="en-US"/>
        </w:rPr>
        <w:t xml:space="preserve">Cox, P.R. &amp; Peel, J. (eds). 1972. </w:t>
      </w:r>
      <w:r>
        <w:rPr>
          <w:rFonts w:ascii="Verdana" w:hAnsi="Verdana"/>
          <w:i w:val="1"/>
          <w:iCs w:val="1"/>
          <w:sz w:val="24"/>
          <w:szCs w:val="24"/>
          <w:shd w:val="clear" w:color="auto" w:fill="ffffff"/>
          <w:rtl w:val="0"/>
          <w:lang w:val="en-US"/>
        </w:rPr>
        <w:t>Population and Pollution</w:t>
      </w:r>
      <w:r>
        <w:rPr>
          <w:rFonts w:ascii="Verdana" w:hAnsi="Verdana"/>
          <w:sz w:val="24"/>
          <w:szCs w:val="24"/>
          <w:shd w:val="clear" w:color="auto" w:fill="ffffff"/>
          <w:rtl w:val="0"/>
          <w:lang w:val="en-US"/>
        </w:rPr>
        <w:t xml:space="preserve">. London: Academic Press. </w:t>
      </w:r>
    </w:p>
    <w:p>
      <w:pPr>
        <w:pStyle w:val="Body"/>
        <w:rPr>
          <w:rFonts w:ascii="Verdana" w:cs="Verdana" w:hAnsi="Verdana" w:eastAsia="Verdana"/>
          <w:sz w:val="24"/>
          <w:szCs w:val="24"/>
        </w:rPr>
      </w:pPr>
      <w:r>
        <w:rPr>
          <w:rFonts w:ascii="Verdana" w:hAnsi="Verdana"/>
          <w:sz w:val="24"/>
          <w:szCs w:val="24"/>
          <w:rtl w:val="0"/>
          <w:lang w:val="en-US"/>
        </w:rPr>
        <w:t xml:space="preserve">Dixon, D.M. 1989. A Note on the Scavengers of Ancient Egypt. </w:t>
      </w:r>
      <w:r>
        <w:rPr>
          <w:rFonts w:ascii="Verdana" w:hAnsi="Verdana"/>
          <w:i w:val="1"/>
          <w:iCs w:val="1"/>
          <w:sz w:val="24"/>
          <w:szCs w:val="24"/>
          <w:rtl w:val="0"/>
          <w:lang w:val="en-US"/>
        </w:rPr>
        <w:t>World Archaeology</w:t>
      </w:r>
      <w:r>
        <w:rPr>
          <w:rFonts w:ascii="Verdana" w:hAnsi="Verdana"/>
          <w:sz w:val="24"/>
          <w:szCs w:val="24"/>
          <w:rtl w:val="0"/>
          <w:lang w:val="en-US"/>
        </w:rPr>
        <w:t xml:space="preserve"> 21:2 - </w:t>
      </w:r>
      <w:r>
        <w:rPr>
          <w:rFonts w:ascii="Verdana" w:hAnsi="Verdana"/>
          <w:i w:val="1"/>
          <w:iCs w:val="1"/>
          <w:sz w:val="24"/>
          <w:szCs w:val="24"/>
          <w:rtl w:val="0"/>
          <w:lang w:val="en-US"/>
        </w:rPr>
        <w:t>The Archaeology of Public Health.</w:t>
      </w:r>
      <w:r>
        <w:rPr>
          <w:rFonts w:ascii="Verdana" w:hAnsi="Verdana"/>
          <w:sz w:val="24"/>
          <w:szCs w:val="24"/>
          <w:rtl w:val="0"/>
          <w:lang w:val="en-US"/>
        </w:rPr>
        <w:t xml:space="preserve"> 193-197.</w:t>
      </w:r>
    </w:p>
    <w:p>
      <w:pPr>
        <w:pStyle w:val="Body"/>
        <w:rPr>
          <w:rFonts w:ascii="Verdana" w:cs="Verdana" w:hAnsi="Verdana" w:eastAsia="Verdana"/>
          <w:sz w:val="24"/>
          <w:szCs w:val="24"/>
        </w:rPr>
      </w:pPr>
    </w:p>
    <w:p>
      <w:pPr>
        <w:pStyle w:val="Default"/>
        <w:bidi w:val="0"/>
        <w:spacing w:after="240" w:line="380" w:lineRule="atLeast"/>
        <w:ind w:left="0" w:right="0" w:firstLine="0"/>
        <w:jc w:val="left"/>
        <w:rPr>
          <w:rFonts w:ascii="Verdana" w:cs="Verdana" w:hAnsi="Verdana" w:eastAsia="Verdana"/>
          <w:sz w:val="24"/>
          <w:szCs w:val="24"/>
          <w:shd w:val="clear" w:color="auto" w:fill="ffffff"/>
          <w:rtl w:val="0"/>
        </w:rPr>
      </w:pPr>
      <w:r>
        <w:rPr>
          <w:rFonts w:ascii="Verdana" w:hAnsi="Verdana"/>
          <w:sz w:val="24"/>
          <w:szCs w:val="24"/>
          <w:shd w:val="clear" w:color="auto" w:fill="ffffff"/>
          <w:rtl w:val="0"/>
          <w:lang w:val="en-US"/>
        </w:rPr>
        <w:t xml:space="preserve">Emery, W.B. 1961. </w:t>
      </w:r>
      <w:r>
        <w:rPr>
          <w:rFonts w:ascii="Verdana" w:hAnsi="Verdana"/>
          <w:i w:val="1"/>
          <w:iCs w:val="1"/>
          <w:sz w:val="24"/>
          <w:szCs w:val="24"/>
          <w:shd w:val="clear" w:color="auto" w:fill="ffffff"/>
          <w:rtl w:val="0"/>
          <w:lang w:val="en-US"/>
        </w:rPr>
        <w:t>Archaic Egypt</w:t>
      </w:r>
      <w:r>
        <w:rPr>
          <w:rFonts w:ascii="Verdana" w:hAnsi="Verdana"/>
          <w:sz w:val="24"/>
          <w:szCs w:val="24"/>
          <w:shd w:val="clear" w:color="auto" w:fill="ffffff"/>
          <w:rtl w:val="0"/>
          <w:lang w:val="en-US"/>
        </w:rPr>
        <w:t xml:space="preserve">. Harmondsworth: Penguin. </w:t>
      </w:r>
    </w:p>
    <w:p>
      <w:pPr>
        <w:pStyle w:val="Default"/>
        <w:bidi w:val="0"/>
        <w:spacing w:after="240" w:line="380" w:lineRule="atLeast"/>
        <w:ind w:left="0" w:right="0" w:firstLine="0"/>
        <w:jc w:val="left"/>
        <w:rPr>
          <w:rFonts w:ascii="Verdana" w:cs="Verdana" w:hAnsi="Verdana" w:eastAsia="Verdana"/>
          <w:sz w:val="24"/>
          <w:szCs w:val="24"/>
          <w:shd w:val="clear" w:color="auto" w:fill="ffffff"/>
          <w:rtl w:val="0"/>
        </w:rPr>
      </w:pPr>
      <w:r>
        <w:rPr>
          <w:rFonts w:ascii="Verdana" w:hAnsi="Verdana"/>
          <w:sz w:val="24"/>
          <w:szCs w:val="24"/>
          <w:shd w:val="clear" w:color="auto" w:fill="ffffff"/>
          <w:rtl w:val="0"/>
          <w:lang w:val="en-US"/>
        </w:rPr>
        <w:t xml:space="preserve">Grajetzki, W. 2003. </w:t>
      </w:r>
      <w:r>
        <w:rPr>
          <w:rFonts w:ascii="Verdana" w:hAnsi="Verdana"/>
          <w:i w:val="1"/>
          <w:iCs w:val="1"/>
          <w:sz w:val="24"/>
          <w:szCs w:val="24"/>
          <w:shd w:val="clear" w:color="auto" w:fill="ffffff"/>
          <w:rtl w:val="0"/>
          <w:lang w:val="en-US"/>
        </w:rPr>
        <w:t>Burial Customs in Ancient Egypt.</w:t>
      </w:r>
      <w:r>
        <w:rPr>
          <w:rFonts w:ascii="Verdana" w:hAnsi="Verdana"/>
          <w:sz w:val="24"/>
          <w:szCs w:val="24"/>
          <w:shd w:val="clear" w:color="auto" w:fill="ffffff"/>
          <w:rtl w:val="0"/>
          <w:lang w:val="en-US"/>
        </w:rPr>
        <w:t xml:space="preserve"> London: Duckworth. </w:t>
      </w:r>
    </w:p>
    <w:p>
      <w:pPr>
        <w:pStyle w:val="Default"/>
        <w:bidi w:val="0"/>
        <w:spacing w:after="240" w:line="380" w:lineRule="atLeast"/>
        <w:ind w:left="0" w:right="0" w:firstLine="0"/>
        <w:jc w:val="left"/>
        <w:rPr>
          <w:rFonts w:ascii="Verdana" w:cs="Verdana" w:hAnsi="Verdana" w:eastAsia="Verdana"/>
          <w:sz w:val="24"/>
          <w:szCs w:val="24"/>
          <w:shd w:val="clear" w:color="auto" w:fill="ffffff"/>
          <w:rtl w:val="0"/>
        </w:rPr>
      </w:pPr>
      <w:r>
        <w:rPr>
          <w:rFonts w:ascii="Verdana" w:hAnsi="Verdana"/>
          <w:sz w:val="24"/>
          <w:szCs w:val="24"/>
          <w:shd w:val="clear" w:color="auto" w:fill="ffffff"/>
          <w:rtl w:val="0"/>
          <w:lang w:val="en-US"/>
        </w:rPr>
        <w:t xml:space="preserve">Jensen, P.K.M., et al. 2008. Hygiene vs fertiliser: the use of human excreta in agriculture - a Vietnamese example. </w:t>
      </w:r>
      <w:r>
        <w:rPr>
          <w:rFonts w:ascii="Verdana" w:hAnsi="Verdana"/>
          <w:i w:val="1"/>
          <w:iCs w:val="1"/>
          <w:sz w:val="24"/>
          <w:szCs w:val="24"/>
          <w:shd w:val="clear" w:color="auto" w:fill="ffffff"/>
          <w:rtl w:val="0"/>
          <w:lang w:val="en-US"/>
        </w:rPr>
        <w:t>Journal of Hygiene and Environmental Health</w:t>
      </w:r>
      <w:r>
        <w:rPr>
          <w:rFonts w:ascii="Verdana" w:hAnsi="Verdana"/>
          <w:sz w:val="24"/>
          <w:szCs w:val="24"/>
          <w:shd w:val="clear" w:color="auto" w:fill="ffffff"/>
          <w:rtl w:val="0"/>
          <w:lang w:val="en-US"/>
        </w:rPr>
        <w:t xml:space="preserve"> 211(3-4):432-9)</w:t>
      </w:r>
    </w:p>
    <w:p>
      <w:pPr>
        <w:pStyle w:val="Body"/>
        <w:rPr>
          <w:rFonts w:ascii="Verdana" w:cs="Verdana" w:hAnsi="Verdana" w:eastAsia="Verdana"/>
          <w:sz w:val="24"/>
          <w:szCs w:val="24"/>
        </w:rPr>
      </w:pPr>
      <w:r>
        <w:rPr>
          <w:rFonts w:ascii="Verdana" w:hAnsi="Verdana"/>
          <w:sz w:val="24"/>
          <w:szCs w:val="24"/>
          <w:rtl w:val="0"/>
          <w:lang w:val="en-US"/>
        </w:rPr>
        <w:t xml:space="preserve">Kemp, B. 2013. </w:t>
      </w:r>
      <w:r>
        <w:rPr>
          <w:rFonts w:ascii="Verdana" w:hAnsi="Verdana"/>
          <w:i w:val="1"/>
          <w:iCs w:val="1"/>
          <w:sz w:val="24"/>
          <w:szCs w:val="24"/>
          <w:rtl w:val="0"/>
          <w:lang w:val="en-US"/>
        </w:rPr>
        <w:t>The City of Akhenaten and Nefertiti - Amarna and its People.</w:t>
      </w:r>
      <w:r>
        <w:rPr>
          <w:rFonts w:ascii="Verdana" w:hAnsi="Verdana"/>
          <w:sz w:val="24"/>
          <w:szCs w:val="24"/>
          <w:rtl w:val="0"/>
          <w:lang w:val="en-US"/>
        </w:rPr>
        <w:t xml:space="preserve"> London: Thames &amp; Hudson. </w:t>
      </w:r>
    </w:p>
    <w:p>
      <w:pPr>
        <w:pStyle w:val="Body"/>
        <w:rPr>
          <w:rFonts w:ascii="Verdana" w:cs="Verdana" w:hAnsi="Verdana" w:eastAsia="Verdana"/>
          <w:sz w:val="24"/>
          <w:szCs w:val="24"/>
        </w:rPr>
      </w:pPr>
    </w:p>
    <w:p>
      <w:pPr>
        <w:pStyle w:val="Default"/>
        <w:bidi w:val="0"/>
        <w:ind w:left="0" w:right="0" w:firstLine="0"/>
        <w:jc w:val="left"/>
        <w:rPr>
          <w:rFonts w:ascii="Verdana" w:cs="Verdana" w:hAnsi="Verdana" w:eastAsia="Verdana"/>
          <w:sz w:val="24"/>
          <w:szCs w:val="24"/>
          <w:shd w:val="clear" w:color="auto" w:fill="ffffff"/>
          <w:rtl w:val="0"/>
        </w:rPr>
      </w:pPr>
      <w:r>
        <w:rPr>
          <w:rFonts w:ascii="Verdana" w:hAnsi="Verdana"/>
          <w:sz w:val="24"/>
          <w:szCs w:val="24"/>
          <w:shd w:val="clear" w:color="auto" w:fill="ffffff"/>
          <w:rtl w:val="0"/>
          <w:lang w:val="en-US"/>
        </w:rPr>
        <w:t xml:space="preserve">Leather Dictionary Online: Tanning Leather. </w:t>
      </w:r>
      <w:r>
        <w:rPr>
          <w:rStyle w:val="Hyperlink.0"/>
          <w:rFonts w:ascii="Verdana" w:cs="Verdana" w:hAnsi="Verdana" w:eastAsia="Verdana"/>
          <w:sz w:val="24"/>
          <w:szCs w:val="24"/>
          <w:shd w:val="clear" w:color="auto" w:fill="ffffff"/>
          <w:rtl w:val="0"/>
        </w:rPr>
        <w:fldChar w:fldCharType="begin" w:fldLock="0"/>
      </w:r>
      <w:r>
        <w:rPr>
          <w:rStyle w:val="Hyperlink.0"/>
          <w:rFonts w:ascii="Verdana" w:cs="Verdana" w:hAnsi="Verdana" w:eastAsia="Verdana"/>
          <w:sz w:val="24"/>
          <w:szCs w:val="24"/>
          <w:shd w:val="clear" w:color="auto" w:fill="ffffff"/>
          <w:rtl w:val="0"/>
        </w:rPr>
        <w:instrText xml:space="preserve"> HYPERLINK "https://www.leather-dictionary.com/index.php/Tanning_leather"</w:instrText>
      </w:r>
      <w:r>
        <w:rPr>
          <w:rStyle w:val="Hyperlink.0"/>
          <w:rFonts w:ascii="Verdana" w:cs="Verdana" w:hAnsi="Verdana" w:eastAsia="Verdana"/>
          <w:sz w:val="24"/>
          <w:szCs w:val="24"/>
          <w:shd w:val="clear" w:color="auto" w:fill="ffffff"/>
          <w:rtl w:val="0"/>
        </w:rPr>
        <w:fldChar w:fldCharType="separate" w:fldLock="0"/>
      </w:r>
      <w:r>
        <w:rPr>
          <w:rStyle w:val="Hyperlink.0"/>
          <w:rFonts w:ascii="Verdana" w:hAnsi="Verdana"/>
          <w:sz w:val="24"/>
          <w:szCs w:val="24"/>
          <w:shd w:val="clear" w:color="auto" w:fill="ffffff"/>
          <w:rtl w:val="0"/>
          <w:lang w:val="en-US"/>
        </w:rPr>
        <w:t>https://www.leather-dictionary.com/index.php/Tanning_leather</w:t>
      </w:r>
      <w:r>
        <w:rPr>
          <w:rFonts w:ascii="Verdana" w:cs="Verdana" w:hAnsi="Verdana" w:eastAsia="Verdana"/>
          <w:sz w:val="24"/>
          <w:szCs w:val="24"/>
          <w:shd w:val="clear" w:color="auto" w:fill="ffffff"/>
          <w:rtl w:val="0"/>
        </w:rPr>
        <w:fldChar w:fldCharType="end" w:fldLock="0"/>
      </w:r>
    </w:p>
    <w:p>
      <w:pPr>
        <w:pStyle w:val="Body"/>
        <w:rPr>
          <w:rFonts w:ascii="Verdana" w:cs="Verdana" w:hAnsi="Verdana" w:eastAsia="Verdana"/>
          <w:sz w:val="24"/>
          <w:szCs w:val="24"/>
        </w:rPr>
      </w:pPr>
    </w:p>
    <w:p>
      <w:pPr>
        <w:pStyle w:val="Default"/>
        <w:bidi w:val="0"/>
        <w:spacing w:after="240" w:line="380" w:lineRule="atLeast"/>
        <w:ind w:left="0" w:right="0" w:firstLine="0"/>
        <w:jc w:val="left"/>
        <w:rPr>
          <w:rFonts w:ascii="Verdana" w:cs="Verdana" w:hAnsi="Verdana" w:eastAsia="Verdana"/>
          <w:i w:val="1"/>
          <w:iCs w:val="1"/>
          <w:sz w:val="24"/>
          <w:szCs w:val="24"/>
          <w:shd w:val="clear" w:color="auto" w:fill="ffffff"/>
          <w:rtl w:val="0"/>
        </w:rPr>
      </w:pPr>
      <w:r>
        <w:rPr>
          <w:rFonts w:ascii="Verdana" w:hAnsi="Verdana"/>
          <w:i w:val="0"/>
          <w:iCs w:val="0"/>
          <w:sz w:val="24"/>
          <w:szCs w:val="24"/>
          <w:shd w:val="clear" w:color="auto" w:fill="ffffff"/>
          <w:rtl w:val="0"/>
          <w:lang w:val="en-US"/>
        </w:rPr>
        <w:t xml:space="preserve">Marshall, Sir J. 1931. </w:t>
      </w:r>
      <w:r>
        <w:rPr>
          <w:rFonts w:ascii="Verdana" w:hAnsi="Verdana"/>
          <w:i w:val="1"/>
          <w:iCs w:val="1"/>
          <w:sz w:val="24"/>
          <w:szCs w:val="24"/>
          <w:shd w:val="clear" w:color="auto" w:fill="ffffff"/>
          <w:rtl w:val="0"/>
          <w:lang w:val="en-US"/>
        </w:rPr>
        <w:t>Mohenjodaro and the Indus Civilisation</w:t>
      </w:r>
      <w:r>
        <w:rPr>
          <w:rFonts w:ascii="Verdana" w:hAnsi="Verdana"/>
          <w:i w:val="0"/>
          <w:iCs w:val="0"/>
          <w:sz w:val="24"/>
          <w:szCs w:val="24"/>
          <w:shd w:val="clear" w:color="auto" w:fill="ffffff"/>
          <w:rtl w:val="0"/>
          <w:lang w:val="en-US"/>
        </w:rPr>
        <w:t>. Delhi: Indological Book House.</w:t>
      </w:r>
    </w:p>
    <w:p>
      <w:pPr>
        <w:pStyle w:val="Default"/>
        <w:bidi w:val="0"/>
        <w:spacing w:after="240" w:line="340" w:lineRule="atLeast"/>
        <w:ind w:left="0" w:right="0" w:firstLine="0"/>
        <w:jc w:val="left"/>
        <w:rPr>
          <w:rFonts w:ascii="Verdana" w:cs="Verdana" w:hAnsi="Verdana" w:eastAsia="Verdana"/>
          <w:sz w:val="24"/>
          <w:szCs w:val="24"/>
          <w:rtl w:val="0"/>
        </w:rPr>
      </w:pPr>
      <w:r>
        <w:rPr>
          <w:rFonts w:ascii="Verdana" w:hAnsi="Verdana"/>
          <w:sz w:val="24"/>
          <w:szCs w:val="24"/>
          <w:rtl w:val="0"/>
          <w:lang w:val="en-US"/>
        </w:rPr>
        <w:t xml:space="preserve">Stevens, A. 2016. </w:t>
      </w:r>
      <w:r>
        <w:rPr>
          <w:rFonts w:ascii="Verdana" w:hAnsi="Verdana"/>
          <w:i w:val="1"/>
          <w:iCs w:val="1"/>
          <w:sz w:val="24"/>
          <w:szCs w:val="24"/>
          <w:rtl w:val="0"/>
          <w:lang w:val="en-US"/>
        </w:rPr>
        <w:t>Tell el-Amarna</w:t>
      </w:r>
      <w:r>
        <w:rPr>
          <w:rFonts w:ascii="Verdana" w:hAnsi="Verdana"/>
          <w:sz w:val="24"/>
          <w:szCs w:val="24"/>
          <w:rtl w:val="0"/>
          <w:lang w:val="en-US"/>
        </w:rPr>
        <w:t xml:space="preserve">.  </w:t>
      </w:r>
      <w:r>
        <w:rPr>
          <w:rFonts w:ascii="Verdana" w:hAnsi="Verdana"/>
          <w:sz w:val="24"/>
          <w:szCs w:val="24"/>
          <w:rtl w:val="0"/>
          <w:lang w:val="en-US"/>
        </w:rPr>
        <w:t>UCLA Encyclopedia of Egyptology, 1(1)</w:t>
      </w:r>
      <w:r>
        <w:rPr>
          <w:rFonts w:ascii="Verdana" w:hAnsi="Verdana"/>
          <w:sz w:val="24"/>
          <w:szCs w:val="24"/>
          <w:rtl w:val="0"/>
          <w:lang w:val="en-US"/>
        </w:rPr>
        <w:t xml:space="preserve">. [Online: </w:t>
      </w:r>
      <w:r>
        <w:rPr>
          <w:rStyle w:val="Hyperlink.0"/>
          <w:rFonts w:ascii="Verdana" w:cs="Verdana" w:hAnsi="Verdana" w:eastAsia="Verdana"/>
          <w:sz w:val="24"/>
          <w:szCs w:val="24"/>
          <w:rtl w:val="0"/>
        </w:rPr>
        <w:fldChar w:fldCharType="begin" w:fldLock="0"/>
      </w:r>
      <w:r>
        <w:rPr>
          <w:rStyle w:val="Hyperlink.0"/>
          <w:rFonts w:ascii="Verdana" w:cs="Verdana" w:hAnsi="Verdana" w:eastAsia="Verdana"/>
          <w:sz w:val="24"/>
          <w:szCs w:val="24"/>
          <w:rtl w:val="0"/>
        </w:rPr>
        <w:instrText xml:space="preserve"> HYPERLINK "https://escholarship.org/uc/item/1k66566f"</w:instrText>
      </w:r>
      <w:r>
        <w:rPr>
          <w:rStyle w:val="Hyperlink.0"/>
          <w:rFonts w:ascii="Verdana" w:cs="Verdana" w:hAnsi="Verdana" w:eastAsia="Verdana"/>
          <w:sz w:val="24"/>
          <w:szCs w:val="24"/>
          <w:rtl w:val="0"/>
        </w:rPr>
        <w:fldChar w:fldCharType="separate" w:fldLock="0"/>
      </w:r>
      <w:r>
        <w:rPr>
          <w:rStyle w:val="Hyperlink.0"/>
          <w:rFonts w:ascii="Verdana" w:hAnsi="Verdana"/>
          <w:sz w:val="24"/>
          <w:szCs w:val="24"/>
          <w:rtl w:val="0"/>
          <w:lang w:val="en-US"/>
        </w:rPr>
        <w:t>https://escholarship.org/uc/item/1k66566f</w:t>
      </w:r>
      <w:r>
        <w:rPr>
          <w:rFonts w:ascii="Verdana" w:cs="Verdana" w:hAnsi="Verdana" w:eastAsia="Verdana"/>
          <w:sz w:val="24"/>
          <w:szCs w:val="24"/>
          <w:rtl w:val="0"/>
        </w:rPr>
        <w:fldChar w:fldCharType="end" w:fldLock="0"/>
      </w:r>
      <w:r>
        <w:rPr>
          <w:rFonts w:ascii="Verdana" w:hAnsi="Verdana"/>
          <w:sz w:val="24"/>
          <w:szCs w:val="24"/>
          <w:rtl w:val="0"/>
          <w:lang w:val="en-US"/>
        </w:rPr>
        <w:t xml:space="preserve">] </w:t>
      </w:r>
    </w:p>
    <w:p>
      <w:pPr>
        <w:pStyle w:val="Default"/>
        <w:bidi w:val="0"/>
        <w:ind w:left="0" w:right="0" w:firstLine="0"/>
        <w:jc w:val="left"/>
        <w:rPr>
          <w:rFonts w:ascii="Verdana" w:cs="Verdana" w:hAnsi="Verdana" w:eastAsia="Verdana"/>
          <w:sz w:val="24"/>
          <w:szCs w:val="24"/>
          <w:shd w:val="clear" w:color="auto" w:fill="ffffff"/>
          <w:rtl w:val="0"/>
        </w:rPr>
      </w:pPr>
    </w:p>
    <w:p>
      <w:pPr>
        <w:pStyle w:val="Default"/>
        <w:bidi w:val="0"/>
        <w:ind w:left="0" w:right="0" w:firstLine="0"/>
        <w:jc w:val="left"/>
        <w:rPr>
          <w:rFonts w:ascii="Verdana" w:cs="Verdana" w:hAnsi="Verdana" w:eastAsia="Verdana"/>
          <w:sz w:val="24"/>
          <w:szCs w:val="24"/>
          <w:shd w:val="clear" w:color="auto" w:fill="ffffff"/>
          <w:rtl w:val="0"/>
        </w:rPr>
      </w:pPr>
      <w:r>
        <w:rPr>
          <w:rStyle w:val="Hyperlink.0"/>
          <w:rFonts w:ascii="Verdana" w:cs="Verdana" w:hAnsi="Verdana" w:eastAsia="Verdana"/>
          <w:sz w:val="24"/>
          <w:szCs w:val="24"/>
          <w:shd w:val="clear" w:color="auto" w:fill="ffffff"/>
          <w:rtl w:val="0"/>
        </w:rPr>
        <w:fldChar w:fldCharType="begin" w:fldLock="0"/>
      </w:r>
      <w:r>
        <w:rPr>
          <w:rStyle w:val="Hyperlink.0"/>
          <w:rFonts w:ascii="Verdana" w:cs="Verdana" w:hAnsi="Verdana" w:eastAsia="Verdana"/>
          <w:sz w:val="24"/>
          <w:szCs w:val="24"/>
          <w:shd w:val="clear" w:color="auto" w:fill="ffffff"/>
          <w:rtl w:val="0"/>
        </w:rPr>
        <w:instrText xml:space="preserve"> HYPERLINK "https://en.wikipedia.org/wiki/Dry_dung_fuel"</w:instrText>
      </w:r>
      <w:r>
        <w:rPr>
          <w:rStyle w:val="Hyperlink.0"/>
          <w:rFonts w:ascii="Verdana" w:cs="Verdana" w:hAnsi="Verdana" w:eastAsia="Verdana"/>
          <w:sz w:val="24"/>
          <w:szCs w:val="24"/>
          <w:shd w:val="clear" w:color="auto" w:fill="ffffff"/>
          <w:rtl w:val="0"/>
        </w:rPr>
        <w:fldChar w:fldCharType="separate" w:fldLock="0"/>
      </w:r>
      <w:r>
        <w:rPr>
          <w:rStyle w:val="Hyperlink.0"/>
          <w:rFonts w:ascii="Verdana" w:hAnsi="Verdana"/>
          <w:sz w:val="24"/>
          <w:szCs w:val="24"/>
          <w:shd w:val="clear" w:color="auto" w:fill="ffffff"/>
          <w:rtl w:val="0"/>
          <w:lang w:val="de-DE"/>
        </w:rPr>
        <w:t>https://en.wikipedia.org/wiki/Dry_dung_fuel</w:t>
      </w:r>
      <w:r>
        <w:rPr>
          <w:rFonts w:ascii="Verdana" w:cs="Verdana" w:hAnsi="Verdana" w:eastAsia="Verdana"/>
          <w:sz w:val="24"/>
          <w:szCs w:val="24"/>
          <w:shd w:val="clear" w:color="auto" w:fill="ffffff"/>
          <w:rtl w:val="0"/>
        </w:rPr>
        <w:fldChar w:fldCharType="end" w:fldLock="0"/>
      </w:r>
    </w:p>
    <w:p>
      <w:pPr>
        <w:pStyle w:val="Default"/>
        <w:bidi w:val="0"/>
        <w:ind w:left="0" w:right="0" w:firstLine="0"/>
        <w:jc w:val="left"/>
        <w:rPr>
          <w:rFonts w:ascii="Verdana" w:cs="Verdana" w:hAnsi="Verdana" w:eastAsia="Verdana"/>
          <w:sz w:val="24"/>
          <w:szCs w:val="24"/>
          <w:shd w:val="clear" w:color="auto" w:fill="ffffff"/>
          <w:rtl w:val="0"/>
        </w:rPr>
      </w:pPr>
    </w:p>
    <w:p>
      <w:pPr>
        <w:pStyle w:val="Default"/>
        <w:bidi w:val="0"/>
        <w:ind w:left="0" w:right="0" w:firstLine="0"/>
        <w:jc w:val="left"/>
        <w:rPr>
          <w:rFonts w:ascii="Verdana" w:cs="Verdana" w:hAnsi="Verdana" w:eastAsia="Verdana"/>
          <w:color w:val="003e59"/>
          <w:sz w:val="24"/>
          <w:szCs w:val="24"/>
          <w:shd w:val="clear" w:color="auto" w:fill="ffffff"/>
          <w:rtl w:val="0"/>
        </w:rPr>
      </w:pP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  </w:t>
      </w: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pPr>
      <w:r>
        <w:rPr>
          <w:rFonts w:ascii="Verdana" w:cs="Verdana" w:hAnsi="Verdana" w:eastAsia="Verdana"/>
          <w:sz w:val="24"/>
          <w:szCs w:val="24"/>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Margaret Gallagher</w:t>
    </w:r>
    <w:r>
      <w:tab/>
      <w:tab/>
    </w:r>
    <w:r>
      <w:rPr>
        <w:rtl w:val="0"/>
        <w:lang w:val="en-US"/>
      </w:rPr>
      <w:t>1502239</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Numbered">
    <w:name w:val="Numbered"/>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