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F5A487" w14:textId="36A95356" w:rsidR="006077AE" w:rsidRPr="00D206FB" w:rsidRDefault="00B74B49" w:rsidP="00A14FF7">
      <w:pPr>
        <w:jc w:val="center"/>
        <w:rPr>
          <w:rFonts w:cstheme="minorHAnsi"/>
          <w:sz w:val="28"/>
          <w:szCs w:val="28"/>
          <w:u w:val="single"/>
        </w:rPr>
      </w:pPr>
      <w:r w:rsidRPr="00D206FB">
        <w:rPr>
          <w:rFonts w:cstheme="minorHAnsi"/>
          <w:sz w:val="28"/>
          <w:szCs w:val="28"/>
          <w:u w:val="single"/>
        </w:rPr>
        <w:t xml:space="preserve">Did the Normans achieve </w:t>
      </w:r>
      <w:r w:rsidR="00BC51FB" w:rsidRPr="00D206FB">
        <w:rPr>
          <w:rFonts w:cstheme="minorHAnsi"/>
          <w:sz w:val="28"/>
          <w:szCs w:val="28"/>
          <w:u w:val="single"/>
        </w:rPr>
        <w:t>a legacy</w:t>
      </w:r>
      <w:r w:rsidRPr="00D206FB">
        <w:rPr>
          <w:rFonts w:cstheme="minorHAnsi"/>
          <w:sz w:val="28"/>
          <w:szCs w:val="28"/>
          <w:u w:val="single"/>
        </w:rPr>
        <w:t>? – 2,500 words</w:t>
      </w:r>
    </w:p>
    <w:p w14:paraId="18EEE4AF" w14:textId="77777777" w:rsidR="00A14FF7" w:rsidRPr="00D206FB" w:rsidRDefault="00A14FF7" w:rsidP="00A14FF7">
      <w:pPr>
        <w:jc w:val="center"/>
        <w:rPr>
          <w:rFonts w:cstheme="minorHAnsi"/>
          <w:sz w:val="24"/>
          <w:szCs w:val="24"/>
          <w:u w:val="single"/>
        </w:rPr>
      </w:pPr>
    </w:p>
    <w:p w14:paraId="61FF079D" w14:textId="3C73B464" w:rsidR="00D73C51" w:rsidRPr="00D206FB" w:rsidRDefault="006077AE" w:rsidP="00D73C51">
      <w:pPr>
        <w:rPr>
          <w:rFonts w:cstheme="minorHAnsi"/>
          <w:sz w:val="24"/>
          <w:szCs w:val="24"/>
        </w:rPr>
      </w:pPr>
      <w:r w:rsidRPr="00D206FB">
        <w:rPr>
          <w:rFonts w:cstheme="minorHAnsi"/>
          <w:sz w:val="24"/>
          <w:szCs w:val="24"/>
        </w:rPr>
        <w:t xml:space="preserve">The Normans </w:t>
      </w:r>
      <w:r w:rsidR="00A813BC" w:rsidRPr="00D206FB">
        <w:rPr>
          <w:rFonts w:cstheme="minorHAnsi"/>
          <w:sz w:val="24"/>
          <w:szCs w:val="24"/>
        </w:rPr>
        <w:t xml:space="preserve">were a social group existing from </w:t>
      </w:r>
      <w:r w:rsidR="00D86D37" w:rsidRPr="00D206FB">
        <w:rPr>
          <w:rFonts w:cstheme="minorHAnsi"/>
          <w:sz w:val="24"/>
          <w:szCs w:val="24"/>
        </w:rPr>
        <w:t xml:space="preserve">around </w:t>
      </w:r>
      <w:r w:rsidR="00A14FF7" w:rsidRPr="00D206FB">
        <w:rPr>
          <w:rFonts w:cstheme="minorHAnsi"/>
          <w:sz w:val="24"/>
          <w:szCs w:val="24"/>
        </w:rPr>
        <w:t>911</w:t>
      </w:r>
      <w:r w:rsidR="00D86D37" w:rsidRPr="00D206FB">
        <w:rPr>
          <w:rFonts w:cstheme="minorHAnsi"/>
          <w:sz w:val="24"/>
          <w:szCs w:val="24"/>
        </w:rPr>
        <w:t xml:space="preserve"> with their conquest of the region of France known as Normandy, until around </w:t>
      </w:r>
      <w:r w:rsidR="00A14FF7" w:rsidRPr="00D206FB">
        <w:rPr>
          <w:rFonts w:cstheme="minorHAnsi"/>
          <w:sz w:val="24"/>
          <w:szCs w:val="24"/>
        </w:rPr>
        <w:t>the beginning of the 13</w:t>
      </w:r>
      <w:r w:rsidR="00A14FF7" w:rsidRPr="00D206FB">
        <w:rPr>
          <w:rFonts w:cstheme="minorHAnsi"/>
          <w:sz w:val="24"/>
          <w:szCs w:val="24"/>
          <w:vertAlign w:val="superscript"/>
        </w:rPr>
        <w:t>th</w:t>
      </w:r>
      <w:r w:rsidR="00A14FF7" w:rsidRPr="00D206FB">
        <w:rPr>
          <w:rFonts w:cstheme="minorHAnsi"/>
          <w:sz w:val="24"/>
          <w:szCs w:val="24"/>
        </w:rPr>
        <w:t xml:space="preserve"> century</w:t>
      </w:r>
      <w:r w:rsidR="00D86D37" w:rsidRPr="00D206FB">
        <w:rPr>
          <w:rFonts w:cstheme="minorHAnsi"/>
          <w:sz w:val="24"/>
          <w:szCs w:val="24"/>
        </w:rPr>
        <w:t xml:space="preserve"> with their eventual assimilation and disappearance into the cultures they conquered, such as England and Sicily. They are defined as a people</w:t>
      </w:r>
      <w:r w:rsidR="00B8152E" w:rsidRPr="00D206FB">
        <w:rPr>
          <w:rFonts w:cstheme="minorHAnsi"/>
          <w:sz w:val="24"/>
          <w:szCs w:val="24"/>
        </w:rPr>
        <w:t>, informally, by their willingness to adapt into cultures, their military prowess, and their administrative ability.</w:t>
      </w:r>
      <w:r w:rsidR="00B8152E" w:rsidRPr="00D206FB">
        <w:rPr>
          <w:rStyle w:val="FootnoteReference"/>
          <w:rFonts w:cstheme="minorHAnsi"/>
          <w:sz w:val="24"/>
          <w:szCs w:val="24"/>
        </w:rPr>
        <w:footnoteReference w:id="1"/>
      </w:r>
      <w:r w:rsidR="00B8152E" w:rsidRPr="00D206FB">
        <w:rPr>
          <w:rFonts w:cstheme="minorHAnsi"/>
          <w:sz w:val="24"/>
          <w:szCs w:val="24"/>
        </w:rPr>
        <w:t xml:space="preserve"> </w:t>
      </w:r>
      <w:r w:rsidR="001D1E05" w:rsidRPr="00D206FB">
        <w:rPr>
          <w:rFonts w:cstheme="minorHAnsi"/>
          <w:sz w:val="24"/>
          <w:szCs w:val="24"/>
        </w:rPr>
        <w:t xml:space="preserve">A legacy is </w:t>
      </w:r>
      <w:r w:rsidR="004621AF" w:rsidRPr="00D206FB">
        <w:rPr>
          <w:rFonts w:cstheme="minorHAnsi"/>
          <w:sz w:val="24"/>
          <w:szCs w:val="24"/>
        </w:rPr>
        <w:t xml:space="preserve">defined in this context as the long-lasting impact of events or peoples. </w:t>
      </w:r>
      <w:r w:rsidR="001D1E05" w:rsidRPr="00D206FB">
        <w:rPr>
          <w:rFonts w:cstheme="minorHAnsi"/>
          <w:sz w:val="24"/>
          <w:szCs w:val="24"/>
        </w:rPr>
        <w:t xml:space="preserve">This essay hopes to discuss the impacts that the Norman people left on the places they conquered, and whether these impacts, or lack thereof, exist as </w:t>
      </w:r>
      <w:proofErr w:type="gramStart"/>
      <w:r w:rsidR="001D1E05" w:rsidRPr="00D206FB">
        <w:rPr>
          <w:rFonts w:cstheme="minorHAnsi"/>
          <w:sz w:val="24"/>
          <w:szCs w:val="24"/>
        </w:rPr>
        <w:t>a lasting legacy</w:t>
      </w:r>
      <w:proofErr w:type="gramEnd"/>
      <w:r w:rsidR="001D1E05" w:rsidRPr="00D206FB">
        <w:rPr>
          <w:rFonts w:cstheme="minorHAnsi"/>
          <w:sz w:val="24"/>
          <w:szCs w:val="24"/>
        </w:rPr>
        <w:t xml:space="preserve"> for </w:t>
      </w:r>
      <w:r w:rsidR="001602E5" w:rsidRPr="00D206FB">
        <w:rPr>
          <w:rFonts w:cstheme="minorHAnsi"/>
          <w:sz w:val="24"/>
          <w:szCs w:val="24"/>
        </w:rPr>
        <w:t xml:space="preserve">the Normans as a group. </w:t>
      </w:r>
    </w:p>
    <w:p w14:paraId="726B7DB3" w14:textId="77777777" w:rsidR="00D940A9" w:rsidRPr="00D206FB" w:rsidRDefault="00D940A9" w:rsidP="00D73C51">
      <w:pPr>
        <w:rPr>
          <w:rFonts w:cstheme="minorHAnsi"/>
          <w:b/>
          <w:bCs/>
          <w:sz w:val="24"/>
          <w:szCs w:val="24"/>
        </w:rPr>
      </w:pPr>
    </w:p>
    <w:p w14:paraId="773CB3C7" w14:textId="5CE904D6" w:rsidR="00F273C5" w:rsidRPr="00D206FB" w:rsidRDefault="00D664E8" w:rsidP="00D73C51">
      <w:pPr>
        <w:rPr>
          <w:rFonts w:cstheme="minorHAnsi"/>
          <w:sz w:val="24"/>
          <w:szCs w:val="24"/>
        </w:rPr>
      </w:pPr>
      <w:r w:rsidRPr="00D206FB">
        <w:rPr>
          <w:rFonts w:cstheme="minorHAnsi"/>
          <w:sz w:val="24"/>
          <w:szCs w:val="24"/>
        </w:rPr>
        <w:t xml:space="preserve">One notable trait of the Normans as a group was their ability to assimilate into the cultures and systems they conquered. </w:t>
      </w:r>
      <w:r w:rsidR="00432396" w:rsidRPr="00D206FB">
        <w:rPr>
          <w:rFonts w:cstheme="minorHAnsi"/>
          <w:sz w:val="24"/>
          <w:szCs w:val="24"/>
        </w:rPr>
        <w:t xml:space="preserve">It could be argued that they were successful in this assimilation to the point where they did not leave a lasting legacy. </w:t>
      </w:r>
      <w:r w:rsidR="00FB2A2B" w:rsidRPr="00D206FB">
        <w:rPr>
          <w:rFonts w:cstheme="minorHAnsi"/>
          <w:sz w:val="24"/>
          <w:szCs w:val="24"/>
        </w:rPr>
        <w:t>It is often stated by economic historians that the Normans took on and adapted the systems that they encountered in their conquests.</w:t>
      </w:r>
      <w:r w:rsidR="00BC693A" w:rsidRPr="00D206FB">
        <w:rPr>
          <w:rStyle w:val="FootnoteReference"/>
          <w:rFonts w:cstheme="minorHAnsi"/>
          <w:sz w:val="24"/>
          <w:szCs w:val="24"/>
        </w:rPr>
        <w:footnoteReference w:id="2"/>
      </w:r>
      <w:r w:rsidR="00FB2A2B" w:rsidRPr="00D206FB">
        <w:rPr>
          <w:rFonts w:cstheme="minorHAnsi"/>
          <w:sz w:val="24"/>
          <w:szCs w:val="24"/>
        </w:rPr>
        <w:t xml:space="preserve"> With their move into Normandy, </w:t>
      </w:r>
      <w:r w:rsidR="00BC693A" w:rsidRPr="00D206FB">
        <w:rPr>
          <w:rFonts w:cstheme="minorHAnsi"/>
          <w:sz w:val="24"/>
          <w:szCs w:val="24"/>
        </w:rPr>
        <w:t xml:space="preserve">for example, </w:t>
      </w:r>
      <w:r w:rsidR="00FB2A2B" w:rsidRPr="00D206FB">
        <w:rPr>
          <w:rFonts w:cstheme="minorHAnsi"/>
          <w:sz w:val="24"/>
          <w:szCs w:val="24"/>
        </w:rPr>
        <w:t xml:space="preserve">they took on </w:t>
      </w:r>
      <w:r w:rsidR="00BC693A" w:rsidRPr="00D206FB">
        <w:rPr>
          <w:rFonts w:cstheme="minorHAnsi"/>
          <w:sz w:val="24"/>
          <w:szCs w:val="24"/>
        </w:rPr>
        <w:t xml:space="preserve">the French system of a dukedom, a hereditary title assigned to their leader. This is in direct contrast to their previous system of governance which took the form of a Jarl title, which was not hereditary but rather an elected position. </w:t>
      </w:r>
      <w:r w:rsidR="00554D3B" w:rsidRPr="00D206FB">
        <w:rPr>
          <w:rFonts w:cstheme="minorHAnsi"/>
          <w:sz w:val="24"/>
          <w:szCs w:val="24"/>
        </w:rPr>
        <w:t xml:space="preserve">Furthermore, the Normans, as evidence by their name, settled down and thus assimilated into the area of Normandy. </w:t>
      </w:r>
      <w:r w:rsidR="00F273C5" w:rsidRPr="00D206FB">
        <w:rPr>
          <w:rFonts w:cstheme="minorHAnsi"/>
          <w:sz w:val="24"/>
          <w:szCs w:val="24"/>
        </w:rPr>
        <w:t xml:space="preserve">Dudo of Saint Quentin, in his writing of the </w:t>
      </w:r>
      <w:r w:rsidR="00F273C5" w:rsidRPr="00D206FB">
        <w:rPr>
          <w:rFonts w:cstheme="minorHAnsi"/>
          <w:i/>
          <w:iCs/>
          <w:sz w:val="24"/>
          <w:szCs w:val="24"/>
        </w:rPr>
        <w:t>Gesta Normannorum</w:t>
      </w:r>
      <w:r w:rsidR="00F273C5" w:rsidRPr="00D206FB">
        <w:rPr>
          <w:rFonts w:cstheme="minorHAnsi"/>
          <w:sz w:val="24"/>
          <w:szCs w:val="24"/>
        </w:rPr>
        <w:t xml:space="preserve">, emphasises how the Normans assimilated with the local people of France through </w:t>
      </w:r>
      <w:r w:rsidR="007038E4" w:rsidRPr="00D206FB">
        <w:rPr>
          <w:rFonts w:cstheme="minorHAnsi"/>
          <w:sz w:val="24"/>
          <w:szCs w:val="24"/>
        </w:rPr>
        <w:t>the takeover of Rouen.</w:t>
      </w:r>
      <w:r w:rsidR="007038E4" w:rsidRPr="00D206FB">
        <w:rPr>
          <w:rStyle w:val="FootnoteReference"/>
          <w:rFonts w:cstheme="minorHAnsi"/>
          <w:sz w:val="24"/>
          <w:szCs w:val="24"/>
        </w:rPr>
        <w:footnoteReference w:id="3"/>
      </w:r>
      <w:r w:rsidR="007038E4" w:rsidRPr="00D206FB">
        <w:rPr>
          <w:rFonts w:cstheme="minorHAnsi"/>
          <w:sz w:val="24"/>
          <w:szCs w:val="24"/>
        </w:rPr>
        <w:t xml:space="preserve"> </w:t>
      </w:r>
      <w:r w:rsidR="00B76D51" w:rsidRPr="00D206FB">
        <w:rPr>
          <w:rFonts w:cstheme="minorHAnsi"/>
          <w:sz w:val="24"/>
          <w:szCs w:val="24"/>
        </w:rPr>
        <w:t xml:space="preserve">While the territories surrounding the river Seine valley had been raided by the soon-to-be-Normans for some time, Dudo chooses to ignore this, and </w:t>
      </w:r>
      <w:r w:rsidR="006022F3" w:rsidRPr="00D206FB">
        <w:rPr>
          <w:rFonts w:cstheme="minorHAnsi"/>
          <w:sz w:val="24"/>
          <w:szCs w:val="24"/>
        </w:rPr>
        <w:t>instead emphasise that Rollo was asked by the inhabitants of Rouen to care for their city</w:t>
      </w:r>
      <w:r w:rsidR="0016771C" w:rsidRPr="00D206FB">
        <w:rPr>
          <w:rFonts w:cstheme="minorHAnsi"/>
          <w:sz w:val="24"/>
          <w:szCs w:val="24"/>
        </w:rPr>
        <w:t>, already destroyed by the time that Rollo and his men arrived there.</w:t>
      </w:r>
      <w:r w:rsidR="0016771C" w:rsidRPr="00D206FB">
        <w:rPr>
          <w:rStyle w:val="FootnoteReference"/>
          <w:rFonts w:cstheme="minorHAnsi"/>
          <w:sz w:val="24"/>
          <w:szCs w:val="24"/>
        </w:rPr>
        <w:footnoteReference w:id="4"/>
      </w:r>
      <w:r w:rsidR="0016771C" w:rsidRPr="00D206FB">
        <w:rPr>
          <w:rFonts w:cstheme="minorHAnsi"/>
          <w:sz w:val="24"/>
          <w:szCs w:val="24"/>
        </w:rPr>
        <w:t xml:space="preserve"> While Dudo is </w:t>
      </w:r>
      <w:r w:rsidR="000D2C58" w:rsidRPr="00D206FB">
        <w:rPr>
          <w:rFonts w:cstheme="minorHAnsi"/>
          <w:sz w:val="24"/>
          <w:szCs w:val="24"/>
        </w:rPr>
        <w:t>almost undoubtedly biased in his portrayal of the Normans, having been commissioned by both Richard I and his son Richard II</w:t>
      </w:r>
      <w:r w:rsidR="00E56FD4" w:rsidRPr="00D206FB">
        <w:rPr>
          <w:rFonts w:cstheme="minorHAnsi"/>
          <w:sz w:val="24"/>
          <w:szCs w:val="24"/>
        </w:rPr>
        <w:t>, dukes</w:t>
      </w:r>
      <w:r w:rsidR="000D2C58" w:rsidRPr="00D206FB">
        <w:rPr>
          <w:rFonts w:cstheme="minorHAnsi"/>
          <w:sz w:val="24"/>
          <w:szCs w:val="24"/>
        </w:rPr>
        <w:t xml:space="preserve"> of Normandy</w:t>
      </w:r>
      <w:r w:rsidR="00E56FD4" w:rsidRPr="00D206FB">
        <w:rPr>
          <w:rFonts w:cstheme="minorHAnsi"/>
          <w:sz w:val="24"/>
          <w:szCs w:val="24"/>
        </w:rPr>
        <w:t>,</w:t>
      </w:r>
      <w:r w:rsidR="000D2C58" w:rsidRPr="00D206FB">
        <w:rPr>
          <w:rFonts w:cstheme="minorHAnsi"/>
          <w:sz w:val="24"/>
          <w:szCs w:val="24"/>
        </w:rPr>
        <w:t xml:space="preserve"> to write his history, we can no</w:t>
      </w:r>
      <w:r w:rsidR="00E742FF" w:rsidRPr="00D206FB">
        <w:rPr>
          <w:rFonts w:cstheme="minorHAnsi"/>
          <w:sz w:val="24"/>
          <w:szCs w:val="24"/>
        </w:rPr>
        <w:t xml:space="preserve">netheless </w:t>
      </w:r>
      <w:r w:rsidR="000D2C58" w:rsidRPr="00D206FB">
        <w:rPr>
          <w:rFonts w:cstheme="minorHAnsi"/>
          <w:sz w:val="24"/>
          <w:szCs w:val="24"/>
        </w:rPr>
        <w:t>gain some insight into the deeds and motivations of the Normans from his work.</w:t>
      </w:r>
      <w:r w:rsidR="000D2C58" w:rsidRPr="00D206FB">
        <w:rPr>
          <w:rStyle w:val="FootnoteReference"/>
          <w:rFonts w:cstheme="minorHAnsi"/>
          <w:sz w:val="24"/>
          <w:szCs w:val="24"/>
        </w:rPr>
        <w:footnoteReference w:id="5"/>
      </w:r>
      <w:r w:rsidR="002D7478" w:rsidRPr="00D206FB">
        <w:rPr>
          <w:rFonts w:cstheme="minorHAnsi"/>
          <w:sz w:val="24"/>
          <w:szCs w:val="24"/>
        </w:rPr>
        <w:t xml:space="preserve"> </w:t>
      </w:r>
    </w:p>
    <w:p w14:paraId="63D25BF6" w14:textId="181ECB61" w:rsidR="006C1136" w:rsidRPr="00D206FB" w:rsidRDefault="006C1136" w:rsidP="00D73C51">
      <w:pPr>
        <w:rPr>
          <w:rFonts w:cstheme="minorHAnsi"/>
          <w:sz w:val="24"/>
          <w:szCs w:val="24"/>
        </w:rPr>
      </w:pPr>
    </w:p>
    <w:p w14:paraId="706D0800" w14:textId="017D3CE2" w:rsidR="006C1136" w:rsidRPr="00D206FB" w:rsidRDefault="006C1136" w:rsidP="00D73C51">
      <w:pPr>
        <w:rPr>
          <w:rFonts w:cstheme="minorHAnsi"/>
          <w:sz w:val="24"/>
          <w:szCs w:val="24"/>
        </w:rPr>
      </w:pPr>
      <w:r w:rsidRPr="00D206FB">
        <w:rPr>
          <w:rFonts w:cstheme="minorHAnsi"/>
          <w:sz w:val="24"/>
          <w:szCs w:val="24"/>
        </w:rPr>
        <w:t xml:space="preserve">It is unlikely that the Normans came across Rouen after it had been ransacked, </w:t>
      </w:r>
      <w:r w:rsidR="00AD5516" w:rsidRPr="00D206FB">
        <w:rPr>
          <w:rFonts w:cstheme="minorHAnsi"/>
          <w:sz w:val="24"/>
          <w:szCs w:val="24"/>
        </w:rPr>
        <w:t xml:space="preserve">as Dudo claims in the </w:t>
      </w:r>
      <w:r w:rsidR="00AD5516" w:rsidRPr="00D206FB">
        <w:rPr>
          <w:rFonts w:cstheme="minorHAnsi"/>
          <w:i/>
          <w:iCs/>
          <w:sz w:val="24"/>
          <w:szCs w:val="24"/>
        </w:rPr>
        <w:t xml:space="preserve">Gesta </w:t>
      </w:r>
      <w:r w:rsidR="00AD5516" w:rsidRPr="00D206FB">
        <w:rPr>
          <w:rFonts w:cstheme="minorHAnsi"/>
          <w:sz w:val="24"/>
          <w:szCs w:val="24"/>
        </w:rPr>
        <w:t>Normannorum.</w:t>
      </w:r>
      <w:r w:rsidR="00AD5516" w:rsidRPr="00D206FB">
        <w:rPr>
          <w:rStyle w:val="FootnoteReference"/>
          <w:rFonts w:cstheme="minorHAnsi"/>
          <w:sz w:val="24"/>
          <w:szCs w:val="24"/>
        </w:rPr>
        <w:footnoteReference w:id="6"/>
      </w:r>
      <w:r w:rsidR="00AD5516" w:rsidRPr="00D206FB">
        <w:rPr>
          <w:rFonts w:cstheme="minorHAnsi"/>
          <w:sz w:val="24"/>
          <w:szCs w:val="24"/>
        </w:rPr>
        <w:t xml:space="preserve"> R</w:t>
      </w:r>
      <w:r w:rsidRPr="00D206FB">
        <w:rPr>
          <w:rFonts w:cstheme="minorHAnsi"/>
          <w:sz w:val="24"/>
          <w:szCs w:val="24"/>
        </w:rPr>
        <w:t>ather</w:t>
      </w:r>
      <w:r w:rsidR="00AD5516" w:rsidRPr="00D206FB">
        <w:rPr>
          <w:rFonts w:cstheme="minorHAnsi"/>
          <w:sz w:val="24"/>
          <w:szCs w:val="24"/>
        </w:rPr>
        <w:t>,</w:t>
      </w:r>
      <w:r w:rsidRPr="00D206FB">
        <w:rPr>
          <w:rFonts w:cstheme="minorHAnsi"/>
          <w:sz w:val="24"/>
          <w:szCs w:val="24"/>
        </w:rPr>
        <w:t xml:space="preserve"> as they had already been raiding the river Seine valley for years, it is more likely that they had been the ones to destroy it and then take it </w:t>
      </w:r>
      <w:r w:rsidRPr="00D206FB">
        <w:rPr>
          <w:rFonts w:cstheme="minorHAnsi"/>
          <w:sz w:val="24"/>
          <w:szCs w:val="24"/>
        </w:rPr>
        <w:lastRenderedPageBreak/>
        <w:t xml:space="preserve">over and remould it into a place of power for their people. It would be much easier for the Normans to take control and assimilate when there is a leadership vacuum. Additionally, by letting Dudo portray them in a much different light, </w:t>
      </w:r>
      <w:r w:rsidR="00152958" w:rsidRPr="00D206FB">
        <w:rPr>
          <w:rFonts w:cstheme="minorHAnsi"/>
          <w:sz w:val="24"/>
          <w:szCs w:val="24"/>
        </w:rPr>
        <w:t>it adds legitimacy to the</w:t>
      </w:r>
      <w:r w:rsidR="008D392A" w:rsidRPr="00D206FB">
        <w:rPr>
          <w:rFonts w:cstheme="minorHAnsi"/>
          <w:sz w:val="24"/>
          <w:szCs w:val="24"/>
        </w:rPr>
        <w:t xml:space="preserve"> power they have gained </w:t>
      </w:r>
      <w:r w:rsidR="00C801D2" w:rsidRPr="00D206FB">
        <w:rPr>
          <w:rFonts w:cstheme="minorHAnsi"/>
          <w:sz w:val="24"/>
          <w:szCs w:val="24"/>
        </w:rPr>
        <w:t xml:space="preserve">by assimilating into the Frankish culture and becoming the Normans, over the Norwegian raiders they were beforehand. </w:t>
      </w:r>
      <w:r w:rsidR="007A3CE5" w:rsidRPr="00D206FB">
        <w:rPr>
          <w:rFonts w:cstheme="minorHAnsi"/>
          <w:sz w:val="24"/>
          <w:szCs w:val="24"/>
        </w:rPr>
        <w:t xml:space="preserve">This could be seen as a form of assimilation in itself, as they are changing their personal narrative to fit the Frankish circumstances they find themselves in. While not completely converting to the culture surrounding Rouen, they still changed themselves, through their use of titles and naming, being called Norman, especially. Therefore, they are assimilating into the culture and thus losing a part of their former identity. This idea of assimilation occurs in a trend, as when the invasion of England happens in 1066, the Normans slowly take on not only the administrative systems of England, but also its titling, in the form of kingship, and thus they lose a part of themselves to the culture they have joined. Therefore, it is difficult to argue that they left a lasting legacy, as while they left histories and writings, such as Dudo, these are seen to have been written with the idea of assimilation in mind. In the case of Dudo, a revisionist history was written, which painted the Normans as </w:t>
      </w:r>
      <w:r w:rsidR="00717F3A" w:rsidRPr="00D206FB">
        <w:rPr>
          <w:rFonts w:cstheme="minorHAnsi"/>
          <w:sz w:val="24"/>
          <w:szCs w:val="24"/>
        </w:rPr>
        <w:t xml:space="preserve">less brutal and more leader-like to the people of Rouen, a part of the territory they gained when they became the people of Normandy. With each assimilation, they lose a part of their former identity, making it much harder to argue that they left one cohesive legacy behind when their idea of self and lineage changed with each move. </w:t>
      </w:r>
    </w:p>
    <w:p w14:paraId="21F54852" w14:textId="77777777" w:rsidR="001F60C3" w:rsidRPr="00D206FB" w:rsidRDefault="001F60C3" w:rsidP="00D73C51">
      <w:pPr>
        <w:rPr>
          <w:rFonts w:cstheme="minorHAnsi"/>
          <w:sz w:val="24"/>
          <w:szCs w:val="24"/>
        </w:rPr>
      </w:pPr>
    </w:p>
    <w:p w14:paraId="33BDA12B" w14:textId="6FC4A899" w:rsidR="001E76B7" w:rsidRPr="00D206FB" w:rsidRDefault="007F1256" w:rsidP="00D73C51">
      <w:pPr>
        <w:rPr>
          <w:rFonts w:cstheme="minorHAnsi"/>
          <w:sz w:val="24"/>
          <w:szCs w:val="24"/>
        </w:rPr>
      </w:pPr>
      <w:r w:rsidRPr="00D206FB">
        <w:rPr>
          <w:rFonts w:cstheme="minorHAnsi"/>
          <w:sz w:val="24"/>
          <w:szCs w:val="24"/>
        </w:rPr>
        <w:t>Beginning with the Invasion of England in 1066, the Normans have left a lasting impact on the country in many different ways</w:t>
      </w:r>
      <w:r w:rsidR="00DE59FE" w:rsidRPr="00D206FB">
        <w:rPr>
          <w:rFonts w:cstheme="minorHAnsi"/>
          <w:sz w:val="24"/>
          <w:szCs w:val="24"/>
        </w:rPr>
        <w:t xml:space="preserve">, including the argued revolutionising of the economic and administrative systems running the country. </w:t>
      </w:r>
      <w:r w:rsidR="00B76C63" w:rsidRPr="00D206FB">
        <w:rPr>
          <w:rFonts w:cstheme="minorHAnsi"/>
          <w:sz w:val="24"/>
          <w:szCs w:val="24"/>
        </w:rPr>
        <w:t xml:space="preserve">One </w:t>
      </w:r>
      <w:r w:rsidR="00217C80" w:rsidRPr="00D206FB">
        <w:rPr>
          <w:rFonts w:cstheme="minorHAnsi"/>
          <w:sz w:val="24"/>
          <w:szCs w:val="24"/>
        </w:rPr>
        <w:t xml:space="preserve">such </w:t>
      </w:r>
      <w:r w:rsidR="00B76C63" w:rsidRPr="00D206FB">
        <w:rPr>
          <w:rFonts w:cstheme="minorHAnsi"/>
          <w:sz w:val="24"/>
          <w:szCs w:val="24"/>
        </w:rPr>
        <w:t xml:space="preserve">lasting impact the Normans left on England is the </w:t>
      </w:r>
      <w:r w:rsidR="00243451" w:rsidRPr="00D206FB">
        <w:rPr>
          <w:rFonts w:cstheme="minorHAnsi"/>
          <w:sz w:val="24"/>
          <w:szCs w:val="24"/>
        </w:rPr>
        <w:t xml:space="preserve">creation of the </w:t>
      </w:r>
      <w:r w:rsidR="00DE59FE" w:rsidRPr="00D206FB">
        <w:rPr>
          <w:rFonts w:cstheme="minorHAnsi"/>
          <w:sz w:val="24"/>
          <w:szCs w:val="24"/>
        </w:rPr>
        <w:t xml:space="preserve">artefact known as the </w:t>
      </w:r>
      <w:r w:rsidR="00B76C63" w:rsidRPr="00D206FB">
        <w:rPr>
          <w:rFonts w:cstheme="minorHAnsi"/>
          <w:sz w:val="24"/>
          <w:szCs w:val="24"/>
        </w:rPr>
        <w:t xml:space="preserve">Domesday book. </w:t>
      </w:r>
      <w:r w:rsidR="007A5951" w:rsidRPr="00D206FB">
        <w:rPr>
          <w:rFonts w:cstheme="minorHAnsi"/>
          <w:sz w:val="24"/>
          <w:szCs w:val="24"/>
        </w:rPr>
        <w:t>Th</w:t>
      </w:r>
      <w:r w:rsidR="004656B8" w:rsidRPr="00D206FB">
        <w:rPr>
          <w:rFonts w:cstheme="minorHAnsi"/>
          <w:sz w:val="24"/>
          <w:szCs w:val="24"/>
        </w:rPr>
        <w:t xml:space="preserve">e Domesday book is a series of two written texts, summarising the results of a land ownership survey, known as the Domesday Survey, that encompassed all of England within the year 1086. A majority of the information from this survey is contained in summaries of </w:t>
      </w:r>
      <w:r w:rsidR="002B108B" w:rsidRPr="00D206FB">
        <w:rPr>
          <w:rFonts w:cstheme="minorHAnsi"/>
          <w:sz w:val="24"/>
          <w:szCs w:val="24"/>
        </w:rPr>
        <w:t>different manors, their people, their resources, and their estimated net value, which is referred to as their “annual value”.</w:t>
      </w:r>
      <w:r w:rsidR="002B108B" w:rsidRPr="00D206FB">
        <w:rPr>
          <w:rStyle w:val="FootnoteReference"/>
          <w:rFonts w:cstheme="minorHAnsi"/>
          <w:sz w:val="24"/>
          <w:szCs w:val="24"/>
        </w:rPr>
        <w:footnoteReference w:id="7"/>
      </w:r>
      <w:r w:rsidR="002B108B" w:rsidRPr="00D206FB">
        <w:rPr>
          <w:rFonts w:cstheme="minorHAnsi"/>
          <w:sz w:val="24"/>
          <w:szCs w:val="24"/>
        </w:rPr>
        <w:t xml:space="preserve"> </w:t>
      </w:r>
      <w:r w:rsidR="001C6411" w:rsidRPr="00D206FB">
        <w:rPr>
          <w:rFonts w:cstheme="minorHAnsi"/>
          <w:sz w:val="24"/>
          <w:szCs w:val="24"/>
        </w:rPr>
        <w:t xml:space="preserve"> The two sections of the Domesday Book, known as Greater Domesday and Little Domesday, </w:t>
      </w:r>
      <w:r w:rsidR="00EF7F58" w:rsidRPr="00D206FB">
        <w:rPr>
          <w:rFonts w:cstheme="minorHAnsi"/>
          <w:sz w:val="24"/>
          <w:szCs w:val="24"/>
        </w:rPr>
        <w:t>are both written in Latin</w:t>
      </w:r>
      <w:r w:rsidR="00333307" w:rsidRPr="00D206FB">
        <w:rPr>
          <w:rFonts w:cstheme="minorHAnsi"/>
          <w:sz w:val="24"/>
          <w:szCs w:val="24"/>
        </w:rPr>
        <w:t>, rather than English.</w:t>
      </w:r>
      <w:r w:rsidR="0032022A" w:rsidRPr="00D206FB">
        <w:rPr>
          <w:rStyle w:val="FootnoteReference"/>
          <w:rFonts w:cstheme="minorHAnsi"/>
          <w:sz w:val="24"/>
          <w:szCs w:val="24"/>
        </w:rPr>
        <w:footnoteReference w:id="8"/>
      </w:r>
      <w:r w:rsidR="00333307" w:rsidRPr="00D206FB">
        <w:rPr>
          <w:rFonts w:cstheme="minorHAnsi"/>
          <w:sz w:val="24"/>
          <w:szCs w:val="24"/>
        </w:rPr>
        <w:t xml:space="preserve"> This </w:t>
      </w:r>
      <w:r w:rsidR="0032022A" w:rsidRPr="00D206FB">
        <w:rPr>
          <w:rFonts w:cstheme="minorHAnsi"/>
          <w:sz w:val="24"/>
          <w:szCs w:val="24"/>
        </w:rPr>
        <w:t xml:space="preserve">use of Latin indicates </w:t>
      </w:r>
      <w:r w:rsidR="00920915" w:rsidRPr="00D206FB">
        <w:rPr>
          <w:rFonts w:cstheme="minorHAnsi"/>
          <w:sz w:val="24"/>
          <w:szCs w:val="24"/>
        </w:rPr>
        <w:t>that the Domesday Book is a completely Norman creation, as Latin was their preferred language of administration.</w:t>
      </w:r>
      <w:r w:rsidR="00920915" w:rsidRPr="00D206FB">
        <w:rPr>
          <w:rStyle w:val="FootnoteReference"/>
          <w:rFonts w:cstheme="minorHAnsi"/>
          <w:sz w:val="24"/>
          <w:szCs w:val="24"/>
        </w:rPr>
        <w:footnoteReference w:id="9"/>
      </w:r>
      <w:r w:rsidR="00920915" w:rsidRPr="00D206FB">
        <w:rPr>
          <w:rFonts w:cstheme="minorHAnsi"/>
          <w:sz w:val="24"/>
          <w:szCs w:val="24"/>
        </w:rPr>
        <w:t xml:space="preserve"> However, the Domesday book was backed up by hundreds of individual, smaller, wealth surveys carried out in the years preceding the creation of the Domesday Book. These smaller surveys and kept records have since disappeared, and thus some have argued that they were almost useless to the Normans, having been an Anglo-Saxon creation and thus written in the Old English language.</w:t>
      </w:r>
      <w:r w:rsidR="00920915" w:rsidRPr="00D206FB">
        <w:rPr>
          <w:rStyle w:val="FootnoteReference"/>
          <w:rFonts w:cstheme="minorHAnsi"/>
          <w:sz w:val="24"/>
          <w:szCs w:val="24"/>
        </w:rPr>
        <w:footnoteReference w:id="10"/>
      </w:r>
      <w:r w:rsidR="00920915" w:rsidRPr="00D206FB">
        <w:rPr>
          <w:rFonts w:cstheme="minorHAnsi"/>
          <w:sz w:val="24"/>
          <w:szCs w:val="24"/>
        </w:rPr>
        <w:t xml:space="preserve"> It is through this disappearance of old records that it could be argued the Domesday Book does not fully and </w:t>
      </w:r>
      <w:r w:rsidR="00920915" w:rsidRPr="00D206FB">
        <w:rPr>
          <w:rFonts w:cstheme="minorHAnsi"/>
          <w:sz w:val="24"/>
          <w:szCs w:val="24"/>
        </w:rPr>
        <w:lastRenderedPageBreak/>
        <w:t>wholly reflect as a legacy of the Normans but rather as a point towards the assimilation of Normans into their surrounding cultures, and thus that they did not leave a lasting legacy. However, this point of view does reduce the modern impact that the Domesday survey has had on the culture and history of England</w:t>
      </w:r>
      <w:r w:rsidR="00C10A86" w:rsidRPr="00D206FB">
        <w:rPr>
          <w:rFonts w:cstheme="minorHAnsi"/>
          <w:sz w:val="24"/>
          <w:szCs w:val="24"/>
        </w:rPr>
        <w:t xml:space="preserve">, which could be argued to be a legacy in of itself. </w:t>
      </w:r>
    </w:p>
    <w:p w14:paraId="2388B78E" w14:textId="4EF67769" w:rsidR="001C6411" w:rsidRPr="00D206FB" w:rsidRDefault="001C6411" w:rsidP="00D73C51">
      <w:pPr>
        <w:rPr>
          <w:rFonts w:cstheme="minorHAnsi"/>
          <w:sz w:val="24"/>
          <w:szCs w:val="24"/>
        </w:rPr>
      </w:pPr>
    </w:p>
    <w:p w14:paraId="74386FE4" w14:textId="4C134F85" w:rsidR="001C2EFD" w:rsidRPr="00D206FB" w:rsidRDefault="001C6411" w:rsidP="00D73C51">
      <w:pPr>
        <w:rPr>
          <w:rFonts w:cstheme="minorHAnsi"/>
          <w:sz w:val="24"/>
          <w:szCs w:val="24"/>
        </w:rPr>
      </w:pPr>
      <w:r w:rsidRPr="00D206FB">
        <w:rPr>
          <w:rFonts w:cstheme="minorHAnsi"/>
          <w:sz w:val="24"/>
          <w:szCs w:val="24"/>
        </w:rPr>
        <w:t>T</w:t>
      </w:r>
      <w:r w:rsidR="00666E9B" w:rsidRPr="00D206FB">
        <w:rPr>
          <w:rFonts w:cstheme="minorHAnsi"/>
          <w:sz w:val="24"/>
          <w:szCs w:val="24"/>
        </w:rPr>
        <w:t xml:space="preserve">here have been many interpretations of </w:t>
      </w:r>
      <w:r w:rsidR="00F44868" w:rsidRPr="00D206FB">
        <w:rPr>
          <w:rFonts w:cstheme="minorHAnsi"/>
          <w:sz w:val="24"/>
          <w:szCs w:val="24"/>
        </w:rPr>
        <w:t>the reasoning behind the Domesday survey, and little agreement on its purpose.</w:t>
      </w:r>
      <w:r w:rsidR="00F44868" w:rsidRPr="00D206FB">
        <w:rPr>
          <w:rStyle w:val="FootnoteReference"/>
          <w:rFonts w:cstheme="minorHAnsi"/>
          <w:sz w:val="24"/>
          <w:szCs w:val="24"/>
        </w:rPr>
        <w:footnoteReference w:id="11"/>
      </w:r>
      <w:r w:rsidR="00F44868" w:rsidRPr="00D206FB">
        <w:rPr>
          <w:rFonts w:cstheme="minorHAnsi"/>
          <w:sz w:val="24"/>
          <w:szCs w:val="24"/>
        </w:rPr>
        <w:t xml:space="preserve"> </w:t>
      </w:r>
      <w:r w:rsidR="00166230" w:rsidRPr="00D206FB">
        <w:rPr>
          <w:rFonts w:cstheme="minorHAnsi"/>
          <w:sz w:val="24"/>
          <w:szCs w:val="24"/>
        </w:rPr>
        <w:t>One idea of its use is that it existed to serve as a record of property.</w:t>
      </w:r>
      <w:r w:rsidR="00CC7D27" w:rsidRPr="00D206FB">
        <w:rPr>
          <w:rStyle w:val="FootnoteReference"/>
          <w:rFonts w:cstheme="minorHAnsi"/>
          <w:sz w:val="24"/>
          <w:szCs w:val="24"/>
        </w:rPr>
        <w:footnoteReference w:id="12"/>
      </w:r>
      <w:r w:rsidR="00166230" w:rsidRPr="00D206FB">
        <w:rPr>
          <w:rFonts w:cstheme="minorHAnsi"/>
          <w:sz w:val="24"/>
          <w:szCs w:val="24"/>
        </w:rPr>
        <w:t xml:space="preserve"> </w:t>
      </w:r>
      <w:r w:rsidR="00754088" w:rsidRPr="00D206FB">
        <w:rPr>
          <w:rFonts w:cstheme="minorHAnsi"/>
          <w:sz w:val="24"/>
          <w:szCs w:val="24"/>
        </w:rPr>
        <w:t xml:space="preserve">The Domesday Book is set out </w:t>
      </w:r>
      <w:r w:rsidR="00137978" w:rsidRPr="00D206FB">
        <w:rPr>
          <w:rFonts w:cstheme="minorHAnsi"/>
          <w:sz w:val="24"/>
          <w:szCs w:val="24"/>
        </w:rPr>
        <w:t xml:space="preserve">into </w:t>
      </w:r>
      <w:r w:rsidR="0023383E" w:rsidRPr="00D206FB">
        <w:rPr>
          <w:rFonts w:cstheme="minorHAnsi"/>
          <w:sz w:val="24"/>
          <w:szCs w:val="24"/>
        </w:rPr>
        <w:t>sections based on areas known as manors, with each new section signposted through the use of capitalisation and red ink.</w:t>
      </w:r>
      <w:r w:rsidR="0023383E" w:rsidRPr="00D206FB">
        <w:rPr>
          <w:rStyle w:val="FootnoteReference"/>
          <w:rFonts w:cstheme="minorHAnsi"/>
          <w:sz w:val="24"/>
          <w:szCs w:val="24"/>
        </w:rPr>
        <w:footnoteReference w:id="13"/>
      </w:r>
      <w:r w:rsidR="0023383E" w:rsidRPr="00D206FB">
        <w:rPr>
          <w:rFonts w:cstheme="minorHAnsi"/>
          <w:sz w:val="24"/>
          <w:szCs w:val="24"/>
        </w:rPr>
        <w:t xml:space="preserve"> It can therefore be inferred that </w:t>
      </w:r>
      <w:r w:rsidR="009C3758" w:rsidRPr="00D206FB">
        <w:rPr>
          <w:rFonts w:cstheme="minorHAnsi"/>
          <w:sz w:val="24"/>
          <w:szCs w:val="24"/>
        </w:rPr>
        <w:t xml:space="preserve">the book was meant to be used as a </w:t>
      </w:r>
      <w:r w:rsidR="003752CD" w:rsidRPr="00D206FB">
        <w:rPr>
          <w:rFonts w:cstheme="minorHAnsi"/>
          <w:sz w:val="24"/>
          <w:szCs w:val="24"/>
        </w:rPr>
        <w:t xml:space="preserve">reference, most likely in </w:t>
      </w:r>
      <w:r w:rsidR="007764A2" w:rsidRPr="00D206FB">
        <w:rPr>
          <w:rFonts w:cstheme="minorHAnsi"/>
          <w:sz w:val="24"/>
          <w:szCs w:val="24"/>
        </w:rPr>
        <w:t>property disputes</w:t>
      </w:r>
      <w:r w:rsidR="00BF3D89" w:rsidRPr="00D206FB">
        <w:rPr>
          <w:rFonts w:cstheme="minorHAnsi"/>
          <w:sz w:val="24"/>
          <w:szCs w:val="24"/>
        </w:rPr>
        <w:t xml:space="preserve"> or to properly tax estates. </w:t>
      </w:r>
      <w:r w:rsidR="001C2EFD" w:rsidRPr="00D206FB">
        <w:rPr>
          <w:rFonts w:cstheme="minorHAnsi"/>
          <w:sz w:val="24"/>
          <w:szCs w:val="24"/>
        </w:rPr>
        <w:t>Furthermore, it can</w:t>
      </w:r>
      <w:r w:rsidR="00BF3D89" w:rsidRPr="00D206FB">
        <w:rPr>
          <w:rFonts w:cstheme="minorHAnsi"/>
          <w:sz w:val="24"/>
          <w:szCs w:val="24"/>
        </w:rPr>
        <w:t xml:space="preserve"> also</w:t>
      </w:r>
      <w:r w:rsidR="001C2EFD" w:rsidRPr="00D206FB">
        <w:rPr>
          <w:rFonts w:cstheme="minorHAnsi"/>
          <w:sz w:val="24"/>
          <w:szCs w:val="24"/>
        </w:rPr>
        <w:t xml:space="preserve"> be argued that the purpose of the Domesday book was to revolutionise taxation. By having a full inventory of the resources of the country, it would be easier to establish which areas are under-utilised in terms of taxes. </w:t>
      </w:r>
      <w:r w:rsidR="00CC7D27" w:rsidRPr="00D206FB">
        <w:rPr>
          <w:rFonts w:cstheme="minorHAnsi"/>
          <w:sz w:val="24"/>
          <w:szCs w:val="24"/>
        </w:rPr>
        <w:t>This is supported by the Domesday Book being organised into tenants, as well as having an estimated annual income.</w:t>
      </w:r>
      <w:r w:rsidR="00CC7D27" w:rsidRPr="00D206FB">
        <w:rPr>
          <w:rStyle w:val="FootnoteReference"/>
          <w:rFonts w:cstheme="minorHAnsi"/>
          <w:sz w:val="24"/>
          <w:szCs w:val="24"/>
        </w:rPr>
        <w:footnoteReference w:id="14"/>
      </w:r>
      <w:r w:rsidR="00CC7D27" w:rsidRPr="00D206FB">
        <w:rPr>
          <w:rFonts w:cstheme="minorHAnsi"/>
          <w:sz w:val="24"/>
          <w:szCs w:val="24"/>
        </w:rPr>
        <w:t xml:space="preserve"> </w:t>
      </w:r>
    </w:p>
    <w:p w14:paraId="6D78309A" w14:textId="36ED7E4E" w:rsidR="00166230" w:rsidRPr="00D206FB" w:rsidRDefault="00166230" w:rsidP="00D73C51">
      <w:pPr>
        <w:rPr>
          <w:rFonts w:cstheme="minorHAnsi"/>
          <w:sz w:val="24"/>
          <w:szCs w:val="24"/>
        </w:rPr>
      </w:pPr>
    </w:p>
    <w:p w14:paraId="210BA07F" w14:textId="31ED707F" w:rsidR="00F44868" w:rsidRPr="00D206FB" w:rsidRDefault="00166230" w:rsidP="00D73C51">
      <w:pPr>
        <w:rPr>
          <w:rFonts w:cstheme="minorHAnsi"/>
          <w:sz w:val="24"/>
          <w:szCs w:val="24"/>
        </w:rPr>
      </w:pPr>
      <w:r w:rsidRPr="00D206FB">
        <w:rPr>
          <w:rFonts w:cstheme="minorHAnsi"/>
          <w:sz w:val="24"/>
          <w:szCs w:val="24"/>
        </w:rPr>
        <w:t>The existence of the Domesday book is sign</w:t>
      </w:r>
      <w:r w:rsidR="000A02F4" w:rsidRPr="00D206FB">
        <w:rPr>
          <w:rFonts w:cstheme="minorHAnsi"/>
          <w:sz w:val="24"/>
          <w:szCs w:val="24"/>
        </w:rPr>
        <w:t>ificant in discussions of the legacy of the Normans, as</w:t>
      </w:r>
      <w:r w:rsidRPr="00D206FB">
        <w:rPr>
          <w:rFonts w:cstheme="minorHAnsi"/>
          <w:sz w:val="24"/>
          <w:szCs w:val="24"/>
        </w:rPr>
        <w:t xml:space="preserve"> it shows us that </w:t>
      </w:r>
      <w:r w:rsidR="00F44868" w:rsidRPr="00D206FB">
        <w:rPr>
          <w:rFonts w:cstheme="minorHAnsi"/>
          <w:sz w:val="24"/>
          <w:szCs w:val="24"/>
        </w:rPr>
        <w:t xml:space="preserve">William the Conqueror, and </w:t>
      </w:r>
      <w:r w:rsidR="008E2125" w:rsidRPr="00D206FB">
        <w:rPr>
          <w:rFonts w:cstheme="minorHAnsi"/>
          <w:sz w:val="24"/>
          <w:szCs w:val="24"/>
        </w:rPr>
        <w:t>by extension</w:t>
      </w:r>
      <w:r w:rsidR="00F44868" w:rsidRPr="00D206FB">
        <w:rPr>
          <w:rFonts w:cstheme="minorHAnsi"/>
          <w:sz w:val="24"/>
          <w:szCs w:val="24"/>
        </w:rPr>
        <w:t xml:space="preserve"> the Normans, w</w:t>
      </w:r>
      <w:r w:rsidR="000A02F4" w:rsidRPr="00D206FB">
        <w:rPr>
          <w:rFonts w:cstheme="minorHAnsi"/>
          <w:sz w:val="24"/>
          <w:szCs w:val="24"/>
        </w:rPr>
        <w:t>ere</w:t>
      </w:r>
      <w:r w:rsidR="00F44868" w:rsidRPr="00D206FB">
        <w:rPr>
          <w:rFonts w:cstheme="minorHAnsi"/>
          <w:sz w:val="24"/>
          <w:szCs w:val="24"/>
        </w:rPr>
        <w:t xml:space="preserve"> willing to organise an extensive survey of the land in order to increase amount of taxation that could be done on the land. </w:t>
      </w:r>
      <w:r w:rsidR="00EC551A" w:rsidRPr="00D206FB">
        <w:rPr>
          <w:rFonts w:cstheme="minorHAnsi"/>
          <w:sz w:val="24"/>
          <w:szCs w:val="24"/>
        </w:rPr>
        <w:t>This survey, and thus the book, also served to help legitimise Norman rule in England. It showed that not only did the Normans have the authority to order a full survey of the economy, but that they could also completely overhaul the existing taxation structure to better fit the distribution of wealth that existed at the time, thus contributing to William’s legitimacy as king and the Norman rule.</w:t>
      </w:r>
      <w:r w:rsidR="00EC551A" w:rsidRPr="00D206FB">
        <w:rPr>
          <w:rStyle w:val="FootnoteReference"/>
          <w:rFonts w:cstheme="minorHAnsi"/>
          <w:sz w:val="24"/>
          <w:szCs w:val="24"/>
        </w:rPr>
        <w:footnoteReference w:id="15"/>
      </w:r>
      <w:r w:rsidR="00FA2AE9" w:rsidRPr="00D206FB">
        <w:rPr>
          <w:rFonts w:cstheme="minorHAnsi"/>
          <w:sz w:val="24"/>
          <w:szCs w:val="24"/>
        </w:rPr>
        <w:t xml:space="preserve"> </w:t>
      </w:r>
      <w:r w:rsidR="00F44868" w:rsidRPr="00D206FB">
        <w:rPr>
          <w:rFonts w:cstheme="minorHAnsi"/>
          <w:sz w:val="24"/>
          <w:szCs w:val="24"/>
        </w:rPr>
        <w:t>Furthermore, the Domesday Book has left a significant legacy on history. It is often referred to as one of the most significant accounting documents ever created.</w:t>
      </w:r>
      <w:r w:rsidR="00F44868" w:rsidRPr="00D206FB">
        <w:rPr>
          <w:rStyle w:val="FootnoteReference"/>
          <w:rFonts w:cstheme="minorHAnsi"/>
          <w:sz w:val="24"/>
          <w:szCs w:val="24"/>
        </w:rPr>
        <w:footnoteReference w:id="16"/>
      </w:r>
      <w:r w:rsidR="00A5262B" w:rsidRPr="00D206FB">
        <w:rPr>
          <w:rFonts w:cstheme="minorHAnsi"/>
          <w:sz w:val="24"/>
          <w:szCs w:val="24"/>
        </w:rPr>
        <w:t xml:space="preserve"> It is often referenced when talking about the Norman conquest of England, </w:t>
      </w:r>
      <w:r w:rsidR="00037062" w:rsidRPr="00D206FB">
        <w:rPr>
          <w:rFonts w:cstheme="minorHAnsi"/>
          <w:sz w:val="24"/>
          <w:szCs w:val="24"/>
        </w:rPr>
        <w:t xml:space="preserve">as both a major impact of the conquest, and as a marker of a new age for England. This therefore implies </w:t>
      </w:r>
      <w:proofErr w:type="gramStart"/>
      <w:r w:rsidR="00037062" w:rsidRPr="00D206FB">
        <w:rPr>
          <w:rFonts w:cstheme="minorHAnsi"/>
          <w:sz w:val="24"/>
          <w:szCs w:val="24"/>
        </w:rPr>
        <w:t>a lasting legacy</w:t>
      </w:r>
      <w:proofErr w:type="gramEnd"/>
      <w:r w:rsidR="00037062" w:rsidRPr="00D206FB">
        <w:rPr>
          <w:rFonts w:cstheme="minorHAnsi"/>
          <w:sz w:val="24"/>
          <w:szCs w:val="24"/>
        </w:rPr>
        <w:t xml:space="preserve"> from the document alone. </w:t>
      </w:r>
    </w:p>
    <w:p w14:paraId="046FFDCC" w14:textId="642780F6" w:rsidR="00D73C51" w:rsidRPr="00D206FB" w:rsidRDefault="00D73C51" w:rsidP="00D73C51">
      <w:pPr>
        <w:rPr>
          <w:rFonts w:cstheme="minorHAnsi"/>
          <w:sz w:val="24"/>
          <w:szCs w:val="24"/>
        </w:rPr>
      </w:pPr>
    </w:p>
    <w:p w14:paraId="5B2E05ED" w14:textId="695A8D8A" w:rsidR="00AE398B" w:rsidRPr="00D206FB" w:rsidRDefault="00037062" w:rsidP="00D73C51">
      <w:pPr>
        <w:rPr>
          <w:rFonts w:cstheme="minorHAnsi"/>
          <w:sz w:val="24"/>
          <w:szCs w:val="24"/>
        </w:rPr>
      </w:pPr>
      <w:r w:rsidRPr="00D206FB">
        <w:rPr>
          <w:rFonts w:cstheme="minorHAnsi"/>
          <w:sz w:val="24"/>
          <w:szCs w:val="24"/>
        </w:rPr>
        <w:t xml:space="preserve">Another lasting impact of the Norman conquest of England is </w:t>
      </w:r>
      <w:r w:rsidR="004A3840" w:rsidRPr="00D206FB">
        <w:rPr>
          <w:rFonts w:cstheme="minorHAnsi"/>
          <w:sz w:val="24"/>
          <w:szCs w:val="24"/>
        </w:rPr>
        <w:t>their shift in the government. Within two generations of ruling England, the Normans had managed to establish a much more united system of kingship and governance than their Anglo-Saxon predecessors.</w:t>
      </w:r>
      <w:r w:rsidR="004A3840" w:rsidRPr="00D206FB">
        <w:rPr>
          <w:rStyle w:val="FootnoteReference"/>
          <w:rFonts w:cstheme="minorHAnsi"/>
          <w:sz w:val="24"/>
          <w:szCs w:val="24"/>
        </w:rPr>
        <w:footnoteReference w:id="17"/>
      </w:r>
      <w:r w:rsidR="006A585E" w:rsidRPr="00D206FB">
        <w:rPr>
          <w:rFonts w:cstheme="minorHAnsi"/>
          <w:sz w:val="24"/>
          <w:szCs w:val="24"/>
        </w:rPr>
        <w:t xml:space="preserve"> </w:t>
      </w:r>
      <w:r w:rsidR="00511099" w:rsidRPr="00D206FB">
        <w:rPr>
          <w:rFonts w:cstheme="minorHAnsi"/>
          <w:sz w:val="24"/>
          <w:szCs w:val="24"/>
        </w:rPr>
        <w:t xml:space="preserve">Anglo-Saxon England, in contrast to Normandy, was not completely unified. Rather, each </w:t>
      </w:r>
      <w:r w:rsidR="00511099" w:rsidRPr="00D206FB">
        <w:rPr>
          <w:rFonts w:cstheme="minorHAnsi"/>
          <w:sz w:val="24"/>
          <w:szCs w:val="24"/>
        </w:rPr>
        <w:lastRenderedPageBreak/>
        <w:t xml:space="preserve">individual shire reported separately to the King, </w:t>
      </w:r>
      <w:r w:rsidR="0060684E" w:rsidRPr="00D206FB">
        <w:rPr>
          <w:rFonts w:cstheme="minorHAnsi"/>
          <w:sz w:val="24"/>
          <w:szCs w:val="24"/>
        </w:rPr>
        <w:t>and this system was converted into the Norman way of ruling and remained virtually unchanged.</w:t>
      </w:r>
      <w:r w:rsidR="0060684E" w:rsidRPr="00D206FB">
        <w:rPr>
          <w:rStyle w:val="FootnoteReference"/>
          <w:rFonts w:cstheme="minorHAnsi"/>
          <w:sz w:val="24"/>
          <w:szCs w:val="24"/>
        </w:rPr>
        <w:footnoteReference w:id="18"/>
      </w:r>
      <w:r w:rsidR="00F11D3C" w:rsidRPr="00D206FB">
        <w:rPr>
          <w:rFonts w:cstheme="minorHAnsi"/>
          <w:sz w:val="24"/>
          <w:szCs w:val="24"/>
        </w:rPr>
        <w:t xml:space="preserve"> </w:t>
      </w:r>
      <w:r w:rsidR="0093274C" w:rsidRPr="00D206FB">
        <w:rPr>
          <w:rFonts w:cstheme="minorHAnsi"/>
          <w:sz w:val="24"/>
          <w:szCs w:val="24"/>
        </w:rPr>
        <w:t>However, while many of the tenants of kingship did not change between the Anglo-Saxons and the Normans, the new monarchy did see the introduction to the idea of the king as a landlord.</w:t>
      </w:r>
      <w:r w:rsidR="0093274C" w:rsidRPr="00D206FB">
        <w:rPr>
          <w:rStyle w:val="FootnoteReference"/>
          <w:rFonts w:cstheme="minorHAnsi"/>
          <w:sz w:val="24"/>
          <w:szCs w:val="24"/>
        </w:rPr>
        <w:footnoteReference w:id="19"/>
      </w:r>
      <w:r w:rsidR="00D22FBB" w:rsidRPr="00D206FB">
        <w:rPr>
          <w:rFonts w:cstheme="minorHAnsi"/>
          <w:sz w:val="24"/>
          <w:szCs w:val="24"/>
        </w:rPr>
        <w:t xml:space="preserve"> This</w:t>
      </w:r>
      <w:r w:rsidR="00CA5B91" w:rsidRPr="00D206FB">
        <w:rPr>
          <w:rFonts w:cstheme="minorHAnsi"/>
          <w:sz w:val="24"/>
          <w:szCs w:val="24"/>
        </w:rPr>
        <w:t xml:space="preserve"> originated from the Frankish, and later Norman concept of Feudalism, where the societal leader owns the land, and rents or supplies it to lords, who in turns pay taxation and pledge allegiance to the monarch. This, perhaps, is also one of the reasons for the Domesday Survey being so prevalent in modern ideas of the Normans, as it established the basis for fair taxation by the monarch. </w:t>
      </w:r>
      <w:r w:rsidR="00AE398B" w:rsidRPr="00D206FB">
        <w:rPr>
          <w:rFonts w:cstheme="minorHAnsi"/>
          <w:sz w:val="24"/>
          <w:szCs w:val="24"/>
        </w:rPr>
        <w:t xml:space="preserve">This </w:t>
      </w:r>
      <w:r w:rsidR="00D22FBB" w:rsidRPr="00D206FB">
        <w:rPr>
          <w:rFonts w:cstheme="minorHAnsi"/>
          <w:sz w:val="24"/>
          <w:szCs w:val="24"/>
        </w:rPr>
        <w:t>adaptation</w:t>
      </w:r>
      <w:r w:rsidR="00AE398B" w:rsidRPr="00D206FB">
        <w:rPr>
          <w:rFonts w:cstheme="minorHAnsi"/>
          <w:sz w:val="24"/>
          <w:szCs w:val="24"/>
        </w:rPr>
        <w:t xml:space="preserve"> of a Norman monarchy left a lasting impact on England. </w:t>
      </w:r>
      <w:r w:rsidR="00F11D3C" w:rsidRPr="00D206FB">
        <w:rPr>
          <w:rFonts w:cstheme="minorHAnsi"/>
          <w:sz w:val="24"/>
          <w:szCs w:val="24"/>
        </w:rPr>
        <w:t xml:space="preserve">The </w:t>
      </w:r>
      <w:r w:rsidR="00D22FBB" w:rsidRPr="00D206FB">
        <w:rPr>
          <w:rFonts w:cstheme="minorHAnsi"/>
          <w:sz w:val="24"/>
          <w:szCs w:val="24"/>
        </w:rPr>
        <w:t xml:space="preserve">idea of the monarch as a landlord has persisted up until the present day, and the concept of the Crown still owns a large portion of English land. Thus, this is perhaps one of the strongest impacts the Normans have had on England, and makes up a large part of their existing legacy. </w:t>
      </w:r>
    </w:p>
    <w:p w14:paraId="23FD187A" w14:textId="77777777" w:rsidR="00037062" w:rsidRPr="00D206FB" w:rsidRDefault="00037062" w:rsidP="00D73C51">
      <w:pPr>
        <w:rPr>
          <w:rFonts w:cstheme="minorHAnsi"/>
          <w:sz w:val="24"/>
          <w:szCs w:val="24"/>
        </w:rPr>
      </w:pPr>
    </w:p>
    <w:p w14:paraId="799FA016" w14:textId="38E3DB63" w:rsidR="00775880" w:rsidRPr="00D206FB" w:rsidRDefault="00F36960" w:rsidP="00D73C51">
      <w:pPr>
        <w:rPr>
          <w:rFonts w:cstheme="minorHAnsi"/>
          <w:sz w:val="24"/>
          <w:szCs w:val="24"/>
        </w:rPr>
      </w:pPr>
      <w:r w:rsidRPr="00D206FB">
        <w:rPr>
          <w:rFonts w:cstheme="minorHAnsi"/>
          <w:sz w:val="24"/>
          <w:szCs w:val="24"/>
        </w:rPr>
        <w:t xml:space="preserve">The perception of the Normans changed much as history marched forward. </w:t>
      </w:r>
      <w:r w:rsidR="005E7A70" w:rsidRPr="00D206FB">
        <w:rPr>
          <w:rFonts w:cstheme="minorHAnsi"/>
          <w:sz w:val="24"/>
          <w:szCs w:val="24"/>
        </w:rPr>
        <w:t>As a group, t</w:t>
      </w:r>
      <w:r w:rsidR="00775880" w:rsidRPr="00D206FB">
        <w:rPr>
          <w:rFonts w:cstheme="minorHAnsi"/>
          <w:sz w:val="24"/>
          <w:szCs w:val="24"/>
        </w:rPr>
        <w:t>hey were</w:t>
      </w:r>
      <w:r w:rsidR="00FD34B2" w:rsidRPr="00D206FB">
        <w:rPr>
          <w:rFonts w:cstheme="minorHAnsi"/>
          <w:sz w:val="24"/>
          <w:szCs w:val="24"/>
        </w:rPr>
        <w:t xml:space="preserve"> </w:t>
      </w:r>
      <w:r w:rsidR="005E7A70" w:rsidRPr="00D206FB">
        <w:rPr>
          <w:rFonts w:cstheme="minorHAnsi"/>
          <w:sz w:val="24"/>
          <w:szCs w:val="24"/>
        </w:rPr>
        <w:t xml:space="preserve">often </w:t>
      </w:r>
      <w:r w:rsidR="00FD34B2" w:rsidRPr="00D206FB">
        <w:rPr>
          <w:rFonts w:cstheme="minorHAnsi"/>
          <w:sz w:val="24"/>
          <w:szCs w:val="24"/>
        </w:rPr>
        <w:t xml:space="preserve">pushed aside in a majority of outside contemporary sources. One such source, the Irish Annals of Ulster, a </w:t>
      </w:r>
      <w:r w:rsidR="001E76B7" w:rsidRPr="00D206FB">
        <w:rPr>
          <w:rFonts w:cstheme="minorHAnsi"/>
          <w:sz w:val="24"/>
          <w:szCs w:val="24"/>
        </w:rPr>
        <w:t>historical document describing the events of Medieval Ireland on a yearly basis</w:t>
      </w:r>
      <w:r w:rsidR="00FD34B2" w:rsidRPr="00D206FB">
        <w:rPr>
          <w:rFonts w:cstheme="minorHAnsi"/>
          <w:sz w:val="24"/>
          <w:szCs w:val="24"/>
        </w:rPr>
        <w:t>, describes them only as trans-marine men during their hired invasion in the year 1169, with no reference to their proclaimed identity as Normans or their place of origin being Normandy.</w:t>
      </w:r>
      <w:r w:rsidR="00FD34B2" w:rsidRPr="00D206FB">
        <w:rPr>
          <w:rStyle w:val="FootnoteReference"/>
          <w:rFonts w:cstheme="minorHAnsi"/>
          <w:sz w:val="24"/>
          <w:szCs w:val="24"/>
        </w:rPr>
        <w:footnoteReference w:id="20"/>
      </w:r>
      <w:r w:rsidR="00FD34B2" w:rsidRPr="00D206FB">
        <w:rPr>
          <w:rFonts w:cstheme="minorHAnsi"/>
          <w:sz w:val="24"/>
          <w:szCs w:val="24"/>
        </w:rPr>
        <w:t xml:space="preserve"> This however does make sense, with the Annals of Ulster being a source dedicated only to recording the happenings of Ireland through the lens of Ulster specifically, it is unlikely they would be concerned with the identity of the Normans as a people, </w:t>
      </w:r>
      <w:r w:rsidR="006A5E48" w:rsidRPr="00D206FB">
        <w:rPr>
          <w:rFonts w:cstheme="minorHAnsi"/>
          <w:sz w:val="24"/>
          <w:szCs w:val="24"/>
        </w:rPr>
        <w:t xml:space="preserve">and there would be no need to identify these people in any other way than from across the water. </w:t>
      </w:r>
      <w:r w:rsidR="00CE1801" w:rsidRPr="00D206FB">
        <w:rPr>
          <w:rFonts w:cstheme="minorHAnsi"/>
          <w:sz w:val="24"/>
          <w:szCs w:val="24"/>
        </w:rPr>
        <w:t>Another source</w:t>
      </w:r>
      <w:r w:rsidR="006A5E48" w:rsidRPr="00D206FB">
        <w:rPr>
          <w:rFonts w:cstheme="minorHAnsi"/>
          <w:sz w:val="24"/>
          <w:szCs w:val="24"/>
        </w:rPr>
        <w:t xml:space="preserve"> of the time, the Anglo-Saxon Chronicle, </w:t>
      </w:r>
      <w:r w:rsidR="00CE1801" w:rsidRPr="00D206FB">
        <w:rPr>
          <w:rFonts w:cstheme="minorHAnsi"/>
          <w:sz w:val="24"/>
          <w:szCs w:val="24"/>
        </w:rPr>
        <w:t>refers to people from the region of Denmark and Norway as the Normans, and anyone who happens to be from the Duchy of Normandy is simply referred to as from Normandy itself rather than Norman.</w:t>
      </w:r>
      <w:r w:rsidR="004A1244" w:rsidRPr="00D206FB">
        <w:rPr>
          <w:rStyle w:val="FootnoteReference"/>
          <w:rFonts w:cstheme="minorHAnsi"/>
          <w:sz w:val="24"/>
          <w:szCs w:val="24"/>
        </w:rPr>
        <w:footnoteReference w:id="21"/>
      </w:r>
      <w:r w:rsidR="004A1244" w:rsidRPr="00D206FB">
        <w:rPr>
          <w:rFonts w:cstheme="minorHAnsi"/>
          <w:sz w:val="24"/>
          <w:szCs w:val="24"/>
        </w:rPr>
        <w:t xml:space="preserve"> </w:t>
      </w:r>
      <w:r w:rsidR="008E4EA6" w:rsidRPr="00D206FB">
        <w:rPr>
          <w:rFonts w:cstheme="minorHAnsi"/>
          <w:sz w:val="24"/>
          <w:szCs w:val="24"/>
        </w:rPr>
        <w:t xml:space="preserve">Perhaps this indicates that the perception of the time was on geographical identity rather than lineage. </w:t>
      </w:r>
    </w:p>
    <w:p w14:paraId="17390CF2" w14:textId="77777777" w:rsidR="0071360B" w:rsidRPr="00D206FB" w:rsidRDefault="0071360B" w:rsidP="00D73C51">
      <w:pPr>
        <w:rPr>
          <w:rFonts w:cstheme="minorHAnsi"/>
          <w:sz w:val="24"/>
          <w:szCs w:val="24"/>
        </w:rPr>
      </w:pPr>
    </w:p>
    <w:p w14:paraId="3012F7BE" w14:textId="317A7B29" w:rsidR="00775880" w:rsidRPr="00D206FB" w:rsidRDefault="00F36960" w:rsidP="00D73C51">
      <w:pPr>
        <w:rPr>
          <w:rFonts w:cstheme="minorHAnsi"/>
          <w:sz w:val="24"/>
          <w:szCs w:val="24"/>
        </w:rPr>
      </w:pPr>
      <w:r w:rsidRPr="00D206FB">
        <w:rPr>
          <w:rFonts w:cstheme="minorHAnsi"/>
          <w:sz w:val="24"/>
          <w:szCs w:val="24"/>
        </w:rPr>
        <w:t>In the era of the Victorians, we start to see a resurgence of the Normans as a concept within the common mindset.</w:t>
      </w:r>
      <w:r w:rsidR="00405C27" w:rsidRPr="00D206FB">
        <w:rPr>
          <w:rFonts w:cstheme="minorHAnsi"/>
          <w:sz w:val="24"/>
          <w:szCs w:val="24"/>
        </w:rPr>
        <w:t xml:space="preserve"> This mostly manifested as the concept of the Normans versus the Saxons, with the Normans representing order and chivalry, and the Saxons representing the concept of freedom.</w:t>
      </w:r>
      <w:r w:rsidR="00405C27" w:rsidRPr="00D206FB">
        <w:rPr>
          <w:rStyle w:val="FootnoteReference"/>
          <w:rFonts w:cstheme="minorHAnsi"/>
          <w:sz w:val="24"/>
          <w:szCs w:val="24"/>
        </w:rPr>
        <w:footnoteReference w:id="22"/>
      </w:r>
      <w:r w:rsidR="00405C27" w:rsidRPr="00D206FB">
        <w:rPr>
          <w:rFonts w:cstheme="minorHAnsi"/>
          <w:sz w:val="24"/>
          <w:szCs w:val="24"/>
        </w:rPr>
        <w:t xml:space="preserve"> </w:t>
      </w:r>
      <w:r w:rsidR="0071360B" w:rsidRPr="00D206FB">
        <w:rPr>
          <w:rFonts w:cstheme="minorHAnsi"/>
          <w:sz w:val="24"/>
          <w:szCs w:val="24"/>
        </w:rPr>
        <w:t xml:space="preserve">To the early Victorians, the Normans could easily represent their system of industry, with the “captains of industry” becoming the noble and chivalrous knights who fought to protect the good of society and the welfare of their men above their </w:t>
      </w:r>
      <w:r w:rsidR="0071360B" w:rsidRPr="00D206FB">
        <w:rPr>
          <w:rFonts w:cstheme="minorHAnsi"/>
          <w:sz w:val="24"/>
          <w:szCs w:val="24"/>
        </w:rPr>
        <w:lastRenderedPageBreak/>
        <w:t xml:space="preserve">own desires. </w:t>
      </w:r>
      <w:r w:rsidR="007B309B" w:rsidRPr="00D206FB">
        <w:rPr>
          <w:rFonts w:cstheme="minorHAnsi"/>
          <w:sz w:val="24"/>
          <w:szCs w:val="24"/>
        </w:rPr>
        <w:t>It was easy for them to project their ideals and values onto the idea of ancient Saxon or Norman people.</w:t>
      </w:r>
      <w:r w:rsidR="007B309B" w:rsidRPr="00D206FB">
        <w:rPr>
          <w:rStyle w:val="FootnoteReference"/>
          <w:rFonts w:cstheme="minorHAnsi"/>
          <w:sz w:val="24"/>
          <w:szCs w:val="24"/>
        </w:rPr>
        <w:footnoteReference w:id="23"/>
      </w:r>
      <w:r w:rsidR="00845933" w:rsidRPr="00D206FB">
        <w:rPr>
          <w:rFonts w:cstheme="minorHAnsi"/>
          <w:sz w:val="24"/>
          <w:szCs w:val="24"/>
        </w:rPr>
        <w:t xml:space="preserve"> However, while the Normans were coming back into popular culture, the focus of the Victorian period was the pro-Saxon movement. </w:t>
      </w:r>
      <w:r w:rsidR="008E2DEC" w:rsidRPr="00D206FB">
        <w:rPr>
          <w:rFonts w:cstheme="minorHAnsi"/>
          <w:sz w:val="24"/>
          <w:szCs w:val="24"/>
        </w:rPr>
        <w:t>A popular theory of the time dictated that before 1066, the Anglo-Saxon people lived free and equal, governed by representative institutions, and that the Norman Conquest had robbed them of their rights.</w:t>
      </w:r>
      <w:r w:rsidR="004247DB" w:rsidRPr="00D206FB">
        <w:rPr>
          <w:rFonts w:cstheme="minorHAnsi"/>
          <w:sz w:val="24"/>
          <w:szCs w:val="24"/>
        </w:rPr>
        <w:t xml:space="preserve"> While this theory did die down in the years following the French Revolution, as it provided a more recent example of an attack on feudalism, and the surrounding Industrial Revolution supplied more fitting ideas of class, this idea of the Norman Conquest severely damaged the reputation and legacy of the Norman people.</w:t>
      </w:r>
      <w:r w:rsidR="004247DB" w:rsidRPr="00D206FB">
        <w:rPr>
          <w:rStyle w:val="FootnoteReference"/>
          <w:rFonts w:cstheme="minorHAnsi"/>
          <w:sz w:val="24"/>
          <w:szCs w:val="24"/>
        </w:rPr>
        <w:footnoteReference w:id="24"/>
      </w:r>
      <w:r w:rsidR="00645D15" w:rsidRPr="00D206FB">
        <w:rPr>
          <w:rFonts w:cstheme="minorHAnsi"/>
          <w:sz w:val="24"/>
          <w:szCs w:val="24"/>
        </w:rPr>
        <w:t xml:space="preserve"> </w:t>
      </w:r>
      <w:r w:rsidR="005509CC" w:rsidRPr="00D206FB">
        <w:rPr>
          <w:rFonts w:cstheme="minorHAnsi"/>
          <w:sz w:val="24"/>
          <w:szCs w:val="24"/>
        </w:rPr>
        <w:t xml:space="preserve">Furthermore, serious study of the history of </w:t>
      </w:r>
      <w:r w:rsidR="006333B0" w:rsidRPr="00D206FB">
        <w:rPr>
          <w:rFonts w:cstheme="minorHAnsi"/>
          <w:sz w:val="24"/>
          <w:szCs w:val="24"/>
        </w:rPr>
        <w:t xml:space="preserve">early </w:t>
      </w:r>
      <w:r w:rsidR="005509CC" w:rsidRPr="00D206FB">
        <w:rPr>
          <w:rFonts w:cstheme="minorHAnsi"/>
          <w:sz w:val="24"/>
          <w:szCs w:val="24"/>
        </w:rPr>
        <w:t xml:space="preserve">England did not fully begin </w:t>
      </w:r>
      <w:r w:rsidR="006333B0" w:rsidRPr="00D206FB">
        <w:rPr>
          <w:rFonts w:cstheme="minorHAnsi"/>
          <w:sz w:val="24"/>
          <w:szCs w:val="24"/>
        </w:rPr>
        <w:t xml:space="preserve">until 1799, with Sharon Turner’s </w:t>
      </w:r>
      <w:r w:rsidR="006333B0" w:rsidRPr="00D206FB">
        <w:rPr>
          <w:rFonts w:cstheme="minorHAnsi"/>
          <w:i/>
          <w:iCs/>
          <w:sz w:val="24"/>
          <w:szCs w:val="24"/>
        </w:rPr>
        <w:t>History of the Anglo-Saxons</w:t>
      </w:r>
      <w:r w:rsidR="006333B0" w:rsidRPr="00D206FB">
        <w:rPr>
          <w:rFonts w:cstheme="minorHAnsi"/>
          <w:sz w:val="24"/>
          <w:szCs w:val="24"/>
        </w:rPr>
        <w:t>, and was still in its early stages by the time this Victorian theory was being spread.</w:t>
      </w:r>
      <w:r w:rsidR="006333B0" w:rsidRPr="00D206FB">
        <w:rPr>
          <w:rStyle w:val="FootnoteReference"/>
          <w:rFonts w:cstheme="minorHAnsi"/>
          <w:sz w:val="24"/>
          <w:szCs w:val="24"/>
        </w:rPr>
        <w:footnoteReference w:id="25"/>
      </w:r>
      <w:r w:rsidR="003D3306" w:rsidRPr="00D206FB">
        <w:rPr>
          <w:rFonts w:cstheme="minorHAnsi"/>
          <w:sz w:val="24"/>
          <w:szCs w:val="24"/>
        </w:rPr>
        <w:t xml:space="preserve"> </w:t>
      </w:r>
      <w:r w:rsidR="00775F65" w:rsidRPr="00D206FB">
        <w:rPr>
          <w:rFonts w:cstheme="minorHAnsi"/>
          <w:sz w:val="24"/>
          <w:szCs w:val="24"/>
        </w:rPr>
        <w:t>In addition</w:t>
      </w:r>
      <w:r w:rsidR="00775880" w:rsidRPr="00D206FB">
        <w:rPr>
          <w:rFonts w:cstheme="minorHAnsi"/>
          <w:sz w:val="24"/>
          <w:szCs w:val="24"/>
        </w:rPr>
        <w:t xml:space="preserve">, it has been argued that the Normans legacy was downplayed significantly by the Victorians. The biases of Victorian worldview clouded the judgements of their historians, leading to them exaggerating the achievements of the Anglo Saxons while </w:t>
      </w:r>
      <w:r w:rsidR="008E4EA6" w:rsidRPr="00D206FB">
        <w:rPr>
          <w:rFonts w:cstheme="minorHAnsi"/>
          <w:sz w:val="24"/>
          <w:szCs w:val="24"/>
        </w:rPr>
        <w:t>downplaying the role of the Normans to simply continuing and refining the systems of the Anglo-Saxons until their assimilation.</w:t>
      </w:r>
      <w:r w:rsidR="002A6300" w:rsidRPr="00D206FB">
        <w:rPr>
          <w:rStyle w:val="FootnoteReference"/>
          <w:rFonts w:cstheme="minorHAnsi"/>
          <w:sz w:val="24"/>
          <w:szCs w:val="24"/>
        </w:rPr>
        <w:footnoteReference w:id="26"/>
      </w:r>
      <w:r w:rsidR="008E4EA6" w:rsidRPr="00D206FB">
        <w:rPr>
          <w:rFonts w:cstheme="minorHAnsi"/>
          <w:sz w:val="24"/>
          <w:szCs w:val="24"/>
        </w:rPr>
        <w:t xml:space="preserve"> </w:t>
      </w:r>
      <w:r w:rsidR="00CE6F3F" w:rsidRPr="00D206FB">
        <w:rPr>
          <w:rFonts w:cstheme="minorHAnsi"/>
          <w:sz w:val="24"/>
          <w:szCs w:val="24"/>
        </w:rPr>
        <w:t xml:space="preserve">This is most likely rooted in the ‘British Supremacy’ mindset founded and </w:t>
      </w:r>
      <w:r w:rsidR="00D958A9" w:rsidRPr="00D206FB">
        <w:rPr>
          <w:rFonts w:cstheme="minorHAnsi"/>
          <w:sz w:val="24"/>
          <w:szCs w:val="24"/>
        </w:rPr>
        <w:t>prolonged by the British Empire and its imperialism.</w:t>
      </w:r>
    </w:p>
    <w:p w14:paraId="06722437" w14:textId="63E3F904" w:rsidR="00D73C51" w:rsidRPr="00D206FB" w:rsidRDefault="00D73C51" w:rsidP="00D73C51">
      <w:pPr>
        <w:rPr>
          <w:rFonts w:cstheme="minorHAnsi"/>
          <w:sz w:val="24"/>
          <w:szCs w:val="24"/>
        </w:rPr>
      </w:pPr>
    </w:p>
    <w:p w14:paraId="69CB4553" w14:textId="39A4EBFC" w:rsidR="00D73C51" w:rsidRPr="00D206FB" w:rsidRDefault="000B6698" w:rsidP="00D73C51">
      <w:pPr>
        <w:rPr>
          <w:rFonts w:cstheme="minorHAnsi"/>
          <w:sz w:val="24"/>
          <w:szCs w:val="24"/>
        </w:rPr>
      </w:pPr>
      <w:r w:rsidRPr="00D206FB">
        <w:rPr>
          <w:rFonts w:cstheme="minorHAnsi"/>
          <w:sz w:val="24"/>
          <w:szCs w:val="24"/>
        </w:rPr>
        <w:t xml:space="preserve">To conclude, </w:t>
      </w:r>
      <w:r w:rsidR="005431EB" w:rsidRPr="00D206FB">
        <w:rPr>
          <w:rFonts w:cstheme="minorHAnsi"/>
          <w:sz w:val="24"/>
          <w:szCs w:val="24"/>
        </w:rPr>
        <w:t xml:space="preserve">while it can be argued that the Normans left an impact on the places they conquered, they did not leave </w:t>
      </w:r>
      <w:proofErr w:type="gramStart"/>
      <w:r w:rsidR="005431EB" w:rsidRPr="00D206FB">
        <w:rPr>
          <w:rFonts w:cstheme="minorHAnsi"/>
          <w:sz w:val="24"/>
          <w:szCs w:val="24"/>
        </w:rPr>
        <w:t>a lasting legacy</w:t>
      </w:r>
      <w:proofErr w:type="gramEnd"/>
      <w:r w:rsidR="005431EB" w:rsidRPr="00D206FB">
        <w:rPr>
          <w:rFonts w:cstheme="minorHAnsi"/>
          <w:sz w:val="24"/>
          <w:szCs w:val="24"/>
        </w:rPr>
        <w:t xml:space="preserve">. </w:t>
      </w:r>
      <w:r w:rsidR="00D70918" w:rsidRPr="00D206FB">
        <w:rPr>
          <w:rFonts w:cstheme="minorHAnsi"/>
          <w:sz w:val="24"/>
          <w:szCs w:val="24"/>
        </w:rPr>
        <w:t xml:space="preserve">While the Normans left individual impacts, such as the Domesday Book in England, their assimilation into the cultures they conquered, combined with the recontextualising of their impacts in later years through the Victorians, means that they did not leave one cohesive narrative of their accomplishments on the places they conquered. Furthermore, contemporary sources of the time show that they did not have as much of an impact on the rest of the world as they may have wanted, as indicated through their changing narratives in their histories. </w:t>
      </w:r>
    </w:p>
    <w:p w14:paraId="06FDFBF1" w14:textId="58B6F469" w:rsidR="00F32697" w:rsidRPr="00D206FB" w:rsidRDefault="00F32697" w:rsidP="00D73C51">
      <w:pPr>
        <w:rPr>
          <w:rFonts w:cstheme="minorHAnsi"/>
          <w:sz w:val="24"/>
          <w:szCs w:val="24"/>
        </w:rPr>
      </w:pPr>
    </w:p>
    <w:p w14:paraId="7DCB5242" w14:textId="758970FE" w:rsidR="00F32697" w:rsidRPr="00D206FB" w:rsidRDefault="00F32697" w:rsidP="00D73C51">
      <w:pPr>
        <w:rPr>
          <w:rFonts w:cstheme="minorHAnsi"/>
          <w:sz w:val="24"/>
          <w:szCs w:val="24"/>
        </w:rPr>
      </w:pPr>
      <w:r w:rsidRPr="00D206FB">
        <w:rPr>
          <w:rFonts w:cstheme="minorHAnsi"/>
          <w:sz w:val="24"/>
          <w:szCs w:val="24"/>
        </w:rPr>
        <w:t xml:space="preserve">[Word Count </w:t>
      </w:r>
      <w:r w:rsidR="00D206FB">
        <w:rPr>
          <w:rFonts w:cstheme="minorHAnsi"/>
          <w:sz w:val="24"/>
          <w:szCs w:val="24"/>
        </w:rPr>
        <w:t>–</w:t>
      </w:r>
      <w:r w:rsidRPr="00D206FB">
        <w:rPr>
          <w:rFonts w:cstheme="minorHAnsi"/>
          <w:sz w:val="24"/>
          <w:szCs w:val="24"/>
        </w:rPr>
        <w:t xml:space="preserve"> </w:t>
      </w:r>
      <w:r w:rsidR="00D206FB">
        <w:rPr>
          <w:rFonts w:cstheme="minorHAnsi"/>
          <w:sz w:val="24"/>
          <w:szCs w:val="24"/>
        </w:rPr>
        <w:t xml:space="preserve">2,400] </w:t>
      </w:r>
    </w:p>
    <w:p w14:paraId="55FE4330" w14:textId="16647516" w:rsidR="00D73C51" w:rsidRPr="00D206FB" w:rsidRDefault="00D73C51" w:rsidP="00D73C51">
      <w:pPr>
        <w:rPr>
          <w:rFonts w:ascii="Sitka Text" w:hAnsi="Sitka Text"/>
          <w:sz w:val="24"/>
          <w:szCs w:val="24"/>
        </w:rPr>
      </w:pPr>
    </w:p>
    <w:p w14:paraId="26EC8F02" w14:textId="54B84EE9" w:rsidR="00D73C51" w:rsidRPr="00D206FB" w:rsidRDefault="00D73C51" w:rsidP="00405E0D">
      <w:pPr>
        <w:spacing w:line="240" w:lineRule="auto"/>
        <w:rPr>
          <w:rFonts w:cstheme="minorHAnsi"/>
          <w:sz w:val="24"/>
          <w:szCs w:val="24"/>
          <w:u w:val="single"/>
        </w:rPr>
      </w:pPr>
      <w:r w:rsidRPr="00D206FB">
        <w:rPr>
          <w:rFonts w:cstheme="minorHAnsi"/>
          <w:sz w:val="24"/>
          <w:szCs w:val="24"/>
          <w:u w:val="single"/>
        </w:rPr>
        <w:t xml:space="preserve">Bibliography </w:t>
      </w:r>
    </w:p>
    <w:p w14:paraId="3DB81D68" w14:textId="2C2EA9EB" w:rsidR="004A1244" w:rsidRPr="00D206FB" w:rsidRDefault="004A1244" w:rsidP="00405E0D">
      <w:pPr>
        <w:spacing w:line="240" w:lineRule="auto"/>
        <w:rPr>
          <w:rFonts w:cstheme="minorHAnsi"/>
          <w:b/>
          <w:bCs/>
          <w:sz w:val="24"/>
          <w:szCs w:val="24"/>
        </w:rPr>
      </w:pPr>
      <w:r w:rsidRPr="00D206FB">
        <w:rPr>
          <w:rFonts w:cstheme="minorHAnsi"/>
          <w:b/>
          <w:bCs/>
          <w:sz w:val="24"/>
          <w:szCs w:val="24"/>
        </w:rPr>
        <w:t xml:space="preserve">Primary Sources </w:t>
      </w:r>
    </w:p>
    <w:p w14:paraId="60AFC1BB" w14:textId="34A7EC37" w:rsidR="004A1244" w:rsidRDefault="00CF2BA3" w:rsidP="004A1244">
      <w:pPr>
        <w:spacing w:line="240" w:lineRule="auto"/>
        <w:rPr>
          <w:rFonts w:cstheme="minorHAnsi"/>
          <w:sz w:val="24"/>
          <w:szCs w:val="24"/>
        </w:rPr>
      </w:pPr>
      <w:r>
        <w:rPr>
          <w:rFonts w:cstheme="minorHAnsi"/>
          <w:sz w:val="24"/>
          <w:szCs w:val="24"/>
        </w:rPr>
        <w:t xml:space="preserve">Dudo of St. Quentin, </w:t>
      </w:r>
      <w:r>
        <w:rPr>
          <w:rFonts w:cstheme="minorHAnsi"/>
          <w:i/>
          <w:iCs/>
          <w:sz w:val="24"/>
          <w:szCs w:val="24"/>
        </w:rPr>
        <w:t>Gesta Normannorum: An English Translation</w:t>
      </w:r>
      <w:r>
        <w:rPr>
          <w:rFonts w:cstheme="minorHAnsi"/>
          <w:sz w:val="24"/>
          <w:szCs w:val="24"/>
        </w:rPr>
        <w:t xml:space="preserve">, ed. Felice </w:t>
      </w:r>
      <w:proofErr w:type="spellStart"/>
      <w:r>
        <w:rPr>
          <w:rFonts w:cstheme="minorHAnsi"/>
          <w:sz w:val="24"/>
          <w:szCs w:val="24"/>
        </w:rPr>
        <w:t>Lifshitz</w:t>
      </w:r>
      <w:proofErr w:type="spellEnd"/>
      <w:r w:rsidR="00BC13D2">
        <w:rPr>
          <w:rFonts w:cstheme="minorHAnsi"/>
          <w:sz w:val="24"/>
          <w:szCs w:val="24"/>
        </w:rPr>
        <w:t xml:space="preserve">. </w:t>
      </w:r>
    </w:p>
    <w:p w14:paraId="10E19BB8" w14:textId="0BBDEBB7" w:rsidR="00486E5E" w:rsidRPr="00CF2BA3" w:rsidRDefault="00486E5E" w:rsidP="004A1244">
      <w:pPr>
        <w:spacing w:line="240" w:lineRule="auto"/>
        <w:rPr>
          <w:rFonts w:cstheme="minorHAnsi"/>
          <w:sz w:val="24"/>
          <w:szCs w:val="24"/>
        </w:rPr>
      </w:pPr>
      <w:r w:rsidRPr="00486E5E">
        <w:rPr>
          <w:rFonts w:cstheme="minorHAnsi"/>
          <w:sz w:val="24"/>
          <w:szCs w:val="24"/>
        </w:rPr>
        <w:t xml:space="preserve">Douglas, David C., Susie Irene. Tucker, Dorothy. </w:t>
      </w:r>
      <w:proofErr w:type="spellStart"/>
      <w:r w:rsidRPr="00486E5E">
        <w:rPr>
          <w:rFonts w:cstheme="minorHAnsi"/>
          <w:sz w:val="24"/>
          <w:szCs w:val="24"/>
        </w:rPr>
        <w:t>Whitelock</w:t>
      </w:r>
      <w:proofErr w:type="spellEnd"/>
      <w:r w:rsidRPr="00486E5E">
        <w:rPr>
          <w:rFonts w:cstheme="minorHAnsi"/>
          <w:sz w:val="24"/>
          <w:szCs w:val="24"/>
        </w:rPr>
        <w:t xml:space="preserve">, and David C. (David Charles) Douglas, </w:t>
      </w:r>
      <w:r w:rsidRPr="00BC13D2">
        <w:rPr>
          <w:rFonts w:cstheme="minorHAnsi"/>
          <w:i/>
          <w:iCs/>
          <w:sz w:val="24"/>
          <w:szCs w:val="24"/>
        </w:rPr>
        <w:t>The Anglo-Saxon Chronicle : a Revised Translation</w:t>
      </w:r>
      <w:r w:rsidR="00866E27">
        <w:rPr>
          <w:rFonts w:cstheme="minorHAnsi"/>
          <w:sz w:val="24"/>
          <w:szCs w:val="24"/>
        </w:rPr>
        <w:t xml:space="preserve">, </w:t>
      </w:r>
      <w:r w:rsidRPr="00486E5E">
        <w:rPr>
          <w:rFonts w:cstheme="minorHAnsi"/>
          <w:sz w:val="24"/>
          <w:szCs w:val="24"/>
        </w:rPr>
        <w:t xml:space="preserve">London: Eyre &amp; </w:t>
      </w:r>
      <w:proofErr w:type="spellStart"/>
      <w:r w:rsidRPr="00486E5E">
        <w:rPr>
          <w:rFonts w:cstheme="minorHAnsi"/>
          <w:sz w:val="24"/>
          <w:szCs w:val="24"/>
        </w:rPr>
        <w:t>Spottiswoode</w:t>
      </w:r>
      <w:proofErr w:type="spellEnd"/>
      <w:r w:rsidRPr="00486E5E">
        <w:rPr>
          <w:rFonts w:cstheme="minorHAnsi"/>
          <w:sz w:val="24"/>
          <w:szCs w:val="24"/>
        </w:rPr>
        <w:t xml:space="preserve">, </w:t>
      </w:r>
      <w:r w:rsidR="00866E27">
        <w:rPr>
          <w:rFonts w:cstheme="minorHAnsi"/>
          <w:sz w:val="24"/>
          <w:szCs w:val="24"/>
        </w:rPr>
        <w:t>(</w:t>
      </w:r>
      <w:r w:rsidRPr="00486E5E">
        <w:rPr>
          <w:rFonts w:cstheme="minorHAnsi"/>
          <w:sz w:val="24"/>
          <w:szCs w:val="24"/>
        </w:rPr>
        <w:t>1961)</w:t>
      </w:r>
      <w:r w:rsidR="00866E27">
        <w:rPr>
          <w:rFonts w:cstheme="minorHAnsi"/>
          <w:sz w:val="24"/>
          <w:szCs w:val="24"/>
        </w:rPr>
        <w:t xml:space="preserve">. </w:t>
      </w:r>
    </w:p>
    <w:p w14:paraId="16ACB27D" w14:textId="27E9E100" w:rsidR="005948A6" w:rsidRPr="00486E5E" w:rsidRDefault="00486E5E" w:rsidP="004A1244">
      <w:pPr>
        <w:spacing w:line="240" w:lineRule="auto"/>
        <w:rPr>
          <w:rFonts w:cstheme="minorHAnsi"/>
          <w:sz w:val="28"/>
          <w:szCs w:val="28"/>
        </w:rPr>
      </w:pPr>
      <w:r w:rsidRPr="00486E5E">
        <w:rPr>
          <w:rFonts w:cstheme="minorHAnsi"/>
          <w:color w:val="371B03"/>
          <w:sz w:val="24"/>
          <w:szCs w:val="24"/>
        </w:rPr>
        <w:lastRenderedPageBreak/>
        <w:t xml:space="preserve">Mac Airt, Seán, ed.; Mac </w:t>
      </w:r>
      <w:proofErr w:type="spellStart"/>
      <w:r w:rsidRPr="00486E5E">
        <w:rPr>
          <w:rFonts w:cstheme="minorHAnsi"/>
          <w:color w:val="371B03"/>
          <w:sz w:val="24"/>
          <w:szCs w:val="24"/>
        </w:rPr>
        <w:t>Niocaill</w:t>
      </w:r>
      <w:proofErr w:type="spellEnd"/>
      <w:r w:rsidRPr="00486E5E">
        <w:rPr>
          <w:rFonts w:cstheme="minorHAnsi"/>
          <w:color w:val="371B03"/>
          <w:sz w:val="24"/>
          <w:szCs w:val="24"/>
        </w:rPr>
        <w:t xml:space="preserve">, </w:t>
      </w:r>
      <w:proofErr w:type="spellStart"/>
      <w:r w:rsidRPr="00486E5E">
        <w:rPr>
          <w:rFonts w:cstheme="minorHAnsi"/>
          <w:color w:val="371B03"/>
          <w:sz w:val="24"/>
          <w:szCs w:val="24"/>
        </w:rPr>
        <w:t>Gearóid</w:t>
      </w:r>
      <w:proofErr w:type="spellEnd"/>
      <w:r w:rsidRPr="00486E5E">
        <w:rPr>
          <w:rFonts w:cstheme="minorHAnsi"/>
          <w:color w:val="371B03"/>
          <w:sz w:val="24"/>
          <w:szCs w:val="24"/>
        </w:rPr>
        <w:t xml:space="preserve">, ed.; Mac </w:t>
      </w:r>
      <w:proofErr w:type="spellStart"/>
      <w:r w:rsidRPr="00486E5E">
        <w:rPr>
          <w:rFonts w:cstheme="minorHAnsi"/>
          <w:color w:val="371B03"/>
          <w:sz w:val="24"/>
          <w:szCs w:val="24"/>
        </w:rPr>
        <w:t>Carthy</w:t>
      </w:r>
      <w:proofErr w:type="spellEnd"/>
      <w:r w:rsidRPr="00486E5E">
        <w:rPr>
          <w:rFonts w:cstheme="minorHAnsi"/>
          <w:color w:val="371B03"/>
          <w:sz w:val="24"/>
          <w:szCs w:val="24"/>
        </w:rPr>
        <w:t xml:space="preserve">, B., ed.; </w:t>
      </w:r>
      <w:proofErr w:type="spellStart"/>
      <w:r w:rsidRPr="00486E5E">
        <w:rPr>
          <w:rFonts w:cstheme="minorHAnsi"/>
          <w:color w:val="371B03"/>
          <w:sz w:val="24"/>
          <w:szCs w:val="24"/>
        </w:rPr>
        <w:t>Bambury</w:t>
      </w:r>
      <w:proofErr w:type="spellEnd"/>
      <w:r w:rsidRPr="00486E5E">
        <w:rPr>
          <w:rFonts w:cstheme="minorHAnsi"/>
          <w:color w:val="371B03"/>
          <w:sz w:val="24"/>
          <w:szCs w:val="24"/>
        </w:rPr>
        <w:t xml:space="preserve">, Pádraig, compiler; </w:t>
      </w:r>
      <w:proofErr w:type="spellStart"/>
      <w:r w:rsidRPr="00486E5E">
        <w:rPr>
          <w:rFonts w:cstheme="minorHAnsi"/>
          <w:color w:val="371B03"/>
          <w:sz w:val="24"/>
          <w:szCs w:val="24"/>
        </w:rPr>
        <w:t>Beechinor</w:t>
      </w:r>
      <w:proofErr w:type="spellEnd"/>
      <w:r w:rsidRPr="00486E5E">
        <w:rPr>
          <w:rFonts w:cstheme="minorHAnsi"/>
          <w:color w:val="371B03"/>
          <w:sz w:val="24"/>
          <w:szCs w:val="24"/>
        </w:rPr>
        <w:t>, Stephen, compiler, </w:t>
      </w:r>
      <w:r w:rsidRPr="00486E5E">
        <w:rPr>
          <w:rFonts w:cstheme="minorHAnsi"/>
          <w:i/>
          <w:iCs/>
          <w:color w:val="371B03"/>
          <w:sz w:val="24"/>
          <w:szCs w:val="24"/>
          <w:bdr w:val="none" w:sz="0" w:space="0" w:color="auto" w:frame="1"/>
        </w:rPr>
        <w:t>The Annals of Ulster (</w:t>
      </w:r>
      <w:proofErr w:type="spellStart"/>
      <w:r w:rsidRPr="00486E5E">
        <w:rPr>
          <w:rFonts w:cstheme="minorHAnsi"/>
          <w:i/>
          <w:iCs/>
          <w:color w:val="371B03"/>
          <w:sz w:val="24"/>
          <w:szCs w:val="24"/>
          <w:bdr w:val="none" w:sz="0" w:space="0" w:color="auto" w:frame="1"/>
        </w:rPr>
        <w:t>Annala</w:t>
      </w:r>
      <w:proofErr w:type="spellEnd"/>
      <w:r w:rsidRPr="00486E5E">
        <w:rPr>
          <w:rFonts w:cstheme="minorHAnsi"/>
          <w:i/>
          <w:iCs/>
          <w:color w:val="371B03"/>
          <w:sz w:val="24"/>
          <w:szCs w:val="24"/>
          <w:bdr w:val="none" w:sz="0" w:space="0" w:color="auto" w:frame="1"/>
        </w:rPr>
        <w:t xml:space="preserve"> </w:t>
      </w:r>
      <w:proofErr w:type="spellStart"/>
      <w:r w:rsidRPr="00486E5E">
        <w:rPr>
          <w:rFonts w:cstheme="minorHAnsi"/>
          <w:i/>
          <w:iCs/>
          <w:color w:val="371B03"/>
          <w:sz w:val="24"/>
          <w:szCs w:val="24"/>
          <w:bdr w:val="none" w:sz="0" w:space="0" w:color="auto" w:frame="1"/>
        </w:rPr>
        <w:t>Senait</w:t>
      </w:r>
      <w:proofErr w:type="spellEnd"/>
      <w:r w:rsidRPr="00486E5E">
        <w:rPr>
          <w:rFonts w:cstheme="minorHAnsi"/>
          <w:i/>
          <w:iCs/>
          <w:color w:val="371B03"/>
          <w:sz w:val="24"/>
          <w:szCs w:val="24"/>
          <w:bdr w:val="none" w:sz="0" w:space="0" w:color="auto" w:frame="1"/>
        </w:rPr>
        <w:t xml:space="preserve">, </w:t>
      </w:r>
      <w:proofErr w:type="spellStart"/>
      <w:r w:rsidRPr="00486E5E">
        <w:rPr>
          <w:rFonts w:cstheme="minorHAnsi"/>
          <w:i/>
          <w:iCs/>
          <w:color w:val="371B03"/>
          <w:sz w:val="24"/>
          <w:szCs w:val="24"/>
          <w:bdr w:val="none" w:sz="0" w:space="0" w:color="auto" w:frame="1"/>
        </w:rPr>
        <w:t>Annala</w:t>
      </w:r>
      <w:proofErr w:type="spellEnd"/>
      <w:r w:rsidRPr="00486E5E">
        <w:rPr>
          <w:rFonts w:cstheme="minorHAnsi"/>
          <w:i/>
          <w:iCs/>
          <w:color w:val="371B03"/>
          <w:sz w:val="24"/>
          <w:szCs w:val="24"/>
          <w:bdr w:val="none" w:sz="0" w:space="0" w:color="auto" w:frame="1"/>
        </w:rPr>
        <w:t xml:space="preserve"> </w:t>
      </w:r>
      <w:proofErr w:type="spellStart"/>
      <w:r w:rsidRPr="00486E5E">
        <w:rPr>
          <w:rFonts w:cstheme="minorHAnsi"/>
          <w:i/>
          <w:iCs/>
          <w:color w:val="371B03"/>
          <w:sz w:val="24"/>
          <w:szCs w:val="24"/>
          <w:bdr w:val="none" w:sz="0" w:space="0" w:color="auto" w:frame="1"/>
        </w:rPr>
        <w:t>Uladh</w:t>
      </w:r>
      <w:proofErr w:type="spellEnd"/>
      <w:r w:rsidRPr="00486E5E">
        <w:rPr>
          <w:rFonts w:cstheme="minorHAnsi"/>
          <w:i/>
          <w:iCs/>
          <w:color w:val="371B03"/>
          <w:sz w:val="24"/>
          <w:szCs w:val="24"/>
          <w:bdr w:val="none" w:sz="0" w:space="0" w:color="auto" w:frame="1"/>
        </w:rPr>
        <w:t>), 431-1201</w:t>
      </w:r>
      <w:r w:rsidR="00BC13D2">
        <w:rPr>
          <w:rFonts w:cstheme="minorHAnsi"/>
          <w:color w:val="371B03"/>
          <w:sz w:val="24"/>
          <w:szCs w:val="24"/>
        </w:rPr>
        <w:t xml:space="preserve">, </w:t>
      </w:r>
      <w:r w:rsidRPr="00486E5E">
        <w:rPr>
          <w:rFonts w:cstheme="minorHAnsi"/>
          <w:color w:val="371B03"/>
          <w:sz w:val="24"/>
          <w:szCs w:val="24"/>
        </w:rPr>
        <w:t>CELT (The Corpus of Electronic Texts) online at University College, Cork, Ireland,</w:t>
      </w:r>
      <w:r w:rsidR="00BC13D2">
        <w:rPr>
          <w:rFonts w:cstheme="minorHAnsi"/>
          <w:color w:val="371B03"/>
          <w:sz w:val="24"/>
          <w:szCs w:val="24"/>
        </w:rPr>
        <w:t xml:space="preserve"> (2000). </w:t>
      </w:r>
    </w:p>
    <w:p w14:paraId="43C7F246" w14:textId="77777777" w:rsidR="004A1244" w:rsidRPr="00D206FB" w:rsidRDefault="004A1244" w:rsidP="00405E0D">
      <w:pPr>
        <w:spacing w:line="240" w:lineRule="auto"/>
        <w:rPr>
          <w:rFonts w:cstheme="minorHAnsi"/>
          <w:sz w:val="24"/>
          <w:szCs w:val="24"/>
        </w:rPr>
      </w:pPr>
    </w:p>
    <w:p w14:paraId="47F8B8FB" w14:textId="145151DC" w:rsidR="00E07726" w:rsidRPr="00D206FB" w:rsidRDefault="004A1244" w:rsidP="00554D3B">
      <w:pPr>
        <w:spacing w:line="240" w:lineRule="auto"/>
        <w:rPr>
          <w:rFonts w:cstheme="minorHAnsi"/>
          <w:b/>
          <w:bCs/>
          <w:sz w:val="24"/>
          <w:szCs w:val="24"/>
        </w:rPr>
      </w:pPr>
      <w:r w:rsidRPr="00D206FB">
        <w:rPr>
          <w:rFonts w:cstheme="minorHAnsi"/>
          <w:b/>
          <w:bCs/>
          <w:sz w:val="24"/>
          <w:szCs w:val="24"/>
        </w:rPr>
        <w:t xml:space="preserve">Secondary Sources </w:t>
      </w:r>
    </w:p>
    <w:p w14:paraId="5E8B2E6B" w14:textId="2B9F2415" w:rsidR="007B309B" w:rsidRPr="00D206FB" w:rsidRDefault="007B309B" w:rsidP="007B309B">
      <w:pPr>
        <w:spacing w:line="240" w:lineRule="auto"/>
        <w:rPr>
          <w:rFonts w:cstheme="minorHAnsi"/>
          <w:sz w:val="24"/>
          <w:szCs w:val="24"/>
        </w:rPr>
      </w:pPr>
      <w:r w:rsidRPr="00D206FB">
        <w:rPr>
          <w:rFonts w:cstheme="minorHAnsi"/>
          <w:sz w:val="24"/>
          <w:szCs w:val="24"/>
        </w:rPr>
        <w:t xml:space="preserve">Briggs, Asa, </w:t>
      </w:r>
      <w:r w:rsidRPr="00BC13D2">
        <w:rPr>
          <w:rFonts w:cstheme="minorHAnsi"/>
          <w:i/>
          <w:iCs/>
          <w:sz w:val="24"/>
          <w:szCs w:val="24"/>
        </w:rPr>
        <w:t>Saxons, Normans and Victorians</w:t>
      </w:r>
      <w:r w:rsidR="00BC13D2">
        <w:rPr>
          <w:rFonts w:cstheme="minorHAnsi"/>
          <w:sz w:val="24"/>
          <w:szCs w:val="24"/>
        </w:rPr>
        <w:t xml:space="preserve">, </w:t>
      </w:r>
      <w:r w:rsidRPr="00D206FB">
        <w:rPr>
          <w:rFonts w:cstheme="minorHAnsi"/>
          <w:sz w:val="24"/>
          <w:szCs w:val="24"/>
        </w:rPr>
        <w:t>Hastings: Hastings &amp; Bexhill Branch of the Historical Association</w:t>
      </w:r>
      <w:r w:rsidR="00BC13D2">
        <w:rPr>
          <w:rFonts w:cstheme="minorHAnsi"/>
          <w:sz w:val="24"/>
          <w:szCs w:val="24"/>
        </w:rPr>
        <w:t xml:space="preserve">, </w:t>
      </w:r>
      <w:r w:rsidRPr="00D206FB">
        <w:rPr>
          <w:rFonts w:cstheme="minorHAnsi"/>
          <w:sz w:val="24"/>
          <w:szCs w:val="24"/>
        </w:rPr>
        <w:t xml:space="preserve"> </w:t>
      </w:r>
      <w:r w:rsidR="00BC13D2">
        <w:rPr>
          <w:rFonts w:cstheme="minorHAnsi"/>
          <w:sz w:val="24"/>
          <w:szCs w:val="24"/>
        </w:rPr>
        <w:t>(</w:t>
      </w:r>
      <w:r w:rsidRPr="00D206FB">
        <w:rPr>
          <w:rFonts w:cstheme="minorHAnsi"/>
          <w:sz w:val="24"/>
          <w:szCs w:val="24"/>
        </w:rPr>
        <w:t>1966)</w:t>
      </w:r>
      <w:r w:rsidR="00E07726" w:rsidRPr="00D206FB">
        <w:rPr>
          <w:rFonts w:cstheme="minorHAnsi"/>
          <w:sz w:val="24"/>
          <w:szCs w:val="24"/>
        </w:rPr>
        <w:t xml:space="preserve">. </w:t>
      </w:r>
    </w:p>
    <w:p w14:paraId="4BD26CD2" w14:textId="64BDC8E6" w:rsidR="00E07726" w:rsidRPr="00D206FB" w:rsidRDefault="00E07726" w:rsidP="007B309B">
      <w:pPr>
        <w:spacing w:line="240" w:lineRule="auto"/>
        <w:rPr>
          <w:rFonts w:cstheme="minorHAnsi"/>
          <w:sz w:val="24"/>
          <w:szCs w:val="24"/>
        </w:rPr>
      </w:pPr>
      <w:r w:rsidRPr="00D206FB">
        <w:rPr>
          <w:rFonts w:cstheme="minorHAnsi"/>
          <w:sz w:val="24"/>
          <w:szCs w:val="24"/>
        </w:rPr>
        <w:t xml:space="preserve">Harvey, Sally, </w:t>
      </w:r>
      <w:r w:rsidRPr="00BC13D2">
        <w:rPr>
          <w:rFonts w:cstheme="minorHAnsi"/>
          <w:i/>
          <w:iCs/>
          <w:sz w:val="24"/>
          <w:szCs w:val="24"/>
        </w:rPr>
        <w:t>Domesday : Book of Judgement</w:t>
      </w:r>
      <w:r w:rsidRPr="00D206FB">
        <w:rPr>
          <w:rFonts w:cstheme="minorHAnsi"/>
          <w:sz w:val="24"/>
          <w:szCs w:val="24"/>
        </w:rPr>
        <w:t xml:space="preserve">, First edition, Oxford: Oxford University Press (2014). </w:t>
      </w:r>
    </w:p>
    <w:p w14:paraId="4F08407D" w14:textId="730FDA6A" w:rsidR="00E07726" w:rsidRPr="00D206FB" w:rsidRDefault="00E07726" w:rsidP="00E07726">
      <w:pPr>
        <w:spacing w:line="240" w:lineRule="auto"/>
        <w:rPr>
          <w:rFonts w:cstheme="minorHAnsi"/>
          <w:sz w:val="24"/>
          <w:szCs w:val="24"/>
        </w:rPr>
      </w:pPr>
      <w:r w:rsidRPr="00D206FB">
        <w:rPr>
          <w:rFonts w:cstheme="minorHAnsi"/>
          <w:sz w:val="24"/>
          <w:szCs w:val="24"/>
        </w:rPr>
        <w:t xml:space="preserve">Jones, Michael John, </w:t>
      </w:r>
      <w:r w:rsidRPr="00BC13D2">
        <w:rPr>
          <w:rFonts w:cstheme="minorHAnsi"/>
          <w:i/>
          <w:iCs/>
          <w:sz w:val="24"/>
          <w:szCs w:val="24"/>
        </w:rPr>
        <w:t xml:space="preserve">Domesday Book: An Early Fiscal, Accounting </w:t>
      </w:r>
      <w:proofErr w:type="gramStart"/>
      <w:r w:rsidRPr="00BC13D2">
        <w:rPr>
          <w:rFonts w:cstheme="minorHAnsi"/>
          <w:i/>
          <w:iCs/>
          <w:sz w:val="24"/>
          <w:szCs w:val="24"/>
        </w:rPr>
        <w:t>Narrative?</w:t>
      </w:r>
      <w:r w:rsidRPr="00BC13D2">
        <w:rPr>
          <w:rFonts w:cstheme="minorHAnsi"/>
          <w:sz w:val="24"/>
          <w:szCs w:val="24"/>
        </w:rPr>
        <w:t>,</w:t>
      </w:r>
      <w:proofErr w:type="gramEnd"/>
      <w:r w:rsidRPr="00D206FB">
        <w:rPr>
          <w:rFonts w:cstheme="minorHAnsi"/>
          <w:sz w:val="24"/>
          <w:szCs w:val="24"/>
        </w:rPr>
        <w:t xml:space="preserve"> The British Accounting Review, 50.3 (2018), 275–90.  </w:t>
      </w:r>
    </w:p>
    <w:p w14:paraId="0AACC6D2" w14:textId="6F8DBC2D" w:rsidR="00E07726" w:rsidRPr="00D206FB" w:rsidRDefault="00E07726" w:rsidP="00E07726">
      <w:pPr>
        <w:spacing w:line="240" w:lineRule="auto"/>
        <w:rPr>
          <w:rFonts w:cstheme="minorHAnsi"/>
          <w:sz w:val="24"/>
          <w:szCs w:val="24"/>
        </w:rPr>
      </w:pPr>
      <w:proofErr w:type="spellStart"/>
      <w:r w:rsidRPr="00D206FB">
        <w:rPr>
          <w:rFonts w:cstheme="minorHAnsi"/>
          <w:sz w:val="24"/>
          <w:szCs w:val="24"/>
        </w:rPr>
        <w:t>Lachaud</w:t>
      </w:r>
      <w:proofErr w:type="spellEnd"/>
      <w:r w:rsidRPr="00D206FB">
        <w:rPr>
          <w:rFonts w:cstheme="minorHAnsi"/>
          <w:sz w:val="24"/>
          <w:szCs w:val="24"/>
        </w:rPr>
        <w:t xml:space="preserve">, F., </w:t>
      </w:r>
      <w:proofErr w:type="gramStart"/>
      <w:r w:rsidRPr="00BC13D2">
        <w:rPr>
          <w:rFonts w:cstheme="minorHAnsi"/>
          <w:i/>
          <w:iCs/>
          <w:sz w:val="24"/>
          <w:szCs w:val="24"/>
        </w:rPr>
        <w:t>Britain</w:t>
      </w:r>
      <w:proofErr w:type="gramEnd"/>
      <w:r w:rsidRPr="00BC13D2">
        <w:rPr>
          <w:rFonts w:cstheme="minorHAnsi"/>
          <w:i/>
          <w:iCs/>
          <w:sz w:val="24"/>
          <w:szCs w:val="24"/>
        </w:rPr>
        <w:t xml:space="preserve"> and the Continent, 1000–1300: The Impact of the Norman Conquest</w:t>
      </w:r>
      <w:r w:rsidRPr="00D206FB">
        <w:rPr>
          <w:rFonts w:cstheme="minorHAnsi"/>
          <w:sz w:val="24"/>
          <w:szCs w:val="24"/>
        </w:rPr>
        <w:t xml:space="preserve">, The English Historical Review, CXXI.493 (2006), 1106–8. </w:t>
      </w:r>
    </w:p>
    <w:p w14:paraId="5218A702" w14:textId="599FE2B2" w:rsidR="00E07726" w:rsidRPr="00D206FB" w:rsidRDefault="00E07726" w:rsidP="00E07726">
      <w:pPr>
        <w:spacing w:line="240" w:lineRule="auto"/>
        <w:rPr>
          <w:rFonts w:cstheme="minorHAnsi"/>
          <w:sz w:val="24"/>
          <w:szCs w:val="24"/>
        </w:rPr>
      </w:pPr>
      <w:r w:rsidRPr="00D206FB">
        <w:rPr>
          <w:rFonts w:cstheme="minorHAnsi"/>
          <w:sz w:val="24"/>
          <w:szCs w:val="24"/>
        </w:rPr>
        <w:t xml:space="preserve">McDonald, John, </w:t>
      </w:r>
      <w:r w:rsidRPr="00BC13D2">
        <w:rPr>
          <w:rFonts w:cstheme="minorHAnsi"/>
          <w:i/>
          <w:iCs/>
          <w:sz w:val="24"/>
          <w:szCs w:val="24"/>
        </w:rPr>
        <w:t>Using William the Conqueror’s Accounting Record to Assess Manorial Efficiency</w:t>
      </w:r>
      <w:r w:rsidRPr="00D206FB">
        <w:rPr>
          <w:rFonts w:cstheme="minorHAnsi"/>
          <w:sz w:val="24"/>
          <w:szCs w:val="24"/>
        </w:rPr>
        <w:t xml:space="preserve">, Accounting History, 10.2 (2005), 125–45. </w:t>
      </w:r>
    </w:p>
    <w:p w14:paraId="798047F8" w14:textId="04544DF7" w:rsidR="00E07726" w:rsidRPr="00D206FB" w:rsidRDefault="00E07726" w:rsidP="00E07726">
      <w:pPr>
        <w:spacing w:line="240" w:lineRule="auto"/>
        <w:rPr>
          <w:rFonts w:cstheme="minorHAnsi"/>
          <w:sz w:val="24"/>
          <w:szCs w:val="24"/>
        </w:rPr>
      </w:pPr>
      <w:r w:rsidRPr="00D206FB">
        <w:rPr>
          <w:rFonts w:cstheme="minorHAnsi"/>
          <w:sz w:val="24"/>
          <w:szCs w:val="24"/>
        </w:rPr>
        <w:t xml:space="preserve">Pohl, Benjamin, </w:t>
      </w:r>
      <w:r w:rsidRPr="00BC13D2">
        <w:rPr>
          <w:rFonts w:cstheme="minorHAnsi"/>
          <w:i/>
          <w:iCs/>
          <w:sz w:val="24"/>
          <w:szCs w:val="24"/>
        </w:rPr>
        <w:t>Dudo of Saint-Quentin’s Historia Normannorum : Tradition, Innovation and Memory</w:t>
      </w:r>
      <w:r w:rsidR="00BC13D2">
        <w:rPr>
          <w:rFonts w:cstheme="minorHAnsi"/>
          <w:sz w:val="24"/>
          <w:szCs w:val="24"/>
        </w:rPr>
        <w:t>,</w:t>
      </w:r>
      <w:r w:rsidRPr="00D206FB">
        <w:rPr>
          <w:rFonts w:cstheme="minorHAnsi"/>
          <w:sz w:val="24"/>
          <w:szCs w:val="24"/>
        </w:rPr>
        <w:t xml:space="preserve"> Woodbridge, Suffolk, UK: York Medieval Press, </w:t>
      </w:r>
      <w:r w:rsidR="00BC13D2">
        <w:rPr>
          <w:rFonts w:cstheme="minorHAnsi"/>
          <w:sz w:val="24"/>
          <w:szCs w:val="24"/>
        </w:rPr>
        <w:t>(</w:t>
      </w:r>
      <w:r w:rsidRPr="00D206FB">
        <w:rPr>
          <w:rFonts w:cstheme="minorHAnsi"/>
          <w:sz w:val="24"/>
          <w:szCs w:val="24"/>
        </w:rPr>
        <w:t xml:space="preserve">2015). </w:t>
      </w:r>
    </w:p>
    <w:p w14:paraId="3AFAD34C" w14:textId="162B9C6E" w:rsidR="00E07726" w:rsidRPr="00D206FB" w:rsidRDefault="00E07726" w:rsidP="00E07726">
      <w:pPr>
        <w:spacing w:line="240" w:lineRule="auto"/>
        <w:rPr>
          <w:rFonts w:cstheme="minorHAnsi"/>
          <w:sz w:val="24"/>
          <w:szCs w:val="24"/>
        </w:rPr>
      </w:pPr>
      <w:proofErr w:type="spellStart"/>
      <w:r w:rsidRPr="00D206FB">
        <w:rPr>
          <w:rFonts w:cstheme="minorHAnsi"/>
          <w:sz w:val="24"/>
          <w:szCs w:val="24"/>
        </w:rPr>
        <w:t>Roffe</w:t>
      </w:r>
      <w:proofErr w:type="spellEnd"/>
      <w:r w:rsidRPr="00D206FB">
        <w:rPr>
          <w:rFonts w:cstheme="minorHAnsi"/>
          <w:sz w:val="24"/>
          <w:szCs w:val="24"/>
        </w:rPr>
        <w:t xml:space="preserve">, David, </w:t>
      </w:r>
      <w:r w:rsidRPr="00BC13D2">
        <w:rPr>
          <w:rFonts w:cstheme="minorHAnsi"/>
          <w:i/>
          <w:iCs/>
          <w:sz w:val="24"/>
          <w:szCs w:val="24"/>
        </w:rPr>
        <w:t>Decoding Domesday</w:t>
      </w:r>
      <w:r w:rsidRPr="00D206FB">
        <w:rPr>
          <w:rFonts w:cstheme="minorHAnsi"/>
          <w:sz w:val="24"/>
          <w:szCs w:val="24"/>
        </w:rPr>
        <w:t xml:space="preserve">, Woodbridge: Boydell Press, (2007). </w:t>
      </w:r>
    </w:p>
    <w:p w14:paraId="3FAF71A5" w14:textId="7B50A1F2" w:rsidR="00E07726" w:rsidRPr="00D206FB" w:rsidRDefault="00E07726" w:rsidP="00E07726">
      <w:pPr>
        <w:spacing w:line="240" w:lineRule="auto"/>
        <w:rPr>
          <w:rFonts w:cstheme="minorHAnsi"/>
          <w:sz w:val="24"/>
          <w:szCs w:val="24"/>
        </w:rPr>
      </w:pPr>
      <w:r w:rsidRPr="00D206FB">
        <w:rPr>
          <w:rFonts w:cstheme="minorHAnsi"/>
          <w:sz w:val="24"/>
          <w:szCs w:val="24"/>
        </w:rPr>
        <w:t xml:space="preserve">Sayles, G. O., </w:t>
      </w:r>
      <w:r w:rsidRPr="00BC13D2">
        <w:rPr>
          <w:rFonts w:cstheme="minorHAnsi"/>
          <w:i/>
          <w:iCs/>
          <w:sz w:val="24"/>
          <w:szCs w:val="24"/>
        </w:rPr>
        <w:t>The Medieval Foundations of England</w:t>
      </w:r>
      <w:r w:rsidR="00BC13D2">
        <w:rPr>
          <w:rFonts w:cstheme="minorHAnsi"/>
          <w:sz w:val="24"/>
          <w:szCs w:val="24"/>
        </w:rPr>
        <w:t>,</w:t>
      </w:r>
      <w:r w:rsidRPr="00D206FB">
        <w:rPr>
          <w:rFonts w:cstheme="minorHAnsi"/>
          <w:sz w:val="24"/>
          <w:szCs w:val="24"/>
        </w:rPr>
        <w:t xml:space="preserve"> Philadelphia: University of </w:t>
      </w:r>
    </w:p>
    <w:p w14:paraId="48A78A9A" w14:textId="43C1B314" w:rsidR="00E07726" w:rsidRPr="00D206FB" w:rsidRDefault="00E07726" w:rsidP="00E07726">
      <w:pPr>
        <w:spacing w:line="240" w:lineRule="auto"/>
        <w:rPr>
          <w:rFonts w:cstheme="minorHAnsi"/>
          <w:sz w:val="24"/>
          <w:szCs w:val="24"/>
        </w:rPr>
      </w:pPr>
      <w:r w:rsidRPr="00D206FB">
        <w:rPr>
          <w:rFonts w:cstheme="minorHAnsi"/>
          <w:sz w:val="24"/>
          <w:szCs w:val="24"/>
        </w:rPr>
        <w:t xml:space="preserve">Pennsylvania Press, </w:t>
      </w:r>
      <w:r w:rsidR="00BC13D2">
        <w:rPr>
          <w:rFonts w:cstheme="minorHAnsi"/>
          <w:sz w:val="24"/>
          <w:szCs w:val="24"/>
        </w:rPr>
        <w:t>(</w:t>
      </w:r>
      <w:r w:rsidRPr="00D206FB">
        <w:rPr>
          <w:rFonts w:cstheme="minorHAnsi"/>
          <w:sz w:val="24"/>
          <w:szCs w:val="24"/>
        </w:rPr>
        <w:t xml:space="preserve">1950). </w:t>
      </w:r>
    </w:p>
    <w:p w14:paraId="75E604C1" w14:textId="0970B290" w:rsidR="00E07726" w:rsidRPr="00D206FB" w:rsidRDefault="00E07726" w:rsidP="00E07726">
      <w:pPr>
        <w:spacing w:line="240" w:lineRule="auto"/>
        <w:rPr>
          <w:rFonts w:cstheme="minorHAnsi"/>
          <w:sz w:val="24"/>
          <w:szCs w:val="24"/>
        </w:rPr>
      </w:pPr>
      <w:r w:rsidRPr="00D206FB">
        <w:rPr>
          <w:rFonts w:cstheme="minorHAnsi"/>
          <w:sz w:val="24"/>
          <w:szCs w:val="24"/>
        </w:rPr>
        <w:t xml:space="preserve">Warren, W L, </w:t>
      </w:r>
      <w:r w:rsidRPr="00BC13D2">
        <w:rPr>
          <w:rFonts w:cstheme="minorHAnsi"/>
          <w:i/>
          <w:iCs/>
          <w:sz w:val="24"/>
          <w:szCs w:val="24"/>
        </w:rPr>
        <w:t>The Myth of Norman Administrative Efficiency. (The Prothero Lecture)</w:t>
      </w:r>
      <w:r w:rsidRPr="00BC13D2">
        <w:rPr>
          <w:rFonts w:cstheme="minorHAnsi"/>
          <w:sz w:val="24"/>
          <w:szCs w:val="24"/>
        </w:rPr>
        <w:t xml:space="preserve">, </w:t>
      </w:r>
      <w:r w:rsidRPr="00D206FB">
        <w:rPr>
          <w:rFonts w:cstheme="minorHAnsi"/>
          <w:sz w:val="24"/>
          <w:szCs w:val="24"/>
        </w:rPr>
        <w:t xml:space="preserve">Transactions of the Royal Historical Society, 34 (1984), 113–33. </w:t>
      </w:r>
    </w:p>
    <w:p w14:paraId="4BAAE37D" w14:textId="77777777" w:rsidR="00E07726" w:rsidRPr="00D206FB" w:rsidRDefault="00E07726" w:rsidP="00E07726">
      <w:pPr>
        <w:spacing w:line="240" w:lineRule="auto"/>
        <w:rPr>
          <w:rFonts w:cstheme="minorHAnsi"/>
          <w:sz w:val="24"/>
          <w:szCs w:val="24"/>
        </w:rPr>
      </w:pPr>
    </w:p>
    <w:p w14:paraId="259E0A38" w14:textId="77777777" w:rsidR="00E07726" w:rsidRPr="00D206FB" w:rsidRDefault="00E07726" w:rsidP="00E07726">
      <w:pPr>
        <w:spacing w:line="240" w:lineRule="auto"/>
        <w:rPr>
          <w:rFonts w:cstheme="minorHAnsi"/>
          <w:sz w:val="24"/>
          <w:szCs w:val="24"/>
        </w:rPr>
      </w:pPr>
    </w:p>
    <w:p w14:paraId="7CF90D4D" w14:textId="77777777" w:rsidR="00E07726" w:rsidRPr="00D206FB" w:rsidRDefault="00E07726" w:rsidP="00E07726">
      <w:pPr>
        <w:spacing w:line="240" w:lineRule="auto"/>
        <w:rPr>
          <w:rFonts w:cstheme="minorHAnsi"/>
          <w:sz w:val="24"/>
          <w:szCs w:val="24"/>
        </w:rPr>
      </w:pPr>
    </w:p>
    <w:p w14:paraId="1AE158CE" w14:textId="77777777" w:rsidR="00E07726" w:rsidRPr="00D206FB" w:rsidRDefault="00E07726" w:rsidP="00E07726">
      <w:pPr>
        <w:spacing w:line="240" w:lineRule="auto"/>
        <w:rPr>
          <w:rFonts w:cstheme="minorHAnsi"/>
          <w:sz w:val="24"/>
          <w:szCs w:val="24"/>
        </w:rPr>
      </w:pPr>
    </w:p>
    <w:p w14:paraId="72BCC616" w14:textId="77777777" w:rsidR="00E07726" w:rsidRPr="00D206FB" w:rsidRDefault="00E07726" w:rsidP="007B309B">
      <w:pPr>
        <w:spacing w:line="240" w:lineRule="auto"/>
        <w:rPr>
          <w:rFonts w:cstheme="minorHAnsi"/>
          <w:sz w:val="24"/>
          <w:szCs w:val="24"/>
        </w:rPr>
      </w:pPr>
    </w:p>
    <w:p w14:paraId="3512438B" w14:textId="5EDA93C9" w:rsidR="004A1244" w:rsidRPr="00D206FB" w:rsidRDefault="004A1244" w:rsidP="00554D3B">
      <w:pPr>
        <w:spacing w:line="240" w:lineRule="auto"/>
        <w:rPr>
          <w:rFonts w:cstheme="minorHAnsi"/>
          <w:sz w:val="24"/>
          <w:szCs w:val="24"/>
        </w:rPr>
      </w:pPr>
      <w:r w:rsidRPr="00D206FB">
        <w:rPr>
          <w:rFonts w:cstheme="minorHAnsi"/>
          <w:sz w:val="24"/>
          <w:szCs w:val="24"/>
        </w:rPr>
        <w:t xml:space="preserve"> </w:t>
      </w:r>
    </w:p>
    <w:sectPr w:rsidR="004A1244" w:rsidRPr="00D206F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6E8953" w14:textId="77777777" w:rsidR="00301671" w:rsidRDefault="00301671" w:rsidP="00FD34B2">
      <w:pPr>
        <w:spacing w:after="0" w:line="240" w:lineRule="auto"/>
      </w:pPr>
      <w:r>
        <w:separator/>
      </w:r>
    </w:p>
  </w:endnote>
  <w:endnote w:type="continuationSeparator" w:id="0">
    <w:p w14:paraId="0A347DC1" w14:textId="77777777" w:rsidR="00301671" w:rsidRDefault="00301671" w:rsidP="00FD34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tka Text">
    <w:panose1 w:val="02000505000000020004"/>
    <w:charset w:val="00"/>
    <w:family w:val="auto"/>
    <w:pitch w:val="variable"/>
    <w:sig w:usb0="A00002EF" w:usb1="400020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B2F42A" w14:textId="77777777" w:rsidR="00301671" w:rsidRDefault="00301671" w:rsidP="00FD34B2">
      <w:pPr>
        <w:spacing w:after="0" w:line="240" w:lineRule="auto"/>
      </w:pPr>
      <w:r>
        <w:separator/>
      </w:r>
    </w:p>
  </w:footnote>
  <w:footnote w:type="continuationSeparator" w:id="0">
    <w:p w14:paraId="53121951" w14:textId="77777777" w:rsidR="00301671" w:rsidRDefault="00301671" w:rsidP="00FD34B2">
      <w:pPr>
        <w:spacing w:after="0" w:line="240" w:lineRule="auto"/>
      </w:pPr>
      <w:r>
        <w:continuationSeparator/>
      </w:r>
    </w:p>
  </w:footnote>
  <w:footnote w:id="1">
    <w:p w14:paraId="48C4AA7A" w14:textId="640401BE" w:rsidR="00B8152E" w:rsidRPr="00F574A4" w:rsidRDefault="00B8152E" w:rsidP="00F574A4">
      <w:pPr>
        <w:pStyle w:val="FootnoteText"/>
      </w:pPr>
      <w:r>
        <w:rPr>
          <w:rStyle w:val="FootnoteReference"/>
        </w:rPr>
        <w:footnoteRef/>
      </w:r>
      <w:r>
        <w:t xml:space="preserve"> </w:t>
      </w:r>
      <w:r w:rsidR="005F3CFB" w:rsidRPr="00F574A4">
        <w:t xml:space="preserve">W L Warren, ‘The Myth of </w:t>
      </w:r>
      <w:r w:rsidRPr="00F574A4">
        <w:t>Norman administrative efficiency</w:t>
      </w:r>
      <w:r w:rsidR="005F3CFB" w:rsidRPr="00F574A4">
        <w:t xml:space="preserve">’, Transactions of the Royal Historical Society (1984), </w:t>
      </w:r>
      <w:r w:rsidR="004536C8" w:rsidRPr="00F574A4">
        <w:t xml:space="preserve">p.113. </w:t>
      </w:r>
    </w:p>
  </w:footnote>
  <w:footnote w:id="2">
    <w:p w14:paraId="4E28E0D5" w14:textId="3818B806" w:rsidR="00BC693A" w:rsidRPr="00F574A4" w:rsidRDefault="00BC693A" w:rsidP="00F574A4">
      <w:pPr>
        <w:pStyle w:val="FootnoteText"/>
      </w:pPr>
      <w:r w:rsidRPr="00F574A4">
        <w:rPr>
          <w:rStyle w:val="FootnoteReference"/>
        </w:rPr>
        <w:footnoteRef/>
      </w:r>
      <w:r w:rsidRPr="00F574A4">
        <w:t xml:space="preserve"> </w:t>
      </w:r>
      <w:r w:rsidR="005F3CFB" w:rsidRPr="00F574A4">
        <w:t xml:space="preserve">Warren, </w:t>
      </w:r>
      <w:r w:rsidRPr="00F574A4">
        <w:t xml:space="preserve">Norman administrative efficiency, p.113. </w:t>
      </w:r>
    </w:p>
  </w:footnote>
  <w:footnote w:id="3">
    <w:p w14:paraId="217E723D" w14:textId="52296F68" w:rsidR="007038E4" w:rsidRPr="00F574A4" w:rsidRDefault="007038E4" w:rsidP="00F574A4">
      <w:pPr>
        <w:pStyle w:val="FootnoteText"/>
      </w:pPr>
      <w:r w:rsidRPr="00F574A4">
        <w:rPr>
          <w:rStyle w:val="FootnoteReference"/>
        </w:rPr>
        <w:footnoteRef/>
      </w:r>
      <w:r w:rsidRPr="00F574A4">
        <w:t xml:space="preserve"> Dudo of Saint Quentin, Gesta </w:t>
      </w:r>
      <w:r w:rsidR="00F574A4" w:rsidRPr="00F574A4">
        <w:t xml:space="preserve">Normannorum. </w:t>
      </w:r>
    </w:p>
  </w:footnote>
  <w:footnote w:id="4">
    <w:p w14:paraId="18BD3FF4" w14:textId="215ECC2B" w:rsidR="0016771C" w:rsidRPr="00F574A4" w:rsidRDefault="0016771C" w:rsidP="00F574A4">
      <w:pPr>
        <w:pStyle w:val="FootnoteText"/>
      </w:pPr>
      <w:r w:rsidRPr="00F574A4">
        <w:rPr>
          <w:rStyle w:val="FootnoteReference"/>
        </w:rPr>
        <w:footnoteRef/>
      </w:r>
      <w:r w:rsidRPr="00F574A4">
        <w:t xml:space="preserve"> Dudo of Saint Quentin, Gesta Normannorum</w:t>
      </w:r>
      <w:r w:rsidR="00F574A4" w:rsidRPr="00F574A4">
        <w:t xml:space="preserve">. </w:t>
      </w:r>
    </w:p>
  </w:footnote>
  <w:footnote w:id="5">
    <w:p w14:paraId="09583427" w14:textId="6726B8A7" w:rsidR="000D2C58" w:rsidRPr="00F574A4" w:rsidRDefault="000D2C58" w:rsidP="00F574A4">
      <w:pPr>
        <w:spacing w:line="240" w:lineRule="auto"/>
        <w:rPr>
          <w:rFonts w:cstheme="minorHAnsi"/>
          <w:sz w:val="20"/>
          <w:szCs w:val="20"/>
        </w:rPr>
      </w:pPr>
      <w:r w:rsidRPr="00F574A4">
        <w:rPr>
          <w:rStyle w:val="FootnoteReference"/>
          <w:sz w:val="20"/>
          <w:szCs w:val="20"/>
        </w:rPr>
        <w:footnoteRef/>
      </w:r>
      <w:r w:rsidRPr="00F574A4">
        <w:rPr>
          <w:sz w:val="20"/>
          <w:szCs w:val="20"/>
        </w:rPr>
        <w:t xml:space="preserve"> </w:t>
      </w:r>
      <w:r w:rsidR="00F574A4" w:rsidRPr="00F574A4">
        <w:rPr>
          <w:sz w:val="20"/>
          <w:szCs w:val="20"/>
        </w:rPr>
        <w:t>Benjamin Pohl, Dudo of Sa</w:t>
      </w:r>
      <w:r w:rsidR="00F574A4">
        <w:rPr>
          <w:sz w:val="20"/>
          <w:szCs w:val="20"/>
        </w:rPr>
        <w:t>in</w:t>
      </w:r>
      <w:r w:rsidR="00F574A4" w:rsidRPr="00F574A4">
        <w:rPr>
          <w:sz w:val="20"/>
          <w:szCs w:val="20"/>
        </w:rPr>
        <w:t xml:space="preserve">t-Quentin’s Historian Normannorum: Tradition, Innovation and Memory, Woodbridge: York Medieval Press (2015), </w:t>
      </w:r>
      <w:r w:rsidR="00554D3B" w:rsidRPr="00F574A4">
        <w:rPr>
          <w:sz w:val="20"/>
          <w:szCs w:val="20"/>
        </w:rPr>
        <w:t>p.8.</w:t>
      </w:r>
      <w:r w:rsidR="00F574A4" w:rsidRPr="00F574A4">
        <w:rPr>
          <w:sz w:val="20"/>
          <w:szCs w:val="20"/>
        </w:rPr>
        <w:t xml:space="preserve">  </w:t>
      </w:r>
    </w:p>
  </w:footnote>
  <w:footnote w:id="6">
    <w:p w14:paraId="56C5693D" w14:textId="2D010FAF" w:rsidR="00AD5516" w:rsidRDefault="00AD5516" w:rsidP="00F574A4">
      <w:pPr>
        <w:pStyle w:val="FootnoteText"/>
      </w:pPr>
      <w:r w:rsidRPr="00F574A4">
        <w:rPr>
          <w:rStyle w:val="FootnoteReference"/>
        </w:rPr>
        <w:footnoteRef/>
      </w:r>
      <w:r w:rsidRPr="00F574A4">
        <w:t xml:space="preserve"> Dudo of Saint Quentin</w:t>
      </w:r>
      <w:r w:rsidR="00F574A4" w:rsidRPr="00F574A4">
        <w:t>, Gesta Normannorum.</w:t>
      </w:r>
      <w:r w:rsidR="00F574A4">
        <w:t xml:space="preserve"> </w:t>
      </w:r>
    </w:p>
  </w:footnote>
  <w:footnote w:id="7">
    <w:p w14:paraId="1814477C" w14:textId="63152824" w:rsidR="002B108B" w:rsidRDefault="002B108B">
      <w:pPr>
        <w:pStyle w:val="FootnoteText"/>
      </w:pPr>
      <w:r>
        <w:rPr>
          <w:rStyle w:val="FootnoteReference"/>
        </w:rPr>
        <w:footnoteRef/>
      </w:r>
      <w:r>
        <w:t xml:space="preserve"> </w:t>
      </w:r>
      <w:r w:rsidR="00866E27">
        <w:t xml:space="preserve">John McDonald, Using William the Conqueror’s Accounting Record to Assess Manorial Efficiency, Accounting History (2005), </w:t>
      </w:r>
      <w:r w:rsidR="00B46D00">
        <w:t xml:space="preserve">p.129. </w:t>
      </w:r>
    </w:p>
  </w:footnote>
  <w:footnote w:id="8">
    <w:p w14:paraId="685605D0" w14:textId="53D8CD17" w:rsidR="0032022A" w:rsidRDefault="0032022A">
      <w:pPr>
        <w:pStyle w:val="FootnoteText"/>
      </w:pPr>
      <w:r>
        <w:rPr>
          <w:rStyle w:val="FootnoteReference"/>
        </w:rPr>
        <w:footnoteRef/>
      </w:r>
      <w:r>
        <w:t xml:space="preserve"> </w:t>
      </w:r>
      <w:r w:rsidR="00F574A4">
        <w:t xml:space="preserve">David </w:t>
      </w:r>
      <w:proofErr w:type="spellStart"/>
      <w:r w:rsidR="00F574A4">
        <w:t>Roffe</w:t>
      </w:r>
      <w:proofErr w:type="spellEnd"/>
      <w:r w:rsidR="00F574A4">
        <w:t xml:space="preserve">, ‘Decoding Domesday’, Woodbridge: Boydell press (2007), </w:t>
      </w:r>
      <w:r>
        <w:t xml:space="preserve">p.1. </w:t>
      </w:r>
    </w:p>
  </w:footnote>
  <w:footnote w:id="9">
    <w:p w14:paraId="13A742EB" w14:textId="7581DDF8" w:rsidR="00920915" w:rsidRDefault="00920915">
      <w:pPr>
        <w:pStyle w:val="FootnoteText"/>
      </w:pPr>
      <w:r>
        <w:rPr>
          <w:rStyle w:val="FootnoteReference"/>
        </w:rPr>
        <w:footnoteRef/>
      </w:r>
      <w:r>
        <w:t xml:space="preserve"> </w:t>
      </w:r>
      <w:r w:rsidR="005F3CFB">
        <w:t>Warren, Myth of Norman Administrative Efficiency</w:t>
      </w:r>
      <w:r w:rsidR="00A45780">
        <w:t xml:space="preserve">, p.119. </w:t>
      </w:r>
    </w:p>
  </w:footnote>
  <w:footnote w:id="10">
    <w:p w14:paraId="439664BA" w14:textId="3466A861" w:rsidR="00920915" w:rsidRDefault="00920915">
      <w:pPr>
        <w:pStyle w:val="FootnoteText"/>
      </w:pPr>
      <w:r>
        <w:rPr>
          <w:rStyle w:val="FootnoteReference"/>
        </w:rPr>
        <w:footnoteRef/>
      </w:r>
      <w:r>
        <w:t xml:space="preserve"> </w:t>
      </w:r>
      <w:r w:rsidR="005F3CFB">
        <w:t xml:space="preserve">Warren, </w:t>
      </w:r>
      <w:r>
        <w:t xml:space="preserve">Myth of Norman </w:t>
      </w:r>
      <w:r w:rsidR="005F3CFB">
        <w:t>A</w:t>
      </w:r>
      <w:r>
        <w:t>dministrati</w:t>
      </w:r>
      <w:r w:rsidR="005F3CFB">
        <w:t>ve Efficiency</w:t>
      </w:r>
      <w:r w:rsidR="00A45780">
        <w:t xml:space="preserve">, p.119. </w:t>
      </w:r>
    </w:p>
  </w:footnote>
  <w:footnote w:id="11">
    <w:p w14:paraId="43684D99" w14:textId="3DB1D634" w:rsidR="00F44868" w:rsidRDefault="00F44868">
      <w:pPr>
        <w:pStyle w:val="FootnoteText"/>
      </w:pPr>
      <w:r>
        <w:rPr>
          <w:rStyle w:val="FootnoteReference"/>
        </w:rPr>
        <w:footnoteRef/>
      </w:r>
      <w:r>
        <w:t xml:space="preserve"> </w:t>
      </w:r>
      <w:r w:rsidR="00F574A4">
        <w:t>Warren</w:t>
      </w:r>
      <w:r w:rsidR="00866E27">
        <w:t>,</w:t>
      </w:r>
      <w:r w:rsidR="00F574A4">
        <w:t xml:space="preserve"> </w:t>
      </w:r>
      <w:r>
        <w:t xml:space="preserve">Myth of Norman </w:t>
      </w:r>
      <w:r w:rsidR="00F574A4">
        <w:t>A</w:t>
      </w:r>
      <w:r>
        <w:t>dministrat</w:t>
      </w:r>
      <w:r w:rsidR="00F574A4">
        <w:t>ive Efficiency</w:t>
      </w:r>
      <w:r w:rsidR="00A45780">
        <w:t xml:space="preserve">, p.115. </w:t>
      </w:r>
      <w:r>
        <w:t xml:space="preserve"> </w:t>
      </w:r>
    </w:p>
  </w:footnote>
  <w:footnote w:id="12">
    <w:p w14:paraId="3F933803" w14:textId="4CD46830" w:rsidR="00CC7D27" w:rsidRDefault="00CC7D27">
      <w:pPr>
        <w:pStyle w:val="FootnoteText"/>
      </w:pPr>
      <w:r>
        <w:rPr>
          <w:rStyle w:val="FootnoteReference"/>
        </w:rPr>
        <w:footnoteRef/>
      </w:r>
      <w:r>
        <w:t xml:space="preserve"> </w:t>
      </w:r>
      <w:r w:rsidRPr="009D1728">
        <w:t>Sally Harvey, ‘Domesday: Book of Judgement’, First Edition, Oxford University Press (2014), p.57.</w:t>
      </w:r>
    </w:p>
  </w:footnote>
  <w:footnote w:id="13">
    <w:p w14:paraId="26F6CC4B" w14:textId="5AD90641" w:rsidR="0023383E" w:rsidRDefault="0023383E">
      <w:pPr>
        <w:pStyle w:val="FootnoteText"/>
      </w:pPr>
      <w:r>
        <w:rPr>
          <w:rStyle w:val="FootnoteReference"/>
        </w:rPr>
        <w:footnoteRef/>
      </w:r>
      <w:r>
        <w:t xml:space="preserve"> </w:t>
      </w:r>
      <w:proofErr w:type="spellStart"/>
      <w:r>
        <w:t>Roffe</w:t>
      </w:r>
      <w:proofErr w:type="spellEnd"/>
      <w:r>
        <w:t>, ‘Decoding Domesday’, p.</w:t>
      </w:r>
      <w:r>
        <w:t>2.</w:t>
      </w:r>
    </w:p>
  </w:footnote>
  <w:footnote w:id="14">
    <w:p w14:paraId="0C7FDC7B" w14:textId="3FD1DF7A" w:rsidR="00CC7D27" w:rsidRDefault="00CC7D27">
      <w:pPr>
        <w:pStyle w:val="FootnoteText"/>
      </w:pPr>
      <w:r>
        <w:rPr>
          <w:rStyle w:val="FootnoteReference"/>
        </w:rPr>
        <w:footnoteRef/>
      </w:r>
      <w:r>
        <w:t xml:space="preserve"> </w:t>
      </w:r>
      <w:r w:rsidR="00866E27">
        <w:t xml:space="preserve">McDonald, </w:t>
      </w:r>
      <w:r>
        <w:t>William the Conqueror’s account record</w:t>
      </w:r>
      <w:r w:rsidR="00B46D00">
        <w:t xml:space="preserve">, p.129. </w:t>
      </w:r>
    </w:p>
  </w:footnote>
  <w:footnote w:id="15">
    <w:p w14:paraId="05DBF6A9" w14:textId="4AC234E1" w:rsidR="00EC551A" w:rsidRDefault="00EC551A">
      <w:pPr>
        <w:pStyle w:val="FootnoteText"/>
      </w:pPr>
      <w:r>
        <w:rPr>
          <w:rStyle w:val="FootnoteReference"/>
        </w:rPr>
        <w:footnoteRef/>
      </w:r>
      <w:r>
        <w:t xml:space="preserve"> </w:t>
      </w:r>
      <w:r w:rsidRPr="009D1728">
        <w:t>Michael John Jones, ‘Domesday Book: An Early Fiscal Accounting Narrative?’, The British Accounting Review (2018).</w:t>
      </w:r>
    </w:p>
  </w:footnote>
  <w:footnote w:id="16">
    <w:p w14:paraId="2522AF81" w14:textId="2E23EC4D" w:rsidR="00F44868" w:rsidRDefault="00F44868">
      <w:pPr>
        <w:pStyle w:val="FootnoteText"/>
      </w:pPr>
      <w:r>
        <w:rPr>
          <w:rStyle w:val="FootnoteReference"/>
        </w:rPr>
        <w:footnoteRef/>
      </w:r>
      <w:r>
        <w:t xml:space="preserve"> </w:t>
      </w:r>
      <w:r w:rsidR="00866E27">
        <w:t xml:space="preserve">McDonald, </w:t>
      </w:r>
      <w:r>
        <w:t>William the Conqueror’s account record</w:t>
      </w:r>
      <w:r w:rsidR="00B46D00">
        <w:t xml:space="preserve">, p.128. </w:t>
      </w:r>
    </w:p>
  </w:footnote>
  <w:footnote w:id="17">
    <w:p w14:paraId="31E1CA16" w14:textId="52DC2611" w:rsidR="004A3840" w:rsidRDefault="004A3840">
      <w:pPr>
        <w:pStyle w:val="FootnoteText"/>
      </w:pPr>
      <w:r>
        <w:rPr>
          <w:rStyle w:val="FootnoteReference"/>
        </w:rPr>
        <w:footnoteRef/>
      </w:r>
      <w:r>
        <w:t xml:space="preserve"> </w:t>
      </w:r>
      <w:r w:rsidR="00F574A4">
        <w:t xml:space="preserve">Warren, </w:t>
      </w:r>
      <w:r>
        <w:t xml:space="preserve">Myth of Norman </w:t>
      </w:r>
      <w:r w:rsidR="00F574A4">
        <w:t>A</w:t>
      </w:r>
      <w:r>
        <w:t>dministra</w:t>
      </w:r>
      <w:r w:rsidR="00F574A4">
        <w:t>tive Efficiency</w:t>
      </w:r>
      <w:r>
        <w:t xml:space="preserve">, p.113. </w:t>
      </w:r>
    </w:p>
  </w:footnote>
  <w:footnote w:id="18">
    <w:p w14:paraId="3B3180F0" w14:textId="4E6908DC" w:rsidR="0060684E" w:rsidRDefault="0060684E">
      <w:pPr>
        <w:pStyle w:val="FootnoteText"/>
      </w:pPr>
      <w:r>
        <w:rPr>
          <w:rStyle w:val="FootnoteReference"/>
        </w:rPr>
        <w:footnoteRef/>
      </w:r>
      <w:r>
        <w:t xml:space="preserve"> </w:t>
      </w:r>
      <w:r w:rsidR="00866E27">
        <w:t xml:space="preserve">G. O. Sayles, The </w:t>
      </w:r>
      <w:r>
        <w:t>Medieval Foundations of England,</w:t>
      </w:r>
      <w:r w:rsidR="00866E27">
        <w:t xml:space="preserve"> University of Pennsylvania Press (1950),</w:t>
      </w:r>
      <w:r>
        <w:t xml:space="preserve"> p.219. </w:t>
      </w:r>
    </w:p>
  </w:footnote>
  <w:footnote w:id="19">
    <w:p w14:paraId="718465A5" w14:textId="5A5D54E4" w:rsidR="0093274C" w:rsidRDefault="0093274C">
      <w:pPr>
        <w:pStyle w:val="FootnoteText"/>
      </w:pPr>
      <w:r>
        <w:rPr>
          <w:rStyle w:val="FootnoteReference"/>
        </w:rPr>
        <w:footnoteRef/>
      </w:r>
      <w:r>
        <w:t xml:space="preserve"> </w:t>
      </w:r>
      <w:r w:rsidR="00866E27">
        <w:t xml:space="preserve">Sayles, </w:t>
      </w:r>
      <w:r>
        <w:t xml:space="preserve">Medieval Foundations of England, p.222. </w:t>
      </w:r>
    </w:p>
  </w:footnote>
  <w:footnote w:id="20">
    <w:p w14:paraId="39366ABB" w14:textId="20E41496" w:rsidR="00FD34B2" w:rsidRDefault="00FD34B2">
      <w:pPr>
        <w:pStyle w:val="FootnoteText"/>
      </w:pPr>
      <w:r>
        <w:rPr>
          <w:rStyle w:val="FootnoteReference"/>
        </w:rPr>
        <w:footnoteRef/>
      </w:r>
      <w:r>
        <w:t xml:space="preserve"> </w:t>
      </w:r>
      <w:r w:rsidR="00866E27">
        <w:t xml:space="preserve">Airt Mac et al, The </w:t>
      </w:r>
      <w:r>
        <w:t xml:space="preserve">Annals of Ulster </w:t>
      </w:r>
      <w:r w:rsidR="00866E27">
        <w:t xml:space="preserve">431 – 1201, CELT (2000). </w:t>
      </w:r>
    </w:p>
  </w:footnote>
  <w:footnote w:id="21">
    <w:p w14:paraId="463FC6F0" w14:textId="7EDD30C1" w:rsidR="004A1244" w:rsidRDefault="004A1244">
      <w:pPr>
        <w:pStyle w:val="FootnoteText"/>
      </w:pPr>
      <w:r>
        <w:rPr>
          <w:rStyle w:val="FootnoteReference"/>
        </w:rPr>
        <w:footnoteRef/>
      </w:r>
      <w:r>
        <w:t xml:space="preserve"> </w:t>
      </w:r>
      <w:r w:rsidR="00866E27">
        <w:t xml:space="preserve">David C. Douglas et al, The </w:t>
      </w:r>
      <w:r>
        <w:t>Anglo-Saxon Chronicle</w:t>
      </w:r>
      <w:r w:rsidR="00866E27">
        <w:t xml:space="preserve">: A Revised Translation, London: Eyre &amp; </w:t>
      </w:r>
      <w:proofErr w:type="spellStart"/>
      <w:r w:rsidR="00866E27">
        <w:t>Spottiswoode</w:t>
      </w:r>
      <w:proofErr w:type="spellEnd"/>
      <w:r w:rsidR="00866E27">
        <w:t xml:space="preserve"> (1961). </w:t>
      </w:r>
      <w:r>
        <w:t xml:space="preserve"> </w:t>
      </w:r>
    </w:p>
  </w:footnote>
  <w:footnote w:id="22">
    <w:p w14:paraId="66F4F10A" w14:textId="782E17B2" w:rsidR="00405C27" w:rsidRDefault="00405C27">
      <w:pPr>
        <w:pStyle w:val="FootnoteText"/>
      </w:pPr>
      <w:r>
        <w:rPr>
          <w:rStyle w:val="FootnoteReference"/>
        </w:rPr>
        <w:footnoteRef/>
      </w:r>
      <w:r>
        <w:t xml:space="preserve"> </w:t>
      </w:r>
      <w:r w:rsidR="00866E27">
        <w:t xml:space="preserve">Asa Briggs, </w:t>
      </w:r>
      <w:r>
        <w:t>Saxons, Normans, and Victorians</w:t>
      </w:r>
      <w:r w:rsidR="0071360B">
        <w:t>,</w:t>
      </w:r>
      <w:r w:rsidR="00866E27">
        <w:t xml:space="preserve"> Hastings &amp; Bexhill Branch of the Historical Association (1966)</w:t>
      </w:r>
      <w:r w:rsidR="0071360B">
        <w:t xml:space="preserve"> p.4. </w:t>
      </w:r>
    </w:p>
  </w:footnote>
  <w:footnote w:id="23">
    <w:p w14:paraId="37FED359" w14:textId="047E84FB" w:rsidR="007B309B" w:rsidRDefault="007B309B">
      <w:pPr>
        <w:pStyle w:val="FootnoteText"/>
      </w:pPr>
      <w:r>
        <w:rPr>
          <w:rStyle w:val="FootnoteReference"/>
        </w:rPr>
        <w:footnoteRef/>
      </w:r>
      <w:r>
        <w:t xml:space="preserve"> </w:t>
      </w:r>
      <w:r w:rsidR="00866E27">
        <w:t xml:space="preserve">Briggs, </w:t>
      </w:r>
      <w:r>
        <w:t xml:space="preserve">Saxons, Normans, and Victorians, p.4. </w:t>
      </w:r>
    </w:p>
  </w:footnote>
  <w:footnote w:id="24">
    <w:p w14:paraId="62C3EE24" w14:textId="2B51DCD3" w:rsidR="004247DB" w:rsidRDefault="004247DB">
      <w:pPr>
        <w:pStyle w:val="FootnoteText"/>
      </w:pPr>
      <w:r>
        <w:rPr>
          <w:rStyle w:val="FootnoteReference"/>
        </w:rPr>
        <w:footnoteRef/>
      </w:r>
      <w:r>
        <w:t xml:space="preserve"> </w:t>
      </w:r>
      <w:r w:rsidR="00866E27">
        <w:t xml:space="preserve">Briggs, </w:t>
      </w:r>
      <w:r>
        <w:t xml:space="preserve">Saxons, Normans, and Victorians, p.6. </w:t>
      </w:r>
    </w:p>
  </w:footnote>
  <w:footnote w:id="25">
    <w:p w14:paraId="1D196A35" w14:textId="1C68EEA2" w:rsidR="006333B0" w:rsidRDefault="006333B0">
      <w:pPr>
        <w:pStyle w:val="FootnoteText"/>
      </w:pPr>
      <w:r>
        <w:rPr>
          <w:rStyle w:val="FootnoteReference"/>
        </w:rPr>
        <w:footnoteRef/>
      </w:r>
      <w:r>
        <w:t xml:space="preserve"> </w:t>
      </w:r>
      <w:r w:rsidR="00866E27">
        <w:t xml:space="preserve">Briggs, </w:t>
      </w:r>
      <w:r>
        <w:t xml:space="preserve">Saxons, Normans, and Victorians, p.9. </w:t>
      </w:r>
    </w:p>
  </w:footnote>
  <w:footnote w:id="26">
    <w:p w14:paraId="17BAAC52" w14:textId="650C7349" w:rsidR="002A6300" w:rsidRDefault="002A6300">
      <w:pPr>
        <w:pStyle w:val="FootnoteText"/>
      </w:pPr>
      <w:r>
        <w:rPr>
          <w:rStyle w:val="FootnoteReference"/>
        </w:rPr>
        <w:footnoteRef/>
      </w:r>
      <w:r>
        <w:t xml:space="preserve"> </w:t>
      </w:r>
      <w:r w:rsidR="00866E27">
        <w:t>Sayles, M</w:t>
      </w:r>
      <w:r>
        <w:t xml:space="preserve">edieval foundations of England, p.212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C20901"/>
    <w:multiLevelType w:val="hybridMultilevel"/>
    <w:tmpl w:val="54CA315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23E70375"/>
    <w:multiLevelType w:val="hybridMultilevel"/>
    <w:tmpl w:val="242636B6"/>
    <w:lvl w:ilvl="0" w:tplc="A76E908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CA79C0"/>
    <w:multiLevelType w:val="hybridMultilevel"/>
    <w:tmpl w:val="AD82C17A"/>
    <w:lvl w:ilvl="0" w:tplc="6EBEEDB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9502238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10126160">
    <w:abstractNumId w:val="2"/>
  </w:num>
  <w:num w:numId="3" w16cid:durableId="15583982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3C51"/>
    <w:rsid w:val="00037062"/>
    <w:rsid w:val="00051138"/>
    <w:rsid w:val="000A02F4"/>
    <w:rsid w:val="000B0866"/>
    <w:rsid w:val="000B6698"/>
    <w:rsid w:val="000D2C58"/>
    <w:rsid w:val="00137978"/>
    <w:rsid w:val="00152958"/>
    <w:rsid w:val="001602E5"/>
    <w:rsid w:val="00166230"/>
    <w:rsid w:val="0016771C"/>
    <w:rsid w:val="001850E2"/>
    <w:rsid w:val="001C2EFD"/>
    <w:rsid w:val="001C6411"/>
    <w:rsid w:val="001D1E05"/>
    <w:rsid w:val="001E1215"/>
    <w:rsid w:val="001E76B7"/>
    <w:rsid w:val="001F60C3"/>
    <w:rsid w:val="00205B81"/>
    <w:rsid w:val="00217C80"/>
    <w:rsid w:val="0023383E"/>
    <w:rsid w:val="00240ACE"/>
    <w:rsid w:val="00243451"/>
    <w:rsid w:val="002532CF"/>
    <w:rsid w:val="00255A22"/>
    <w:rsid w:val="002724C0"/>
    <w:rsid w:val="002A6300"/>
    <w:rsid w:val="002B108B"/>
    <w:rsid w:val="002C0B01"/>
    <w:rsid w:val="002D3789"/>
    <w:rsid w:val="002D7478"/>
    <w:rsid w:val="00301671"/>
    <w:rsid w:val="0032022A"/>
    <w:rsid w:val="00333307"/>
    <w:rsid w:val="003752CD"/>
    <w:rsid w:val="00395839"/>
    <w:rsid w:val="003D3306"/>
    <w:rsid w:val="00405C27"/>
    <w:rsid w:val="00405E0D"/>
    <w:rsid w:val="004247DB"/>
    <w:rsid w:val="00432396"/>
    <w:rsid w:val="004536C8"/>
    <w:rsid w:val="004569A7"/>
    <w:rsid w:val="004621AF"/>
    <w:rsid w:val="004656B8"/>
    <w:rsid w:val="00486E5E"/>
    <w:rsid w:val="004A1244"/>
    <w:rsid w:val="004A3840"/>
    <w:rsid w:val="00511099"/>
    <w:rsid w:val="005431EB"/>
    <w:rsid w:val="005509CC"/>
    <w:rsid w:val="00554D3B"/>
    <w:rsid w:val="005608AF"/>
    <w:rsid w:val="00564926"/>
    <w:rsid w:val="005948A6"/>
    <w:rsid w:val="005E7A70"/>
    <w:rsid w:val="005F3CFB"/>
    <w:rsid w:val="006022F3"/>
    <w:rsid w:val="0060684E"/>
    <w:rsid w:val="006077AE"/>
    <w:rsid w:val="006333B0"/>
    <w:rsid w:val="00645D15"/>
    <w:rsid w:val="00666E9B"/>
    <w:rsid w:val="006842A9"/>
    <w:rsid w:val="006A585E"/>
    <w:rsid w:val="006A5E48"/>
    <w:rsid w:val="006C1136"/>
    <w:rsid w:val="007038E4"/>
    <w:rsid w:val="0071360B"/>
    <w:rsid w:val="00717F3A"/>
    <w:rsid w:val="00751CA8"/>
    <w:rsid w:val="00754088"/>
    <w:rsid w:val="00775880"/>
    <w:rsid w:val="00775F65"/>
    <w:rsid w:val="007764A2"/>
    <w:rsid w:val="007A3CE5"/>
    <w:rsid w:val="007A5951"/>
    <w:rsid w:val="007B309B"/>
    <w:rsid w:val="007F1256"/>
    <w:rsid w:val="00815989"/>
    <w:rsid w:val="008266A4"/>
    <w:rsid w:val="00845933"/>
    <w:rsid w:val="00866E27"/>
    <w:rsid w:val="008D392A"/>
    <w:rsid w:val="008E2125"/>
    <w:rsid w:val="008E2DEC"/>
    <w:rsid w:val="008E473D"/>
    <w:rsid w:val="008E4EA6"/>
    <w:rsid w:val="008F3C90"/>
    <w:rsid w:val="00906D03"/>
    <w:rsid w:val="00920915"/>
    <w:rsid w:val="0093274C"/>
    <w:rsid w:val="00965237"/>
    <w:rsid w:val="009C3758"/>
    <w:rsid w:val="00A14FF7"/>
    <w:rsid w:val="00A45780"/>
    <w:rsid w:val="00A47F1E"/>
    <w:rsid w:val="00A5262B"/>
    <w:rsid w:val="00A813BC"/>
    <w:rsid w:val="00AB2E32"/>
    <w:rsid w:val="00AD5516"/>
    <w:rsid w:val="00AE398B"/>
    <w:rsid w:val="00B41A51"/>
    <w:rsid w:val="00B46D00"/>
    <w:rsid w:val="00B57A2E"/>
    <w:rsid w:val="00B74B49"/>
    <w:rsid w:val="00B76C63"/>
    <w:rsid w:val="00B76D51"/>
    <w:rsid w:val="00B8152E"/>
    <w:rsid w:val="00B8748B"/>
    <w:rsid w:val="00BC13D2"/>
    <w:rsid w:val="00BC51FB"/>
    <w:rsid w:val="00BC693A"/>
    <w:rsid w:val="00BE63C7"/>
    <w:rsid w:val="00BF3D89"/>
    <w:rsid w:val="00C10A86"/>
    <w:rsid w:val="00C801D2"/>
    <w:rsid w:val="00CA1548"/>
    <w:rsid w:val="00CA5B91"/>
    <w:rsid w:val="00CC7D27"/>
    <w:rsid w:val="00CE1801"/>
    <w:rsid w:val="00CE6F3F"/>
    <w:rsid w:val="00CF2BA3"/>
    <w:rsid w:val="00CF2DB5"/>
    <w:rsid w:val="00D206FB"/>
    <w:rsid w:val="00D22FBB"/>
    <w:rsid w:val="00D240ED"/>
    <w:rsid w:val="00D664E8"/>
    <w:rsid w:val="00D70918"/>
    <w:rsid w:val="00D73C51"/>
    <w:rsid w:val="00D829A6"/>
    <w:rsid w:val="00D86D37"/>
    <w:rsid w:val="00D940A9"/>
    <w:rsid w:val="00D958A9"/>
    <w:rsid w:val="00DE59FE"/>
    <w:rsid w:val="00E07726"/>
    <w:rsid w:val="00E56FD4"/>
    <w:rsid w:val="00E742FF"/>
    <w:rsid w:val="00EA723E"/>
    <w:rsid w:val="00EC551A"/>
    <w:rsid w:val="00EF7F58"/>
    <w:rsid w:val="00F11D3C"/>
    <w:rsid w:val="00F273C5"/>
    <w:rsid w:val="00F27AE1"/>
    <w:rsid w:val="00F32697"/>
    <w:rsid w:val="00F36960"/>
    <w:rsid w:val="00F44868"/>
    <w:rsid w:val="00F52FFD"/>
    <w:rsid w:val="00F574A4"/>
    <w:rsid w:val="00FA2AE9"/>
    <w:rsid w:val="00FB2A2B"/>
    <w:rsid w:val="00FD34B2"/>
    <w:rsid w:val="00FD5814"/>
    <w:rsid w:val="00FE0F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B8077D"/>
  <w15:chartTrackingRefBased/>
  <w15:docId w15:val="{C6E54194-91E8-4F11-BBE4-1633FE8BFF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73C51"/>
    <w:pPr>
      <w:spacing w:after="0" w:line="240" w:lineRule="auto"/>
      <w:ind w:left="720"/>
    </w:pPr>
    <w:rPr>
      <w:rFonts w:ascii="Times New Roman" w:eastAsia="Times New Roman" w:hAnsi="Times New Roman" w:cs="Times New Roman"/>
      <w:kern w:val="0"/>
      <w:sz w:val="24"/>
      <w:szCs w:val="24"/>
      <w14:ligatures w14:val="none"/>
    </w:rPr>
  </w:style>
  <w:style w:type="paragraph" w:styleId="FootnoteText">
    <w:name w:val="footnote text"/>
    <w:basedOn w:val="Normal"/>
    <w:link w:val="FootnoteTextChar"/>
    <w:uiPriority w:val="99"/>
    <w:semiHidden/>
    <w:unhideWhenUsed/>
    <w:rsid w:val="00FD34B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D34B2"/>
    <w:rPr>
      <w:sz w:val="20"/>
      <w:szCs w:val="20"/>
    </w:rPr>
  </w:style>
  <w:style w:type="character" w:styleId="FootnoteReference">
    <w:name w:val="footnote reference"/>
    <w:basedOn w:val="DefaultParagraphFont"/>
    <w:uiPriority w:val="99"/>
    <w:semiHidden/>
    <w:unhideWhenUsed/>
    <w:rsid w:val="00FD34B2"/>
    <w:rPr>
      <w:vertAlign w:val="superscript"/>
    </w:rPr>
  </w:style>
  <w:style w:type="character" w:styleId="Hyperlink">
    <w:name w:val="Hyperlink"/>
    <w:basedOn w:val="DefaultParagraphFont"/>
    <w:semiHidden/>
    <w:unhideWhenUsed/>
    <w:rsid w:val="005948A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4784283">
      <w:bodyDiv w:val="1"/>
      <w:marLeft w:val="0"/>
      <w:marRight w:val="0"/>
      <w:marTop w:val="0"/>
      <w:marBottom w:val="0"/>
      <w:divBdr>
        <w:top w:val="none" w:sz="0" w:space="0" w:color="auto"/>
        <w:left w:val="none" w:sz="0" w:space="0" w:color="auto"/>
        <w:bottom w:val="none" w:sz="0" w:space="0" w:color="auto"/>
        <w:right w:val="none" w:sz="0" w:space="0" w:color="auto"/>
      </w:divBdr>
    </w:div>
    <w:div w:id="1342393744">
      <w:bodyDiv w:val="1"/>
      <w:marLeft w:val="0"/>
      <w:marRight w:val="0"/>
      <w:marTop w:val="0"/>
      <w:marBottom w:val="0"/>
      <w:divBdr>
        <w:top w:val="none" w:sz="0" w:space="0" w:color="auto"/>
        <w:left w:val="none" w:sz="0" w:space="0" w:color="auto"/>
        <w:bottom w:val="none" w:sz="0" w:space="0" w:color="auto"/>
        <w:right w:val="none" w:sz="0" w:space="0" w:color="auto"/>
      </w:divBdr>
    </w:div>
    <w:div w:id="1993408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1102</TotalTime>
  <Pages>6</Pages>
  <Words>2269</Words>
  <Characters>12934</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Laughlin</dc:creator>
  <cp:keywords/>
  <dc:description/>
  <cp:lastModifiedBy>Becky Laughlin</cp:lastModifiedBy>
  <cp:revision>139</cp:revision>
  <dcterms:created xsi:type="dcterms:W3CDTF">2023-02-02T12:23:00Z</dcterms:created>
  <dcterms:modified xsi:type="dcterms:W3CDTF">2023-02-19T23:03:00Z</dcterms:modified>
</cp:coreProperties>
</file>