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6C942" w14:textId="331171E2" w:rsidR="00A55237" w:rsidRDefault="004C2BAE" w:rsidP="004C2BAE">
      <w:pPr>
        <w:jc w:val="center"/>
        <w:rPr>
          <w:rFonts w:ascii="Arial" w:hAnsi="Arial" w:cs="Arial"/>
          <w:sz w:val="24"/>
          <w:szCs w:val="24"/>
        </w:rPr>
      </w:pPr>
      <w:r>
        <w:rPr>
          <w:rFonts w:ascii="Arial" w:hAnsi="Arial" w:cs="Arial"/>
          <w:sz w:val="24"/>
          <w:szCs w:val="24"/>
        </w:rPr>
        <w:t>Scenario Question</w:t>
      </w:r>
    </w:p>
    <w:p w14:paraId="39149A32" w14:textId="4703B347" w:rsidR="00241343" w:rsidRPr="00241343" w:rsidRDefault="00241343" w:rsidP="00241343">
      <w:pPr>
        <w:rPr>
          <w:rFonts w:ascii="Arial" w:hAnsi="Arial" w:cs="Arial"/>
          <w:sz w:val="24"/>
          <w:szCs w:val="24"/>
        </w:rPr>
      </w:pPr>
      <w:r>
        <w:rPr>
          <w:rFonts w:ascii="Arial" w:hAnsi="Arial" w:cs="Arial"/>
          <w:sz w:val="24"/>
          <w:szCs w:val="24"/>
        </w:rPr>
        <w:t>“</w:t>
      </w:r>
      <w:r w:rsidRPr="00241343">
        <w:rPr>
          <w:rFonts w:ascii="Arial" w:hAnsi="Arial" w:cs="Arial"/>
          <w:sz w:val="24"/>
          <w:szCs w:val="24"/>
        </w:rPr>
        <w:t xml:space="preserve">Christine had recently turned 40 and her husband had arranged a surprise birthday party for her at their home. On the night of the party, Christine was very keen to show her guests the expensive gifts she had been given for her birthday, one being a designer handbag. One of Christine's friends, Paula had always been extremely jealous of the lavish gifts that Christine’s husband bought her and when no one was looking, she put the handbag inside her coat and took it outside. When Paula heard someone coming, she placed the handbag underneath her car with the intention of putting it into her car when the party had finished. </w:t>
      </w:r>
    </w:p>
    <w:p w14:paraId="666C48E1" w14:textId="77777777" w:rsidR="00241343" w:rsidRPr="00241343" w:rsidRDefault="00241343" w:rsidP="00241343">
      <w:pPr>
        <w:rPr>
          <w:rFonts w:ascii="Arial" w:hAnsi="Arial" w:cs="Arial"/>
          <w:sz w:val="24"/>
          <w:szCs w:val="24"/>
        </w:rPr>
      </w:pPr>
      <w:r w:rsidRPr="00241343">
        <w:rPr>
          <w:rFonts w:ascii="Arial" w:hAnsi="Arial" w:cs="Arial"/>
          <w:sz w:val="24"/>
          <w:szCs w:val="24"/>
        </w:rPr>
        <w:t xml:space="preserve">Also at the party were Leon and Harriet who had been recently introduced to one another. Harriet didn't drink alcohol </w:t>
      </w:r>
      <w:proofErr w:type="gramStart"/>
      <w:r w:rsidRPr="00241343">
        <w:rPr>
          <w:rFonts w:ascii="Arial" w:hAnsi="Arial" w:cs="Arial"/>
          <w:sz w:val="24"/>
          <w:szCs w:val="24"/>
        </w:rPr>
        <w:t>due to the fact that</w:t>
      </w:r>
      <w:proofErr w:type="gramEnd"/>
      <w:r w:rsidRPr="00241343">
        <w:rPr>
          <w:rFonts w:ascii="Arial" w:hAnsi="Arial" w:cs="Arial"/>
          <w:sz w:val="24"/>
          <w:szCs w:val="24"/>
        </w:rPr>
        <w:t xml:space="preserve"> she was allergic to it. When Harriet had popped to the toilet, Leon spiked Harriet's drink with vodka. When Harriet returned and drank the drink she began suffering from hallucinations. Harriet thought that fire was engulfing the house </w:t>
      </w:r>
      <w:proofErr w:type="gramStart"/>
      <w:r w:rsidRPr="00241343">
        <w:rPr>
          <w:rFonts w:ascii="Arial" w:hAnsi="Arial" w:cs="Arial"/>
          <w:sz w:val="24"/>
          <w:szCs w:val="24"/>
        </w:rPr>
        <w:t>and in an attempt</w:t>
      </w:r>
      <w:proofErr w:type="gramEnd"/>
      <w:r w:rsidRPr="00241343">
        <w:rPr>
          <w:rFonts w:ascii="Arial" w:hAnsi="Arial" w:cs="Arial"/>
          <w:sz w:val="24"/>
          <w:szCs w:val="24"/>
        </w:rPr>
        <w:t xml:space="preserve"> to get out, she began smashing the large panes of glass in the bi-fold doors of Christine's kitchen. She also hit one of the other guests (Daniel) in the face, causing a broken cheek bone. Christine and her husband managed to calm Harriet </w:t>
      </w:r>
      <w:proofErr w:type="gramStart"/>
      <w:r w:rsidRPr="00241343">
        <w:rPr>
          <w:rFonts w:ascii="Arial" w:hAnsi="Arial" w:cs="Arial"/>
          <w:sz w:val="24"/>
          <w:szCs w:val="24"/>
        </w:rPr>
        <w:t>down, and</w:t>
      </w:r>
      <w:proofErr w:type="gramEnd"/>
      <w:r w:rsidRPr="00241343">
        <w:rPr>
          <w:rFonts w:ascii="Arial" w:hAnsi="Arial" w:cs="Arial"/>
          <w:sz w:val="24"/>
          <w:szCs w:val="24"/>
        </w:rPr>
        <w:t xml:space="preserve"> asked everyone to leave. </w:t>
      </w:r>
    </w:p>
    <w:p w14:paraId="2C1B1697" w14:textId="0A7246F8" w:rsidR="00B26636" w:rsidRPr="00241343" w:rsidRDefault="00241343" w:rsidP="00241343">
      <w:pPr>
        <w:rPr>
          <w:rFonts w:ascii="Arial" w:hAnsi="Arial" w:cs="Arial"/>
          <w:sz w:val="24"/>
          <w:szCs w:val="24"/>
        </w:rPr>
      </w:pPr>
      <w:r w:rsidRPr="00241343">
        <w:rPr>
          <w:rFonts w:ascii="Arial" w:hAnsi="Arial" w:cs="Arial"/>
          <w:sz w:val="24"/>
          <w:szCs w:val="24"/>
        </w:rPr>
        <w:t>Upon leaving, Paula picked up the designer handbag from underneath her car, placed it in the foot well and drove home.</w:t>
      </w:r>
      <w:r>
        <w:rPr>
          <w:rFonts w:ascii="Arial" w:hAnsi="Arial" w:cs="Arial"/>
          <w:sz w:val="24"/>
          <w:szCs w:val="24"/>
        </w:rPr>
        <w:t>”</w:t>
      </w:r>
    </w:p>
    <w:p w14:paraId="00B74E94" w14:textId="13B99D03" w:rsidR="00241343" w:rsidRPr="00241343" w:rsidRDefault="0079735A" w:rsidP="00241343">
      <w:pPr>
        <w:rPr>
          <w:rFonts w:ascii="Arial" w:hAnsi="Arial" w:cs="Arial"/>
          <w:sz w:val="24"/>
          <w:szCs w:val="24"/>
        </w:rPr>
      </w:pPr>
      <w:r w:rsidRPr="0079735A">
        <w:rPr>
          <w:rFonts w:ascii="Arial" w:hAnsi="Arial" w:cs="Arial"/>
          <w:sz w:val="24"/>
          <w:szCs w:val="24"/>
        </w:rPr>
        <w:t xml:space="preserve">The application of criminal liability and </w:t>
      </w:r>
      <w:r w:rsidRPr="0079735A">
        <w:rPr>
          <w:rFonts w:ascii="Arial" w:hAnsi="Arial" w:cs="Arial"/>
          <w:sz w:val="24"/>
          <w:szCs w:val="24"/>
        </w:rPr>
        <w:t>defences</w:t>
      </w:r>
      <w:r w:rsidRPr="0079735A">
        <w:rPr>
          <w:rFonts w:ascii="Arial" w:hAnsi="Arial" w:cs="Arial"/>
          <w:sz w:val="24"/>
          <w:szCs w:val="24"/>
        </w:rPr>
        <w:t xml:space="preserve"> in the legal system of England and Wales plays a crucial role in determining individuals' culpability and protecting their rights. This assignment provides a comprehensive analysis of the application of criminal liability and </w:t>
      </w:r>
      <w:r w:rsidRPr="0079735A">
        <w:rPr>
          <w:rFonts w:ascii="Arial" w:hAnsi="Arial" w:cs="Arial"/>
          <w:sz w:val="24"/>
          <w:szCs w:val="24"/>
        </w:rPr>
        <w:t>defences</w:t>
      </w:r>
      <w:r w:rsidRPr="0079735A">
        <w:rPr>
          <w:rFonts w:ascii="Arial" w:hAnsi="Arial" w:cs="Arial"/>
          <w:sz w:val="24"/>
          <w:szCs w:val="24"/>
        </w:rPr>
        <w:t xml:space="preserve"> in the jurisdiction, exploring key legal principles, relevant statutes, and notable case law</w:t>
      </w:r>
      <w:r w:rsidRPr="0079735A">
        <w:rPr>
          <w:rFonts w:ascii="Arial" w:hAnsi="Arial" w:cs="Arial"/>
          <w:sz w:val="24"/>
          <w:szCs w:val="24"/>
        </w:rPr>
        <w:t>.</w:t>
      </w:r>
      <w:r>
        <w:rPr>
          <w:rFonts w:ascii="Segoe UI" w:hAnsi="Segoe UI" w:cs="Segoe UI"/>
          <w:color w:val="374151"/>
          <w:shd w:val="clear" w:color="auto" w:fill="F7F7F8"/>
        </w:rPr>
        <w:t xml:space="preserve"> </w:t>
      </w:r>
      <w:r w:rsidR="00241343" w:rsidRPr="00241343">
        <w:rPr>
          <w:rFonts w:ascii="Arial" w:hAnsi="Arial" w:cs="Arial"/>
          <w:sz w:val="24"/>
          <w:szCs w:val="24"/>
        </w:rPr>
        <w:t xml:space="preserve">Through an analysis of the theft incident involving Paula and the assault incident involving Harriet, this essay aims to provide an understanding of the elements of criminal liability for theft and assault in England and Wales. It will also explore potential </w:t>
      </w:r>
      <w:r w:rsidR="00241343" w:rsidRPr="00241343">
        <w:rPr>
          <w:rFonts w:ascii="Arial" w:hAnsi="Arial" w:cs="Arial"/>
          <w:sz w:val="24"/>
          <w:szCs w:val="24"/>
        </w:rPr>
        <w:t>defences</w:t>
      </w:r>
      <w:r w:rsidR="00241343" w:rsidRPr="00241343">
        <w:rPr>
          <w:rFonts w:ascii="Arial" w:hAnsi="Arial" w:cs="Arial"/>
          <w:sz w:val="24"/>
          <w:szCs w:val="24"/>
        </w:rPr>
        <w:t xml:space="preserve"> that may arise based on the circumstances of the case, allowing for a comprehensive examination of the legal implications in this birthday party scenario.</w:t>
      </w:r>
    </w:p>
    <w:p w14:paraId="59DFEC54" w14:textId="6C5A73BC" w:rsidR="004C2BAE" w:rsidRDefault="004C2BAE" w:rsidP="004C2BAE">
      <w:pPr>
        <w:rPr>
          <w:rFonts w:ascii="Arial" w:hAnsi="Arial" w:cs="Arial"/>
          <w:sz w:val="24"/>
          <w:szCs w:val="24"/>
        </w:rPr>
      </w:pPr>
      <w:r>
        <w:rPr>
          <w:rFonts w:ascii="Arial" w:hAnsi="Arial" w:cs="Arial"/>
          <w:sz w:val="24"/>
          <w:szCs w:val="24"/>
        </w:rPr>
        <w:t xml:space="preserve">Paula’s actions in this scenario can potentially give rise to criminal liability for theft under the Theft Act 1968. By taking </w:t>
      </w:r>
      <w:r w:rsidRPr="00321C2D">
        <w:rPr>
          <w:rFonts w:ascii="Arial" w:hAnsi="Arial" w:cs="Arial"/>
          <w:sz w:val="24"/>
          <w:szCs w:val="24"/>
        </w:rPr>
        <w:t>Christine's handbag without her consent and with the intention of permanently depriving her of it, Paula may have committed theft</w:t>
      </w:r>
      <w:r>
        <w:rPr>
          <w:rFonts w:ascii="Arial" w:hAnsi="Arial" w:cs="Arial"/>
          <w:sz w:val="24"/>
          <w:szCs w:val="24"/>
        </w:rPr>
        <w:t xml:space="preserve"> in the eyes of the law in England and Wales. With Paula retaining the stolen handbag and taking it home, this could potentially amount to handling stolen goods which is also an offence under the Theft Act 1968. Paula may argue that she did </w:t>
      </w:r>
      <w:r w:rsidRPr="00321C2D">
        <w:rPr>
          <w:rFonts w:ascii="Arial" w:hAnsi="Arial" w:cs="Arial"/>
          <w:sz w:val="24"/>
          <w:szCs w:val="24"/>
        </w:rPr>
        <w:t>not have the necessary intention to permanently deprive Christine of the handbag</w:t>
      </w:r>
      <w:r>
        <w:rPr>
          <w:rFonts w:ascii="Arial" w:hAnsi="Arial" w:cs="Arial"/>
          <w:sz w:val="24"/>
          <w:szCs w:val="24"/>
        </w:rPr>
        <w:t xml:space="preserve">. She may claim that she intended to return it after the party. She could also argue that her actions were not </w:t>
      </w:r>
      <w:r w:rsidR="00417AFE">
        <w:rPr>
          <w:rFonts w:ascii="Arial" w:hAnsi="Arial" w:cs="Arial"/>
          <w:sz w:val="24"/>
          <w:szCs w:val="24"/>
        </w:rPr>
        <w:t>dishonest and</w:t>
      </w:r>
      <w:r>
        <w:rPr>
          <w:rFonts w:ascii="Arial" w:hAnsi="Arial" w:cs="Arial"/>
          <w:sz w:val="24"/>
          <w:szCs w:val="24"/>
        </w:rPr>
        <w:t xml:space="preserve"> suggest that she mistakenly believed the handbag belonged to her or that she had permission to take it. However, this would depend on the specific circumstances and the reasonableness of Paula’s claim. The offence of theft plays a fundamental role in criminal law, serving to protect property rights and deter unlawful taking. In England and Wales, theft is governed by the Theft Act 1968</w:t>
      </w:r>
      <w:r w:rsidR="00C27D1A">
        <w:rPr>
          <w:rFonts w:ascii="Arial" w:hAnsi="Arial" w:cs="Arial"/>
          <w:sz w:val="24"/>
          <w:szCs w:val="24"/>
        </w:rPr>
        <w:t xml:space="preserve">, where section 1 </w:t>
      </w:r>
      <w:r w:rsidR="003B6120">
        <w:rPr>
          <w:rFonts w:ascii="Arial" w:hAnsi="Arial" w:cs="Arial"/>
          <w:sz w:val="24"/>
          <w:szCs w:val="24"/>
        </w:rPr>
        <w:t xml:space="preserve">states that a person is guilty of theft if they dishonestly appropriate property belonging to another with the intention of permanently depriving the other of </w:t>
      </w:r>
      <w:r w:rsidR="003B6120">
        <w:rPr>
          <w:rFonts w:ascii="Arial" w:hAnsi="Arial" w:cs="Arial"/>
          <w:sz w:val="24"/>
          <w:szCs w:val="24"/>
        </w:rPr>
        <w:lastRenderedPageBreak/>
        <w:t>it (</w:t>
      </w:r>
      <w:r w:rsidR="00FF69B1">
        <w:rPr>
          <w:rFonts w:ascii="Arial" w:hAnsi="Arial" w:cs="Arial"/>
          <w:sz w:val="24"/>
          <w:szCs w:val="24"/>
        </w:rPr>
        <w:t>MacDonald, 2018, p.289)</w:t>
      </w:r>
      <w:r>
        <w:rPr>
          <w:rFonts w:ascii="Arial" w:hAnsi="Arial" w:cs="Arial"/>
          <w:sz w:val="24"/>
          <w:szCs w:val="24"/>
        </w:rPr>
        <w:t xml:space="preserve">. </w:t>
      </w:r>
      <w:r w:rsidR="00033606">
        <w:rPr>
          <w:rFonts w:ascii="Arial" w:hAnsi="Arial" w:cs="Arial"/>
          <w:sz w:val="24"/>
          <w:szCs w:val="24"/>
        </w:rPr>
        <w:t xml:space="preserve">The actus reus of theft has three </w:t>
      </w:r>
      <w:r w:rsidR="004536B2">
        <w:rPr>
          <w:rFonts w:ascii="Arial" w:hAnsi="Arial" w:cs="Arial"/>
          <w:sz w:val="24"/>
          <w:szCs w:val="24"/>
        </w:rPr>
        <w:t>elements:</w:t>
      </w:r>
      <w:r w:rsidR="00033606">
        <w:rPr>
          <w:rFonts w:ascii="Arial" w:hAnsi="Arial" w:cs="Arial"/>
          <w:sz w:val="24"/>
          <w:szCs w:val="24"/>
        </w:rPr>
        <w:t xml:space="preserve"> property, appropriation and belonging to another (Taylor, 2018, p.219). </w:t>
      </w:r>
      <w:r w:rsidR="001469C5">
        <w:rPr>
          <w:rFonts w:ascii="Arial" w:hAnsi="Arial" w:cs="Arial"/>
          <w:sz w:val="24"/>
          <w:szCs w:val="24"/>
        </w:rPr>
        <w:t>Section 5 of the act; “Belonging to Another”, states that a</w:t>
      </w:r>
      <w:r w:rsidR="001469C5" w:rsidRPr="001469C5">
        <w:rPr>
          <w:rFonts w:ascii="Arial" w:hAnsi="Arial" w:cs="Arial"/>
          <w:sz w:val="24"/>
          <w:szCs w:val="24"/>
        </w:rPr>
        <w:t>ny person who has ownership, control, or a proprietary right or interest in something is deemed to own that property.</w:t>
      </w:r>
      <w:r w:rsidR="001469C5">
        <w:rPr>
          <w:rFonts w:ascii="Arial" w:hAnsi="Arial" w:cs="Arial"/>
          <w:sz w:val="24"/>
          <w:szCs w:val="24"/>
        </w:rPr>
        <w:t xml:space="preserve"> In this scenario, it may be interpreted that as the bag was in Christine’s property at the time, Paula should have known that it belonged to her. This is a crucial element of actus rea in theft. In section 2 of the</w:t>
      </w:r>
      <w:r>
        <w:rPr>
          <w:rFonts w:ascii="Arial" w:hAnsi="Arial" w:cs="Arial"/>
          <w:sz w:val="24"/>
          <w:szCs w:val="24"/>
        </w:rPr>
        <w:t xml:space="preserve"> Theft Act 1968</w:t>
      </w:r>
      <w:r w:rsidR="001469C5">
        <w:rPr>
          <w:rFonts w:ascii="Arial" w:hAnsi="Arial" w:cs="Arial"/>
          <w:sz w:val="24"/>
          <w:szCs w:val="24"/>
        </w:rPr>
        <w:t>,</w:t>
      </w:r>
      <w:r>
        <w:rPr>
          <w:rFonts w:ascii="Arial" w:hAnsi="Arial" w:cs="Arial"/>
          <w:sz w:val="24"/>
          <w:szCs w:val="24"/>
        </w:rPr>
        <w:t xml:space="preserve"> the element of dishonesty in theft offences</w:t>
      </w:r>
      <w:r w:rsidR="001469C5">
        <w:rPr>
          <w:rFonts w:ascii="Arial" w:hAnsi="Arial" w:cs="Arial"/>
          <w:sz w:val="24"/>
          <w:szCs w:val="24"/>
        </w:rPr>
        <w:t xml:space="preserve"> is introduced</w:t>
      </w:r>
      <w:r>
        <w:rPr>
          <w:rFonts w:ascii="Arial" w:hAnsi="Arial" w:cs="Arial"/>
          <w:sz w:val="24"/>
          <w:szCs w:val="24"/>
        </w:rPr>
        <w:t>. The subjective test of dishonesty, as established in R v Ghosh (1982), requires the defendant to have acted dishonestly by the standards of reasonable people, and the defendant must also have realised this</w:t>
      </w:r>
      <w:r w:rsidR="007D3454">
        <w:rPr>
          <w:rFonts w:ascii="Arial" w:hAnsi="Arial" w:cs="Arial"/>
          <w:sz w:val="24"/>
          <w:szCs w:val="24"/>
        </w:rPr>
        <w:t xml:space="preserve"> (</w:t>
      </w:r>
      <w:r w:rsidR="003F5283">
        <w:rPr>
          <w:rFonts w:ascii="Arial" w:hAnsi="Arial" w:cs="Arial"/>
          <w:sz w:val="24"/>
          <w:szCs w:val="24"/>
        </w:rPr>
        <w:t>Taylor</w:t>
      </w:r>
      <w:r w:rsidR="007D3454">
        <w:rPr>
          <w:rFonts w:ascii="Arial" w:hAnsi="Arial" w:cs="Arial"/>
          <w:sz w:val="24"/>
          <w:szCs w:val="24"/>
        </w:rPr>
        <w:t xml:space="preserve">, </w:t>
      </w:r>
      <w:r w:rsidR="00984486">
        <w:rPr>
          <w:rFonts w:ascii="Arial" w:hAnsi="Arial" w:cs="Arial"/>
          <w:sz w:val="24"/>
          <w:szCs w:val="24"/>
        </w:rPr>
        <w:t>2018, p.233)</w:t>
      </w:r>
      <w:r>
        <w:rPr>
          <w:rFonts w:ascii="Arial" w:hAnsi="Arial" w:cs="Arial"/>
          <w:sz w:val="24"/>
          <w:szCs w:val="24"/>
        </w:rPr>
        <w:t xml:space="preserve">. In this scenario, Paula would need to show that she was not acting dishonestly during the time of the offence. </w:t>
      </w:r>
      <w:r w:rsidR="00B7176B">
        <w:rPr>
          <w:rFonts w:ascii="Arial" w:hAnsi="Arial" w:cs="Arial"/>
          <w:sz w:val="24"/>
          <w:szCs w:val="24"/>
        </w:rPr>
        <w:t xml:space="preserve">The </w:t>
      </w:r>
      <w:proofErr w:type="spellStart"/>
      <w:r w:rsidR="00B7176B">
        <w:rPr>
          <w:rFonts w:ascii="Arial" w:hAnsi="Arial" w:cs="Arial"/>
          <w:sz w:val="24"/>
          <w:szCs w:val="24"/>
        </w:rPr>
        <w:t>mens</w:t>
      </w:r>
      <w:proofErr w:type="spellEnd"/>
      <w:r w:rsidR="00B7176B">
        <w:rPr>
          <w:rFonts w:ascii="Arial" w:hAnsi="Arial" w:cs="Arial"/>
          <w:sz w:val="24"/>
          <w:szCs w:val="24"/>
        </w:rPr>
        <w:t xml:space="preserve"> rea of theft has two elements, intention permanently to deprive and dishonesty (Taylor, </w:t>
      </w:r>
      <w:r w:rsidR="00A83EC5">
        <w:rPr>
          <w:rFonts w:ascii="Arial" w:hAnsi="Arial" w:cs="Arial"/>
          <w:sz w:val="24"/>
          <w:szCs w:val="24"/>
        </w:rPr>
        <w:t xml:space="preserve">2018, p.231). </w:t>
      </w:r>
      <w:r>
        <w:rPr>
          <w:rFonts w:ascii="Arial" w:hAnsi="Arial" w:cs="Arial"/>
          <w:sz w:val="24"/>
          <w:szCs w:val="24"/>
        </w:rPr>
        <w:t xml:space="preserve">The intention to permanently deprive the owner of their property is a crucial element of </w:t>
      </w:r>
      <w:proofErr w:type="spellStart"/>
      <w:r>
        <w:rPr>
          <w:rFonts w:ascii="Arial" w:hAnsi="Arial" w:cs="Arial"/>
          <w:sz w:val="24"/>
          <w:szCs w:val="24"/>
        </w:rPr>
        <w:t>mens</w:t>
      </w:r>
      <w:proofErr w:type="spellEnd"/>
      <w:r>
        <w:rPr>
          <w:rFonts w:ascii="Arial" w:hAnsi="Arial" w:cs="Arial"/>
          <w:sz w:val="24"/>
          <w:szCs w:val="24"/>
        </w:rPr>
        <w:t xml:space="preserve"> rea in theft. Section 6 of the Theft Act 1968 outlines various </w:t>
      </w:r>
      <w:r w:rsidR="001469C5">
        <w:rPr>
          <w:rFonts w:ascii="Arial" w:hAnsi="Arial" w:cs="Arial"/>
          <w:sz w:val="24"/>
          <w:szCs w:val="24"/>
        </w:rPr>
        <w:t>scenarios where a defendant is treated as having the intention to permanently deprive</w:t>
      </w:r>
      <w:r w:rsidR="00611FE5">
        <w:rPr>
          <w:rFonts w:ascii="Arial" w:hAnsi="Arial" w:cs="Arial"/>
          <w:sz w:val="24"/>
          <w:szCs w:val="24"/>
        </w:rPr>
        <w:t xml:space="preserve"> (Herring, 2022, p.513).</w:t>
      </w:r>
      <w:r w:rsidR="00241343">
        <w:rPr>
          <w:rFonts w:ascii="Arial" w:hAnsi="Arial" w:cs="Arial"/>
          <w:sz w:val="24"/>
          <w:szCs w:val="24"/>
        </w:rPr>
        <w:t xml:space="preserve"> In this scenario, </w:t>
      </w:r>
      <w:proofErr w:type="gramStart"/>
      <w:r w:rsidR="00241343">
        <w:rPr>
          <w:rFonts w:ascii="Arial" w:hAnsi="Arial" w:cs="Arial"/>
          <w:sz w:val="24"/>
          <w:szCs w:val="24"/>
        </w:rPr>
        <w:t>it would appear that Paula</w:t>
      </w:r>
      <w:proofErr w:type="gramEnd"/>
      <w:r w:rsidR="00241343">
        <w:rPr>
          <w:rFonts w:ascii="Arial" w:hAnsi="Arial" w:cs="Arial"/>
          <w:sz w:val="24"/>
          <w:szCs w:val="24"/>
        </w:rPr>
        <w:t xml:space="preserve"> had the intention to permanently deprive Catherine of her handbag, as she drove home with it in her car. </w:t>
      </w:r>
      <w:r w:rsidR="00A83EC5">
        <w:rPr>
          <w:rFonts w:ascii="Arial" w:hAnsi="Arial" w:cs="Arial"/>
          <w:sz w:val="24"/>
          <w:szCs w:val="24"/>
        </w:rPr>
        <w:t xml:space="preserve">The maximum sentence for theft is seven years’ imprisonment (Taylor, 2018, p.235). </w:t>
      </w:r>
      <w:r w:rsidR="00176BA8">
        <w:rPr>
          <w:rFonts w:ascii="Arial" w:hAnsi="Arial" w:cs="Arial"/>
          <w:sz w:val="24"/>
          <w:szCs w:val="24"/>
        </w:rPr>
        <w:t xml:space="preserve">Another factor that would need to be examined is whether </w:t>
      </w:r>
      <w:r w:rsidR="00376FF1">
        <w:rPr>
          <w:rFonts w:ascii="Arial" w:hAnsi="Arial" w:cs="Arial"/>
          <w:sz w:val="24"/>
          <w:szCs w:val="24"/>
        </w:rPr>
        <w:t xml:space="preserve">the handbag was regarded as abandoned and ownerless. If the handbag wasn’t in </w:t>
      </w:r>
      <w:r w:rsidR="004536B2">
        <w:rPr>
          <w:rFonts w:ascii="Arial" w:hAnsi="Arial" w:cs="Arial"/>
          <w:sz w:val="24"/>
          <w:szCs w:val="24"/>
        </w:rPr>
        <w:t>Christine’s</w:t>
      </w:r>
      <w:r w:rsidR="00376FF1">
        <w:rPr>
          <w:rFonts w:ascii="Arial" w:hAnsi="Arial" w:cs="Arial"/>
          <w:sz w:val="24"/>
          <w:szCs w:val="24"/>
        </w:rPr>
        <w:t xml:space="preserve"> possession at the time of the offence, Paula could potentially argue that the </w:t>
      </w:r>
      <w:r w:rsidR="00DA37B0">
        <w:rPr>
          <w:rFonts w:ascii="Arial" w:hAnsi="Arial" w:cs="Arial"/>
          <w:sz w:val="24"/>
          <w:szCs w:val="24"/>
        </w:rPr>
        <w:t>property didn’t belong to her. We see an example of this</w:t>
      </w:r>
      <w:r w:rsidR="004F0153">
        <w:rPr>
          <w:rFonts w:ascii="Arial" w:hAnsi="Arial" w:cs="Arial"/>
          <w:sz w:val="24"/>
          <w:szCs w:val="24"/>
        </w:rPr>
        <w:t xml:space="preserve"> defence</w:t>
      </w:r>
      <w:r w:rsidR="00DA37B0">
        <w:rPr>
          <w:rFonts w:ascii="Arial" w:hAnsi="Arial" w:cs="Arial"/>
          <w:sz w:val="24"/>
          <w:szCs w:val="24"/>
        </w:rPr>
        <w:t xml:space="preserve"> in the case of Ricketts v Basildon Magistrate</w:t>
      </w:r>
      <w:r w:rsidR="00EB3E43">
        <w:rPr>
          <w:rFonts w:ascii="Arial" w:hAnsi="Arial" w:cs="Arial"/>
          <w:sz w:val="24"/>
          <w:szCs w:val="24"/>
        </w:rPr>
        <w:t>s</w:t>
      </w:r>
      <w:r w:rsidR="00DA37B0">
        <w:rPr>
          <w:rFonts w:ascii="Arial" w:hAnsi="Arial" w:cs="Arial"/>
          <w:sz w:val="24"/>
          <w:szCs w:val="24"/>
        </w:rPr>
        <w:t xml:space="preserve">’ Court (2010) </w:t>
      </w:r>
      <w:r w:rsidR="00487A11">
        <w:rPr>
          <w:rFonts w:ascii="Arial" w:hAnsi="Arial" w:cs="Arial"/>
          <w:sz w:val="24"/>
          <w:szCs w:val="24"/>
        </w:rPr>
        <w:t xml:space="preserve">where the defendant took bags left outside of charity shops that had been left by donors. </w:t>
      </w:r>
      <w:r w:rsidR="0031410B">
        <w:rPr>
          <w:rFonts w:ascii="Arial" w:hAnsi="Arial" w:cs="Arial"/>
          <w:sz w:val="24"/>
          <w:szCs w:val="24"/>
        </w:rPr>
        <w:t>The issue in this case was proving that the bags that Ricketts took belonged to another person</w:t>
      </w:r>
      <w:r w:rsidR="003D66D5">
        <w:rPr>
          <w:rFonts w:ascii="Arial" w:hAnsi="Arial" w:cs="Arial"/>
          <w:sz w:val="24"/>
          <w:szCs w:val="24"/>
        </w:rPr>
        <w:t xml:space="preserve">. </w:t>
      </w:r>
      <w:r w:rsidR="002024F8">
        <w:rPr>
          <w:rFonts w:ascii="Arial" w:hAnsi="Arial" w:cs="Arial"/>
          <w:sz w:val="24"/>
          <w:szCs w:val="24"/>
        </w:rPr>
        <w:t xml:space="preserve">However, despite </w:t>
      </w:r>
      <w:r w:rsidR="00A67448">
        <w:rPr>
          <w:rFonts w:ascii="Arial" w:hAnsi="Arial" w:cs="Arial"/>
          <w:sz w:val="24"/>
          <w:szCs w:val="24"/>
        </w:rPr>
        <w:t>the uncertainty in this case, the defendant was charged with theft</w:t>
      </w:r>
      <w:r w:rsidR="003D66D5">
        <w:rPr>
          <w:rFonts w:ascii="Arial" w:hAnsi="Arial" w:cs="Arial"/>
          <w:sz w:val="24"/>
          <w:szCs w:val="24"/>
        </w:rPr>
        <w:t xml:space="preserve"> (MacDonald, 2018, p.295). </w:t>
      </w:r>
      <w:r w:rsidR="00E5785C">
        <w:rPr>
          <w:rFonts w:ascii="Arial" w:hAnsi="Arial" w:cs="Arial"/>
          <w:sz w:val="24"/>
          <w:szCs w:val="24"/>
        </w:rPr>
        <w:t xml:space="preserve">In this scenario, it’s likely that Paula will be found guilty of theft as </w:t>
      </w:r>
      <w:r w:rsidR="001321F6">
        <w:rPr>
          <w:rFonts w:ascii="Arial" w:hAnsi="Arial" w:cs="Arial"/>
          <w:sz w:val="24"/>
          <w:szCs w:val="24"/>
        </w:rPr>
        <w:t xml:space="preserve">the offence meets the actus rea and </w:t>
      </w:r>
      <w:proofErr w:type="spellStart"/>
      <w:r w:rsidR="001321F6">
        <w:rPr>
          <w:rFonts w:ascii="Arial" w:hAnsi="Arial" w:cs="Arial"/>
          <w:sz w:val="24"/>
          <w:szCs w:val="24"/>
        </w:rPr>
        <w:t>mens</w:t>
      </w:r>
      <w:proofErr w:type="spellEnd"/>
      <w:r w:rsidR="001321F6">
        <w:rPr>
          <w:rFonts w:ascii="Arial" w:hAnsi="Arial" w:cs="Arial"/>
          <w:sz w:val="24"/>
          <w:szCs w:val="24"/>
        </w:rPr>
        <w:t xml:space="preserve"> rea requirements. </w:t>
      </w:r>
    </w:p>
    <w:p w14:paraId="2F3765FC" w14:textId="1382023B" w:rsidR="00AC54EE" w:rsidRDefault="00241343" w:rsidP="007D5599">
      <w:pPr>
        <w:rPr>
          <w:rFonts w:ascii="Arial" w:hAnsi="Arial" w:cs="Arial"/>
          <w:sz w:val="24"/>
          <w:szCs w:val="24"/>
        </w:rPr>
      </w:pPr>
      <w:r>
        <w:rPr>
          <w:rFonts w:ascii="Arial" w:hAnsi="Arial" w:cs="Arial"/>
          <w:sz w:val="24"/>
          <w:szCs w:val="24"/>
        </w:rPr>
        <w:t>Harriet’s actions in this scenario may give rise to potential criminal liability for criminal damage under the Criminal Damage Act 197</w:t>
      </w:r>
      <w:r w:rsidR="00AC54EE">
        <w:rPr>
          <w:rFonts w:ascii="Arial" w:hAnsi="Arial" w:cs="Arial"/>
          <w:sz w:val="24"/>
          <w:szCs w:val="24"/>
        </w:rPr>
        <w:t>1</w:t>
      </w:r>
      <w:r>
        <w:rPr>
          <w:rFonts w:ascii="Arial" w:hAnsi="Arial" w:cs="Arial"/>
          <w:sz w:val="24"/>
          <w:szCs w:val="24"/>
        </w:rPr>
        <w:t>. By smashing the glass panes in Christine’s kitchen, Harriet could be charged with criminal damage</w:t>
      </w:r>
      <w:r w:rsidR="00AC54EE">
        <w:rPr>
          <w:rFonts w:ascii="Arial" w:hAnsi="Arial" w:cs="Arial"/>
          <w:sz w:val="24"/>
          <w:szCs w:val="24"/>
        </w:rPr>
        <w:t xml:space="preserve"> under this act. </w:t>
      </w:r>
      <w:r w:rsidR="003874EF" w:rsidRPr="003874EF">
        <w:rPr>
          <w:rFonts w:ascii="Arial" w:hAnsi="Arial" w:cs="Arial"/>
          <w:sz w:val="24"/>
          <w:szCs w:val="24"/>
        </w:rPr>
        <w:t>Criminal damage is a significant offense in English and Welsh criminal law, aimed at protecting property rights and deterring unlawful destruction.</w:t>
      </w:r>
      <w:r w:rsidR="003874EF">
        <w:rPr>
          <w:rFonts w:ascii="Arial" w:hAnsi="Arial" w:cs="Arial"/>
          <w:sz w:val="24"/>
          <w:szCs w:val="24"/>
        </w:rPr>
        <w:t xml:space="preserve"> </w:t>
      </w:r>
      <w:r w:rsidR="0087658D">
        <w:rPr>
          <w:rFonts w:ascii="Arial" w:hAnsi="Arial" w:cs="Arial"/>
          <w:sz w:val="24"/>
          <w:szCs w:val="24"/>
        </w:rPr>
        <w:t>The</w:t>
      </w:r>
      <w:r w:rsidR="00196AFF">
        <w:rPr>
          <w:rFonts w:ascii="Arial" w:hAnsi="Arial" w:cs="Arial"/>
          <w:sz w:val="24"/>
          <w:szCs w:val="24"/>
        </w:rPr>
        <w:t xml:space="preserve"> act defines criminal damage as intentionally or recklessly damaging property belonging to </w:t>
      </w:r>
      <w:r w:rsidR="0087658D">
        <w:rPr>
          <w:rFonts w:ascii="Arial" w:hAnsi="Arial" w:cs="Arial"/>
          <w:sz w:val="24"/>
          <w:szCs w:val="24"/>
        </w:rPr>
        <w:t>another</w:t>
      </w:r>
      <w:r w:rsidR="00434E93">
        <w:rPr>
          <w:rFonts w:ascii="Arial" w:hAnsi="Arial" w:cs="Arial"/>
          <w:sz w:val="24"/>
          <w:szCs w:val="24"/>
        </w:rPr>
        <w:t xml:space="preserve">. The case of R v Smith (1974) provides </w:t>
      </w:r>
      <w:r w:rsidR="007C61C6">
        <w:rPr>
          <w:rFonts w:ascii="Arial" w:hAnsi="Arial" w:cs="Arial"/>
          <w:sz w:val="24"/>
          <w:szCs w:val="24"/>
        </w:rPr>
        <w:t xml:space="preserve">guidance on the concept of ownership and lawful control </w:t>
      </w:r>
      <w:r w:rsidR="00D20D6B">
        <w:rPr>
          <w:rFonts w:ascii="Arial" w:hAnsi="Arial" w:cs="Arial"/>
          <w:sz w:val="24"/>
          <w:szCs w:val="24"/>
        </w:rPr>
        <w:t>which is an element of actus rea</w:t>
      </w:r>
      <w:r w:rsidR="00F801CE">
        <w:rPr>
          <w:rFonts w:ascii="Arial" w:hAnsi="Arial" w:cs="Arial"/>
          <w:sz w:val="24"/>
          <w:szCs w:val="24"/>
        </w:rPr>
        <w:t xml:space="preserve">. </w:t>
      </w:r>
      <w:r w:rsidR="003E7849">
        <w:rPr>
          <w:rFonts w:ascii="Arial" w:hAnsi="Arial" w:cs="Arial"/>
          <w:sz w:val="24"/>
          <w:szCs w:val="24"/>
        </w:rPr>
        <w:t xml:space="preserve">To establish </w:t>
      </w:r>
      <w:proofErr w:type="spellStart"/>
      <w:r w:rsidR="003E7849">
        <w:rPr>
          <w:rFonts w:ascii="Arial" w:hAnsi="Arial" w:cs="Arial"/>
          <w:sz w:val="24"/>
          <w:szCs w:val="24"/>
        </w:rPr>
        <w:t>mens</w:t>
      </w:r>
      <w:proofErr w:type="spellEnd"/>
      <w:r w:rsidR="003E7849">
        <w:rPr>
          <w:rFonts w:ascii="Arial" w:hAnsi="Arial" w:cs="Arial"/>
          <w:sz w:val="24"/>
          <w:szCs w:val="24"/>
        </w:rPr>
        <w:t xml:space="preserve"> rea in </w:t>
      </w:r>
      <w:r w:rsidR="00A72831">
        <w:rPr>
          <w:rFonts w:ascii="Arial" w:hAnsi="Arial" w:cs="Arial"/>
          <w:sz w:val="24"/>
          <w:szCs w:val="24"/>
        </w:rPr>
        <w:t xml:space="preserve">cases involving </w:t>
      </w:r>
      <w:r w:rsidR="003E7849">
        <w:rPr>
          <w:rFonts w:ascii="Arial" w:hAnsi="Arial" w:cs="Arial"/>
          <w:sz w:val="24"/>
          <w:szCs w:val="24"/>
        </w:rPr>
        <w:t xml:space="preserve">criminal damage, the prosecution must prove that the defendant either intended to cause damage or was aware that their actions were likely to cause damage. </w:t>
      </w:r>
      <w:r w:rsidR="001B4727">
        <w:rPr>
          <w:rFonts w:ascii="Arial" w:hAnsi="Arial" w:cs="Arial"/>
          <w:sz w:val="24"/>
          <w:szCs w:val="24"/>
        </w:rPr>
        <w:t xml:space="preserve">In this scenario, due to Harriet’s mental state of suffering from hallucinations caused by Leon Spiking her drink without her knowledge, she could claim that she was not in control of her actions and therefore lacks the necessary intent for criminal liability. </w:t>
      </w:r>
      <w:r w:rsidR="00C24809" w:rsidRPr="00C24809">
        <w:rPr>
          <w:rFonts w:ascii="Arial" w:hAnsi="Arial" w:cs="Arial"/>
          <w:sz w:val="24"/>
          <w:szCs w:val="24"/>
        </w:rPr>
        <w:t xml:space="preserve">Criminal liability for criminal damage in England and Wales entails proving the actus rea of physical damage to property belonging to another, as well as the </w:t>
      </w:r>
      <w:proofErr w:type="spellStart"/>
      <w:r w:rsidR="00C24809" w:rsidRPr="00C24809">
        <w:rPr>
          <w:rFonts w:ascii="Arial" w:hAnsi="Arial" w:cs="Arial"/>
          <w:sz w:val="24"/>
          <w:szCs w:val="24"/>
        </w:rPr>
        <w:t>mens</w:t>
      </w:r>
      <w:proofErr w:type="spellEnd"/>
      <w:r w:rsidR="00C24809" w:rsidRPr="00C24809">
        <w:rPr>
          <w:rFonts w:ascii="Arial" w:hAnsi="Arial" w:cs="Arial"/>
          <w:sz w:val="24"/>
          <w:szCs w:val="24"/>
        </w:rPr>
        <w:t xml:space="preserve"> rea of intention or recklessness</w:t>
      </w:r>
      <w:r w:rsidR="00E46FA0">
        <w:rPr>
          <w:rFonts w:ascii="Arial" w:hAnsi="Arial" w:cs="Arial"/>
          <w:sz w:val="24"/>
          <w:szCs w:val="24"/>
        </w:rPr>
        <w:t xml:space="preserve"> (</w:t>
      </w:r>
      <w:r w:rsidR="003F5283">
        <w:rPr>
          <w:rFonts w:ascii="Arial" w:hAnsi="Arial" w:cs="Arial"/>
          <w:sz w:val="24"/>
          <w:szCs w:val="24"/>
        </w:rPr>
        <w:t>Taylor,</w:t>
      </w:r>
      <w:r w:rsidR="0029419A">
        <w:rPr>
          <w:rFonts w:ascii="Arial" w:hAnsi="Arial" w:cs="Arial"/>
          <w:sz w:val="24"/>
          <w:szCs w:val="24"/>
        </w:rPr>
        <w:t xml:space="preserve"> 2018, p.251). </w:t>
      </w:r>
      <w:r w:rsidR="003E3101">
        <w:rPr>
          <w:rFonts w:ascii="Arial" w:hAnsi="Arial" w:cs="Arial"/>
          <w:sz w:val="24"/>
          <w:szCs w:val="24"/>
        </w:rPr>
        <w:t xml:space="preserve">Harriet could </w:t>
      </w:r>
      <w:r w:rsidR="00434F0A">
        <w:rPr>
          <w:rFonts w:ascii="Arial" w:hAnsi="Arial" w:cs="Arial"/>
          <w:sz w:val="24"/>
          <w:szCs w:val="24"/>
        </w:rPr>
        <w:t xml:space="preserve">claim that she lacked the </w:t>
      </w:r>
      <w:proofErr w:type="spellStart"/>
      <w:r w:rsidR="00434F0A">
        <w:rPr>
          <w:rFonts w:ascii="Arial" w:hAnsi="Arial" w:cs="Arial"/>
          <w:sz w:val="24"/>
          <w:szCs w:val="24"/>
        </w:rPr>
        <w:t>mens</w:t>
      </w:r>
      <w:proofErr w:type="spellEnd"/>
      <w:r w:rsidR="00434F0A">
        <w:rPr>
          <w:rFonts w:ascii="Arial" w:hAnsi="Arial" w:cs="Arial"/>
          <w:sz w:val="24"/>
          <w:szCs w:val="24"/>
        </w:rPr>
        <w:t xml:space="preserve"> rea of criminal damage as she was not of sound mind during the time of </w:t>
      </w:r>
      <w:r w:rsidR="00434F0A">
        <w:rPr>
          <w:rFonts w:ascii="Arial" w:hAnsi="Arial" w:cs="Arial"/>
          <w:sz w:val="24"/>
          <w:szCs w:val="24"/>
        </w:rPr>
        <w:lastRenderedPageBreak/>
        <w:t>the offence and was not aware of the damage she</w:t>
      </w:r>
      <w:r w:rsidR="00BB5CF1">
        <w:rPr>
          <w:rFonts w:ascii="Arial" w:hAnsi="Arial" w:cs="Arial"/>
          <w:sz w:val="24"/>
          <w:szCs w:val="24"/>
        </w:rPr>
        <w:t xml:space="preserve"> had caused, and therefore had no intention to cause criminal damage (</w:t>
      </w:r>
      <w:r w:rsidR="00C24070">
        <w:rPr>
          <w:rFonts w:ascii="Arial" w:hAnsi="Arial" w:cs="Arial"/>
          <w:sz w:val="24"/>
          <w:szCs w:val="24"/>
        </w:rPr>
        <w:t xml:space="preserve">MacDonald, 2018, p.377). </w:t>
      </w:r>
      <w:r w:rsidR="00A81994">
        <w:rPr>
          <w:rFonts w:ascii="Arial" w:hAnsi="Arial" w:cs="Arial"/>
          <w:sz w:val="24"/>
          <w:szCs w:val="24"/>
        </w:rPr>
        <w:t xml:space="preserve">It would also be fair for Harriet to claim that </w:t>
      </w:r>
      <w:r w:rsidR="007E0397">
        <w:rPr>
          <w:rFonts w:ascii="Arial" w:hAnsi="Arial" w:cs="Arial"/>
          <w:sz w:val="24"/>
          <w:szCs w:val="24"/>
        </w:rPr>
        <w:t>her mind was impacted by the alcohol she had been unknowingly given by Leon</w:t>
      </w:r>
      <w:r w:rsidR="00C756DB">
        <w:rPr>
          <w:rFonts w:ascii="Arial" w:hAnsi="Arial" w:cs="Arial"/>
          <w:sz w:val="24"/>
          <w:szCs w:val="24"/>
        </w:rPr>
        <w:t xml:space="preserve"> and so she acted in a way in which she would not have done had she been sober. </w:t>
      </w:r>
      <w:r w:rsidR="007B093E">
        <w:rPr>
          <w:rFonts w:ascii="Arial" w:hAnsi="Arial" w:cs="Arial"/>
          <w:sz w:val="24"/>
          <w:szCs w:val="24"/>
        </w:rPr>
        <w:t xml:space="preserve">Additionally, Harriet may be charged with assault under the Offences Against the Person Act 1861 </w:t>
      </w:r>
      <w:r w:rsidR="007F36DA">
        <w:rPr>
          <w:rFonts w:ascii="Arial" w:hAnsi="Arial" w:cs="Arial"/>
          <w:sz w:val="24"/>
          <w:szCs w:val="24"/>
        </w:rPr>
        <w:t>due to hitting Daniel in the face and causing a broken cheek bone</w:t>
      </w:r>
      <w:r w:rsidR="00505794">
        <w:rPr>
          <w:rFonts w:ascii="Arial" w:hAnsi="Arial" w:cs="Arial"/>
          <w:sz w:val="24"/>
          <w:szCs w:val="24"/>
        </w:rPr>
        <w:t xml:space="preserve">. </w:t>
      </w:r>
      <w:r w:rsidR="00505794" w:rsidRPr="00505794">
        <w:rPr>
          <w:rFonts w:ascii="Arial" w:hAnsi="Arial" w:cs="Arial"/>
          <w:sz w:val="24"/>
          <w:szCs w:val="24"/>
        </w:rPr>
        <w:t>Assault is a</w:t>
      </w:r>
      <w:r w:rsidR="00505794" w:rsidRPr="00505794">
        <w:rPr>
          <w:rFonts w:ascii="Arial" w:hAnsi="Arial" w:cs="Arial"/>
          <w:sz w:val="24"/>
          <w:szCs w:val="24"/>
        </w:rPr>
        <w:t>nother</w:t>
      </w:r>
      <w:r w:rsidR="00505794" w:rsidRPr="00505794">
        <w:rPr>
          <w:rFonts w:ascii="Arial" w:hAnsi="Arial" w:cs="Arial"/>
          <w:sz w:val="24"/>
          <w:szCs w:val="24"/>
        </w:rPr>
        <w:t xml:space="preserve"> key offense in English and Welsh criminal law, aiming to protect individuals from unwanted physical harm or the fear of such harm</w:t>
      </w:r>
      <w:r w:rsidR="00245BC3">
        <w:rPr>
          <w:rFonts w:ascii="Arial" w:hAnsi="Arial" w:cs="Arial"/>
          <w:sz w:val="24"/>
          <w:szCs w:val="24"/>
        </w:rPr>
        <w:t xml:space="preserve">, being </w:t>
      </w:r>
      <w:r w:rsidR="00245BC3" w:rsidRPr="00245BC3">
        <w:rPr>
          <w:rFonts w:ascii="Arial" w:hAnsi="Arial" w:cs="Arial"/>
          <w:sz w:val="24"/>
          <w:szCs w:val="24"/>
        </w:rPr>
        <w:t>defined under Section 39 of the Criminal Justice Act 1988, encompassing the intentional or reckless application of force to another person, or the intentional or reckless causing of another person to apprehend immediate and unlawful force.</w:t>
      </w:r>
      <w:r w:rsidR="00245BC3">
        <w:rPr>
          <w:rFonts w:ascii="Arial" w:hAnsi="Arial" w:cs="Arial"/>
          <w:sz w:val="24"/>
          <w:szCs w:val="24"/>
        </w:rPr>
        <w:t xml:space="preserve"> </w:t>
      </w:r>
      <w:r w:rsidR="00F87F4E" w:rsidRPr="007D5599">
        <w:rPr>
          <w:rFonts w:ascii="Arial" w:hAnsi="Arial" w:cs="Arial"/>
          <w:sz w:val="24"/>
          <w:szCs w:val="24"/>
        </w:rPr>
        <w:t xml:space="preserve">The actus rea of assault requires proof that force was applied intentionally or recklessly. </w:t>
      </w:r>
      <w:r w:rsidR="00BC4DBE">
        <w:rPr>
          <w:rFonts w:ascii="Arial" w:hAnsi="Arial" w:cs="Arial"/>
          <w:sz w:val="24"/>
          <w:szCs w:val="24"/>
        </w:rPr>
        <w:t xml:space="preserve">To </w:t>
      </w:r>
      <w:r w:rsidR="00622018" w:rsidRPr="007D5599">
        <w:rPr>
          <w:rFonts w:ascii="Arial" w:hAnsi="Arial" w:cs="Arial"/>
          <w:sz w:val="24"/>
          <w:szCs w:val="24"/>
        </w:rPr>
        <w:t xml:space="preserve">establish </w:t>
      </w:r>
      <w:proofErr w:type="spellStart"/>
      <w:r w:rsidR="00622018" w:rsidRPr="007D5599">
        <w:rPr>
          <w:rFonts w:ascii="Arial" w:hAnsi="Arial" w:cs="Arial"/>
          <w:sz w:val="24"/>
          <w:szCs w:val="24"/>
        </w:rPr>
        <w:t>mens</w:t>
      </w:r>
      <w:proofErr w:type="spellEnd"/>
      <w:r w:rsidR="00622018" w:rsidRPr="007D5599">
        <w:rPr>
          <w:rFonts w:ascii="Arial" w:hAnsi="Arial" w:cs="Arial"/>
          <w:sz w:val="24"/>
          <w:szCs w:val="24"/>
        </w:rPr>
        <w:t xml:space="preserve"> rea in assault, the prosecution must prove that the defendant either intended to apply force or cause apprehension of immediate and unlawful </w:t>
      </w:r>
      <w:proofErr w:type="gramStart"/>
      <w:r w:rsidR="00622018" w:rsidRPr="007D5599">
        <w:rPr>
          <w:rFonts w:ascii="Arial" w:hAnsi="Arial" w:cs="Arial"/>
          <w:sz w:val="24"/>
          <w:szCs w:val="24"/>
        </w:rPr>
        <w:t>force, or</w:t>
      </w:r>
      <w:proofErr w:type="gramEnd"/>
      <w:r w:rsidR="00622018" w:rsidRPr="007D5599">
        <w:rPr>
          <w:rFonts w:ascii="Arial" w:hAnsi="Arial" w:cs="Arial"/>
          <w:sz w:val="24"/>
          <w:szCs w:val="24"/>
        </w:rPr>
        <w:t xml:space="preserve"> was aware that their actions were likely to have such consequences</w:t>
      </w:r>
      <w:r w:rsidR="00BC4DBE">
        <w:rPr>
          <w:rFonts w:ascii="Arial" w:hAnsi="Arial" w:cs="Arial"/>
          <w:sz w:val="24"/>
          <w:szCs w:val="24"/>
        </w:rPr>
        <w:t xml:space="preserve"> (</w:t>
      </w:r>
      <w:r w:rsidR="002C66CE">
        <w:rPr>
          <w:rFonts w:ascii="Arial" w:hAnsi="Arial" w:cs="Arial"/>
          <w:sz w:val="24"/>
          <w:szCs w:val="24"/>
        </w:rPr>
        <w:t>Taylor, 2018, p.151)</w:t>
      </w:r>
      <w:r w:rsidR="00622018" w:rsidRPr="007D5599">
        <w:rPr>
          <w:rFonts w:ascii="Arial" w:hAnsi="Arial" w:cs="Arial"/>
          <w:sz w:val="24"/>
          <w:szCs w:val="24"/>
        </w:rPr>
        <w:t xml:space="preserve">. </w:t>
      </w:r>
      <w:r w:rsidR="00970220">
        <w:rPr>
          <w:rFonts w:ascii="Arial" w:hAnsi="Arial" w:cs="Arial"/>
          <w:sz w:val="24"/>
          <w:szCs w:val="24"/>
        </w:rPr>
        <w:t xml:space="preserve">Due to Harriet’s </w:t>
      </w:r>
      <w:r w:rsidR="00976ED3">
        <w:rPr>
          <w:rFonts w:ascii="Arial" w:hAnsi="Arial" w:cs="Arial"/>
          <w:sz w:val="24"/>
          <w:szCs w:val="24"/>
        </w:rPr>
        <w:t>state of mind, it’s unlikely that she was aware of the consequences of her actions,</w:t>
      </w:r>
      <w:r w:rsidR="00417AFE">
        <w:rPr>
          <w:rFonts w:ascii="Arial" w:hAnsi="Arial" w:cs="Arial"/>
          <w:sz w:val="24"/>
          <w:szCs w:val="24"/>
        </w:rPr>
        <w:t xml:space="preserve"> and in this </w:t>
      </w:r>
      <w:proofErr w:type="gramStart"/>
      <w:r w:rsidR="00417AFE">
        <w:rPr>
          <w:rFonts w:ascii="Arial" w:hAnsi="Arial" w:cs="Arial"/>
          <w:sz w:val="24"/>
          <w:szCs w:val="24"/>
        </w:rPr>
        <w:t>case</w:t>
      </w:r>
      <w:proofErr w:type="gramEnd"/>
      <w:r w:rsidR="00417AFE">
        <w:rPr>
          <w:rFonts w:ascii="Arial" w:hAnsi="Arial" w:cs="Arial"/>
          <w:sz w:val="24"/>
          <w:szCs w:val="24"/>
        </w:rPr>
        <w:t xml:space="preserve"> she may argue that she acted in self-defence as there was a belief that she was in immediate danger. </w:t>
      </w:r>
      <w:r w:rsidR="009C027B">
        <w:rPr>
          <w:rFonts w:ascii="Arial" w:hAnsi="Arial" w:cs="Arial"/>
          <w:sz w:val="24"/>
          <w:szCs w:val="24"/>
        </w:rPr>
        <w:t>In the case of R v Kingston (199</w:t>
      </w:r>
      <w:r w:rsidR="005B743E">
        <w:rPr>
          <w:rFonts w:ascii="Arial" w:hAnsi="Arial" w:cs="Arial"/>
          <w:sz w:val="24"/>
          <w:szCs w:val="24"/>
        </w:rPr>
        <w:t>4</w:t>
      </w:r>
      <w:r w:rsidR="009C027B">
        <w:rPr>
          <w:rFonts w:ascii="Arial" w:hAnsi="Arial" w:cs="Arial"/>
          <w:sz w:val="24"/>
          <w:szCs w:val="24"/>
        </w:rPr>
        <w:t xml:space="preserve">), </w:t>
      </w:r>
      <w:r w:rsidR="00360B4F">
        <w:rPr>
          <w:rFonts w:ascii="Arial" w:hAnsi="Arial" w:cs="Arial"/>
          <w:sz w:val="24"/>
          <w:szCs w:val="24"/>
        </w:rPr>
        <w:t xml:space="preserve">where the defendant was drugged which resulted in him </w:t>
      </w:r>
      <w:r w:rsidR="0097092C">
        <w:rPr>
          <w:rFonts w:ascii="Arial" w:hAnsi="Arial" w:cs="Arial"/>
          <w:sz w:val="24"/>
          <w:szCs w:val="24"/>
        </w:rPr>
        <w:t xml:space="preserve">assaulting an underage boy, </w:t>
      </w:r>
      <w:r w:rsidR="00225C48">
        <w:rPr>
          <w:rFonts w:ascii="Arial" w:hAnsi="Arial" w:cs="Arial"/>
          <w:sz w:val="24"/>
          <w:szCs w:val="24"/>
        </w:rPr>
        <w:t xml:space="preserve">it was argued by the defendant that he would not have committed the offense </w:t>
      </w:r>
      <w:r w:rsidR="00B52B93">
        <w:rPr>
          <w:rFonts w:ascii="Arial" w:hAnsi="Arial" w:cs="Arial"/>
          <w:sz w:val="24"/>
          <w:szCs w:val="24"/>
        </w:rPr>
        <w:t>if he had bee sober. However, the House of Lords held that an intoxicated intent was still an inten</w:t>
      </w:r>
      <w:r w:rsidR="00AD25F0">
        <w:rPr>
          <w:rFonts w:ascii="Arial" w:hAnsi="Arial" w:cs="Arial"/>
          <w:sz w:val="24"/>
          <w:szCs w:val="24"/>
        </w:rPr>
        <w:t xml:space="preserve">t, and the intoxication being involuntary made no difference to this fact as the defendant had the </w:t>
      </w:r>
      <w:proofErr w:type="spellStart"/>
      <w:r w:rsidR="00AD25F0">
        <w:rPr>
          <w:rFonts w:ascii="Arial" w:hAnsi="Arial" w:cs="Arial"/>
          <w:sz w:val="24"/>
          <w:szCs w:val="24"/>
        </w:rPr>
        <w:t>mens</w:t>
      </w:r>
      <w:proofErr w:type="spellEnd"/>
      <w:r w:rsidR="00AD25F0">
        <w:rPr>
          <w:rFonts w:ascii="Arial" w:hAnsi="Arial" w:cs="Arial"/>
          <w:sz w:val="24"/>
          <w:szCs w:val="24"/>
        </w:rPr>
        <w:t xml:space="preserve"> rea, meaning that the intoxication was no defence (</w:t>
      </w:r>
      <w:r w:rsidR="00111106">
        <w:rPr>
          <w:rFonts w:ascii="Arial" w:hAnsi="Arial" w:cs="Arial"/>
          <w:sz w:val="24"/>
          <w:szCs w:val="24"/>
        </w:rPr>
        <w:t xml:space="preserve">Taylor, 2018, p.370). </w:t>
      </w:r>
      <w:r w:rsidR="0090708D">
        <w:rPr>
          <w:rFonts w:ascii="Arial" w:hAnsi="Arial" w:cs="Arial"/>
          <w:sz w:val="24"/>
          <w:szCs w:val="24"/>
        </w:rPr>
        <w:t xml:space="preserve">In this scenario, Harriet does not display </w:t>
      </w:r>
      <w:r w:rsidR="0074232E">
        <w:rPr>
          <w:rFonts w:ascii="Arial" w:hAnsi="Arial" w:cs="Arial"/>
          <w:sz w:val="24"/>
          <w:szCs w:val="24"/>
        </w:rPr>
        <w:t xml:space="preserve">evidence of </w:t>
      </w:r>
      <w:proofErr w:type="spellStart"/>
      <w:r w:rsidR="0074232E">
        <w:rPr>
          <w:rFonts w:ascii="Arial" w:hAnsi="Arial" w:cs="Arial"/>
          <w:sz w:val="24"/>
          <w:szCs w:val="24"/>
        </w:rPr>
        <w:t>mens</w:t>
      </w:r>
      <w:proofErr w:type="spellEnd"/>
      <w:r w:rsidR="0074232E">
        <w:rPr>
          <w:rFonts w:ascii="Arial" w:hAnsi="Arial" w:cs="Arial"/>
          <w:sz w:val="24"/>
          <w:szCs w:val="24"/>
        </w:rPr>
        <w:t xml:space="preserve"> rea or actus rea, as she </w:t>
      </w:r>
      <w:r w:rsidR="00ED4E70">
        <w:rPr>
          <w:rFonts w:ascii="Arial" w:hAnsi="Arial" w:cs="Arial"/>
          <w:sz w:val="24"/>
          <w:szCs w:val="24"/>
        </w:rPr>
        <w:t xml:space="preserve">was not aware that her actions would cause damage, and she did not intend to cause damage. </w:t>
      </w:r>
    </w:p>
    <w:p w14:paraId="07D70A43" w14:textId="2157B479" w:rsidR="009A07F4" w:rsidRPr="00D9706B" w:rsidRDefault="009A07F4" w:rsidP="009A07F4">
      <w:pPr>
        <w:rPr>
          <w:rFonts w:ascii="Arial" w:hAnsi="Arial" w:cs="Arial"/>
          <w:sz w:val="24"/>
          <w:szCs w:val="24"/>
        </w:rPr>
      </w:pPr>
      <w:r>
        <w:rPr>
          <w:rFonts w:ascii="Arial" w:hAnsi="Arial" w:cs="Arial"/>
          <w:sz w:val="24"/>
          <w:szCs w:val="24"/>
        </w:rPr>
        <w:t>In conclusion, a</w:t>
      </w:r>
      <w:r w:rsidRPr="00D9706B">
        <w:rPr>
          <w:rFonts w:ascii="Arial" w:hAnsi="Arial" w:cs="Arial"/>
          <w:sz w:val="24"/>
          <w:szCs w:val="24"/>
        </w:rPr>
        <w:t>pplication of criminal liability and defences can be complex and depends on various factors, including the specific circumstances of the case and the interpretation of the law by the courts.</w:t>
      </w:r>
    </w:p>
    <w:p w14:paraId="63276315" w14:textId="5FB154A6" w:rsidR="00800EAB" w:rsidRPr="007D5599" w:rsidRDefault="00800EAB" w:rsidP="007D5599">
      <w:pPr>
        <w:rPr>
          <w:rFonts w:ascii="Arial" w:hAnsi="Arial" w:cs="Arial"/>
          <w:sz w:val="24"/>
          <w:szCs w:val="24"/>
        </w:rPr>
      </w:pPr>
    </w:p>
    <w:p w14:paraId="6E23B10B" w14:textId="2149DAAB" w:rsidR="007A6E35" w:rsidRDefault="007A6E35" w:rsidP="007A6E35">
      <w:pPr>
        <w:rPr>
          <w:rFonts w:ascii="Arial" w:hAnsi="Arial" w:cs="Arial"/>
          <w:sz w:val="24"/>
          <w:szCs w:val="24"/>
        </w:rPr>
      </w:pPr>
    </w:p>
    <w:p w14:paraId="59460466" w14:textId="77777777" w:rsidR="007A6E35" w:rsidRDefault="007A6E35" w:rsidP="004C2BAE">
      <w:pPr>
        <w:rPr>
          <w:rFonts w:ascii="Arial" w:hAnsi="Arial" w:cs="Arial"/>
          <w:sz w:val="24"/>
          <w:szCs w:val="24"/>
        </w:rPr>
      </w:pPr>
    </w:p>
    <w:p w14:paraId="6862DF1C" w14:textId="77777777" w:rsidR="00241343" w:rsidRDefault="00241343" w:rsidP="004C2BAE">
      <w:pPr>
        <w:rPr>
          <w:rFonts w:ascii="Arial" w:hAnsi="Arial" w:cs="Arial"/>
          <w:sz w:val="24"/>
          <w:szCs w:val="24"/>
        </w:rPr>
      </w:pPr>
    </w:p>
    <w:p w14:paraId="04DAB967" w14:textId="77777777" w:rsidR="00D31029" w:rsidRDefault="00D31029" w:rsidP="00D31029">
      <w:pPr>
        <w:jc w:val="center"/>
        <w:rPr>
          <w:rFonts w:ascii="Arial" w:hAnsi="Arial" w:cs="Arial"/>
          <w:sz w:val="24"/>
          <w:szCs w:val="24"/>
        </w:rPr>
      </w:pPr>
    </w:p>
    <w:p w14:paraId="73AF7341" w14:textId="77777777" w:rsidR="00D31029" w:rsidRDefault="00D31029" w:rsidP="00D31029">
      <w:pPr>
        <w:jc w:val="center"/>
        <w:rPr>
          <w:rFonts w:ascii="Arial" w:hAnsi="Arial" w:cs="Arial"/>
          <w:sz w:val="24"/>
          <w:szCs w:val="24"/>
        </w:rPr>
      </w:pPr>
    </w:p>
    <w:p w14:paraId="6E0B4FBE" w14:textId="77777777" w:rsidR="00241343" w:rsidRDefault="00241343" w:rsidP="00D31029">
      <w:pPr>
        <w:jc w:val="center"/>
        <w:rPr>
          <w:rFonts w:ascii="Arial" w:hAnsi="Arial" w:cs="Arial"/>
          <w:sz w:val="24"/>
          <w:szCs w:val="24"/>
        </w:rPr>
      </w:pPr>
    </w:p>
    <w:p w14:paraId="5092F2C9" w14:textId="77777777" w:rsidR="00241343" w:rsidRDefault="00241343" w:rsidP="00D31029">
      <w:pPr>
        <w:jc w:val="center"/>
        <w:rPr>
          <w:rFonts w:ascii="Arial" w:hAnsi="Arial" w:cs="Arial"/>
          <w:sz w:val="24"/>
          <w:szCs w:val="24"/>
        </w:rPr>
      </w:pPr>
    </w:p>
    <w:p w14:paraId="2C4FD94E" w14:textId="77777777" w:rsidR="00241343" w:rsidRDefault="00241343" w:rsidP="00D31029">
      <w:pPr>
        <w:jc w:val="center"/>
        <w:rPr>
          <w:rFonts w:ascii="Arial" w:hAnsi="Arial" w:cs="Arial"/>
          <w:sz w:val="24"/>
          <w:szCs w:val="24"/>
        </w:rPr>
      </w:pPr>
    </w:p>
    <w:p w14:paraId="3B93FC34" w14:textId="77777777" w:rsidR="00241343" w:rsidRDefault="00241343" w:rsidP="00D31029">
      <w:pPr>
        <w:jc w:val="center"/>
        <w:rPr>
          <w:rFonts w:ascii="Arial" w:hAnsi="Arial" w:cs="Arial"/>
          <w:sz w:val="24"/>
          <w:szCs w:val="24"/>
        </w:rPr>
      </w:pPr>
    </w:p>
    <w:p w14:paraId="0C070116" w14:textId="77777777" w:rsidR="00241343" w:rsidRDefault="00241343" w:rsidP="00D31029">
      <w:pPr>
        <w:jc w:val="center"/>
        <w:rPr>
          <w:rFonts w:ascii="Arial" w:hAnsi="Arial" w:cs="Arial"/>
          <w:sz w:val="24"/>
          <w:szCs w:val="24"/>
        </w:rPr>
      </w:pPr>
    </w:p>
    <w:p w14:paraId="2CE28F4F" w14:textId="77777777" w:rsidR="00241343" w:rsidRDefault="00241343" w:rsidP="00D31029">
      <w:pPr>
        <w:jc w:val="center"/>
        <w:rPr>
          <w:rFonts w:ascii="Arial" w:hAnsi="Arial" w:cs="Arial"/>
          <w:sz w:val="24"/>
          <w:szCs w:val="24"/>
        </w:rPr>
      </w:pPr>
    </w:p>
    <w:p w14:paraId="4E0DE98E" w14:textId="77777777" w:rsidR="00241343" w:rsidRDefault="00241343" w:rsidP="00D31029">
      <w:pPr>
        <w:jc w:val="center"/>
        <w:rPr>
          <w:rFonts w:ascii="Arial" w:hAnsi="Arial" w:cs="Arial"/>
          <w:sz w:val="24"/>
          <w:szCs w:val="24"/>
        </w:rPr>
      </w:pPr>
    </w:p>
    <w:p w14:paraId="6F98CFE4" w14:textId="77777777" w:rsidR="00241343" w:rsidRDefault="00241343" w:rsidP="00D31029">
      <w:pPr>
        <w:jc w:val="center"/>
        <w:rPr>
          <w:rFonts w:ascii="Arial" w:hAnsi="Arial" w:cs="Arial"/>
          <w:sz w:val="24"/>
          <w:szCs w:val="24"/>
        </w:rPr>
      </w:pPr>
    </w:p>
    <w:p w14:paraId="5C0CCE7A" w14:textId="77777777" w:rsidR="00241343" w:rsidRDefault="00241343" w:rsidP="00D31029">
      <w:pPr>
        <w:jc w:val="center"/>
        <w:rPr>
          <w:rFonts w:ascii="Arial" w:hAnsi="Arial" w:cs="Arial"/>
          <w:sz w:val="24"/>
          <w:szCs w:val="24"/>
        </w:rPr>
      </w:pPr>
    </w:p>
    <w:p w14:paraId="59B3F0CE" w14:textId="77777777" w:rsidR="00585370" w:rsidRDefault="00585370" w:rsidP="00D31029">
      <w:pPr>
        <w:jc w:val="center"/>
        <w:rPr>
          <w:rFonts w:ascii="Arial" w:hAnsi="Arial" w:cs="Arial"/>
          <w:sz w:val="24"/>
          <w:szCs w:val="24"/>
        </w:rPr>
      </w:pPr>
    </w:p>
    <w:p w14:paraId="4F37565A" w14:textId="77777777" w:rsidR="00585370" w:rsidRDefault="00585370" w:rsidP="00D31029">
      <w:pPr>
        <w:jc w:val="center"/>
        <w:rPr>
          <w:rFonts w:ascii="Arial" w:hAnsi="Arial" w:cs="Arial"/>
          <w:sz w:val="24"/>
          <w:szCs w:val="24"/>
        </w:rPr>
      </w:pPr>
    </w:p>
    <w:p w14:paraId="16A01854" w14:textId="77777777" w:rsidR="00585370" w:rsidRDefault="00585370" w:rsidP="00D31029">
      <w:pPr>
        <w:jc w:val="center"/>
        <w:rPr>
          <w:rFonts w:ascii="Arial" w:hAnsi="Arial" w:cs="Arial"/>
          <w:sz w:val="24"/>
          <w:szCs w:val="24"/>
        </w:rPr>
      </w:pPr>
    </w:p>
    <w:p w14:paraId="128C1479" w14:textId="77777777" w:rsidR="00585370" w:rsidRDefault="00585370" w:rsidP="00D31029">
      <w:pPr>
        <w:jc w:val="center"/>
        <w:rPr>
          <w:rFonts w:ascii="Arial" w:hAnsi="Arial" w:cs="Arial"/>
          <w:sz w:val="24"/>
          <w:szCs w:val="24"/>
        </w:rPr>
      </w:pPr>
    </w:p>
    <w:p w14:paraId="7249CE42" w14:textId="77777777" w:rsidR="00831B56" w:rsidRDefault="00831B56" w:rsidP="00D31029">
      <w:pPr>
        <w:jc w:val="center"/>
        <w:rPr>
          <w:rFonts w:ascii="Arial" w:hAnsi="Arial" w:cs="Arial"/>
          <w:sz w:val="24"/>
          <w:szCs w:val="24"/>
        </w:rPr>
      </w:pPr>
    </w:p>
    <w:p w14:paraId="3F4BB63D" w14:textId="77777777" w:rsidR="00831B56" w:rsidRDefault="00831B56" w:rsidP="00D31029">
      <w:pPr>
        <w:jc w:val="center"/>
        <w:rPr>
          <w:rFonts w:ascii="Arial" w:hAnsi="Arial" w:cs="Arial"/>
          <w:sz w:val="24"/>
          <w:szCs w:val="24"/>
        </w:rPr>
      </w:pPr>
    </w:p>
    <w:p w14:paraId="18B0509D" w14:textId="77777777" w:rsidR="00831B56" w:rsidRDefault="00831B56" w:rsidP="00D31029">
      <w:pPr>
        <w:jc w:val="center"/>
        <w:rPr>
          <w:rFonts w:ascii="Arial" w:hAnsi="Arial" w:cs="Arial"/>
          <w:sz w:val="24"/>
          <w:szCs w:val="24"/>
        </w:rPr>
      </w:pPr>
    </w:p>
    <w:p w14:paraId="16306C15" w14:textId="77777777" w:rsidR="00831B56" w:rsidRDefault="00831B56" w:rsidP="00D31029">
      <w:pPr>
        <w:jc w:val="center"/>
        <w:rPr>
          <w:rFonts w:ascii="Arial" w:hAnsi="Arial" w:cs="Arial"/>
          <w:sz w:val="24"/>
          <w:szCs w:val="24"/>
        </w:rPr>
      </w:pPr>
    </w:p>
    <w:p w14:paraId="0BDD468F" w14:textId="77777777" w:rsidR="00831B56" w:rsidRDefault="00831B56" w:rsidP="00D31029">
      <w:pPr>
        <w:jc w:val="center"/>
        <w:rPr>
          <w:rFonts w:ascii="Arial" w:hAnsi="Arial" w:cs="Arial"/>
          <w:sz w:val="24"/>
          <w:szCs w:val="24"/>
        </w:rPr>
      </w:pPr>
    </w:p>
    <w:p w14:paraId="6F7CB2A3" w14:textId="77777777" w:rsidR="00831B56" w:rsidRDefault="00831B56" w:rsidP="00D31029">
      <w:pPr>
        <w:jc w:val="center"/>
        <w:rPr>
          <w:rFonts w:ascii="Arial" w:hAnsi="Arial" w:cs="Arial"/>
          <w:sz w:val="24"/>
          <w:szCs w:val="24"/>
        </w:rPr>
      </w:pPr>
    </w:p>
    <w:p w14:paraId="6A32ACB1" w14:textId="77777777" w:rsidR="00831B56" w:rsidRDefault="00831B56" w:rsidP="00D31029">
      <w:pPr>
        <w:jc w:val="center"/>
        <w:rPr>
          <w:rFonts w:ascii="Arial" w:hAnsi="Arial" w:cs="Arial"/>
          <w:sz w:val="24"/>
          <w:szCs w:val="24"/>
        </w:rPr>
      </w:pPr>
    </w:p>
    <w:p w14:paraId="70A43464" w14:textId="77777777" w:rsidR="00831B56" w:rsidRDefault="00831B56" w:rsidP="00D31029">
      <w:pPr>
        <w:jc w:val="center"/>
        <w:rPr>
          <w:rFonts w:ascii="Arial" w:hAnsi="Arial" w:cs="Arial"/>
          <w:sz w:val="24"/>
          <w:szCs w:val="24"/>
        </w:rPr>
      </w:pPr>
    </w:p>
    <w:p w14:paraId="13636ED0" w14:textId="77777777" w:rsidR="00831B56" w:rsidRDefault="00831B56" w:rsidP="00D31029">
      <w:pPr>
        <w:jc w:val="center"/>
        <w:rPr>
          <w:rFonts w:ascii="Arial" w:hAnsi="Arial" w:cs="Arial"/>
          <w:sz w:val="24"/>
          <w:szCs w:val="24"/>
        </w:rPr>
      </w:pPr>
    </w:p>
    <w:p w14:paraId="32EC34F3" w14:textId="77777777" w:rsidR="00831B56" w:rsidRDefault="00831B56" w:rsidP="00D31029">
      <w:pPr>
        <w:jc w:val="center"/>
        <w:rPr>
          <w:rFonts w:ascii="Arial" w:hAnsi="Arial" w:cs="Arial"/>
          <w:sz w:val="24"/>
          <w:szCs w:val="24"/>
        </w:rPr>
      </w:pPr>
    </w:p>
    <w:p w14:paraId="73A052D2" w14:textId="77777777" w:rsidR="00831B56" w:rsidRDefault="00831B56" w:rsidP="00D31029">
      <w:pPr>
        <w:jc w:val="center"/>
        <w:rPr>
          <w:rFonts w:ascii="Arial" w:hAnsi="Arial" w:cs="Arial"/>
          <w:sz w:val="24"/>
          <w:szCs w:val="24"/>
        </w:rPr>
      </w:pPr>
    </w:p>
    <w:p w14:paraId="4478346F" w14:textId="77777777" w:rsidR="009A07F4" w:rsidRDefault="009A07F4" w:rsidP="00D31029">
      <w:pPr>
        <w:jc w:val="center"/>
        <w:rPr>
          <w:rFonts w:ascii="Arial" w:hAnsi="Arial" w:cs="Arial"/>
          <w:sz w:val="24"/>
          <w:szCs w:val="24"/>
        </w:rPr>
      </w:pPr>
    </w:p>
    <w:p w14:paraId="216EE303" w14:textId="77777777" w:rsidR="009A07F4" w:rsidRDefault="009A07F4" w:rsidP="00D31029">
      <w:pPr>
        <w:jc w:val="center"/>
        <w:rPr>
          <w:rFonts w:ascii="Arial" w:hAnsi="Arial" w:cs="Arial"/>
          <w:sz w:val="24"/>
          <w:szCs w:val="24"/>
        </w:rPr>
      </w:pPr>
    </w:p>
    <w:p w14:paraId="5D6B32E4" w14:textId="77777777" w:rsidR="009A07F4" w:rsidRDefault="009A07F4" w:rsidP="00D31029">
      <w:pPr>
        <w:jc w:val="center"/>
        <w:rPr>
          <w:rFonts w:ascii="Arial" w:hAnsi="Arial" w:cs="Arial"/>
          <w:sz w:val="24"/>
          <w:szCs w:val="24"/>
        </w:rPr>
      </w:pPr>
    </w:p>
    <w:p w14:paraId="40998B49" w14:textId="77777777" w:rsidR="009A07F4" w:rsidRDefault="009A07F4" w:rsidP="00D31029">
      <w:pPr>
        <w:jc w:val="center"/>
        <w:rPr>
          <w:rFonts w:ascii="Arial" w:hAnsi="Arial" w:cs="Arial"/>
          <w:sz w:val="24"/>
          <w:szCs w:val="24"/>
        </w:rPr>
      </w:pPr>
    </w:p>
    <w:p w14:paraId="43472756" w14:textId="77777777" w:rsidR="009A07F4" w:rsidRDefault="009A07F4" w:rsidP="00D31029">
      <w:pPr>
        <w:jc w:val="center"/>
        <w:rPr>
          <w:rFonts w:ascii="Arial" w:hAnsi="Arial" w:cs="Arial"/>
          <w:sz w:val="24"/>
          <w:szCs w:val="24"/>
        </w:rPr>
      </w:pPr>
    </w:p>
    <w:p w14:paraId="3925FF0B" w14:textId="77777777" w:rsidR="009A07F4" w:rsidRDefault="009A07F4" w:rsidP="00D31029">
      <w:pPr>
        <w:jc w:val="center"/>
        <w:rPr>
          <w:rFonts w:ascii="Arial" w:hAnsi="Arial" w:cs="Arial"/>
          <w:sz w:val="24"/>
          <w:szCs w:val="24"/>
        </w:rPr>
      </w:pPr>
    </w:p>
    <w:p w14:paraId="4215CC6B" w14:textId="77777777" w:rsidR="009A07F4" w:rsidRDefault="009A07F4" w:rsidP="00D31029">
      <w:pPr>
        <w:jc w:val="center"/>
        <w:rPr>
          <w:rFonts w:ascii="Arial" w:hAnsi="Arial" w:cs="Arial"/>
          <w:sz w:val="24"/>
          <w:szCs w:val="24"/>
        </w:rPr>
      </w:pPr>
    </w:p>
    <w:p w14:paraId="69C0D942" w14:textId="77777777" w:rsidR="009A07F4" w:rsidRDefault="009A07F4" w:rsidP="00D31029">
      <w:pPr>
        <w:jc w:val="center"/>
        <w:rPr>
          <w:rFonts w:ascii="Arial" w:hAnsi="Arial" w:cs="Arial"/>
          <w:sz w:val="24"/>
          <w:szCs w:val="24"/>
        </w:rPr>
      </w:pPr>
    </w:p>
    <w:p w14:paraId="281E0869" w14:textId="77777777" w:rsidR="009A07F4" w:rsidRDefault="009A07F4" w:rsidP="00D31029">
      <w:pPr>
        <w:jc w:val="center"/>
        <w:rPr>
          <w:rFonts w:ascii="Arial" w:hAnsi="Arial" w:cs="Arial"/>
          <w:sz w:val="24"/>
          <w:szCs w:val="24"/>
        </w:rPr>
      </w:pPr>
    </w:p>
    <w:p w14:paraId="5368FE29" w14:textId="77777777" w:rsidR="009A07F4" w:rsidRDefault="009A07F4" w:rsidP="00D31029">
      <w:pPr>
        <w:jc w:val="center"/>
        <w:rPr>
          <w:rFonts w:ascii="Arial" w:hAnsi="Arial" w:cs="Arial"/>
          <w:sz w:val="24"/>
          <w:szCs w:val="24"/>
        </w:rPr>
      </w:pPr>
    </w:p>
    <w:p w14:paraId="48B82F70" w14:textId="77777777" w:rsidR="009A07F4" w:rsidRDefault="009A07F4" w:rsidP="00D31029">
      <w:pPr>
        <w:jc w:val="center"/>
        <w:rPr>
          <w:rFonts w:ascii="Arial" w:hAnsi="Arial" w:cs="Arial"/>
          <w:sz w:val="24"/>
          <w:szCs w:val="24"/>
        </w:rPr>
      </w:pPr>
    </w:p>
    <w:p w14:paraId="2E13EF81" w14:textId="7DEB58BC" w:rsidR="00611FE5" w:rsidRDefault="00611FE5" w:rsidP="00D31029">
      <w:pPr>
        <w:jc w:val="center"/>
        <w:rPr>
          <w:rFonts w:ascii="Arial" w:hAnsi="Arial" w:cs="Arial"/>
          <w:sz w:val="24"/>
          <w:szCs w:val="24"/>
        </w:rPr>
      </w:pPr>
      <w:r>
        <w:rPr>
          <w:rFonts w:ascii="Arial" w:hAnsi="Arial" w:cs="Arial"/>
          <w:sz w:val="24"/>
          <w:szCs w:val="24"/>
        </w:rPr>
        <w:lastRenderedPageBreak/>
        <w:t>References</w:t>
      </w:r>
    </w:p>
    <w:p w14:paraId="0A96CAB7" w14:textId="56C51189" w:rsidR="009A07F4" w:rsidRDefault="009A07F4" w:rsidP="00611FE5">
      <w:pPr>
        <w:rPr>
          <w:rFonts w:ascii="Arial" w:hAnsi="Arial" w:cs="Arial"/>
          <w:sz w:val="24"/>
          <w:szCs w:val="24"/>
        </w:rPr>
      </w:pPr>
      <w:r>
        <w:rPr>
          <w:rFonts w:ascii="Arial" w:hAnsi="Arial" w:cs="Arial"/>
          <w:sz w:val="24"/>
          <w:szCs w:val="24"/>
        </w:rPr>
        <w:t xml:space="preserve">Criminal Damage Act 1971, c.48 (United Kingdom). Available at: </w:t>
      </w:r>
      <w:hyperlink r:id="rId7" w:history="1">
        <w:r w:rsidRPr="006054FD">
          <w:rPr>
            <w:rStyle w:val="Hyperlink"/>
            <w:rFonts w:ascii="Arial" w:hAnsi="Arial" w:cs="Arial"/>
            <w:sz w:val="24"/>
            <w:szCs w:val="24"/>
          </w:rPr>
          <w:t>https://www.legislation.gov.uk/ukpga/1971/48/contents</w:t>
        </w:r>
      </w:hyperlink>
      <w:r>
        <w:rPr>
          <w:rFonts w:ascii="Arial" w:hAnsi="Arial" w:cs="Arial"/>
          <w:sz w:val="24"/>
          <w:szCs w:val="24"/>
        </w:rPr>
        <w:t xml:space="preserve"> (Accessed: 05 July 2023). </w:t>
      </w:r>
    </w:p>
    <w:p w14:paraId="0EE0417C" w14:textId="77777777" w:rsidR="009A07F4" w:rsidRDefault="009A07F4" w:rsidP="009A07F4">
      <w:pPr>
        <w:rPr>
          <w:rFonts w:ascii="Arial" w:hAnsi="Arial" w:cs="Arial"/>
          <w:sz w:val="24"/>
          <w:szCs w:val="24"/>
        </w:rPr>
      </w:pPr>
      <w:r>
        <w:rPr>
          <w:rFonts w:ascii="Arial" w:hAnsi="Arial" w:cs="Arial"/>
          <w:sz w:val="24"/>
          <w:szCs w:val="24"/>
        </w:rPr>
        <w:t xml:space="preserve">Criminal Justice Act 1988, c.33 (United Kingdom). Available at: </w:t>
      </w:r>
      <w:hyperlink r:id="rId8" w:history="1">
        <w:r w:rsidRPr="006054FD">
          <w:rPr>
            <w:rStyle w:val="Hyperlink"/>
            <w:rFonts w:ascii="Arial" w:hAnsi="Arial" w:cs="Arial"/>
            <w:sz w:val="24"/>
            <w:szCs w:val="24"/>
          </w:rPr>
          <w:t>https://www.legislation.gov.uk/ukpga/1988/33/contents</w:t>
        </w:r>
      </w:hyperlink>
      <w:r>
        <w:rPr>
          <w:rFonts w:ascii="Arial" w:hAnsi="Arial" w:cs="Arial"/>
          <w:sz w:val="24"/>
          <w:szCs w:val="24"/>
        </w:rPr>
        <w:t xml:space="preserve"> (Accessed: 05 July 2023). </w:t>
      </w:r>
    </w:p>
    <w:p w14:paraId="139C456A" w14:textId="3060BF47" w:rsidR="00611FE5" w:rsidRDefault="00611FE5" w:rsidP="00611FE5">
      <w:pPr>
        <w:rPr>
          <w:rFonts w:ascii="Arial" w:hAnsi="Arial" w:cs="Arial"/>
          <w:sz w:val="24"/>
          <w:szCs w:val="24"/>
        </w:rPr>
      </w:pPr>
      <w:r w:rsidRPr="00F128BD">
        <w:rPr>
          <w:rFonts w:ascii="Arial" w:hAnsi="Arial" w:cs="Arial"/>
          <w:sz w:val="24"/>
          <w:szCs w:val="24"/>
        </w:rPr>
        <w:t xml:space="preserve">Herring, J. (2022) </w:t>
      </w:r>
      <w:r w:rsidRPr="00F128BD">
        <w:rPr>
          <w:rFonts w:ascii="Arial" w:hAnsi="Arial" w:cs="Arial"/>
          <w:i/>
          <w:iCs/>
          <w:sz w:val="24"/>
          <w:szCs w:val="24"/>
        </w:rPr>
        <w:t>Criminal Law: Text, Cases and Materials.</w:t>
      </w:r>
      <w:r w:rsidRPr="00F128BD">
        <w:rPr>
          <w:rFonts w:ascii="Arial" w:hAnsi="Arial" w:cs="Arial"/>
          <w:sz w:val="24"/>
          <w:szCs w:val="24"/>
        </w:rPr>
        <w:t xml:space="preserve"> Oxford: University Press.</w:t>
      </w:r>
    </w:p>
    <w:p w14:paraId="52DB0E05" w14:textId="77777777" w:rsidR="009A07F4" w:rsidRDefault="009A07F4" w:rsidP="009A07F4">
      <w:pPr>
        <w:rPr>
          <w:rFonts w:ascii="Arial" w:hAnsi="Arial" w:cs="Arial"/>
          <w:sz w:val="24"/>
          <w:szCs w:val="24"/>
        </w:rPr>
      </w:pPr>
      <w:r>
        <w:rPr>
          <w:rFonts w:ascii="Arial" w:hAnsi="Arial" w:cs="Arial"/>
          <w:sz w:val="24"/>
          <w:szCs w:val="24"/>
        </w:rPr>
        <w:t>MacDonald, S. (2018</w:t>
      </w:r>
      <w:r w:rsidRPr="00831B56">
        <w:rPr>
          <w:rFonts w:ascii="Arial" w:hAnsi="Arial" w:cs="Arial"/>
          <w:i/>
          <w:iCs/>
          <w:sz w:val="24"/>
          <w:szCs w:val="24"/>
        </w:rPr>
        <w:t>) Text, Cases and Materials on Criminal Law</w:t>
      </w:r>
      <w:r>
        <w:rPr>
          <w:rFonts w:ascii="Arial" w:hAnsi="Arial" w:cs="Arial"/>
          <w:sz w:val="24"/>
          <w:szCs w:val="24"/>
        </w:rPr>
        <w:t>. 2</w:t>
      </w:r>
      <w:r w:rsidRPr="00871C10">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Harlow: Pearson Education Limited. </w:t>
      </w:r>
    </w:p>
    <w:p w14:paraId="5C91E893" w14:textId="77777777" w:rsidR="009A07F4" w:rsidRDefault="009A07F4" w:rsidP="009A07F4">
      <w:pPr>
        <w:rPr>
          <w:rFonts w:ascii="Arial" w:hAnsi="Arial" w:cs="Arial"/>
          <w:sz w:val="24"/>
          <w:szCs w:val="24"/>
        </w:rPr>
      </w:pPr>
      <w:r>
        <w:rPr>
          <w:rFonts w:ascii="Arial" w:hAnsi="Arial" w:cs="Arial"/>
          <w:sz w:val="24"/>
          <w:szCs w:val="24"/>
        </w:rPr>
        <w:t xml:space="preserve">Offences against the Person Act 1861, c.100 (United Kingdom). Available at: </w:t>
      </w:r>
      <w:hyperlink r:id="rId9" w:history="1">
        <w:r w:rsidRPr="006054FD">
          <w:rPr>
            <w:rStyle w:val="Hyperlink"/>
            <w:rFonts w:ascii="Arial" w:hAnsi="Arial" w:cs="Arial"/>
            <w:sz w:val="24"/>
            <w:szCs w:val="24"/>
          </w:rPr>
          <w:t>https://www.legislation.gov.uk/ukpga/Vict/24-25/100/contents</w:t>
        </w:r>
      </w:hyperlink>
      <w:r>
        <w:rPr>
          <w:rFonts w:ascii="Arial" w:hAnsi="Arial" w:cs="Arial"/>
          <w:sz w:val="24"/>
          <w:szCs w:val="24"/>
        </w:rPr>
        <w:t xml:space="preserve"> (Accessed: 05 July 2023). </w:t>
      </w:r>
    </w:p>
    <w:p w14:paraId="61D519AB" w14:textId="151262A4" w:rsidR="009A07F4" w:rsidRDefault="009A07F4" w:rsidP="00611FE5">
      <w:pPr>
        <w:rPr>
          <w:rFonts w:ascii="Arial" w:hAnsi="Arial" w:cs="Arial"/>
          <w:sz w:val="24"/>
          <w:szCs w:val="24"/>
        </w:rPr>
      </w:pPr>
      <w:r>
        <w:rPr>
          <w:rFonts w:ascii="Arial" w:hAnsi="Arial" w:cs="Arial"/>
          <w:sz w:val="24"/>
          <w:szCs w:val="24"/>
        </w:rPr>
        <w:t xml:space="preserve">Taylor, L. (2018) </w:t>
      </w:r>
      <w:r w:rsidRPr="00DA7E91">
        <w:rPr>
          <w:rFonts w:ascii="Arial" w:hAnsi="Arial" w:cs="Arial"/>
          <w:i/>
          <w:iCs/>
          <w:sz w:val="24"/>
          <w:szCs w:val="24"/>
        </w:rPr>
        <w:t>Elliott &amp; Quinn’s Criminal Law</w:t>
      </w:r>
      <w:r>
        <w:rPr>
          <w:rFonts w:ascii="Arial" w:hAnsi="Arial" w:cs="Arial"/>
          <w:sz w:val="24"/>
          <w:szCs w:val="24"/>
        </w:rPr>
        <w:t>. 12</w:t>
      </w:r>
      <w:r w:rsidRPr="00AE38BD">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Harlow: Pearson Education Limited.  </w:t>
      </w:r>
    </w:p>
    <w:p w14:paraId="03711BB0" w14:textId="79C6EEBF" w:rsidR="00611FE5" w:rsidRDefault="00611FE5" w:rsidP="00611FE5">
      <w:pPr>
        <w:rPr>
          <w:rFonts w:ascii="Arial" w:hAnsi="Arial" w:cs="Arial"/>
          <w:sz w:val="24"/>
          <w:szCs w:val="24"/>
        </w:rPr>
      </w:pPr>
      <w:r>
        <w:rPr>
          <w:rFonts w:ascii="Arial" w:hAnsi="Arial" w:cs="Arial"/>
          <w:sz w:val="24"/>
          <w:szCs w:val="24"/>
        </w:rPr>
        <w:t xml:space="preserve">Theft Act 1968, c.60 (United Kingdom). Available at: </w:t>
      </w:r>
      <w:hyperlink r:id="rId10" w:history="1">
        <w:r w:rsidRPr="006054FD">
          <w:rPr>
            <w:rStyle w:val="Hyperlink"/>
            <w:rFonts w:ascii="Arial" w:hAnsi="Arial" w:cs="Arial"/>
            <w:sz w:val="24"/>
            <w:szCs w:val="24"/>
          </w:rPr>
          <w:t>https://www.legislation.gov.uk/ukpga/1968/60/contents</w:t>
        </w:r>
      </w:hyperlink>
      <w:r>
        <w:rPr>
          <w:rFonts w:ascii="Arial" w:hAnsi="Arial" w:cs="Arial"/>
          <w:sz w:val="24"/>
          <w:szCs w:val="24"/>
        </w:rPr>
        <w:t xml:space="preserve"> (Accessed: 05 July 2023). </w:t>
      </w:r>
    </w:p>
    <w:p w14:paraId="74D6E660" w14:textId="77777777" w:rsidR="00611FE5" w:rsidRDefault="00611FE5" w:rsidP="00D31029">
      <w:pPr>
        <w:jc w:val="center"/>
        <w:rPr>
          <w:rFonts w:ascii="Arial" w:hAnsi="Arial" w:cs="Arial"/>
          <w:sz w:val="24"/>
          <w:szCs w:val="24"/>
        </w:rPr>
      </w:pPr>
    </w:p>
    <w:p w14:paraId="27C10C33" w14:textId="6D1FB7B1" w:rsidR="00D31029" w:rsidRDefault="00D31029" w:rsidP="00D31029">
      <w:pPr>
        <w:jc w:val="center"/>
        <w:rPr>
          <w:rFonts w:ascii="Arial" w:hAnsi="Arial" w:cs="Arial"/>
          <w:sz w:val="24"/>
          <w:szCs w:val="24"/>
        </w:rPr>
      </w:pPr>
      <w:r>
        <w:rPr>
          <w:rFonts w:ascii="Arial" w:hAnsi="Arial" w:cs="Arial"/>
          <w:sz w:val="24"/>
          <w:szCs w:val="24"/>
        </w:rPr>
        <w:t>Case Law</w:t>
      </w:r>
    </w:p>
    <w:p w14:paraId="1BF6A527" w14:textId="542A9CDD" w:rsidR="009A07F4" w:rsidRDefault="009A07F4" w:rsidP="00D31029">
      <w:pPr>
        <w:rPr>
          <w:rFonts w:ascii="Arial" w:hAnsi="Arial" w:cs="Arial"/>
          <w:sz w:val="24"/>
          <w:szCs w:val="24"/>
        </w:rPr>
      </w:pPr>
      <w:r>
        <w:rPr>
          <w:rFonts w:ascii="Arial" w:hAnsi="Arial" w:cs="Arial"/>
          <w:sz w:val="24"/>
          <w:szCs w:val="24"/>
        </w:rPr>
        <w:t xml:space="preserve">Ricketts v Basildon Magistrates’ Court </w:t>
      </w:r>
      <w:hyperlink r:id="rId11" w:tooltip="High Court (England &amp; Wales)" w:history="1">
        <w:r w:rsidRPr="009E138A">
          <w:rPr>
            <w:rStyle w:val="Hyperlink"/>
            <w:rFonts w:ascii="Arial" w:hAnsi="Arial" w:cs="Arial"/>
            <w:color w:val="auto"/>
            <w:sz w:val="24"/>
            <w:szCs w:val="24"/>
            <w:u w:val="none"/>
          </w:rPr>
          <w:t>[2010] EWHC 2358 (Admin)</w:t>
        </w:r>
      </w:hyperlink>
      <w:r w:rsidRPr="009E138A">
        <w:rPr>
          <w:rFonts w:ascii="Arial" w:hAnsi="Arial" w:cs="Arial"/>
          <w:sz w:val="24"/>
          <w:szCs w:val="24"/>
        </w:rPr>
        <w:t>,[2011] 1 Cr App Rep 202,</w:t>
      </w:r>
      <w:hyperlink r:id="rId12" w:tooltip="Public and Third Sector Reports" w:history="1">
        <w:r w:rsidRPr="009E138A">
          <w:rPr>
            <w:rStyle w:val="Hyperlink"/>
            <w:rFonts w:ascii="Arial" w:hAnsi="Arial" w:cs="Arial"/>
            <w:color w:val="auto"/>
            <w:sz w:val="24"/>
            <w:szCs w:val="24"/>
            <w:u w:val="none"/>
          </w:rPr>
          <w:t>[2011] PTSR 180</w:t>
        </w:r>
      </w:hyperlink>
      <w:r w:rsidRPr="009E138A">
        <w:rPr>
          <w:rFonts w:ascii="Arial" w:hAnsi="Arial" w:cs="Arial"/>
          <w:sz w:val="24"/>
          <w:szCs w:val="24"/>
        </w:rPr>
        <w:t>,[2011] Crim LR 505,</w:t>
      </w:r>
      <w:hyperlink r:id="rId13" w:tooltip="General Case Digest" w:history="1">
        <w:r w:rsidRPr="009E138A">
          <w:rPr>
            <w:rStyle w:val="Hyperlink"/>
            <w:rFonts w:ascii="Arial" w:hAnsi="Arial" w:cs="Arial"/>
            <w:color w:val="auto"/>
            <w:sz w:val="24"/>
            <w:szCs w:val="24"/>
            <w:u w:val="none"/>
          </w:rPr>
          <w:t>[2010] All ER (D) 129 (Jul)</w:t>
        </w:r>
      </w:hyperlink>
    </w:p>
    <w:p w14:paraId="47C09976" w14:textId="0CB87895" w:rsidR="00D31029" w:rsidRDefault="00D31029" w:rsidP="00D31029">
      <w:pPr>
        <w:rPr>
          <w:rFonts w:ascii="Arial" w:hAnsi="Arial" w:cs="Arial"/>
          <w:sz w:val="24"/>
          <w:szCs w:val="24"/>
        </w:rPr>
      </w:pPr>
      <w:r w:rsidRPr="00D31029">
        <w:rPr>
          <w:rFonts w:ascii="Arial" w:hAnsi="Arial" w:cs="Arial"/>
          <w:sz w:val="24"/>
          <w:szCs w:val="24"/>
        </w:rPr>
        <w:t>R v Ghosh ([1982] 2 All ER 689)</w:t>
      </w:r>
    </w:p>
    <w:p w14:paraId="14404938" w14:textId="6F46DD41" w:rsidR="000B7D27" w:rsidRDefault="000B7D27" w:rsidP="00D31029">
      <w:pPr>
        <w:rPr>
          <w:rFonts w:ascii="Arial" w:hAnsi="Arial" w:cs="Arial"/>
          <w:sz w:val="24"/>
          <w:szCs w:val="24"/>
        </w:rPr>
      </w:pPr>
      <w:r>
        <w:rPr>
          <w:rFonts w:ascii="Arial" w:hAnsi="Arial" w:cs="Arial"/>
          <w:sz w:val="24"/>
          <w:szCs w:val="24"/>
        </w:rPr>
        <w:t>R v Smith (</w:t>
      </w:r>
      <w:r w:rsidR="005C0270">
        <w:rPr>
          <w:rFonts w:ascii="Arial" w:hAnsi="Arial" w:cs="Arial"/>
          <w:sz w:val="24"/>
          <w:szCs w:val="24"/>
        </w:rPr>
        <w:t>[</w:t>
      </w:r>
      <w:r>
        <w:rPr>
          <w:rFonts w:ascii="Arial" w:hAnsi="Arial" w:cs="Arial"/>
          <w:sz w:val="24"/>
          <w:szCs w:val="24"/>
        </w:rPr>
        <w:t>1974</w:t>
      </w:r>
      <w:r w:rsidR="005C0270">
        <w:rPr>
          <w:rFonts w:ascii="Arial" w:hAnsi="Arial" w:cs="Arial"/>
          <w:sz w:val="24"/>
          <w:szCs w:val="24"/>
        </w:rPr>
        <w:t>]</w:t>
      </w:r>
      <w:r>
        <w:rPr>
          <w:rFonts w:ascii="Arial" w:hAnsi="Arial" w:cs="Arial"/>
          <w:sz w:val="24"/>
          <w:szCs w:val="24"/>
        </w:rPr>
        <w:t xml:space="preserve"> </w:t>
      </w:r>
      <w:r w:rsidR="005C0270">
        <w:rPr>
          <w:rFonts w:ascii="Arial" w:hAnsi="Arial" w:cs="Arial"/>
          <w:sz w:val="24"/>
          <w:szCs w:val="24"/>
        </w:rPr>
        <w:t>1 All ER 376)</w:t>
      </w:r>
    </w:p>
    <w:p w14:paraId="08D9A0AB" w14:textId="352E0C80" w:rsidR="00C92336" w:rsidRDefault="00895218" w:rsidP="00895218">
      <w:pPr>
        <w:rPr>
          <w:rFonts w:ascii="Arial" w:hAnsi="Arial" w:cs="Arial"/>
          <w:sz w:val="24"/>
          <w:szCs w:val="24"/>
        </w:rPr>
      </w:pPr>
      <w:r w:rsidRPr="00895218">
        <w:rPr>
          <w:rFonts w:ascii="Arial" w:hAnsi="Arial" w:cs="Arial"/>
          <w:sz w:val="24"/>
          <w:szCs w:val="24"/>
        </w:rPr>
        <w:t>R v Ireland </w:t>
      </w:r>
      <w:hyperlink r:id="rId14" w:tooltip="Law Reports, Appeal Cases" w:history="1">
        <w:r w:rsidRPr="00895218">
          <w:rPr>
            <w:rStyle w:val="Hyperlink"/>
            <w:rFonts w:ascii="Arial" w:hAnsi="Arial" w:cs="Arial"/>
            <w:color w:val="auto"/>
            <w:sz w:val="24"/>
            <w:szCs w:val="24"/>
            <w:u w:val="none"/>
          </w:rPr>
          <w:t>[1998] AC 147</w:t>
        </w:r>
      </w:hyperlink>
      <w:r w:rsidRPr="00895218">
        <w:rPr>
          <w:rFonts w:ascii="Arial" w:hAnsi="Arial" w:cs="Arial"/>
          <w:sz w:val="24"/>
          <w:szCs w:val="24"/>
        </w:rPr>
        <w:t>; </w:t>
      </w:r>
      <w:hyperlink r:id="rId15" w:tooltip="Weekly Law Reports" w:history="1">
        <w:r w:rsidRPr="00895218">
          <w:rPr>
            <w:rStyle w:val="Hyperlink"/>
            <w:rFonts w:ascii="Arial" w:hAnsi="Arial" w:cs="Arial"/>
            <w:color w:val="auto"/>
            <w:sz w:val="24"/>
            <w:szCs w:val="24"/>
            <w:u w:val="none"/>
          </w:rPr>
          <w:t>[1997] 3 WLR 534</w:t>
        </w:r>
      </w:hyperlink>
      <w:r w:rsidRPr="00895218">
        <w:rPr>
          <w:rFonts w:ascii="Arial" w:hAnsi="Arial" w:cs="Arial"/>
          <w:sz w:val="24"/>
          <w:szCs w:val="24"/>
        </w:rPr>
        <w:t>; </w:t>
      </w:r>
      <w:hyperlink r:id="rId16" w:tooltip="All England Law Reports" w:history="1">
        <w:r w:rsidRPr="00895218">
          <w:rPr>
            <w:rStyle w:val="Hyperlink"/>
            <w:rFonts w:ascii="Arial" w:hAnsi="Arial" w:cs="Arial"/>
            <w:color w:val="auto"/>
            <w:sz w:val="24"/>
            <w:szCs w:val="24"/>
            <w:u w:val="none"/>
          </w:rPr>
          <w:t>[1997] 4 All ER 225</w:t>
        </w:r>
      </w:hyperlink>
      <w:r w:rsidRPr="00895218">
        <w:rPr>
          <w:rFonts w:ascii="Arial" w:hAnsi="Arial" w:cs="Arial"/>
          <w:sz w:val="24"/>
          <w:szCs w:val="24"/>
        </w:rPr>
        <w:t>, HL(E)</w:t>
      </w:r>
    </w:p>
    <w:p w14:paraId="41B79957" w14:textId="77F2BF11" w:rsidR="0090708D" w:rsidRPr="0090708D" w:rsidRDefault="0090708D" w:rsidP="0090708D">
      <w:pPr>
        <w:rPr>
          <w:rFonts w:ascii="Arial" w:hAnsi="Arial" w:cs="Arial"/>
          <w:sz w:val="24"/>
          <w:szCs w:val="24"/>
        </w:rPr>
      </w:pPr>
      <w:hyperlink r:id="rId17" w:history="1">
        <w:r w:rsidRPr="0090708D">
          <w:rPr>
            <w:rStyle w:val="Hyperlink"/>
            <w:rFonts w:ascii="Arial" w:hAnsi="Arial" w:cs="Arial"/>
            <w:color w:val="auto"/>
            <w:sz w:val="24"/>
            <w:szCs w:val="24"/>
            <w:u w:val="none"/>
          </w:rPr>
          <w:t>R v Kingston [1994] 2 LRC 775</w:t>
        </w:r>
      </w:hyperlink>
    </w:p>
    <w:sectPr w:rsidR="0090708D" w:rsidRPr="009070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BAE"/>
    <w:rsid w:val="00033606"/>
    <w:rsid w:val="000A51C4"/>
    <w:rsid w:val="000B7D27"/>
    <w:rsid w:val="00111106"/>
    <w:rsid w:val="001321F6"/>
    <w:rsid w:val="00133716"/>
    <w:rsid w:val="001469C5"/>
    <w:rsid w:val="00176BA8"/>
    <w:rsid w:val="00196AFF"/>
    <w:rsid w:val="001B4727"/>
    <w:rsid w:val="002024F8"/>
    <w:rsid w:val="00225C48"/>
    <w:rsid w:val="00241343"/>
    <w:rsid w:val="00245BC3"/>
    <w:rsid w:val="0029419A"/>
    <w:rsid w:val="002C66CE"/>
    <w:rsid w:val="0031410B"/>
    <w:rsid w:val="00360B4F"/>
    <w:rsid w:val="00376FF1"/>
    <w:rsid w:val="0038017B"/>
    <w:rsid w:val="003874EF"/>
    <w:rsid w:val="0038783C"/>
    <w:rsid w:val="003B6120"/>
    <w:rsid w:val="003D66D5"/>
    <w:rsid w:val="003E3101"/>
    <w:rsid w:val="003E7849"/>
    <w:rsid w:val="003F5283"/>
    <w:rsid w:val="00417AFE"/>
    <w:rsid w:val="00434E93"/>
    <w:rsid w:val="00434F0A"/>
    <w:rsid w:val="004536B2"/>
    <w:rsid w:val="00487A11"/>
    <w:rsid w:val="004C2BAE"/>
    <w:rsid w:val="004D6366"/>
    <w:rsid w:val="004F0153"/>
    <w:rsid w:val="00505794"/>
    <w:rsid w:val="00572460"/>
    <w:rsid w:val="00585370"/>
    <w:rsid w:val="005B743E"/>
    <w:rsid w:val="005C0270"/>
    <w:rsid w:val="00611FE5"/>
    <w:rsid w:val="00622018"/>
    <w:rsid w:val="0074232E"/>
    <w:rsid w:val="0079735A"/>
    <w:rsid w:val="007A6E35"/>
    <w:rsid w:val="007B093E"/>
    <w:rsid w:val="007C61C6"/>
    <w:rsid w:val="007D3454"/>
    <w:rsid w:val="007D5599"/>
    <w:rsid w:val="007E0397"/>
    <w:rsid w:val="007F36DA"/>
    <w:rsid w:val="00800EAB"/>
    <w:rsid w:val="0081524A"/>
    <w:rsid w:val="00831B56"/>
    <w:rsid w:val="00871C10"/>
    <w:rsid w:val="0087658D"/>
    <w:rsid w:val="00895218"/>
    <w:rsid w:val="0090708D"/>
    <w:rsid w:val="00913D4C"/>
    <w:rsid w:val="00945B8C"/>
    <w:rsid w:val="00970220"/>
    <w:rsid w:val="009706B4"/>
    <w:rsid w:val="0097092C"/>
    <w:rsid w:val="00976ED3"/>
    <w:rsid w:val="00984486"/>
    <w:rsid w:val="009A07F4"/>
    <w:rsid w:val="009C027B"/>
    <w:rsid w:val="009E138A"/>
    <w:rsid w:val="00A55237"/>
    <w:rsid w:val="00A67448"/>
    <w:rsid w:val="00A72831"/>
    <w:rsid w:val="00A81994"/>
    <w:rsid w:val="00A83EC5"/>
    <w:rsid w:val="00A93FE7"/>
    <w:rsid w:val="00AC54EE"/>
    <w:rsid w:val="00AD25F0"/>
    <w:rsid w:val="00AE38BD"/>
    <w:rsid w:val="00B26636"/>
    <w:rsid w:val="00B52B93"/>
    <w:rsid w:val="00B7176B"/>
    <w:rsid w:val="00BB5CF1"/>
    <w:rsid w:val="00BC4DBE"/>
    <w:rsid w:val="00C24070"/>
    <w:rsid w:val="00C24809"/>
    <w:rsid w:val="00C27D1A"/>
    <w:rsid w:val="00C756DB"/>
    <w:rsid w:val="00C77674"/>
    <w:rsid w:val="00C92336"/>
    <w:rsid w:val="00D14E47"/>
    <w:rsid w:val="00D20D6B"/>
    <w:rsid w:val="00D31029"/>
    <w:rsid w:val="00DA37B0"/>
    <w:rsid w:val="00DA7E91"/>
    <w:rsid w:val="00E35877"/>
    <w:rsid w:val="00E4209E"/>
    <w:rsid w:val="00E46FA0"/>
    <w:rsid w:val="00E5785C"/>
    <w:rsid w:val="00EB3E43"/>
    <w:rsid w:val="00ED4E70"/>
    <w:rsid w:val="00F801CE"/>
    <w:rsid w:val="00F87F4E"/>
    <w:rsid w:val="00FF54B7"/>
    <w:rsid w:val="00FF6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510AA"/>
  <w15:chartTrackingRefBased/>
  <w15:docId w15:val="{7DAE252A-F168-4729-A064-7B14B3106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ssh">
    <w:name w:val="ss_sh"/>
    <w:basedOn w:val="DefaultParagraphFont"/>
    <w:rsid w:val="00D31029"/>
  </w:style>
  <w:style w:type="character" w:styleId="Hyperlink">
    <w:name w:val="Hyperlink"/>
    <w:basedOn w:val="DefaultParagraphFont"/>
    <w:uiPriority w:val="99"/>
    <w:unhideWhenUsed/>
    <w:rsid w:val="00611FE5"/>
    <w:rPr>
      <w:color w:val="0563C1" w:themeColor="hyperlink"/>
      <w:u w:val="single"/>
    </w:rPr>
  </w:style>
  <w:style w:type="character" w:styleId="UnresolvedMention">
    <w:name w:val="Unresolved Mention"/>
    <w:basedOn w:val="DefaultParagraphFont"/>
    <w:uiPriority w:val="99"/>
    <w:semiHidden/>
    <w:unhideWhenUsed/>
    <w:rsid w:val="00611F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62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8/33/contents" TargetMode="External"/><Relationship Id="rId13" Type="http://schemas.openxmlformats.org/officeDocument/2006/relationships/hyperlink" Target="https://plus-lexis-com.ezproxy.uwtsd.ac.uk/uk/cases-uk/r-on-the-application-of-ricketts-v-basildon-m_2?crid=0ac76494-d93c-4682-9dae-e410c102459b"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legislation.gov.uk/ukpga/1971/48/contents" TargetMode="External"/><Relationship Id="rId12" Type="http://schemas.openxmlformats.org/officeDocument/2006/relationships/hyperlink" Target="https://plus-lexis-com.ezproxy.uwtsd.ac.uk/uk/cases-uk/r-on-the-application-of-ricketts-v-basildon-m_2?crid=0ac76494-d93c-4682-9dae-e410c102459b" TargetMode="External"/><Relationship Id="rId17" Type="http://schemas.openxmlformats.org/officeDocument/2006/relationships/hyperlink" Target="https://plus-lexis-com.ezproxy.uwtsd.ac.uk/api/document/collection/cases-uk/id/5P6R-4621-DYHT-G27V-00000-00?cite=R%20v%20Kingston%2C%20%5B1994%5D%202%20LRC%20775&amp;context=1001073" TargetMode="External"/><Relationship Id="rId2" Type="http://schemas.openxmlformats.org/officeDocument/2006/relationships/customXml" Target="../customXml/item2.xml"/><Relationship Id="rId16" Type="http://schemas.openxmlformats.org/officeDocument/2006/relationships/hyperlink" Target="https://plus-lexis-com.ezproxy.uwtsd.ac.uk/uk/cases-uk/roodal-v-state-of-trinidad-and-tobago-2005?crid=f7b8971a-70d8-46a6-9521-308260558359&amp;pddocid=urn:contentItem:4JT8-8WP0-TXD8-601F-00000-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us-lexis-com.ezproxy.uwtsd.ac.uk/uk/cases-uk/r-on-the-application-of-ricketts-v-basildon-m_2?crid=0ac76494-d93c-4682-9dae-e410c102459b" TargetMode="External"/><Relationship Id="rId5" Type="http://schemas.openxmlformats.org/officeDocument/2006/relationships/settings" Target="settings.xml"/><Relationship Id="rId15" Type="http://schemas.openxmlformats.org/officeDocument/2006/relationships/hyperlink" Target="https://plus-lexis-com.ezproxy.uwtsd.ac.uk/uk/cases-uk/roodal-v-state-of-trinidad-and-tobago-2005?crid=f7b8971a-70d8-46a6-9521-308260558359&amp;pddocid=urn:contentItem:4JT8-8WP0-TXD8-601F-00000-00" TargetMode="External"/><Relationship Id="rId10" Type="http://schemas.openxmlformats.org/officeDocument/2006/relationships/hyperlink" Target="https://www.legislation.gov.uk/ukpga/1968/60/content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legislation.gov.uk/ukpga/Vict/24-25/100/contents" TargetMode="External"/><Relationship Id="rId14" Type="http://schemas.openxmlformats.org/officeDocument/2006/relationships/hyperlink" Target="https://plus-lexis-com.ezproxy.uwtsd.ac.uk/uk/cases-uk/roodal-v-state-of-trinidad-and-tobago-2005?crid=f7b8971a-70d8-46a6-9521-308260558359&amp;pddocid=urn:contentItem:4JT8-8WP0-TXD8-601F-0000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5d853b1b0d3eb963727c3f021c9290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8e8f9a5649e88ae2a5f06fca135a925"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4E1C424-695E-4522-8DB4-74B8C69CC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B6AE12-E030-48D0-94CC-01D18935967B}">
  <ds:schemaRefs>
    <ds:schemaRef ds:uri="http://schemas.microsoft.com/sharepoint/v3/contenttype/forms"/>
  </ds:schemaRefs>
</ds:datastoreItem>
</file>

<file path=customXml/itemProps3.xml><?xml version="1.0" encoding="utf-8"?>
<ds:datastoreItem xmlns:ds="http://schemas.openxmlformats.org/officeDocument/2006/customXml" ds:itemID="{64126AE1-F0CC-40F9-AA24-74C58CD7D52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5</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 (2224078)</cp:lastModifiedBy>
  <cp:revision>96</cp:revision>
  <dcterms:created xsi:type="dcterms:W3CDTF">2023-07-05T17:37:00Z</dcterms:created>
  <dcterms:modified xsi:type="dcterms:W3CDTF">2023-07-05T21:07:00Z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