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701D6" w14:textId="77777777" w:rsidR="00E534AB" w:rsidRPr="00F026F5" w:rsidRDefault="00E534AB" w:rsidP="00E534AB">
      <w:pPr>
        <w:spacing w:line="360" w:lineRule="auto"/>
        <w:rPr>
          <w:rFonts w:ascii="Arial" w:hAnsi="Arial" w:cs="Arial"/>
        </w:rPr>
      </w:pPr>
      <w:r w:rsidRPr="00F026F5">
        <w:rPr>
          <w:rFonts w:ascii="Arial" w:hAnsi="Arial" w:cs="Arial"/>
        </w:rPr>
        <w:t>Quality assurance in early years settings is shaped by a combination of statutory requirements and voluntary</w:t>
      </w:r>
      <w:r>
        <w:rPr>
          <w:rFonts w:ascii="Arial" w:hAnsi="Arial" w:cs="Arial"/>
        </w:rPr>
        <w:t xml:space="preserve"> </w:t>
      </w:r>
      <w:r w:rsidRPr="00F026F5">
        <w:rPr>
          <w:rFonts w:ascii="Arial" w:hAnsi="Arial" w:cs="Arial"/>
        </w:rPr>
        <w:t>research informed approaches that support continuous improvement. In Wales, statutory frameworks such as the National Minimum Standards (NMS), the Self-Assessment of Service Statement (SASS), and Care Inspectorate Wales (CIW) inspections establish the essential baseline for quality. These frameworks ensure that childcare providers meet legal expectations relating to safeguarding, staffing, leadership, health and safety, and the overall quality of care (CIW, 2023). However, while statutory requirements are crucial for ensuring compliance and protecting children’s welfare, they represent only the minimum acceptable standard. Research into early childhood quality consistently highlights that minimum standards alone do not guarantee high quality experiences for children, as they focus primarily on compliance rather than the richness of day to day practice (Nutbrown, 2012). High quality early years provision therefore requires settings to go beyond statutory expectations and engage in deeper, reflective, and research informed quality assurance processes that support meaningful improvements in children’s learning and wellbeing. This is particularly important in Flying Start settings, where children may face additional barriers and therefore benefit from environments that exceed basic compliance.</w:t>
      </w:r>
    </w:p>
    <w:p w14:paraId="160E4A3C" w14:textId="77777777" w:rsidR="00E534AB" w:rsidRPr="00F026F5" w:rsidRDefault="00E534AB" w:rsidP="00E534AB">
      <w:pPr>
        <w:spacing w:line="360" w:lineRule="auto"/>
        <w:rPr>
          <w:rFonts w:ascii="Arial" w:hAnsi="Arial" w:cs="Arial"/>
        </w:rPr>
      </w:pPr>
      <w:r w:rsidRPr="00F026F5">
        <w:rPr>
          <w:rFonts w:ascii="Arial" w:hAnsi="Arial" w:cs="Arial"/>
        </w:rPr>
        <w:t xml:space="preserve">Statutory requirements such as the National Minimum Standards provide the structural foundation for quality in early years settings. These standards outline essential expectations relating to staffing ratios, safeguarding procedures, leadership responsibilities, and the physical environment (Welsh Government, 2023). The SASS further requires providers to reflect on their practice and report key information to CIW, who use this data to plan inspections and identify areas requiring further scrutiny. While these statutory tools are essential for ensuring compliance, they do not always provide the depth of analysis or reflective challenge needed to drive continuous improvement. Research consistently shows that while structural quality is important, it is process quality, the quality of interactions, relationships, and learning experiences, that has the greatest impact on children’s outcomes (Sylva, 2010). This distinction between structural and process quality is widely recognised in early childhood research, with scholars arguing that statutory frameworks often fail to capture the subtleties of children’s lived experiences (Moss, 2016). As a result, additional quality assurance methods are needed to support deeper reflection and </w:t>
      </w:r>
      <w:r w:rsidRPr="00F026F5">
        <w:rPr>
          <w:rFonts w:ascii="Arial" w:hAnsi="Arial" w:cs="Arial"/>
        </w:rPr>
        <w:lastRenderedPageBreak/>
        <w:t>professional development, enabling practitioners to understand not only what they do but how and why they do it.</w:t>
      </w:r>
    </w:p>
    <w:p w14:paraId="3D428AF5" w14:textId="77777777" w:rsidR="00E534AB" w:rsidRPr="00F026F5" w:rsidRDefault="00E534AB" w:rsidP="00E534AB">
      <w:pPr>
        <w:spacing w:line="360" w:lineRule="auto"/>
        <w:rPr>
          <w:rFonts w:ascii="Arial" w:hAnsi="Arial" w:cs="Arial"/>
        </w:rPr>
      </w:pPr>
      <w:r w:rsidRPr="00F026F5">
        <w:rPr>
          <w:rFonts w:ascii="Arial" w:hAnsi="Arial" w:cs="Arial"/>
        </w:rPr>
        <w:t xml:space="preserve">The Sustained Shared Thinking and Emotional Wellbeing (SSTEW) Scale is a research based observational tool designed to assess the quality of interactions and emotional wellbeing in early years settings. Developed by Siraj, Kingston and Melhuish (2015), the scale focuses on five key areas: building trust, social and emotional wellbeing, supporting and extending language, supporting learning and critical thinking, and assessing learning and language. Unlike statutory frameworks, which focus primarily on compliance, the SSTEW Scale provides a detailed analysis of the quality of interactions between practitioners and children. This emphasis on process quality aligns with research suggesting that high quality interactions are central to children’s cognitive and emotional development (Siraj Blatchford, 2002). The SSTEW Scale therefore offers a more </w:t>
      </w:r>
      <w:r w:rsidRPr="001A7664">
        <w:rPr>
          <w:rFonts w:ascii="Arial" w:hAnsi="Arial" w:cs="Arial"/>
        </w:rPr>
        <w:t xml:space="preserve">layered </w:t>
      </w:r>
      <w:r w:rsidRPr="00F026F5">
        <w:rPr>
          <w:rFonts w:ascii="Arial" w:hAnsi="Arial" w:cs="Arial"/>
        </w:rPr>
        <w:t>understanding of quality than statutory frameworks alone, making it a valuable tool for settings aiming to exceed minimum expectations and embed reflective practice into everyday routines.</w:t>
      </w:r>
    </w:p>
    <w:p w14:paraId="3CD9A475" w14:textId="77777777" w:rsidR="00E534AB" w:rsidRPr="00F026F5" w:rsidRDefault="00E534AB" w:rsidP="00E534AB">
      <w:pPr>
        <w:spacing w:line="360" w:lineRule="auto"/>
        <w:rPr>
          <w:rFonts w:ascii="Arial" w:hAnsi="Arial" w:cs="Arial"/>
        </w:rPr>
      </w:pPr>
      <w:r w:rsidRPr="00F026F5">
        <w:rPr>
          <w:rFonts w:ascii="Arial" w:hAnsi="Arial" w:cs="Arial"/>
        </w:rPr>
        <w:t>One of the key benefits of the SSTEW Scale is that it encourages practitioners to reflect on the quality of their interactions and consider how they support children’s thinking, language, and emotional wellbeing. This reflective process can lead to improvements in practice that go beyond the minimum standards required by CIW. For example, the scale highlights the importance of sustained shared thinking, a pedagogical approach in which adults and children work together to solve problems, clarify ideas, and extend understanding (Siraj Blatchford, 2002). Research shows that sustained shared thinking is strongly with high quality early years provision and improved outcomes for children (Sylva, 2010). By encouraging practitioners to engage in this type of interaction, the SSTEW Scale supports a deeper level of quality than statutory frameworks alone. It also encourages practitioners to slow down, listen carefully, and respond thoughtfully, which can significantly enhance children’s learning experiences.</w:t>
      </w:r>
    </w:p>
    <w:p w14:paraId="0486F2FA" w14:textId="77777777" w:rsidR="00E534AB" w:rsidRPr="00F026F5" w:rsidRDefault="00E534AB" w:rsidP="00E534AB">
      <w:pPr>
        <w:spacing w:line="360" w:lineRule="auto"/>
        <w:rPr>
          <w:rFonts w:ascii="Arial" w:hAnsi="Arial" w:cs="Arial"/>
        </w:rPr>
      </w:pPr>
      <w:r w:rsidRPr="00F026F5">
        <w:rPr>
          <w:rFonts w:ascii="Arial" w:hAnsi="Arial" w:cs="Arial"/>
        </w:rPr>
        <w:t xml:space="preserve">The SSTEW Scale also places a strong emphasis on emotional wellbeing. Emotional wellbeing is a key component of children’s development and is closely linked to their ability to learn, form relationships, and regulate their emotions (Moss, 2016). While statutory frameworks require settings to promote children’s wellbeing, they do not </w:t>
      </w:r>
      <w:r w:rsidRPr="00F026F5">
        <w:rPr>
          <w:rFonts w:ascii="Arial" w:hAnsi="Arial" w:cs="Arial"/>
        </w:rPr>
        <w:lastRenderedPageBreak/>
        <w:t>always provide detailed guidance on how to achieve this. The SSTEW Scale offers a structured approach to assessing and improving the emotional climate of the setting, which can lead to more nurturing and supportive environments for children. This aligns with research suggesting that emotionally supportive environments are essential for children’s long term development (Nutbrown, 2012). The scale’s focus on trust building and emotional security is particularly relevant in Flying Start settings, where many children may experience additional vulnerabilities and benefit from consistent, emotionally attuned relationships. By embedding these principles into daily practice, settings can create environments where children feel safe, valued, and ready to learn.</w:t>
      </w:r>
    </w:p>
    <w:p w14:paraId="48240576" w14:textId="77777777" w:rsidR="00E534AB" w:rsidRPr="00F026F5" w:rsidRDefault="00E534AB" w:rsidP="00E534AB">
      <w:pPr>
        <w:spacing w:line="360" w:lineRule="auto"/>
        <w:rPr>
          <w:rFonts w:ascii="Arial" w:hAnsi="Arial" w:cs="Arial"/>
        </w:rPr>
      </w:pPr>
      <w:r w:rsidRPr="00F026F5">
        <w:rPr>
          <w:rFonts w:ascii="Arial" w:hAnsi="Arial" w:cs="Arial"/>
        </w:rPr>
        <w:t>Another strength of the SSTEW Scale is that it provides a shared language for practitioners to discuss and evaluate their practice. This can support professional dialogue and collaborative reflection, which are key components of high quality early years provision. When practitioners have a common framework for understanding and assessing interactions, they are better able to identify strengths, address challenges, and plan targeted improvements. This collaborative approach aligns with research suggesting that professional learning communities can enhance the quality of early years provision (Pascal, 2012). The SSTEW Scale therefore not only supports individual reflection but also strengthens team based approaches to quality improvement. It encourages practitioners to move beyond routine practice and engage in deeper conversations about pedagogy, emotional climate, and children’s learning experiences.</w:t>
      </w:r>
    </w:p>
    <w:p w14:paraId="28F252E4" w14:textId="77777777" w:rsidR="00E534AB" w:rsidRPr="00F026F5" w:rsidRDefault="00E534AB" w:rsidP="00E534AB">
      <w:pPr>
        <w:spacing w:line="360" w:lineRule="auto"/>
        <w:rPr>
          <w:rFonts w:ascii="Arial" w:hAnsi="Arial" w:cs="Arial"/>
        </w:rPr>
      </w:pPr>
      <w:r w:rsidRPr="001A7664">
        <w:rPr>
          <w:rFonts w:ascii="Arial" w:hAnsi="Arial" w:cs="Arial"/>
        </w:rPr>
        <w:t>However, the SSTEW Scale also has limitations. It requires training to use effectively, which can be costly and time consuming for settings (Siraj, 2015)</w:t>
      </w:r>
      <w:r>
        <w:rPr>
          <w:rFonts w:ascii="Arial" w:hAnsi="Arial" w:cs="Arial"/>
        </w:rPr>
        <w:t>.</w:t>
      </w:r>
      <w:r w:rsidRPr="00F026F5">
        <w:rPr>
          <w:rFonts w:ascii="Arial" w:hAnsi="Arial" w:cs="Arial"/>
        </w:rPr>
        <w:t>Without proper training, practitioners may struggle to interpret the scale accurately or use it to inform practice. Additionally, the scale focuses primarily on interactions and emotional wellbeing, which means it may not capture other important aspects of quality, such as leadership, partnerships with families, or the physical environment. Some practitioners may also find the observational process intimidating, particularly if they are not accustomed to being observed or receiving detailed feedback. Despite these limitations, the SSTEW Scale remains a valuable tool for improving process quality and supporting reflective practice, particularly when used alongside other quality assurance methods.</w:t>
      </w:r>
    </w:p>
    <w:p w14:paraId="7362B231" w14:textId="77777777" w:rsidR="00E534AB" w:rsidRPr="00F026F5" w:rsidRDefault="00E534AB" w:rsidP="00E534AB">
      <w:pPr>
        <w:spacing w:line="360" w:lineRule="auto"/>
        <w:rPr>
          <w:rFonts w:ascii="Arial" w:hAnsi="Arial" w:cs="Arial"/>
        </w:rPr>
      </w:pPr>
      <w:r w:rsidRPr="00F026F5">
        <w:rPr>
          <w:rFonts w:ascii="Arial" w:hAnsi="Arial" w:cs="Arial"/>
        </w:rPr>
        <w:lastRenderedPageBreak/>
        <w:t>The Environment Rating Scales (ECERS and ITERS) are another widely used set of research based observational tools that assess the quality of early years environments. ECERS focuses on provision for children aged three to five, while ITERS focuses on provision for children under three. These scales assess a wide range of areas, including interactions, routines, resources, and the emotional climate of the setting (Harms, 2015). Like the SSTEW Scale, the Environment Rating Scales emphasise process quality and provide detailed insights into the quality of children’s experiences. They also offer a structured way for settings to evaluate how well their environment supports children’s independence, exploration, and engagement.</w:t>
      </w:r>
    </w:p>
    <w:p w14:paraId="2C5AF8F0" w14:textId="77777777" w:rsidR="00E534AB" w:rsidRPr="00F026F5" w:rsidRDefault="00E534AB" w:rsidP="00E534AB">
      <w:pPr>
        <w:spacing w:line="360" w:lineRule="auto"/>
        <w:rPr>
          <w:rFonts w:ascii="Arial" w:hAnsi="Arial" w:cs="Arial"/>
        </w:rPr>
      </w:pPr>
      <w:r w:rsidRPr="00F026F5">
        <w:rPr>
          <w:rFonts w:ascii="Arial" w:hAnsi="Arial" w:cs="Arial"/>
        </w:rPr>
        <w:t>One of the main benefits of the Environment Rating Scales is that they provide a comprehensive assessment of the learning environment. They highlight specific strengths and areas for development, which can support targeted improvement. For example, ECERS can identify gaps in language rich interactions, opportunities for sustained shared thinking, or the organisation of resources to support independence. These insights go far beyond what SASS or NMS require and provide a deeper understanding of children’s lived experiences in the setting. Research by Pascal and Bertram (2012) emphasises that high quality interactions and emotionally supportive environments have a significant impact on children’s outcomes. The Environment Rating Scales are grounded in this research and provide a robust framework for evaluating and improving these aspects of quality.</w:t>
      </w:r>
    </w:p>
    <w:p w14:paraId="390CE1D6" w14:textId="77777777" w:rsidR="00E534AB" w:rsidRPr="00F026F5" w:rsidRDefault="00E534AB" w:rsidP="00E534AB">
      <w:pPr>
        <w:spacing w:line="360" w:lineRule="auto"/>
        <w:rPr>
          <w:rFonts w:ascii="Arial" w:hAnsi="Arial" w:cs="Arial"/>
        </w:rPr>
      </w:pPr>
      <w:r w:rsidRPr="00F026F5">
        <w:rPr>
          <w:rFonts w:ascii="Arial" w:hAnsi="Arial" w:cs="Arial"/>
        </w:rPr>
        <w:t>Another benefit of the Environment Rating Scales is that they can be used to track progress over time. By repeating observations at regular intervals, settings can monitor improvements and evaluate the impact of changes. This can support continuous improvement and provide strong evidence for CIW inspections and SASS submissions. The scales also encourage practitioners to reflect on their practice and consider how the environment supports children’s learning and development. This reflective process can lead to improvements in practice that go beyond the minimum standards required by statutory frameworks. It also helps settings demonstrate their commitment to ongoing development, which is valued by CIW during inspections.</w:t>
      </w:r>
    </w:p>
    <w:p w14:paraId="3E408FA1" w14:textId="77777777" w:rsidR="00E534AB" w:rsidRPr="00F026F5" w:rsidRDefault="00E534AB" w:rsidP="00E534AB">
      <w:pPr>
        <w:spacing w:line="360" w:lineRule="auto"/>
        <w:rPr>
          <w:rFonts w:ascii="Arial" w:hAnsi="Arial" w:cs="Arial"/>
        </w:rPr>
      </w:pPr>
      <w:r w:rsidRPr="00F026F5">
        <w:rPr>
          <w:rFonts w:ascii="Arial" w:hAnsi="Arial" w:cs="Arial"/>
        </w:rPr>
        <w:t xml:space="preserve">However, the Environment Rating Scales also have limitations. They require training to use reliably, which can be costly and time consuming. If staff are not trained, the results may not be accurate or meaningful. The tools can also feel judgemental if not </w:t>
      </w:r>
      <w:r w:rsidRPr="00F026F5">
        <w:rPr>
          <w:rFonts w:ascii="Arial" w:hAnsi="Arial" w:cs="Arial"/>
        </w:rPr>
        <w:lastRenderedPageBreak/>
        <w:t>introduced sensitively, which may impact staff morale. Additionally, while the scales provide detailed insights into certain aspects of quality, they may not capture the full complexity of relationships, cultural context, or children’s individual needs. Despite these limitations, the Environment Rating Scales remain one of the most widely recognised and evidence based methods for improving early years quality, particularly when used alongside reflective tools such as the SSTEW Scale.</w:t>
      </w:r>
    </w:p>
    <w:p w14:paraId="4DD2F8DE" w14:textId="77777777" w:rsidR="00E534AB" w:rsidRPr="00F026F5" w:rsidRDefault="00E534AB" w:rsidP="00E534AB">
      <w:pPr>
        <w:spacing w:line="360" w:lineRule="auto"/>
        <w:rPr>
          <w:rFonts w:ascii="Arial" w:hAnsi="Arial" w:cs="Arial"/>
        </w:rPr>
      </w:pPr>
      <w:r w:rsidRPr="00F026F5">
        <w:rPr>
          <w:rFonts w:ascii="Arial" w:hAnsi="Arial" w:cs="Arial"/>
        </w:rPr>
        <w:t>When comparing these additional methods to statutory requirements, it becomes clear that tools like the SSTEW Scale and the Environment Rating Scales offer a deeper, more reflective approach to quality assurance. Statutory frameworks such as SASS and NMS ensure that settings meet essential expectations, but they do not always provide the level of detail or professional challenge needed to drive continuous improvement. Additional quality assurance methods encourage settings to look beyond compliance and engage in reflective, research informed practice. They also provide stronger evidence for CIW inspections, demonstrating that the setting is not only meeting but exceeding expectations. This aligns with research suggesting that high quality early years provision requires a commitment to continuous improvement and reflective practice (Nutbrown, 2012). By embedding these additional tools into their quality assurance processes, settings can create richer, more responsive environments that better support children’s learning and wellbeing.</w:t>
      </w:r>
    </w:p>
    <w:p w14:paraId="31A22D46" w14:textId="77777777" w:rsidR="00E534AB" w:rsidRPr="00F026F5" w:rsidRDefault="00E534AB" w:rsidP="00E534AB">
      <w:pPr>
        <w:spacing w:line="360" w:lineRule="auto"/>
        <w:rPr>
          <w:rFonts w:ascii="Arial" w:hAnsi="Arial" w:cs="Arial"/>
        </w:rPr>
      </w:pPr>
      <w:r w:rsidRPr="00F026F5">
        <w:rPr>
          <w:rFonts w:ascii="Arial" w:hAnsi="Arial" w:cs="Arial"/>
        </w:rPr>
        <w:t>Overall, adopting additional quality assurance methods above statutory requirements can significantly enhance the quality of early years provision. They support reflective practice, strengthen professional development, and provide detailed insights into both structural and process quality. While they require time, training, and commitment, the benefits, including improved outcomes for children, stronger staff confidence, and clearer evidence for inspection, make them a valuable part of a high quality Flying Start setting. By combining statutory compliance with research informed quality assurance tools, settings can ensure that children receive the best possible start in life.</w:t>
      </w:r>
    </w:p>
    <w:p w14:paraId="35A24912" w14:textId="77777777" w:rsidR="00E534AB" w:rsidRDefault="00E534AB"/>
    <w:p w14:paraId="5ED5E134" w14:textId="77777777" w:rsidR="00E534AB" w:rsidRDefault="00E534AB"/>
    <w:p w14:paraId="41E7E81E" w14:textId="77777777" w:rsidR="00E534AB" w:rsidRDefault="00E534AB"/>
    <w:p w14:paraId="11170202" w14:textId="0A794006" w:rsidR="00E534AB" w:rsidRDefault="00E534AB" w:rsidP="00E534AB">
      <w:pPr>
        <w:spacing w:line="360" w:lineRule="auto"/>
        <w:rPr>
          <w:rFonts w:ascii="Arial" w:hAnsi="Arial" w:cs="Arial"/>
          <w:u w:val="single"/>
        </w:rPr>
      </w:pPr>
      <w:r w:rsidRPr="00E534AB">
        <w:rPr>
          <w:rFonts w:ascii="Arial" w:hAnsi="Arial" w:cs="Arial"/>
          <w:u w:val="single"/>
        </w:rPr>
        <w:lastRenderedPageBreak/>
        <w:t>Reference list</w:t>
      </w:r>
    </w:p>
    <w:p w14:paraId="1756995D" w14:textId="77777777" w:rsidR="00E534AB" w:rsidRPr="00E534AB" w:rsidRDefault="00E534AB" w:rsidP="00E534AB">
      <w:pPr>
        <w:spacing w:line="360" w:lineRule="auto"/>
        <w:rPr>
          <w:rFonts w:ascii="Arial" w:hAnsi="Arial" w:cs="Arial"/>
        </w:rPr>
      </w:pPr>
      <w:r w:rsidRPr="00E534AB">
        <w:rPr>
          <w:rFonts w:ascii="Arial" w:hAnsi="Arial" w:cs="Arial"/>
        </w:rPr>
        <w:t xml:space="preserve">Bertram, T. and Pascal, C. (2012) </w:t>
      </w:r>
      <w:r w:rsidRPr="00E534AB">
        <w:rPr>
          <w:rFonts w:ascii="Arial" w:hAnsi="Arial" w:cs="Arial"/>
          <w:i/>
          <w:iCs/>
        </w:rPr>
        <w:t>Effective Early Learning: A Child Centred Approach to Quality Improvement.</w:t>
      </w:r>
      <w:r w:rsidRPr="00E534AB">
        <w:rPr>
          <w:rFonts w:ascii="Arial" w:hAnsi="Arial" w:cs="Arial"/>
        </w:rPr>
        <w:t xml:space="preserve"> Birmingham: Centre for Research in Early Childhood.</w:t>
      </w:r>
    </w:p>
    <w:p w14:paraId="704651A9" w14:textId="77777777" w:rsidR="00E534AB" w:rsidRPr="00E534AB" w:rsidRDefault="00E534AB" w:rsidP="00E534AB">
      <w:pPr>
        <w:spacing w:line="360" w:lineRule="auto"/>
        <w:rPr>
          <w:rFonts w:ascii="Arial" w:hAnsi="Arial" w:cs="Arial"/>
        </w:rPr>
      </w:pPr>
      <w:r w:rsidRPr="00E534AB">
        <w:rPr>
          <w:rFonts w:ascii="Arial" w:hAnsi="Arial" w:cs="Arial"/>
        </w:rPr>
        <w:t xml:space="preserve">Care Inspectorate Wales (2023) </w:t>
      </w:r>
      <w:r w:rsidRPr="00E534AB">
        <w:rPr>
          <w:rFonts w:ascii="Arial" w:hAnsi="Arial" w:cs="Arial"/>
          <w:i/>
          <w:iCs/>
        </w:rPr>
        <w:t>Inspection Guidance for Childcare and Play Settings.</w:t>
      </w:r>
      <w:r w:rsidRPr="00E534AB">
        <w:rPr>
          <w:rFonts w:ascii="Arial" w:hAnsi="Arial" w:cs="Arial"/>
        </w:rPr>
        <w:t xml:space="preserve"> Cardiff: Welsh Government.</w:t>
      </w:r>
    </w:p>
    <w:p w14:paraId="54B7A82B" w14:textId="77777777" w:rsidR="00E534AB" w:rsidRPr="00E534AB" w:rsidRDefault="00E534AB" w:rsidP="00E534AB">
      <w:pPr>
        <w:spacing w:line="360" w:lineRule="auto"/>
        <w:rPr>
          <w:rFonts w:ascii="Arial" w:hAnsi="Arial" w:cs="Arial"/>
        </w:rPr>
      </w:pPr>
      <w:r w:rsidRPr="00E534AB">
        <w:rPr>
          <w:rFonts w:ascii="Arial" w:hAnsi="Arial" w:cs="Arial"/>
        </w:rPr>
        <w:t xml:space="preserve">Harms, T., Clifford, R. and Cryer, D. (2015) </w:t>
      </w:r>
      <w:r w:rsidRPr="00E534AB">
        <w:rPr>
          <w:rFonts w:ascii="Arial" w:hAnsi="Arial" w:cs="Arial"/>
          <w:i/>
          <w:iCs/>
        </w:rPr>
        <w:t>Early Childhood Environment Rating Scale: Third Edition (ECERS 3).</w:t>
      </w:r>
      <w:r w:rsidRPr="00E534AB">
        <w:rPr>
          <w:rFonts w:ascii="Arial" w:hAnsi="Arial" w:cs="Arial"/>
        </w:rPr>
        <w:t xml:space="preserve"> New York: Teachers College Press.</w:t>
      </w:r>
    </w:p>
    <w:p w14:paraId="24BB697E" w14:textId="77777777" w:rsidR="00E534AB" w:rsidRPr="00E534AB" w:rsidRDefault="00E534AB" w:rsidP="00E534AB">
      <w:pPr>
        <w:spacing w:line="360" w:lineRule="auto"/>
        <w:rPr>
          <w:rFonts w:ascii="Arial" w:hAnsi="Arial" w:cs="Arial"/>
        </w:rPr>
      </w:pPr>
      <w:r w:rsidRPr="00E534AB">
        <w:rPr>
          <w:rFonts w:ascii="Arial" w:hAnsi="Arial" w:cs="Arial"/>
        </w:rPr>
        <w:t xml:space="preserve">Moss, P. (2016) </w:t>
      </w:r>
      <w:r w:rsidRPr="00E534AB">
        <w:rPr>
          <w:rFonts w:ascii="Arial" w:hAnsi="Arial" w:cs="Arial"/>
          <w:i/>
          <w:iCs/>
        </w:rPr>
        <w:t>Early Childhood and Care: Politics, Policies and Possibilities.</w:t>
      </w:r>
      <w:r w:rsidRPr="00E534AB">
        <w:rPr>
          <w:rFonts w:ascii="Arial" w:hAnsi="Arial" w:cs="Arial"/>
        </w:rPr>
        <w:t xml:space="preserve"> London: Palgrave Macmillan.</w:t>
      </w:r>
    </w:p>
    <w:p w14:paraId="44CAC184" w14:textId="77777777" w:rsidR="00E534AB" w:rsidRPr="00E534AB" w:rsidRDefault="00E534AB" w:rsidP="00E534AB">
      <w:pPr>
        <w:spacing w:line="360" w:lineRule="auto"/>
        <w:rPr>
          <w:rFonts w:ascii="Arial" w:hAnsi="Arial" w:cs="Arial"/>
        </w:rPr>
      </w:pPr>
      <w:r w:rsidRPr="00E534AB">
        <w:rPr>
          <w:rFonts w:ascii="Arial" w:hAnsi="Arial" w:cs="Arial"/>
        </w:rPr>
        <w:t xml:space="preserve">Nutbrown, C. (2012) </w:t>
      </w:r>
      <w:r w:rsidRPr="00E534AB">
        <w:rPr>
          <w:rFonts w:ascii="Arial" w:hAnsi="Arial" w:cs="Arial"/>
          <w:i/>
          <w:iCs/>
        </w:rPr>
        <w:t>Foundations for Quality: The Independent Review of Early Education and Childcare Qualifications.</w:t>
      </w:r>
      <w:r w:rsidRPr="00E534AB">
        <w:rPr>
          <w:rFonts w:ascii="Arial" w:hAnsi="Arial" w:cs="Arial"/>
        </w:rPr>
        <w:t xml:space="preserve"> London: Department for Education.</w:t>
      </w:r>
    </w:p>
    <w:p w14:paraId="316ECE61" w14:textId="77777777" w:rsidR="00E534AB" w:rsidRPr="00E534AB" w:rsidRDefault="00E534AB" w:rsidP="00E534AB">
      <w:pPr>
        <w:spacing w:line="360" w:lineRule="auto"/>
        <w:rPr>
          <w:rFonts w:ascii="Arial" w:hAnsi="Arial" w:cs="Arial"/>
        </w:rPr>
      </w:pPr>
      <w:r w:rsidRPr="00E534AB">
        <w:rPr>
          <w:rFonts w:ascii="Arial" w:hAnsi="Arial" w:cs="Arial"/>
        </w:rPr>
        <w:t xml:space="preserve">Pascal, C. and Bertram, T. (2012) </w:t>
      </w:r>
      <w:r w:rsidRPr="00E534AB">
        <w:rPr>
          <w:rFonts w:ascii="Arial" w:hAnsi="Arial" w:cs="Arial"/>
          <w:i/>
          <w:iCs/>
        </w:rPr>
        <w:t>The Impact of High Quality Early Years Provision on Children’s Outcomes.</w:t>
      </w:r>
      <w:r w:rsidRPr="00E534AB">
        <w:rPr>
          <w:rFonts w:ascii="Arial" w:hAnsi="Arial" w:cs="Arial"/>
        </w:rPr>
        <w:t xml:space="preserve"> London: Department for Education.</w:t>
      </w:r>
    </w:p>
    <w:p w14:paraId="02F02886" w14:textId="77777777" w:rsidR="00E534AB" w:rsidRPr="00E534AB" w:rsidRDefault="00E534AB" w:rsidP="00E534AB">
      <w:pPr>
        <w:spacing w:line="360" w:lineRule="auto"/>
        <w:rPr>
          <w:rFonts w:ascii="Arial" w:hAnsi="Arial" w:cs="Arial"/>
        </w:rPr>
      </w:pPr>
      <w:r w:rsidRPr="00E534AB">
        <w:rPr>
          <w:rFonts w:ascii="Arial" w:hAnsi="Arial" w:cs="Arial"/>
        </w:rPr>
        <w:t xml:space="preserve">Siraj Blatchford, I. and Sylva, K. (2002) </w:t>
      </w:r>
      <w:r w:rsidRPr="00E534AB">
        <w:rPr>
          <w:rFonts w:ascii="Arial" w:hAnsi="Arial" w:cs="Arial"/>
          <w:i/>
          <w:iCs/>
        </w:rPr>
        <w:t>Researching Effective Pedagogy in the Early Years (REPEY).</w:t>
      </w:r>
      <w:r w:rsidRPr="00E534AB">
        <w:rPr>
          <w:rFonts w:ascii="Arial" w:hAnsi="Arial" w:cs="Arial"/>
        </w:rPr>
        <w:t xml:space="preserve"> London: Department for Education and Skills.</w:t>
      </w:r>
    </w:p>
    <w:p w14:paraId="524F4285" w14:textId="77777777" w:rsidR="00E534AB" w:rsidRPr="00E534AB" w:rsidRDefault="00E534AB" w:rsidP="00E534AB">
      <w:pPr>
        <w:spacing w:line="360" w:lineRule="auto"/>
        <w:rPr>
          <w:rFonts w:ascii="Arial" w:hAnsi="Arial" w:cs="Arial"/>
        </w:rPr>
      </w:pPr>
      <w:r w:rsidRPr="00E534AB">
        <w:rPr>
          <w:rFonts w:ascii="Arial" w:hAnsi="Arial" w:cs="Arial"/>
        </w:rPr>
        <w:t xml:space="preserve">Siraj, I., Kingston, D. and Melhuish, E. (2015) </w:t>
      </w:r>
      <w:r w:rsidRPr="00E534AB">
        <w:rPr>
          <w:rFonts w:ascii="Arial" w:hAnsi="Arial" w:cs="Arial"/>
          <w:i/>
          <w:iCs/>
        </w:rPr>
        <w:t>SSTEW Scale: Sustained Shared Thinking and Emotional Wellbeing Scale for 2–5 Year Olds Provision.</w:t>
      </w:r>
      <w:r w:rsidRPr="00E534AB">
        <w:rPr>
          <w:rFonts w:ascii="Arial" w:hAnsi="Arial" w:cs="Arial"/>
        </w:rPr>
        <w:t xml:space="preserve"> London: Institute of Education Press.</w:t>
      </w:r>
    </w:p>
    <w:p w14:paraId="45B7B7BE" w14:textId="77777777" w:rsidR="00E534AB" w:rsidRPr="00E534AB" w:rsidRDefault="00E534AB" w:rsidP="00E534AB">
      <w:pPr>
        <w:spacing w:line="360" w:lineRule="auto"/>
        <w:rPr>
          <w:rFonts w:ascii="Arial" w:hAnsi="Arial" w:cs="Arial"/>
        </w:rPr>
      </w:pPr>
      <w:r w:rsidRPr="00E534AB">
        <w:rPr>
          <w:rFonts w:ascii="Arial" w:hAnsi="Arial" w:cs="Arial"/>
        </w:rPr>
        <w:t xml:space="preserve">Sylva, K., Melhuish, E., Sammons, P., Siraj Blatchford, I. and Taggart, B. (2010) </w:t>
      </w:r>
      <w:r w:rsidRPr="00E534AB">
        <w:rPr>
          <w:rFonts w:ascii="Arial" w:hAnsi="Arial" w:cs="Arial"/>
          <w:i/>
          <w:iCs/>
        </w:rPr>
        <w:t>Early Childhood Matters: Evidence from the Effective Pre School and Primary Education Project.</w:t>
      </w:r>
      <w:r w:rsidRPr="00E534AB">
        <w:rPr>
          <w:rFonts w:ascii="Arial" w:hAnsi="Arial" w:cs="Arial"/>
        </w:rPr>
        <w:t xml:space="preserve"> London: Routledge.</w:t>
      </w:r>
    </w:p>
    <w:p w14:paraId="3410D32F" w14:textId="77777777" w:rsidR="00E534AB" w:rsidRPr="00E534AB" w:rsidRDefault="00E534AB" w:rsidP="00E534AB">
      <w:pPr>
        <w:spacing w:line="360" w:lineRule="auto"/>
        <w:rPr>
          <w:rFonts w:ascii="Arial" w:hAnsi="Arial" w:cs="Arial"/>
        </w:rPr>
      </w:pPr>
      <w:r w:rsidRPr="00E534AB">
        <w:rPr>
          <w:rFonts w:ascii="Arial" w:hAnsi="Arial" w:cs="Arial"/>
        </w:rPr>
        <w:t xml:space="preserve">Welsh Government (2023) </w:t>
      </w:r>
      <w:r w:rsidRPr="00E534AB">
        <w:rPr>
          <w:rFonts w:ascii="Arial" w:hAnsi="Arial" w:cs="Arial"/>
          <w:i/>
          <w:iCs/>
        </w:rPr>
        <w:t>National Minimum Standards for Regulated Childcare.</w:t>
      </w:r>
      <w:r w:rsidRPr="00E534AB">
        <w:rPr>
          <w:rFonts w:ascii="Arial" w:hAnsi="Arial" w:cs="Arial"/>
        </w:rPr>
        <w:t xml:space="preserve"> Cardiff: Welsh Government.</w:t>
      </w:r>
    </w:p>
    <w:p w14:paraId="15186654" w14:textId="77777777" w:rsidR="00E534AB" w:rsidRPr="00E534AB" w:rsidRDefault="00E534AB" w:rsidP="00E534AB">
      <w:pPr>
        <w:spacing w:line="360" w:lineRule="auto"/>
        <w:rPr>
          <w:rFonts w:ascii="Arial" w:hAnsi="Arial" w:cs="Arial"/>
          <w:u w:val="single"/>
        </w:rPr>
      </w:pPr>
    </w:p>
    <w:sectPr w:rsidR="00E534AB" w:rsidRPr="00E534A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7A651" w14:textId="77777777" w:rsidR="003D777F" w:rsidRDefault="003D777F" w:rsidP="00E534AB">
      <w:pPr>
        <w:spacing w:after="0" w:line="240" w:lineRule="auto"/>
      </w:pPr>
      <w:r>
        <w:separator/>
      </w:r>
    </w:p>
  </w:endnote>
  <w:endnote w:type="continuationSeparator" w:id="0">
    <w:p w14:paraId="7588415F" w14:textId="77777777" w:rsidR="003D777F" w:rsidRDefault="003D777F" w:rsidP="00E53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47615" w14:textId="77777777" w:rsidR="003D777F" w:rsidRDefault="003D777F" w:rsidP="00E534AB">
      <w:pPr>
        <w:spacing w:after="0" w:line="240" w:lineRule="auto"/>
      </w:pPr>
      <w:r>
        <w:separator/>
      </w:r>
    </w:p>
  </w:footnote>
  <w:footnote w:type="continuationSeparator" w:id="0">
    <w:p w14:paraId="219BD900" w14:textId="77777777" w:rsidR="003D777F" w:rsidRDefault="003D777F" w:rsidP="00E534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A4BA8" w14:textId="47999FEC" w:rsidR="00E534AB" w:rsidRDefault="00E534AB">
    <w:pPr>
      <w:pStyle w:val="Header"/>
    </w:pPr>
    <w:r>
      <w:t xml:space="preserve">2400032 </w:t>
    </w:r>
    <w:r>
      <w:tab/>
      <w:t>ECEY6011</w:t>
    </w:r>
    <w:r>
      <w:tab/>
      <w:t>words- 1743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4AB"/>
    <w:rsid w:val="001D36AC"/>
    <w:rsid w:val="003D777F"/>
    <w:rsid w:val="00E53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A8CBF"/>
  <w15:chartTrackingRefBased/>
  <w15:docId w15:val="{2641DAB9-3655-431C-B91E-467B64E5F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4AB"/>
  </w:style>
  <w:style w:type="paragraph" w:styleId="Heading1">
    <w:name w:val="heading 1"/>
    <w:basedOn w:val="Normal"/>
    <w:next w:val="Normal"/>
    <w:link w:val="Heading1Char"/>
    <w:uiPriority w:val="9"/>
    <w:qFormat/>
    <w:rsid w:val="00E534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34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34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4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34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34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4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4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4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4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34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34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4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4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4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4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4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4AB"/>
    <w:rPr>
      <w:rFonts w:eastAsiaTheme="majorEastAsia" w:cstheme="majorBidi"/>
      <w:color w:val="272727" w:themeColor="text1" w:themeTint="D8"/>
    </w:rPr>
  </w:style>
  <w:style w:type="paragraph" w:styleId="Title">
    <w:name w:val="Title"/>
    <w:basedOn w:val="Normal"/>
    <w:next w:val="Normal"/>
    <w:link w:val="TitleChar"/>
    <w:uiPriority w:val="10"/>
    <w:qFormat/>
    <w:rsid w:val="00E534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4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4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4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4AB"/>
    <w:pPr>
      <w:spacing w:before="160"/>
      <w:jc w:val="center"/>
    </w:pPr>
    <w:rPr>
      <w:i/>
      <w:iCs/>
      <w:color w:val="404040" w:themeColor="text1" w:themeTint="BF"/>
    </w:rPr>
  </w:style>
  <w:style w:type="character" w:customStyle="1" w:styleId="QuoteChar">
    <w:name w:val="Quote Char"/>
    <w:basedOn w:val="DefaultParagraphFont"/>
    <w:link w:val="Quote"/>
    <w:uiPriority w:val="29"/>
    <w:rsid w:val="00E534AB"/>
    <w:rPr>
      <w:i/>
      <w:iCs/>
      <w:color w:val="404040" w:themeColor="text1" w:themeTint="BF"/>
    </w:rPr>
  </w:style>
  <w:style w:type="paragraph" w:styleId="ListParagraph">
    <w:name w:val="List Paragraph"/>
    <w:basedOn w:val="Normal"/>
    <w:uiPriority w:val="34"/>
    <w:qFormat/>
    <w:rsid w:val="00E534AB"/>
    <w:pPr>
      <w:ind w:left="720"/>
      <w:contextualSpacing/>
    </w:pPr>
  </w:style>
  <w:style w:type="character" w:styleId="IntenseEmphasis">
    <w:name w:val="Intense Emphasis"/>
    <w:basedOn w:val="DefaultParagraphFont"/>
    <w:uiPriority w:val="21"/>
    <w:qFormat/>
    <w:rsid w:val="00E534AB"/>
    <w:rPr>
      <w:i/>
      <w:iCs/>
      <w:color w:val="0F4761" w:themeColor="accent1" w:themeShade="BF"/>
    </w:rPr>
  </w:style>
  <w:style w:type="paragraph" w:styleId="IntenseQuote">
    <w:name w:val="Intense Quote"/>
    <w:basedOn w:val="Normal"/>
    <w:next w:val="Normal"/>
    <w:link w:val="IntenseQuoteChar"/>
    <w:uiPriority w:val="30"/>
    <w:qFormat/>
    <w:rsid w:val="00E534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34AB"/>
    <w:rPr>
      <w:i/>
      <w:iCs/>
      <w:color w:val="0F4761" w:themeColor="accent1" w:themeShade="BF"/>
    </w:rPr>
  </w:style>
  <w:style w:type="character" w:styleId="IntenseReference">
    <w:name w:val="Intense Reference"/>
    <w:basedOn w:val="DefaultParagraphFont"/>
    <w:uiPriority w:val="32"/>
    <w:qFormat/>
    <w:rsid w:val="00E534AB"/>
    <w:rPr>
      <w:b/>
      <w:bCs/>
      <w:smallCaps/>
      <w:color w:val="0F4761" w:themeColor="accent1" w:themeShade="BF"/>
      <w:spacing w:val="5"/>
    </w:rPr>
  </w:style>
  <w:style w:type="paragraph" w:styleId="Header">
    <w:name w:val="header"/>
    <w:basedOn w:val="Normal"/>
    <w:link w:val="HeaderChar"/>
    <w:uiPriority w:val="99"/>
    <w:unhideWhenUsed/>
    <w:rsid w:val="00E53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4AB"/>
  </w:style>
  <w:style w:type="paragraph" w:styleId="Footer">
    <w:name w:val="footer"/>
    <w:basedOn w:val="Normal"/>
    <w:link w:val="FooterChar"/>
    <w:uiPriority w:val="99"/>
    <w:unhideWhenUsed/>
    <w:rsid w:val="00E53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2086</Words>
  <Characters>11896</Characters>
  <Application>Microsoft Office Word</Application>
  <DocSecurity>0</DocSecurity>
  <Lines>99</Lines>
  <Paragraphs>27</Paragraphs>
  <ScaleCrop>false</ScaleCrop>
  <Company/>
  <LinksUpToDate>false</LinksUpToDate>
  <CharactersWithSpaces>13955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griffiths</dc:creator>
  <cp:keywords/>
  <dc:description/>
  <cp:lastModifiedBy>anna griffiths</cp:lastModifiedBy>
  <cp:revision>1</cp:revision>
  <dcterms:created xsi:type="dcterms:W3CDTF">2026-04-05T08:57:00Z</dcterms:created>
  <dcterms:modified xsi:type="dcterms:W3CDTF">2026-04-05T09:03:00Z</dcterms:modified>
</cp:coreProperties>
</file>