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464645" w14:textId="559C2062" w:rsidR="008023AA" w:rsidRPr="00A17B22" w:rsidRDefault="00F32566" w:rsidP="00A17B22">
      <w:pPr>
        <w:spacing w:line="480" w:lineRule="auto"/>
        <w:jc w:val="center"/>
        <w:rPr>
          <w:b/>
          <w:bCs/>
          <w:u w:val="single"/>
        </w:rPr>
      </w:pPr>
      <w:r w:rsidRPr="00A17B22">
        <w:rPr>
          <w:b/>
          <w:bCs/>
          <w:u w:val="single"/>
        </w:rPr>
        <w:t>Contract Law Assignment Two.</w:t>
      </w:r>
    </w:p>
    <w:p w14:paraId="61934084" w14:textId="691EFDE3" w:rsidR="006967B2" w:rsidRPr="00A17B22" w:rsidRDefault="006967B2" w:rsidP="00A17B22">
      <w:pPr>
        <w:spacing w:line="480" w:lineRule="auto"/>
        <w:jc w:val="both"/>
        <w:rPr>
          <w:b/>
          <w:bCs/>
          <w:u w:val="single"/>
        </w:rPr>
      </w:pPr>
    </w:p>
    <w:p w14:paraId="07C66BBB" w14:textId="04196131" w:rsidR="004E279C" w:rsidRPr="00A17B22" w:rsidRDefault="00F32566" w:rsidP="00A17B22">
      <w:pPr>
        <w:spacing w:line="480" w:lineRule="auto"/>
        <w:jc w:val="both"/>
      </w:pPr>
      <w:r w:rsidRPr="00A17B22">
        <w:t>For a contract to be enforceable</w:t>
      </w:r>
      <w:r w:rsidR="00257A57" w:rsidRPr="00A17B22">
        <w:t>,</w:t>
      </w:r>
      <w:r w:rsidRPr="00A17B22">
        <w:t xml:space="preserve"> consideration must be provided.</w:t>
      </w:r>
      <w:r w:rsidR="006967B2" w:rsidRPr="00A17B22">
        <w:t xml:space="preserve"> </w:t>
      </w:r>
      <w:r w:rsidR="007C7B29" w:rsidRPr="00A17B22">
        <w:t>A</w:t>
      </w:r>
      <w:r w:rsidR="006967B2" w:rsidRPr="00A17B22">
        <w:t xml:space="preserve"> promise is not contractually binding unless it is made within a deed or supported by some </w:t>
      </w:r>
      <w:r w:rsidR="00D96925" w:rsidRPr="00A17B22">
        <w:t xml:space="preserve">valid </w:t>
      </w:r>
      <w:r w:rsidR="006967B2" w:rsidRPr="00A17B22">
        <w:t>consideration</w:t>
      </w:r>
      <w:r w:rsidR="00D96925" w:rsidRPr="00A17B22">
        <w:t xml:space="preserve"> with an intent to create legal relations</w:t>
      </w:r>
      <w:r w:rsidR="006967B2" w:rsidRPr="00A17B22">
        <w:t xml:space="preserve">, making it one of the most essential elements of a binding contract (Finch &amp; Fafinski, 2021). </w:t>
      </w:r>
    </w:p>
    <w:p w14:paraId="6DEA7E0C" w14:textId="57F2891F" w:rsidR="004D598C" w:rsidRPr="00A17B22" w:rsidRDefault="004D598C" w:rsidP="00A17B22">
      <w:pPr>
        <w:spacing w:line="480" w:lineRule="auto"/>
        <w:jc w:val="both"/>
      </w:pPr>
    </w:p>
    <w:p w14:paraId="0E83405C" w14:textId="72B7E237" w:rsidR="004D598C" w:rsidRPr="00A17B22" w:rsidRDefault="00F32566" w:rsidP="00A17B22">
      <w:pPr>
        <w:spacing w:line="480" w:lineRule="auto"/>
        <w:jc w:val="both"/>
      </w:pPr>
      <w:r w:rsidRPr="00A17B22">
        <w:rPr>
          <w:rFonts w:eastAsiaTheme="minorHAnsi"/>
          <w:lang w:eastAsia="en-US"/>
        </w:rPr>
        <w:t>Consider</w:t>
      </w:r>
      <w:r w:rsidRPr="00A17B22">
        <w:rPr>
          <w:rFonts w:eastAsiaTheme="minorHAnsi"/>
          <w:lang w:eastAsia="en-US"/>
        </w:rPr>
        <w:t>ation is described as a situation that may consist of one party accruing a right, benefit, interest or profit at the detriment or loss being suffered by another (Currie v Misa, 1875). An expansion on this definition is given by Lord Dunedin who articulates</w:t>
      </w:r>
      <w:r w:rsidRPr="00A17B22">
        <w:rPr>
          <w:rFonts w:eastAsiaTheme="minorHAnsi"/>
          <w:lang w:eastAsia="en-US"/>
        </w:rPr>
        <w:t xml:space="preserve"> consideration as being a price for which the promise is bought and thus the promise is given value so is enforceable (Dunlop v Selfridge, 1915). Past consideration is when an offer of consideration is made after the fact (Richards, 2019). A pre-existing d</w:t>
      </w:r>
      <w:r w:rsidRPr="00A17B22">
        <w:rPr>
          <w:rFonts w:eastAsiaTheme="minorHAnsi"/>
          <w:lang w:eastAsia="en-US"/>
        </w:rPr>
        <w:t>uty is something that someone is already obliged to do. This essay will critically analyse to what extent past consideration and a promise to perform a pre-</w:t>
      </w:r>
      <w:r w:rsidR="00257A57" w:rsidRPr="00A17B22">
        <w:rPr>
          <w:rFonts w:eastAsiaTheme="minorHAnsi"/>
          <w:lang w:eastAsia="en-US"/>
        </w:rPr>
        <w:t>existing</w:t>
      </w:r>
      <w:r w:rsidRPr="00A17B22">
        <w:rPr>
          <w:rFonts w:eastAsiaTheme="minorHAnsi"/>
          <w:lang w:eastAsia="en-US"/>
        </w:rPr>
        <w:t xml:space="preserve"> duty allow for valid consideration.</w:t>
      </w:r>
    </w:p>
    <w:p w14:paraId="778F8841" w14:textId="0F1C310F" w:rsidR="006967B2" w:rsidRPr="00A17B22" w:rsidRDefault="006967B2" w:rsidP="00A17B22">
      <w:pPr>
        <w:spacing w:line="480" w:lineRule="auto"/>
        <w:jc w:val="both"/>
      </w:pPr>
    </w:p>
    <w:p w14:paraId="378D02B9" w14:textId="520FDF8A" w:rsidR="00705F7A" w:rsidRPr="00A17B22" w:rsidRDefault="00F32566" w:rsidP="00A17B22">
      <w:pPr>
        <w:spacing w:line="480" w:lineRule="auto"/>
        <w:jc w:val="both"/>
      </w:pPr>
      <w:r w:rsidRPr="00A17B22">
        <w:t>There are rules which govern consideration</w:t>
      </w:r>
      <w:r w:rsidR="00257A57" w:rsidRPr="00A17B22">
        <w:t>,</w:t>
      </w:r>
      <w:r w:rsidRPr="00A17B22">
        <w:t xml:space="preserve"> such as co</w:t>
      </w:r>
      <w:r w:rsidRPr="00A17B22">
        <w:t xml:space="preserve">nsideration must move from the </w:t>
      </w:r>
      <w:r w:rsidR="00D4478E" w:rsidRPr="00A17B22">
        <w:t>promise.</w:t>
      </w:r>
      <w:r w:rsidRPr="00A17B22">
        <w:t xml:space="preserve"> </w:t>
      </w:r>
      <w:r w:rsidR="00D4478E" w:rsidRPr="00A17B22">
        <w:t>I</w:t>
      </w:r>
      <w:r w:rsidRPr="00A17B22">
        <w:t xml:space="preserve">t must not be past, and consideration must be sufficient but need not be adequate as </w:t>
      </w:r>
      <w:r w:rsidR="00D4478E" w:rsidRPr="00A17B22">
        <w:t xml:space="preserve">shown </w:t>
      </w:r>
      <w:r w:rsidRPr="00A17B22">
        <w:t>in the case Tweddle v Atkinson (1861)</w:t>
      </w:r>
      <w:r w:rsidR="00D4478E" w:rsidRPr="00A17B22">
        <w:t>.</w:t>
      </w:r>
      <w:r w:rsidRPr="00A17B22">
        <w:t xml:space="preserve"> </w:t>
      </w:r>
      <w:r w:rsidR="00D4478E" w:rsidRPr="00A17B22">
        <w:t xml:space="preserve"> This case shows </w:t>
      </w:r>
      <w:r w:rsidRPr="00A17B22">
        <w:t>the rule in which consideration must move from the promisee being ap</w:t>
      </w:r>
      <w:r w:rsidRPr="00A17B22">
        <w:t xml:space="preserve">plied and </w:t>
      </w:r>
      <w:r w:rsidR="00257A57" w:rsidRPr="00A17B22">
        <w:t>shows</w:t>
      </w:r>
      <w:r w:rsidRPr="00A17B22">
        <w:t xml:space="preserve"> that if a person is seeking to enforce a promise, they must have supplied consideration for it.</w:t>
      </w:r>
    </w:p>
    <w:p w14:paraId="4792C89E" w14:textId="77777777" w:rsidR="00A52D7E" w:rsidRPr="00A17B22" w:rsidRDefault="00A52D7E" w:rsidP="00A17B22">
      <w:pPr>
        <w:spacing w:line="480" w:lineRule="auto"/>
        <w:jc w:val="both"/>
      </w:pPr>
    </w:p>
    <w:p w14:paraId="028E2025" w14:textId="0C2531FD" w:rsidR="00B80116" w:rsidRPr="00A17B22" w:rsidRDefault="00F32566" w:rsidP="00A17B22">
      <w:pPr>
        <w:spacing w:line="480" w:lineRule="auto"/>
        <w:jc w:val="both"/>
      </w:pPr>
      <w:r w:rsidRPr="00A17B22">
        <w:t>Consideration does not need to be adequate; consideration does not need to be sufficient it must merely exist for example in the case of Thomas</w:t>
      </w:r>
      <w:r w:rsidRPr="00A17B22">
        <w:t xml:space="preserve"> v Thomas (1842) this case was concerned with the rental of a property for £1 a year, this was the husbands dying wish that his wife is allowed to remain at the property following his death it was agreed that she would be able to rent the property for £1 p</w:t>
      </w:r>
      <w:r w:rsidRPr="00A17B22">
        <w:t>er year, however, it was argued that £1 was not considered valid consideration due to the properties rental value significantly exceeding this amount, despite this it was ruled that there was some consideration making it valid. This serves as a reminder th</w:t>
      </w:r>
      <w:r w:rsidRPr="00A17B22">
        <w:t>at for a contract to be binding there must be consideration the courts are not concerned with fair or best transactions merely agreement</w:t>
      </w:r>
      <w:r w:rsidR="00891745" w:rsidRPr="00A17B22">
        <w:t xml:space="preserve">. </w:t>
      </w:r>
    </w:p>
    <w:p w14:paraId="3BF18CE8" w14:textId="77777777" w:rsidR="00705F7A" w:rsidRPr="00A17B22" w:rsidRDefault="00705F7A" w:rsidP="00A17B22">
      <w:pPr>
        <w:spacing w:line="480" w:lineRule="auto"/>
        <w:jc w:val="both"/>
      </w:pPr>
    </w:p>
    <w:p w14:paraId="0A59EE99" w14:textId="2714CD54" w:rsidR="004E279C" w:rsidRPr="00A17B22" w:rsidRDefault="00F32566" w:rsidP="00A17B22">
      <w:pPr>
        <w:spacing w:line="480" w:lineRule="auto"/>
        <w:jc w:val="both"/>
      </w:pPr>
      <w:r w:rsidRPr="00A17B22">
        <w:lastRenderedPageBreak/>
        <w:t>Re McArdle (1951)</w:t>
      </w:r>
      <w:r w:rsidR="00294F58" w:rsidRPr="00A17B22">
        <w:t xml:space="preserve"> </w:t>
      </w:r>
      <w:r w:rsidR="00F0377A" w:rsidRPr="00A17B22">
        <w:t>identifies past consideration as</w:t>
      </w:r>
      <w:r w:rsidRPr="00A17B22">
        <w:t xml:space="preserve"> an act performed </w:t>
      </w:r>
      <w:r w:rsidR="00885F32" w:rsidRPr="00A17B22">
        <w:t xml:space="preserve">before the </w:t>
      </w:r>
      <w:r w:rsidRPr="00A17B22">
        <w:t xml:space="preserve">promise </w:t>
      </w:r>
      <w:r w:rsidR="00885F32" w:rsidRPr="00A17B22">
        <w:t xml:space="preserve">being </w:t>
      </w:r>
      <w:r w:rsidRPr="00A17B22">
        <w:t xml:space="preserve">made for </w:t>
      </w:r>
      <w:r w:rsidRPr="00A17B22">
        <w:t>repayment, this was deemed not valid as the promise was made after the act was performed making the contract no</w:t>
      </w:r>
      <w:r w:rsidR="00D43B5C" w:rsidRPr="00A17B22">
        <w:t>n</w:t>
      </w:r>
      <w:r w:rsidRPr="00A17B22">
        <w:t xml:space="preserve">-enforceable. </w:t>
      </w:r>
      <w:r w:rsidR="005D6459" w:rsidRPr="00A17B22">
        <w:t xml:space="preserve"> </w:t>
      </w:r>
      <w:r w:rsidR="00416C01" w:rsidRPr="00A17B22">
        <w:t>This is s</w:t>
      </w:r>
      <w:r w:rsidR="002E4D16" w:rsidRPr="00A17B22">
        <w:t xml:space="preserve">upported </w:t>
      </w:r>
      <w:r w:rsidR="000B0C43" w:rsidRPr="00A17B22">
        <w:t>in the more recent case</w:t>
      </w:r>
      <w:r w:rsidR="002E4D16" w:rsidRPr="00A17B22">
        <w:t xml:space="preserve"> </w:t>
      </w:r>
      <w:r w:rsidR="00294F58" w:rsidRPr="00A17B22">
        <w:t xml:space="preserve">Taylor </w:t>
      </w:r>
      <w:r w:rsidR="006F04BD" w:rsidRPr="00A17B22">
        <w:t>and</w:t>
      </w:r>
      <w:r w:rsidR="00294F58" w:rsidRPr="00A17B22">
        <w:t xml:space="preserve"> </w:t>
      </w:r>
      <w:r w:rsidR="00C9525F" w:rsidRPr="00A17B22">
        <w:t>Ta</w:t>
      </w:r>
      <w:r w:rsidR="00294F58" w:rsidRPr="00A17B22">
        <w:t xml:space="preserve">ylor </w:t>
      </w:r>
      <w:r w:rsidR="00C9525F" w:rsidRPr="00A17B22">
        <w:t>(</w:t>
      </w:r>
      <w:r w:rsidR="006F04BD" w:rsidRPr="00A17B22">
        <w:t>2021</w:t>
      </w:r>
      <w:r w:rsidR="00C9525F" w:rsidRPr="00A17B22">
        <w:t>) wh</w:t>
      </w:r>
      <w:r w:rsidR="007D00BE" w:rsidRPr="00A17B22">
        <w:t xml:space="preserve">ich proved </w:t>
      </w:r>
      <w:r w:rsidR="009F2117" w:rsidRPr="00A17B22">
        <w:t xml:space="preserve">that </w:t>
      </w:r>
      <w:r w:rsidR="005D6459" w:rsidRPr="00A17B22">
        <w:t>past consideration does not amount to valid consideration.</w:t>
      </w:r>
      <w:r w:rsidR="00563CCE" w:rsidRPr="00A17B22">
        <w:t xml:space="preserve"> </w:t>
      </w:r>
    </w:p>
    <w:p w14:paraId="41693B4C" w14:textId="77D3C081" w:rsidR="00AD5BBD" w:rsidRPr="00A17B22" w:rsidRDefault="00F32566" w:rsidP="00A17B22">
      <w:pPr>
        <w:spacing w:line="480" w:lineRule="auto"/>
        <w:jc w:val="both"/>
      </w:pPr>
      <w:r w:rsidRPr="00A17B22">
        <w:t xml:space="preserve">However, </w:t>
      </w:r>
      <w:r w:rsidR="004D5692" w:rsidRPr="00A17B22">
        <w:t xml:space="preserve">there are exceptions to the rule that past consideration is not good consideration. This can be seen in </w:t>
      </w:r>
      <w:r w:rsidR="005332E2" w:rsidRPr="00A17B22">
        <w:t>the doctrine of</w:t>
      </w:r>
      <w:r w:rsidR="006F1D88" w:rsidRPr="00A17B22">
        <w:rPr>
          <w:color w:val="FF0000"/>
        </w:rPr>
        <w:t xml:space="preserve"> </w:t>
      </w:r>
      <w:r w:rsidR="003D4C42" w:rsidRPr="00A17B22">
        <w:rPr>
          <w:color w:val="000000" w:themeColor="text1"/>
        </w:rPr>
        <w:t>implied assumpsit,</w:t>
      </w:r>
      <w:r w:rsidR="005332E2" w:rsidRPr="00A17B22">
        <w:rPr>
          <w:color w:val="000000" w:themeColor="text1"/>
        </w:rPr>
        <w:t xml:space="preserve"> also referred to as ‘the </w:t>
      </w:r>
      <w:r w:rsidR="005332E2" w:rsidRPr="00A17B22">
        <w:t>previous request device’,</w:t>
      </w:r>
      <w:r w:rsidR="003D4C42" w:rsidRPr="00A17B22">
        <w:rPr>
          <w:color w:val="FF0000"/>
        </w:rPr>
        <w:t xml:space="preserve"> </w:t>
      </w:r>
      <w:r w:rsidR="00506629" w:rsidRPr="00A17B22">
        <w:t>which allows valid consideration to be present when there is an implied promise to pay once that act ha</w:t>
      </w:r>
      <w:r w:rsidR="00750D4B" w:rsidRPr="00A17B22">
        <w:t xml:space="preserve">s been performed </w:t>
      </w:r>
      <w:r w:rsidR="00A9115C" w:rsidRPr="00A17B22">
        <w:t>(Poole, 2016).</w:t>
      </w:r>
      <w:r w:rsidR="00BB36AF" w:rsidRPr="00A17B22">
        <w:t xml:space="preserve"> </w:t>
      </w:r>
      <w:r w:rsidR="007038B8" w:rsidRPr="00A17B22">
        <w:t xml:space="preserve">This is further demonstrated in the case Lampleigh v Braithwaite (1615) as the claimants’ acts were committed </w:t>
      </w:r>
      <w:r w:rsidR="00257A57" w:rsidRPr="00A17B22">
        <w:t>based on</w:t>
      </w:r>
      <w:r w:rsidR="007038B8" w:rsidRPr="00A17B22">
        <w:t xml:space="preserve"> past consideration, the court determined that the original request by the defendant contained an implied promise. Thus, determining that the prior request and the subsequent promise were part of the same transaction making it enforceable. </w:t>
      </w:r>
      <w:r w:rsidR="00530537" w:rsidRPr="00A17B22">
        <w:t>Further supported</w:t>
      </w:r>
      <w:r w:rsidR="007038B8" w:rsidRPr="00A17B22">
        <w:t xml:space="preserve"> in the more recent case Benedetti v Sawris (2013). </w:t>
      </w:r>
    </w:p>
    <w:p w14:paraId="1B9EBB2B" w14:textId="77777777" w:rsidR="00AD5BBD" w:rsidRPr="00A17B22" w:rsidRDefault="00AD5BBD" w:rsidP="00A17B22">
      <w:pPr>
        <w:spacing w:line="480" w:lineRule="auto"/>
        <w:jc w:val="both"/>
      </w:pPr>
    </w:p>
    <w:p w14:paraId="39C65CA6" w14:textId="5725FCDF" w:rsidR="007038B8" w:rsidRPr="00A17B22" w:rsidRDefault="00F32566" w:rsidP="00A17B22">
      <w:pPr>
        <w:spacing w:line="480" w:lineRule="auto"/>
        <w:jc w:val="both"/>
      </w:pPr>
      <w:r w:rsidRPr="00A17B22">
        <w:t xml:space="preserve">Other cases in which a contract could be enforceable despite past consideration would be Re Casey’s Patents (1892) in which criteria </w:t>
      </w:r>
      <w:r w:rsidRPr="00A17B22">
        <w:t>was re-instated in the case Pao On v Lau Yiu Long (1980).</w:t>
      </w:r>
      <w:r w:rsidR="00C41427" w:rsidRPr="00A17B22">
        <w:t xml:space="preserve"> The facts of this case are concerning shares of a private company </w:t>
      </w:r>
      <w:r w:rsidR="00AD5BBD" w:rsidRPr="00A17B22">
        <w:t xml:space="preserve">in forming an agreement to purchase the shares it was claimed that the consideration for the indemnity agreement was past consideration as it was deemed to have been agreed to under duress. In the ruling, </w:t>
      </w:r>
      <w:r w:rsidR="00D43B5C" w:rsidRPr="00A17B22">
        <w:t xml:space="preserve">the exception to the doctrine of past consideration was applied first established in the case </w:t>
      </w:r>
      <w:r w:rsidR="00D43B5C" w:rsidRPr="00A17B22">
        <w:rPr>
          <w:color w:val="000000" w:themeColor="text1"/>
          <w:sz w:val="22"/>
          <w:szCs w:val="22"/>
        </w:rPr>
        <w:t>Lampleigh v Braithwaite (1615).</w:t>
      </w:r>
      <w:r w:rsidR="00AD5BBD" w:rsidRPr="00A17B22">
        <w:t xml:space="preserve"> </w:t>
      </w:r>
      <w:r w:rsidRPr="00A17B22">
        <w:rPr>
          <w:color w:val="000000" w:themeColor="text1"/>
        </w:rPr>
        <w:t xml:space="preserve"> </w:t>
      </w:r>
      <w:r w:rsidR="0018629F" w:rsidRPr="00A17B22">
        <w:rPr>
          <w:color w:val="000000" w:themeColor="text1"/>
        </w:rPr>
        <w:t>Although</w:t>
      </w:r>
      <w:r w:rsidR="00E84034" w:rsidRPr="00A17B22">
        <w:rPr>
          <w:color w:val="000000" w:themeColor="text1"/>
        </w:rPr>
        <w:t>,</w:t>
      </w:r>
      <w:r w:rsidR="0018629F" w:rsidRPr="00A17B22">
        <w:rPr>
          <w:color w:val="000000" w:themeColor="text1"/>
        </w:rPr>
        <w:t xml:space="preserve"> it </w:t>
      </w:r>
      <w:r w:rsidR="002C0094" w:rsidRPr="00A17B22">
        <w:rPr>
          <w:color w:val="000000" w:themeColor="text1"/>
        </w:rPr>
        <w:t xml:space="preserve">should be noted that it </w:t>
      </w:r>
      <w:r w:rsidR="0018629F" w:rsidRPr="00A17B22">
        <w:rPr>
          <w:color w:val="000000" w:themeColor="text1"/>
        </w:rPr>
        <w:t>must be reasonable to expect reimbursement for the actions of the other party (Merkin and Sainier, 2019).</w:t>
      </w:r>
    </w:p>
    <w:p w14:paraId="4D5FF5D7" w14:textId="09DD2B64" w:rsidR="00563CCE" w:rsidRPr="00A17B22" w:rsidRDefault="00563CCE" w:rsidP="00A17B22">
      <w:pPr>
        <w:spacing w:line="480" w:lineRule="auto"/>
        <w:jc w:val="both"/>
      </w:pPr>
    </w:p>
    <w:p w14:paraId="5EDD2BC2" w14:textId="497F78EC" w:rsidR="00C27BAF" w:rsidRPr="00A17B22" w:rsidRDefault="00F32566" w:rsidP="00A17B22">
      <w:pPr>
        <w:spacing w:line="480" w:lineRule="auto"/>
        <w:jc w:val="both"/>
      </w:pPr>
      <w:r w:rsidRPr="00A17B22">
        <w:t>Past Consideration may be sufficient only when at the promisors request it is understood that payment will follow in return a modern-day example of this would be the se</w:t>
      </w:r>
      <w:r w:rsidRPr="00A17B22">
        <w:t xml:space="preserve">rvice of a taxi driver the act is provided before payment however it is clearly understood by both parties that payment will be made for this service, as this is implied it would amount to past consideration as valid consideration known as the doctrine of </w:t>
      </w:r>
      <w:r w:rsidRPr="00A17B22">
        <w:t xml:space="preserve">implied assumpsit. Another exception would be the Bill of Exchange Act 1882, under section 27 which states antecedent debt or liability may be consideration for receipt of the bill of exchange (Elliot &amp; Quinn, 2017). </w:t>
      </w:r>
    </w:p>
    <w:p w14:paraId="186EBF2B" w14:textId="22A053CE" w:rsidR="00C66707" w:rsidRPr="00A17B22" w:rsidRDefault="00C66707" w:rsidP="00A17B22">
      <w:pPr>
        <w:spacing w:line="480" w:lineRule="auto"/>
        <w:jc w:val="both"/>
      </w:pPr>
    </w:p>
    <w:p w14:paraId="7BBBDC00" w14:textId="72F04875" w:rsidR="00BF0C31" w:rsidRPr="00A17B22" w:rsidRDefault="00F32566" w:rsidP="00A17B22">
      <w:pPr>
        <w:spacing w:line="480" w:lineRule="auto"/>
        <w:jc w:val="both"/>
      </w:pPr>
      <w:r w:rsidRPr="00A17B22">
        <w:lastRenderedPageBreak/>
        <w:t xml:space="preserve">Moreover, </w:t>
      </w:r>
      <w:r w:rsidR="00BE4D8F" w:rsidRPr="00A17B22">
        <w:t xml:space="preserve">a promise to perform a </w:t>
      </w:r>
      <w:r w:rsidR="009A5121" w:rsidRPr="00A17B22">
        <w:t>pre-existing</w:t>
      </w:r>
      <w:r w:rsidR="00BE4D8F" w:rsidRPr="00A17B22">
        <w:t xml:space="preserve"> </w:t>
      </w:r>
      <w:r w:rsidR="009A5121" w:rsidRPr="00A17B22">
        <w:t xml:space="preserve">duty is typically not considered to provide an example of valid consideration </w:t>
      </w:r>
      <w:r w:rsidR="00C96594" w:rsidRPr="00A17B22">
        <w:t xml:space="preserve">which </w:t>
      </w:r>
      <w:r w:rsidR="006F41EB" w:rsidRPr="00A17B22">
        <w:t>can be</w:t>
      </w:r>
      <w:r w:rsidR="009A5121" w:rsidRPr="00A17B22">
        <w:t xml:space="preserve"> seen in</w:t>
      </w:r>
      <w:r w:rsidR="00D54628" w:rsidRPr="00A17B22">
        <w:t xml:space="preserve"> Stilk v Myrick (1809)</w:t>
      </w:r>
      <w:r w:rsidR="00833196" w:rsidRPr="00A17B22">
        <w:t xml:space="preserve"> </w:t>
      </w:r>
      <w:r w:rsidR="00C96594" w:rsidRPr="00A17B22">
        <w:t>and</w:t>
      </w:r>
      <w:r w:rsidR="00AC3F00" w:rsidRPr="00A17B22">
        <w:t xml:space="preserve"> is</w:t>
      </w:r>
      <w:r w:rsidR="00C96594" w:rsidRPr="00A17B22">
        <w:t xml:space="preserve"> </w:t>
      </w:r>
      <w:r w:rsidR="00833196" w:rsidRPr="00A17B22">
        <w:t xml:space="preserve">further supported by </w:t>
      </w:r>
      <w:r w:rsidR="000F61A8" w:rsidRPr="00A17B22">
        <w:t>Collins v God</w:t>
      </w:r>
      <w:r w:rsidR="00232B80" w:rsidRPr="00A17B22">
        <w:t>e</w:t>
      </w:r>
      <w:r w:rsidR="000F61A8" w:rsidRPr="00A17B22">
        <w:t>froy</w:t>
      </w:r>
      <w:r w:rsidR="00232B80" w:rsidRPr="00A17B22">
        <w:t xml:space="preserve"> (1831)</w:t>
      </w:r>
      <w:r w:rsidR="005035E5" w:rsidRPr="00A17B22">
        <w:t>.</w:t>
      </w:r>
      <w:r w:rsidR="00CF078B" w:rsidRPr="00A17B22">
        <w:t xml:space="preserve"> </w:t>
      </w:r>
      <w:r w:rsidR="00D270F4" w:rsidRPr="00A17B22">
        <w:t>Although this principle does</w:t>
      </w:r>
      <w:r w:rsidR="00C96594" w:rsidRPr="00A17B22">
        <w:t xml:space="preserve"> </w:t>
      </w:r>
      <w:r w:rsidR="00D270F4" w:rsidRPr="00A17B22">
        <w:t>n</w:t>
      </w:r>
      <w:r w:rsidR="00C96594" w:rsidRPr="00A17B22">
        <w:t>o</w:t>
      </w:r>
      <w:r w:rsidR="00D270F4" w:rsidRPr="00A17B22">
        <w:t xml:space="preserve">t always consistently </w:t>
      </w:r>
      <w:r w:rsidR="00D01EA9" w:rsidRPr="00A17B22">
        <w:t>apply</w:t>
      </w:r>
      <w:r w:rsidR="00C96594" w:rsidRPr="00A17B22">
        <w:t>, which can be</w:t>
      </w:r>
      <w:r w:rsidR="00D270F4" w:rsidRPr="00A17B22">
        <w:t xml:space="preserve"> seen in Williams v Roffey Brothers </w:t>
      </w:r>
      <w:r w:rsidR="00FE49B5" w:rsidRPr="00A17B22">
        <w:t>(1990)</w:t>
      </w:r>
      <w:r w:rsidR="0066763A" w:rsidRPr="00A17B22">
        <w:t>.</w:t>
      </w:r>
    </w:p>
    <w:p w14:paraId="0718B189" w14:textId="77777777" w:rsidR="003626AF" w:rsidRPr="00A17B22" w:rsidRDefault="003626AF" w:rsidP="00A17B22">
      <w:pPr>
        <w:spacing w:line="480" w:lineRule="auto"/>
        <w:jc w:val="both"/>
      </w:pPr>
    </w:p>
    <w:p w14:paraId="2DC66893" w14:textId="13E7D685" w:rsidR="001D54BC" w:rsidRPr="00A17B22" w:rsidRDefault="00F32566" w:rsidP="00A17B22">
      <w:pPr>
        <w:spacing w:line="480" w:lineRule="auto"/>
        <w:jc w:val="both"/>
      </w:pPr>
      <w:r w:rsidRPr="00A17B22">
        <w:t xml:space="preserve">Sufficient consideration </w:t>
      </w:r>
      <w:r w:rsidR="00E158FE" w:rsidRPr="00A17B22">
        <w:t>does</w:t>
      </w:r>
      <w:r w:rsidR="00BD2A52" w:rsidRPr="00A17B22">
        <w:t xml:space="preserve"> not</w:t>
      </w:r>
      <w:r w:rsidR="00E158FE" w:rsidRPr="00A17B22">
        <w:t xml:space="preserve"> need to</w:t>
      </w:r>
      <w:r w:rsidRPr="00A17B22">
        <w:t xml:space="preserve"> have</w:t>
      </w:r>
      <w:r w:rsidR="00A023C0" w:rsidRPr="00A17B22">
        <w:t xml:space="preserve"> </w:t>
      </w:r>
      <w:r w:rsidR="00E158FE" w:rsidRPr="00A17B22">
        <w:t>much economic value</w:t>
      </w:r>
      <w:r w:rsidR="00BD2A52" w:rsidRPr="00A17B22">
        <w:t xml:space="preserve"> </w:t>
      </w:r>
      <w:r w:rsidR="000B12A1" w:rsidRPr="00A17B22">
        <w:t>as shown in the case Ward v Byham (1959)</w:t>
      </w:r>
      <w:r w:rsidR="00290F59" w:rsidRPr="00A17B22">
        <w:t xml:space="preserve"> this case provides evidence that the value can be other than economic</w:t>
      </w:r>
      <w:r w:rsidR="003D5C71" w:rsidRPr="00A17B22">
        <w:t>.</w:t>
      </w:r>
      <w:r w:rsidR="007922B5" w:rsidRPr="00A17B22">
        <w:t xml:space="preserve"> In this case</w:t>
      </w:r>
      <w:r w:rsidR="009F4342" w:rsidRPr="00A17B22">
        <w:t>, it shows the willingness of the courts to find evidence of some consideration.</w:t>
      </w:r>
      <w:r w:rsidR="003D5C71" w:rsidRPr="00A17B22">
        <w:t xml:space="preserve"> </w:t>
      </w:r>
      <w:r w:rsidR="009F4342" w:rsidRPr="00A17B22">
        <w:t>I</w:t>
      </w:r>
      <w:r w:rsidR="003D5C71" w:rsidRPr="00A17B22">
        <w:t xml:space="preserve">t was determined that making a child happy was considered sufficient </w:t>
      </w:r>
      <w:r w:rsidR="00F83D80" w:rsidRPr="00A17B22">
        <w:t xml:space="preserve">consideration </w:t>
      </w:r>
      <w:r w:rsidR="00CE398F" w:rsidRPr="00A17B22">
        <w:t>for a promise of maintenance payments</w:t>
      </w:r>
      <w:r w:rsidR="007922B5" w:rsidRPr="00A17B22">
        <w:t xml:space="preserve">, by doing this </w:t>
      </w:r>
      <w:r w:rsidR="00045A9A" w:rsidRPr="00A17B22">
        <w:t>the promise had exceeded the statutory duty of caring for the child.</w:t>
      </w:r>
      <w:r w:rsidR="00287EB1" w:rsidRPr="00A17B22">
        <w:t xml:space="preserve"> Moreover, in the case of White v Bluett (1853), it was determined that </w:t>
      </w:r>
      <w:r w:rsidR="008357AB" w:rsidRPr="00A17B22">
        <w:t xml:space="preserve">the promise from a father to his son to release him from </w:t>
      </w:r>
      <w:r w:rsidR="00F23090" w:rsidRPr="00A17B22">
        <w:t xml:space="preserve">liability if the son agreed to </w:t>
      </w:r>
      <w:r w:rsidR="00766E90" w:rsidRPr="00A17B22">
        <w:t>amend his behaviour was deemed unenforceable for lack of consideration</w:t>
      </w:r>
      <w:r w:rsidR="004E5A10" w:rsidRPr="00A17B22">
        <w:t xml:space="preserve">, as </w:t>
      </w:r>
      <w:r w:rsidR="002C7EAB" w:rsidRPr="00A17B22">
        <w:t xml:space="preserve">it was stated that the son had no right to complain </w:t>
      </w:r>
      <w:r w:rsidR="00BD2AC4" w:rsidRPr="00A17B22">
        <w:t xml:space="preserve">therefore </w:t>
      </w:r>
      <w:r w:rsidR="002C7EAB" w:rsidRPr="00A17B22">
        <w:t>re</w:t>
      </w:r>
      <w:r w:rsidR="002E573B" w:rsidRPr="00A17B22">
        <w:t xml:space="preserve">fraining from doing something he had no right to do </w:t>
      </w:r>
      <w:r w:rsidR="000E79B5" w:rsidRPr="00A17B22">
        <w:t xml:space="preserve">would not amount to sufficient consideration. </w:t>
      </w:r>
    </w:p>
    <w:p w14:paraId="52418BEF" w14:textId="37A23EA5" w:rsidR="00834C55" w:rsidRPr="00A17B22" w:rsidRDefault="00834C55" w:rsidP="00A17B22">
      <w:pPr>
        <w:spacing w:line="480" w:lineRule="auto"/>
        <w:jc w:val="both"/>
        <w:rPr>
          <w:color w:val="000000" w:themeColor="text1"/>
        </w:rPr>
      </w:pPr>
    </w:p>
    <w:p w14:paraId="258A416E" w14:textId="15493D13" w:rsidR="00461C97" w:rsidRPr="00A17B22" w:rsidRDefault="00F32566" w:rsidP="00A17B22">
      <w:pPr>
        <w:spacing w:line="480" w:lineRule="auto"/>
        <w:jc w:val="both"/>
        <w:rPr>
          <w:color w:val="000000" w:themeColor="text1"/>
        </w:rPr>
      </w:pPr>
      <w:r w:rsidRPr="00A17B22">
        <w:rPr>
          <w:color w:val="000000" w:themeColor="text1"/>
        </w:rPr>
        <w:t xml:space="preserve">A promise to </w:t>
      </w:r>
      <w:r w:rsidR="00E07D88" w:rsidRPr="00A17B22">
        <w:rPr>
          <w:color w:val="000000" w:themeColor="text1"/>
        </w:rPr>
        <w:t>perform</w:t>
      </w:r>
      <w:r w:rsidRPr="00A17B22">
        <w:rPr>
          <w:color w:val="000000" w:themeColor="text1"/>
        </w:rPr>
        <w:t xml:space="preserve"> a pre-</w:t>
      </w:r>
      <w:r w:rsidR="00E07D88" w:rsidRPr="00A17B22">
        <w:rPr>
          <w:color w:val="000000" w:themeColor="text1"/>
        </w:rPr>
        <w:t>existing</w:t>
      </w:r>
      <w:r w:rsidRPr="00A17B22">
        <w:rPr>
          <w:color w:val="000000" w:themeColor="text1"/>
        </w:rPr>
        <w:t xml:space="preserve"> duty can be s</w:t>
      </w:r>
      <w:r w:rsidRPr="00A17B22">
        <w:rPr>
          <w:color w:val="000000" w:themeColor="text1"/>
        </w:rPr>
        <w:t xml:space="preserve">plit into four categories. </w:t>
      </w:r>
      <w:r w:rsidR="000C29E2" w:rsidRPr="00A17B22">
        <w:rPr>
          <w:color w:val="000000" w:themeColor="text1"/>
        </w:rPr>
        <w:t xml:space="preserve">The duty of </w:t>
      </w:r>
      <w:r w:rsidR="00E07D88" w:rsidRPr="00A17B22">
        <w:rPr>
          <w:color w:val="000000" w:themeColor="text1"/>
        </w:rPr>
        <w:t>existing</w:t>
      </w:r>
      <w:r w:rsidR="000C29E2" w:rsidRPr="00A17B22">
        <w:rPr>
          <w:color w:val="000000" w:themeColor="text1"/>
        </w:rPr>
        <w:t xml:space="preserve"> public duties, </w:t>
      </w:r>
      <w:r w:rsidR="00E07D88" w:rsidRPr="00A17B22">
        <w:rPr>
          <w:color w:val="000000" w:themeColor="text1"/>
        </w:rPr>
        <w:t>existing</w:t>
      </w:r>
      <w:r w:rsidR="000C29E2" w:rsidRPr="00A17B22">
        <w:rPr>
          <w:color w:val="000000" w:themeColor="text1"/>
        </w:rPr>
        <w:t xml:space="preserve"> contractual duties, the </w:t>
      </w:r>
      <w:r w:rsidR="00E07D88" w:rsidRPr="00A17B22">
        <w:rPr>
          <w:color w:val="000000" w:themeColor="text1"/>
        </w:rPr>
        <w:t>existing</w:t>
      </w:r>
      <w:r w:rsidR="000C29E2" w:rsidRPr="00A17B22">
        <w:rPr>
          <w:color w:val="000000" w:themeColor="text1"/>
        </w:rPr>
        <w:t xml:space="preserve"> duty to repay a debt and the </w:t>
      </w:r>
      <w:r w:rsidR="00E07D88" w:rsidRPr="00A17B22">
        <w:rPr>
          <w:color w:val="000000" w:themeColor="text1"/>
        </w:rPr>
        <w:t>existing</w:t>
      </w:r>
      <w:r w:rsidR="000C29E2" w:rsidRPr="00A17B22">
        <w:rPr>
          <w:color w:val="000000" w:themeColor="text1"/>
        </w:rPr>
        <w:t xml:space="preserve"> contractual duties to a third party</w:t>
      </w:r>
      <w:r w:rsidR="00FD3873" w:rsidRPr="00A17B22">
        <w:rPr>
          <w:color w:val="000000" w:themeColor="text1"/>
        </w:rPr>
        <w:t xml:space="preserve"> (</w:t>
      </w:r>
      <w:r w:rsidR="0070419F" w:rsidRPr="00A17B22">
        <w:rPr>
          <w:color w:val="000000" w:themeColor="text1"/>
        </w:rPr>
        <w:t>Mckendrick, 2021)</w:t>
      </w:r>
      <w:r w:rsidR="00E31B19" w:rsidRPr="00A17B22">
        <w:rPr>
          <w:color w:val="000000" w:themeColor="text1"/>
        </w:rPr>
        <w:t xml:space="preserve">. </w:t>
      </w:r>
    </w:p>
    <w:p w14:paraId="5566A8E9" w14:textId="77777777" w:rsidR="00461C97" w:rsidRPr="00A17B22" w:rsidRDefault="00461C97" w:rsidP="00A17B22">
      <w:pPr>
        <w:spacing w:line="480" w:lineRule="auto"/>
        <w:jc w:val="both"/>
        <w:rPr>
          <w:color w:val="000000" w:themeColor="text1"/>
        </w:rPr>
      </w:pPr>
    </w:p>
    <w:p w14:paraId="3118AC18" w14:textId="77777777" w:rsidR="001B6DE9" w:rsidRPr="00A17B22" w:rsidRDefault="00F32566" w:rsidP="00A17B22">
      <w:pPr>
        <w:spacing w:line="480" w:lineRule="auto"/>
        <w:jc w:val="both"/>
        <w:rPr>
          <w:color w:val="000000" w:themeColor="text1"/>
        </w:rPr>
      </w:pPr>
      <w:r w:rsidRPr="00A17B22">
        <w:rPr>
          <w:color w:val="000000" w:themeColor="text1"/>
        </w:rPr>
        <w:t xml:space="preserve">The duty to perform a public duty </w:t>
      </w:r>
      <w:r w:rsidR="00276847" w:rsidRPr="00A17B22">
        <w:rPr>
          <w:color w:val="000000" w:themeColor="text1"/>
        </w:rPr>
        <w:t xml:space="preserve">which is implied by law </w:t>
      </w:r>
      <w:r w:rsidR="008D375F" w:rsidRPr="00A17B22">
        <w:rPr>
          <w:color w:val="000000" w:themeColor="text1"/>
        </w:rPr>
        <w:t xml:space="preserve">is typically not </w:t>
      </w:r>
      <w:r w:rsidR="00356B7C" w:rsidRPr="00A17B22">
        <w:rPr>
          <w:color w:val="000000" w:themeColor="text1"/>
        </w:rPr>
        <w:t xml:space="preserve">considered to </w:t>
      </w:r>
      <w:r w:rsidR="007448D9" w:rsidRPr="00A17B22">
        <w:rPr>
          <w:color w:val="000000" w:themeColor="text1"/>
        </w:rPr>
        <w:t>be</w:t>
      </w:r>
      <w:r w:rsidR="00356B7C" w:rsidRPr="00A17B22">
        <w:rPr>
          <w:color w:val="000000" w:themeColor="text1"/>
        </w:rPr>
        <w:t xml:space="preserve"> </w:t>
      </w:r>
      <w:r w:rsidR="007448D9" w:rsidRPr="00A17B22">
        <w:rPr>
          <w:color w:val="000000" w:themeColor="text1"/>
        </w:rPr>
        <w:t xml:space="preserve">a valid form of </w:t>
      </w:r>
      <w:r w:rsidR="00356B7C" w:rsidRPr="00A17B22">
        <w:rPr>
          <w:color w:val="000000" w:themeColor="text1"/>
        </w:rPr>
        <w:t xml:space="preserve">consideration </w:t>
      </w:r>
      <w:r w:rsidR="007448D9" w:rsidRPr="00A17B22">
        <w:rPr>
          <w:color w:val="000000" w:themeColor="text1"/>
        </w:rPr>
        <w:t>to</w:t>
      </w:r>
      <w:r w:rsidR="00356B7C" w:rsidRPr="00A17B22">
        <w:rPr>
          <w:color w:val="000000" w:themeColor="text1"/>
        </w:rPr>
        <w:t xml:space="preserve"> a contract</w:t>
      </w:r>
      <w:r w:rsidR="00B22EC3" w:rsidRPr="00A17B22">
        <w:rPr>
          <w:color w:val="000000" w:themeColor="text1"/>
        </w:rPr>
        <w:t xml:space="preserve">. As a party is already obliged to </w:t>
      </w:r>
      <w:r w:rsidR="002732CF" w:rsidRPr="00A17B22">
        <w:rPr>
          <w:color w:val="000000" w:themeColor="text1"/>
        </w:rPr>
        <w:t xml:space="preserve">perform the act any consideration offered to reimburse them to complete the act is not valid as they are not offering anything new to the </w:t>
      </w:r>
      <w:r w:rsidR="005107B4" w:rsidRPr="00A17B22">
        <w:rPr>
          <w:color w:val="000000" w:themeColor="text1"/>
        </w:rPr>
        <w:t>consideration</w:t>
      </w:r>
      <w:r w:rsidR="00356B7C" w:rsidRPr="00A17B22">
        <w:rPr>
          <w:color w:val="000000" w:themeColor="text1"/>
        </w:rPr>
        <w:t xml:space="preserve"> (Collins v Godefroy</w:t>
      </w:r>
      <w:r w:rsidR="00C442E4" w:rsidRPr="00A17B22">
        <w:rPr>
          <w:color w:val="000000" w:themeColor="text1"/>
        </w:rPr>
        <w:t xml:space="preserve">, 1831). </w:t>
      </w:r>
      <w:r w:rsidR="00D92D96" w:rsidRPr="00A17B22">
        <w:rPr>
          <w:color w:val="000000" w:themeColor="text1"/>
        </w:rPr>
        <w:t xml:space="preserve">Further support of this can be seen </w:t>
      </w:r>
      <w:r w:rsidR="008D31E8" w:rsidRPr="00A17B22">
        <w:rPr>
          <w:color w:val="000000" w:themeColor="text1"/>
        </w:rPr>
        <w:t>in the fact that the police are expected to perform a certain level of protection</w:t>
      </w:r>
      <w:r w:rsidR="00C94B99" w:rsidRPr="00A17B22">
        <w:rPr>
          <w:color w:val="000000" w:themeColor="text1"/>
        </w:rPr>
        <w:t xml:space="preserve">, a consideration will not be valid </w:t>
      </w:r>
      <w:r w:rsidR="00617256" w:rsidRPr="00A17B22">
        <w:rPr>
          <w:color w:val="000000" w:themeColor="text1"/>
        </w:rPr>
        <w:t>in an attempt to ensure they perform this already expected duty as seen in</w:t>
      </w:r>
      <w:r w:rsidR="008E3592" w:rsidRPr="00A17B22">
        <w:rPr>
          <w:color w:val="000000" w:themeColor="text1"/>
        </w:rPr>
        <w:t xml:space="preserve"> Leeds United FC v West Yorkshire Police (2012). Any </w:t>
      </w:r>
      <w:r w:rsidR="00034B53" w:rsidRPr="00A17B22">
        <w:rPr>
          <w:color w:val="000000" w:themeColor="text1"/>
        </w:rPr>
        <w:t>attempt at forming a contract like this will be found invalid and repayment would need to be made (</w:t>
      </w:r>
      <w:r w:rsidR="00E07B15" w:rsidRPr="00A17B22">
        <w:rPr>
          <w:color w:val="000000" w:themeColor="text1"/>
        </w:rPr>
        <w:t xml:space="preserve">Colley, 2013). </w:t>
      </w:r>
      <w:r w:rsidR="004D3DA7" w:rsidRPr="00A17B22">
        <w:rPr>
          <w:color w:val="000000" w:themeColor="text1"/>
        </w:rPr>
        <w:t>An exception to this rule can</w:t>
      </w:r>
      <w:r w:rsidR="004F4232" w:rsidRPr="00A17B22">
        <w:rPr>
          <w:color w:val="000000" w:themeColor="text1"/>
        </w:rPr>
        <w:t xml:space="preserve"> however</w:t>
      </w:r>
      <w:r w:rsidR="004D3DA7" w:rsidRPr="00A17B22">
        <w:rPr>
          <w:color w:val="000000" w:themeColor="text1"/>
        </w:rPr>
        <w:t xml:space="preserve"> be seen when the public or contractual duty is exceeded, this is demonstrated in </w:t>
      </w:r>
      <w:r w:rsidR="004D3DA7" w:rsidRPr="00A17B22">
        <w:rPr>
          <w:color w:val="000000" w:themeColor="text1"/>
        </w:rPr>
        <w:lastRenderedPageBreak/>
        <w:t>Glasbrook Brothers v Glamorgan CC (1925) and Harris v Sheffield United (1988).</w:t>
      </w:r>
      <w:r w:rsidR="00711265" w:rsidRPr="00A17B22">
        <w:rPr>
          <w:color w:val="000000" w:themeColor="text1"/>
        </w:rPr>
        <w:t xml:space="preserve"> </w:t>
      </w:r>
      <w:r w:rsidR="00711265" w:rsidRPr="00A17B22">
        <w:t xml:space="preserve">However, this exception is highlighted as being difficult to apply due to the implicit English law (Shaw-Mellors &amp; Poole, 2018). </w:t>
      </w:r>
      <w:r w:rsidR="00F54A2F" w:rsidRPr="00A17B22">
        <w:rPr>
          <w:color w:val="000000" w:themeColor="text1"/>
        </w:rPr>
        <w:t xml:space="preserve"> </w:t>
      </w:r>
    </w:p>
    <w:p w14:paraId="775A5885" w14:textId="77777777" w:rsidR="001B6DE9" w:rsidRPr="00A17B22" w:rsidRDefault="001B6DE9" w:rsidP="00A17B22">
      <w:pPr>
        <w:spacing w:line="480" w:lineRule="auto"/>
        <w:jc w:val="both"/>
        <w:rPr>
          <w:color w:val="000000" w:themeColor="text1"/>
        </w:rPr>
      </w:pPr>
    </w:p>
    <w:p w14:paraId="4383F668" w14:textId="3605E469" w:rsidR="004D3DA7" w:rsidRPr="00A17B22" w:rsidRDefault="00F32566" w:rsidP="00A17B22">
      <w:pPr>
        <w:spacing w:line="480" w:lineRule="auto"/>
        <w:jc w:val="both"/>
        <w:rPr>
          <w:color w:val="000000" w:themeColor="text1"/>
        </w:rPr>
      </w:pPr>
      <w:r w:rsidRPr="00A17B22">
        <w:rPr>
          <w:color w:val="000000" w:themeColor="text1"/>
        </w:rPr>
        <w:t>The decision made in these cases was later challenged in the case of Leeds United Football Club v The Chief Constable of West Yorkshire Police (2012)</w:t>
      </w:r>
      <w:r w:rsidR="00007008" w:rsidRPr="00A17B22">
        <w:rPr>
          <w:color w:val="000000" w:themeColor="text1"/>
        </w:rPr>
        <w:t xml:space="preserve"> </w:t>
      </w:r>
      <w:r w:rsidR="001D4EA0" w:rsidRPr="00A17B22">
        <w:rPr>
          <w:color w:val="000000" w:themeColor="text1"/>
        </w:rPr>
        <w:t xml:space="preserve">and </w:t>
      </w:r>
      <w:r w:rsidR="003F7312" w:rsidRPr="00A17B22">
        <w:rPr>
          <w:color w:val="000000" w:themeColor="text1"/>
        </w:rPr>
        <w:t>Ipswich Town v Chief Constable of Suffolk (2017)</w:t>
      </w:r>
      <w:r w:rsidR="001D4EA0" w:rsidRPr="00A17B22">
        <w:rPr>
          <w:color w:val="000000" w:themeColor="text1"/>
        </w:rPr>
        <w:t xml:space="preserve">, showing that fewer cases fit the principle originally set out in Glasbrook Brothers v Glamorgan CC (1925). Following the case of Leeds United Football Club v The Chief </w:t>
      </w:r>
      <w:r w:rsidR="001D4EA0" w:rsidRPr="00A17B22">
        <w:rPr>
          <w:color w:val="000000" w:themeColor="text1"/>
        </w:rPr>
        <w:tab/>
        <w:t xml:space="preserve">Constable </w:t>
      </w:r>
      <w:r w:rsidR="001B6DE9" w:rsidRPr="00A17B22">
        <w:rPr>
          <w:color w:val="000000" w:themeColor="text1"/>
        </w:rPr>
        <w:t>of West Yorkshire Police (2012) Lord Dyson stated that where policing was in a public place prima facie it is likely to be in the discharge of the duty to maintain law and order and therefore not special police services</w:t>
      </w:r>
      <w:r w:rsidR="0041792E" w:rsidRPr="00A17B22">
        <w:rPr>
          <w:color w:val="000000" w:themeColor="text1"/>
        </w:rPr>
        <w:t xml:space="preserve"> (SPS)</w:t>
      </w:r>
      <w:r w:rsidR="001B6DE9" w:rsidRPr="00A17B22">
        <w:rPr>
          <w:color w:val="000000" w:themeColor="text1"/>
        </w:rPr>
        <w:t xml:space="preserve">. </w:t>
      </w:r>
      <w:r w:rsidR="0041792E" w:rsidRPr="00A17B22">
        <w:rPr>
          <w:color w:val="000000" w:themeColor="text1"/>
        </w:rPr>
        <w:t>The distinction between the need for SPS and where the line is drawn for public duties is outlined in the above cases</w:t>
      </w:r>
      <w:r w:rsidR="008778A1" w:rsidRPr="00A17B22">
        <w:rPr>
          <w:color w:val="000000" w:themeColor="text1"/>
        </w:rPr>
        <w:t xml:space="preserve">, the later cases debunked the requirement for SPS potentially to avoid providing an incentive for private payments. </w:t>
      </w:r>
    </w:p>
    <w:p w14:paraId="561A6494" w14:textId="4D916844" w:rsidR="00D63623" w:rsidRPr="00A17B22" w:rsidRDefault="00D63623" w:rsidP="00A17B22">
      <w:pPr>
        <w:spacing w:line="480" w:lineRule="auto"/>
        <w:jc w:val="both"/>
        <w:rPr>
          <w:color w:val="000000" w:themeColor="text1"/>
        </w:rPr>
      </w:pPr>
    </w:p>
    <w:p w14:paraId="3498D05A" w14:textId="3AE30F23" w:rsidR="001D54BC" w:rsidRPr="00A17B22" w:rsidRDefault="00F32566" w:rsidP="00A17B22">
      <w:pPr>
        <w:spacing w:line="480" w:lineRule="auto"/>
        <w:jc w:val="both"/>
        <w:rPr>
          <w:color w:val="000000" w:themeColor="text1"/>
        </w:rPr>
      </w:pPr>
      <w:r w:rsidRPr="00A17B22">
        <w:rPr>
          <w:color w:val="000000" w:themeColor="text1"/>
        </w:rPr>
        <w:t>Further support t</w:t>
      </w:r>
      <w:r w:rsidR="00F905C4" w:rsidRPr="00A17B22">
        <w:rPr>
          <w:color w:val="000000" w:themeColor="text1"/>
        </w:rPr>
        <w:t>hat valid consideration is not present with the performance of a pre-</w:t>
      </w:r>
      <w:r w:rsidR="00166FD2" w:rsidRPr="00A17B22">
        <w:rPr>
          <w:color w:val="000000" w:themeColor="text1"/>
        </w:rPr>
        <w:t>existing</w:t>
      </w:r>
      <w:r w:rsidR="00F905C4" w:rsidRPr="00A17B22">
        <w:rPr>
          <w:color w:val="000000" w:themeColor="text1"/>
        </w:rPr>
        <w:t xml:space="preserve"> duty can be seen </w:t>
      </w:r>
      <w:r w:rsidR="00AA272A" w:rsidRPr="00A17B22">
        <w:rPr>
          <w:color w:val="000000" w:themeColor="text1"/>
        </w:rPr>
        <w:t xml:space="preserve">in </w:t>
      </w:r>
      <w:r w:rsidR="00166FD2" w:rsidRPr="00A17B22">
        <w:rPr>
          <w:color w:val="000000" w:themeColor="text1"/>
        </w:rPr>
        <w:t>existing</w:t>
      </w:r>
      <w:r w:rsidR="00AA272A" w:rsidRPr="00A17B22">
        <w:rPr>
          <w:color w:val="000000" w:themeColor="text1"/>
        </w:rPr>
        <w:t xml:space="preserve"> contractual duties. If the initial party is already under contract to perform an </w:t>
      </w:r>
      <w:r w:rsidR="00D71DE7" w:rsidRPr="00A17B22">
        <w:rPr>
          <w:color w:val="000000" w:themeColor="text1"/>
        </w:rPr>
        <w:t>act,</w:t>
      </w:r>
      <w:r w:rsidR="00AA272A" w:rsidRPr="00A17B22">
        <w:rPr>
          <w:color w:val="000000" w:themeColor="text1"/>
        </w:rPr>
        <w:t xml:space="preserve"> then </w:t>
      </w:r>
      <w:r w:rsidR="00D71DE7" w:rsidRPr="00A17B22">
        <w:rPr>
          <w:color w:val="000000" w:themeColor="text1"/>
        </w:rPr>
        <w:t xml:space="preserve">further offers of consideration from the other parties are not obligating </w:t>
      </w:r>
      <w:r w:rsidR="004D5BC7" w:rsidRPr="00A17B22">
        <w:rPr>
          <w:color w:val="000000" w:themeColor="text1"/>
        </w:rPr>
        <w:t xml:space="preserve">(Stilk v Myrick, 1809). </w:t>
      </w:r>
      <w:r w:rsidR="00B35014" w:rsidRPr="00A17B22">
        <w:rPr>
          <w:color w:val="000000" w:themeColor="text1"/>
        </w:rPr>
        <w:t xml:space="preserve">Although it should be noted that this cannot be applied as a blanket approach. Williams v Roffey Bros (1990) highlighted that if </w:t>
      </w:r>
      <w:r w:rsidR="00C77D66" w:rsidRPr="00A17B22">
        <w:rPr>
          <w:color w:val="000000" w:themeColor="text1"/>
        </w:rPr>
        <w:t xml:space="preserve">the party offering additional consideration receives a real benefit from the </w:t>
      </w:r>
      <w:r w:rsidR="0094046D" w:rsidRPr="00A17B22">
        <w:rPr>
          <w:color w:val="000000" w:themeColor="text1"/>
        </w:rPr>
        <w:t>new consideration, one that would not be present without that additional consideration, validity would be present.</w:t>
      </w:r>
      <w:r w:rsidR="004405CC" w:rsidRPr="00A17B22">
        <w:rPr>
          <w:color w:val="000000" w:themeColor="text1"/>
        </w:rPr>
        <w:t xml:space="preserve"> This can further be seen in the case Hartley v Ponsonby (1857)</w:t>
      </w:r>
      <w:r w:rsidR="00C23916" w:rsidRPr="00A17B22">
        <w:rPr>
          <w:color w:val="000000" w:themeColor="text1"/>
        </w:rPr>
        <w:t xml:space="preserve">, although the facts appear </w:t>
      </w:r>
      <w:r w:rsidR="00BD737E" w:rsidRPr="00A17B22">
        <w:rPr>
          <w:color w:val="000000" w:themeColor="text1"/>
        </w:rPr>
        <w:t>similar to</w:t>
      </w:r>
      <w:r w:rsidR="00C23916" w:rsidRPr="00A17B22">
        <w:rPr>
          <w:color w:val="000000" w:themeColor="text1"/>
        </w:rPr>
        <w:t xml:space="preserve"> Stilk v Myrick (1809) </w:t>
      </w:r>
      <w:r w:rsidR="00253E77" w:rsidRPr="00A17B22">
        <w:rPr>
          <w:color w:val="000000" w:themeColor="text1"/>
        </w:rPr>
        <w:t xml:space="preserve">in contrast </w:t>
      </w:r>
      <w:r w:rsidR="00C23916" w:rsidRPr="00A17B22">
        <w:rPr>
          <w:color w:val="000000" w:themeColor="text1"/>
        </w:rPr>
        <w:t xml:space="preserve">the parties involved were required to </w:t>
      </w:r>
      <w:r w:rsidR="008A7FC5" w:rsidRPr="00A17B22">
        <w:rPr>
          <w:color w:val="000000" w:themeColor="text1"/>
        </w:rPr>
        <w:t xml:space="preserve">complete a significantly higher level of work which would be seen to be outside </w:t>
      </w:r>
      <w:r w:rsidR="0049237D" w:rsidRPr="00A17B22">
        <w:rPr>
          <w:color w:val="000000" w:themeColor="text1"/>
        </w:rPr>
        <w:t>their</w:t>
      </w:r>
      <w:r w:rsidR="008A7FC5" w:rsidRPr="00A17B22">
        <w:rPr>
          <w:color w:val="000000" w:themeColor="text1"/>
        </w:rPr>
        <w:t xml:space="preserve"> </w:t>
      </w:r>
      <w:r w:rsidR="00651CC6" w:rsidRPr="00A17B22">
        <w:rPr>
          <w:color w:val="000000" w:themeColor="text1"/>
        </w:rPr>
        <w:t>existing</w:t>
      </w:r>
      <w:r w:rsidR="008A7FC5" w:rsidRPr="00A17B22">
        <w:rPr>
          <w:color w:val="000000" w:themeColor="text1"/>
        </w:rPr>
        <w:t xml:space="preserve"> contractual agreement</w:t>
      </w:r>
      <w:r w:rsidR="0049237D" w:rsidRPr="00A17B22">
        <w:rPr>
          <w:color w:val="000000" w:themeColor="text1"/>
        </w:rPr>
        <w:t xml:space="preserve"> fundamentally changing the contractual obligations</w:t>
      </w:r>
      <w:r w:rsidR="00253E77" w:rsidRPr="00A17B22">
        <w:rPr>
          <w:color w:val="000000" w:themeColor="text1"/>
        </w:rPr>
        <w:t>.</w:t>
      </w:r>
      <w:r w:rsidR="0049237D" w:rsidRPr="00A17B22">
        <w:rPr>
          <w:color w:val="000000" w:themeColor="text1"/>
        </w:rPr>
        <w:t xml:space="preserve">  </w:t>
      </w:r>
    </w:p>
    <w:p w14:paraId="6897B060" w14:textId="77777777" w:rsidR="0026084A" w:rsidRPr="00A17B22" w:rsidRDefault="0026084A" w:rsidP="00A17B22">
      <w:pPr>
        <w:spacing w:line="480" w:lineRule="auto"/>
        <w:jc w:val="both"/>
        <w:rPr>
          <w:color w:val="000000" w:themeColor="text1"/>
        </w:rPr>
      </w:pPr>
    </w:p>
    <w:p w14:paraId="467800F3" w14:textId="6C514037" w:rsidR="002E1D3C" w:rsidRPr="00A17B22" w:rsidRDefault="00F32566" w:rsidP="00A17B22">
      <w:pPr>
        <w:spacing w:line="480" w:lineRule="auto"/>
        <w:jc w:val="both"/>
        <w:rPr>
          <w:color w:val="000000" w:themeColor="text1"/>
        </w:rPr>
      </w:pPr>
      <w:r w:rsidRPr="00A17B22">
        <w:rPr>
          <w:color w:val="000000" w:themeColor="text1"/>
        </w:rPr>
        <w:t>Typically</w:t>
      </w:r>
      <w:r w:rsidR="00233C00" w:rsidRPr="00A17B22">
        <w:rPr>
          <w:color w:val="000000" w:themeColor="text1"/>
        </w:rPr>
        <w:t>,</w:t>
      </w:r>
      <w:r w:rsidRPr="00A17B22">
        <w:rPr>
          <w:color w:val="000000" w:themeColor="text1"/>
        </w:rPr>
        <w:t xml:space="preserve"> a promise to repay part of a debt cannot be seen to be a valid consideration</w:t>
      </w:r>
      <w:r w:rsidR="00B530A3" w:rsidRPr="00A17B22">
        <w:rPr>
          <w:color w:val="000000" w:themeColor="text1"/>
        </w:rPr>
        <w:t>. However,</w:t>
      </w:r>
      <w:r w:rsidRPr="00A17B22">
        <w:rPr>
          <w:color w:val="000000" w:themeColor="text1"/>
        </w:rPr>
        <w:t xml:space="preserve"> </w:t>
      </w:r>
      <w:r w:rsidR="00B530A3" w:rsidRPr="00A17B22">
        <w:rPr>
          <w:color w:val="000000" w:themeColor="text1"/>
        </w:rPr>
        <w:t>s</w:t>
      </w:r>
      <w:r w:rsidR="00D6383A" w:rsidRPr="00A17B22">
        <w:rPr>
          <w:color w:val="000000" w:themeColor="text1"/>
        </w:rPr>
        <w:t>imilarly</w:t>
      </w:r>
      <w:r w:rsidR="000B38AF" w:rsidRPr="00A17B22">
        <w:rPr>
          <w:color w:val="000000" w:themeColor="text1"/>
        </w:rPr>
        <w:t>,</w:t>
      </w:r>
      <w:r w:rsidR="00D6383A" w:rsidRPr="00A17B22">
        <w:rPr>
          <w:color w:val="000000" w:themeColor="text1"/>
        </w:rPr>
        <w:t xml:space="preserve"> to the rule </w:t>
      </w:r>
      <w:r w:rsidR="00727F9C" w:rsidRPr="00A17B22">
        <w:rPr>
          <w:color w:val="000000" w:themeColor="text1"/>
        </w:rPr>
        <w:t>highlighted in Williams v Roffey Bros (1990)</w:t>
      </w:r>
      <w:r w:rsidR="00D6383A" w:rsidRPr="00A17B22">
        <w:rPr>
          <w:color w:val="000000" w:themeColor="text1"/>
        </w:rPr>
        <w:t xml:space="preserve">, </w:t>
      </w:r>
      <w:r w:rsidR="00B530A3" w:rsidRPr="00A17B22">
        <w:rPr>
          <w:color w:val="000000" w:themeColor="text1"/>
        </w:rPr>
        <w:t xml:space="preserve">it can be seen to be valid consideration if </w:t>
      </w:r>
      <w:r w:rsidR="00035C23" w:rsidRPr="00A17B22">
        <w:rPr>
          <w:color w:val="000000" w:themeColor="text1"/>
        </w:rPr>
        <w:t xml:space="preserve">additional value is given to the </w:t>
      </w:r>
      <w:r w:rsidR="00200D1D" w:rsidRPr="00A17B22">
        <w:rPr>
          <w:color w:val="000000" w:themeColor="text1"/>
        </w:rPr>
        <w:t xml:space="preserve">creditor such as paying the </w:t>
      </w:r>
      <w:r w:rsidR="00CB78F0" w:rsidRPr="00A17B22">
        <w:rPr>
          <w:color w:val="000000" w:themeColor="text1"/>
        </w:rPr>
        <w:t>creditor the smaller amount earlier than the intended date</w:t>
      </w:r>
      <w:r w:rsidR="00C21028" w:rsidRPr="00A17B22">
        <w:rPr>
          <w:color w:val="000000" w:themeColor="text1"/>
        </w:rPr>
        <w:t>. Therefore</w:t>
      </w:r>
      <w:r w:rsidR="00467614" w:rsidRPr="00A17B22">
        <w:rPr>
          <w:color w:val="000000" w:themeColor="text1"/>
        </w:rPr>
        <w:t>,</w:t>
      </w:r>
      <w:r w:rsidR="00C21028" w:rsidRPr="00A17B22">
        <w:rPr>
          <w:color w:val="000000" w:themeColor="text1"/>
        </w:rPr>
        <w:t xml:space="preserve"> </w:t>
      </w:r>
      <w:r w:rsidR="002B5981" w:rsidRPr="00A17B22">
        <w:rPr>
          <w:color w:val="000000" w:themeColor="text1"/>
        </w:rPr>
        <w:t xml:space="preserve">an offer to promise to pay a smaller amount than what is owed typically </w:t>
      </w:r>
      <w:r w:rsidR="00467614" w:rsidRPr="00A17B22">
        <w:rPr>
          <w:color w:val="000000" w:themeColor="text1"/>
        </w:rPr>
        <w:t>cannot</w:t>
      </w:r>
      <w:r w:rsidR="002B5981" w:rsidRPr="00A17B22">
        <w:rPr>
          <w:color w:val="000000" w:themeColor="text1"/>
        </w:rPr>
        <w:t xml:space="preserve"> be seen as valid consideration due to the party not being at a detriment and the other party obtaining no additional </w:t>
      </w:r>
      <w:r w:rsidR="00DA3094" w:rsidRPr="00A17B22">
        <w:rPr>
          <w:color w:val="000000" w:themeColor="text1"/>
        </w:rPr>
        <w:t>benefit than what was agreed in the original consideration (</w:t>
      </w:r>
      <w:r w:rsidR="00737591" w:rsidRPr="00A17B22">
        <w:rPr>
          <w:color w:val="000000" w:themeColor="text1"/>
        </w:rPr>
        <w:t>Fo</w:t>
      </w:r>
      <w:r w:rsidR="00E001B4" w:rsidRPr="00A17B22">
        <w:rPr>
          <w:color w:val="000000" w:themeColor="text1"/>
        </w:rPr>
        <w:t>akes v Beer, 1884).</w:t>
      </w:r>
      <w:r w:rsidR="00B64B3B" w:rsidRPr="00A17B22">
        <w:rPr>
          <w:color w:val="000000" w:themeColor="text1"/>
        </w:rPr>
        <w:t xml:space="preserve"> </w:t>
      </w:r>
      <w:r w:rsidR="00A268B6" w:rsidRPr="00A17B22">
        <w:rPr>
          <w:color w:val="000000" w:themeColor="text1"/>
        </w:rPr>
        <w:t xml:space="preserve">Something which is supported by Re </w:t>
      </w:r>
      <w:r w:rsidR="00A268B6" w:rsidRPr="00A17B22">
        <w:rPr>
          <w:color w:val="000000" w:themeColor="text1"/>
        </w:rPr>
        <w:lastRenderedPageBreak/>
        <w:t>Selectmove (1995)</w:t>
      </w:r>
      <w:r w:rsidR="002F4399" w:rsidRPr="00A17B22">
        <w:rPr>
          <w:color w:val="000000" w:themeColor="text1"/>
        </w:rPr>
        <w:t xml:space="preserve"> is that valid consideration is not present in the promise to make part payment on the pre-</w:t>
      </w:r>
      <w:r w:rsidR="00257A57" w:rsidRPr="00A17B22">
        <w:rPr>
          <w:color w:val="000000" w:themeColor="text1"/>
        </w:rPr>
        <w:t>existing</w:t>
      </w:r>
      <w:r w:rsidR="002F4399" w:rsidRPr="00A17B22">
        <w:rPr>
          <w:color w:val="000000" w:themeColor="text1"/>
        </w:rPr>
        <w:t xml:space="preserve"> duty to pay a creditor back. </w:t>
      </w:r>
      <w:r w:rsidR="00B64B3B" w:rsidRPr="00A17B22">
        <w:rPr>
          <w:color w:val="000000" w:themeColor="text1"/>
        </w:rPr>
        <w:t xml:space="preserve">Further variance to the rule that a promise to perform a pre-existing duty </w:t>
      </w:r>
      <w:r w:rsidR="00E148A8" w:rsidRPr="00A17B22">
        <w:rPr>
          <w:color w:val="000000" w:themeColor="text1"/>
        </w:rPr>
        <w:t xml:space="preserve">can be seen </w:t>
      </w:r>
      <w:r w:rsidR="00A517F4" w:rsidRPr="00A17B22">
        <w:rPr>
          <w:color w:val="000000" w:themeColor="text1"/>
        </w:rPr>
        <w:t>as having valid consideration comes in the form of</w:t>
      </w:r>
      <w:r w:rsidR="00E148A8" w:rsidRPr="00A17B22">
        <w:rPr>
          <w:color w:val="000000" w:themeColor="text1"/>
        </w:rPr>
        <w:t xml:space="preserve"> contractual duties to a third party</w:t>
      </w:r>
      <w:r w:rsidR="009E4F51" w:rsidRPr="00A17B22">
        <w:rPr>
          <w:color w:val="000000" w:themeColor="text1"/>
        </w:rPr>
        <w:t xml:space="preserve"> (Scotson v Pegg, 1861). </w:t>
      </w:r>
    </w:p>
    <w:p w14:paraId="664A0C37" w14:textId="3890C9BA" w:rsidR="00834C55" w:rsidRPr="00A17B22" w:rsidRDefault="00834C55" w:rsidP="00A17B22">
      <w:pPr>
        <w:spacing w:line="480" w:lineRule="auto"/>
        <w:jc w:val="both"/>
        <w:rPr>
          <w:color w:val="FF0000"/>
        </w:rPr>
      </w:pPr>
    </w:p>
    <w:p w14:paraId="6C025FF6" w14:textId="530D7125" w:rsidR="007F7E41" w:rsidRPr="00A17B22" w:rsidRDefault="00F32566" w:rsidP="00A17B22">
      <w:pPr>
        <w:spacing w:line="480" w:lineRule="auto"/>
        <w:jc w:val="both"/>
      </w:pPr>
      <w:r w:rsidRPr="00A17B22">
        <w:t>In t</w:t>
      </w:r>
      <w:r w:rsidR="00DD405D" w:rsidRPr="00A17B22">
        <w:t xml:space="preserve">he case of Collins v Godefroy (1831), it is shown that </w:t>
      </w:r>
      <w:r w:rsidR="00D965DE" w:rsidRPr="00A17B22">
        <w:t xml:space="preserve">the promise </w:t>
      </w:r>
      <w:r w:rsidR="007A0B3B" w:rsidRPr="00A17B22">
        <w:t>to perform a</w:t>
      </w:r>
      <w:r w:rsidR="00D965DE" w:rsidRPr="00A17B22">
        <w:t xml:space="preserve"> pre-existing </w:t>
      </w:r>
      <w:r w:rsidR="00871FC3" w:rsidRPr="00A17B22">
        <w:t>public</w:t>
      </w:r>
      <w:r w:rsidR="00B37E65" w:rsidRPr="00A17B22">
        <w:t xml:space="preserve"> </w:t>
      </w:r>
      <w:r w:rsidR="00D965DE" w:rsidRPr="00A17B22">
        <w:t xml:space="preserve">duty </w:t>
      </w:r>
      <w:r w:rsidR="00D51CD9" w:rsidRPr="00A17B22">
        <w:t>does not amount to valid consideration</w:t>
      </w:r>
      <w:r w:rsidR="007A0B3B" w:rsidRPr="00A17B22">
        <w:t>.</w:t>
      </w:r>
      <w:r w:rsidR="00AF3401" w:rsidRPr="00A17B22">
        <w:t xml:space="preserve"> </w:t>
      </w:r>
      <w:r w:rsidR="009C4EF5" w:rsidRPr="00A17B22">
        <w:t>A</w:t>
      </w:r>
      <w:r w:rsidR="001563DB" w:rsidRPr="00A17B22">
        <w:t xml:space="preserve">n exception to this rule </w:t>
      </w:r>
      <w:r w:rsidR="007A0B3B" w:rsidRPr="00A17B22">
        <w:t>can be seen</w:t>
      </w:r>
      <w:r w:rsidR="001563DB" w:rsidRPr="00A17B22">
        <w:t xml:space="preserve"> when the </w:t>
      </w:r>
      <w:r w:rsidR="00D12D0F" w:rsidRPr="00A17B22">
        <w:t>public or contractual duty is exceeded</w:t>
      </w:r>
      <w:r w:rsidR="00325206" w:rsidRPr="00A17B22">
        <w:t>,</w:t>
      </w:r>
      <w:r w:rsidR="00B000E9" w:rsidRPr="00A17B22">
        <w:t xml:space="preserve"> </w:t>
      </w:r>
      <w:r w:rsidR="00325206" w:rsidRPr="00A17B22">
        <w:t>t</w:t>
      </w:r>
      <w:r w:rsidR="00B000E9" w:rsidRPr="00A17B22">
        <w:t>his is</w:t>
      </w:r>
      <w:r w:rsidR="00B37E65" w:rsidRPr="00A17B22">
        <w:t xml:space="preserve"> demonstrated in </w:t>
      </w:r>
      <w:r w:rsidR="00D12D0F" w:rsidRPr="00A17B22">
        <w:t>Glasbrook Brothers v Glamorgan CC (1925)</w:t>
      </w:r>
      <w:r w:rsidR="009C4EF5" w:rsidRPr="00A17B22">
        <w:t xml:space="preserve"> and Harris v Sheffield United (1988)</w:t>
      </w:r>
      <w:r w:rsidR="00AF3401" w:rsidRPr="00A17B22">
        <w:t xml:space="preserve">. </w:t>
      </w:r>
    </w:p>
    <w:p w14:paraId="1D98363A" w14:textId="73651EDE" w:rsidR="002458F3" w:rsidRPr="00A17B22" w:rsidRDefault="002458F3" w:rsidP="00A17B22">
      <w:pPr>
        <w:spacing w:line="480" w:lineRule="auto"/>
        <w:jc w:val="both"/>
      </w:pPr>
    </w:p>
    <w:p w14:paraId="095E15A6" w14:textId="612B30E1" w:rsidR="002458F3" w:rsidRPr="00A17B22" w:rsidRDefault="00F32566" w:rsidP="00A17B22">
      <w:pPr>
        <w:spacing w:line="480" w:lineRule="auto"/>
        <w:jc w:val="both"/>
      </w:pPr>
      <w:r w:rsidRPr="00A17B22">
        <w:t xml:space="preserve">The extent to which valid consideration will be present in the case of either past </w:t>
      </w:r>
      <w:r w:rsidRPr="00A17B22">
        <w:t>consideration or the promise to perform a pre-</w:t>
      </w:r>
      <w:r w:rsidR="001F3FBA" w:rsidRPr="00A17B22">
        <w:t>existent</w:t>
      </w:r>
      <w:r w:rsidRPr="00A17B22">
        <w:t xml:space="preserve"> duty is entirely dependent on the case. As discussed there a </w:t>
      </w:r>
      <w:r w:rsidR="008E3983" w:rsidRPr="00A17B22">
        <w:t>varying exception</w:t>
      </w:r>
      <w:r w:rsidRPr="00A17B22">
        <w:t xml:space="preserve">s to the rules that cover a </w:t>
      </w:r>
      <w:r w:rsidR="001F3FBA" w:rsidRPr="00A17B22">
        <w:t>vast variety of scenarios.</w:t>
      </w:r>
    </w:p>
    <w:p w14:paraId="60E34897" w14:textId="0A64A672" w:rsidR="00042851" w:rsidRDefault="00042851" w:rsidP="004E279C">
      <w:pPr>
        <w:spacing w:line="360" w:lineRule="auto"/>
      </w:pPr>
    </w:p>
    <w:p w14:paraId="42240BBC" w14:textId="77777777" w:rsidR="007D7A96" w:rsidRDefault="007D7A96" w:rsidP="006967B2">
      <w:pPr>
        <w:spacing w:line="360" w:lineRule="auto"/>
        <w:rPr>
          <w:b/>
          <w:bCs/>
          <w:u w:val="single"/>
        </w:rPr>
      </w:pPr>
    </w:p>
    <w:p w14:paraId="4D745677" w14:textId="77777777" w:rsidR="007D7A96" w:rsidRDefault="007D7A96" w:rsidP="006967B2">
      <w:pPr>
        <w:spacing w:line="360" w:lineRule="auto"/>
        <w:rPr>
          <w:b/>
          <w:bCs/>
          <w:u w:val="single"/>
        </w:rPr>
      </w:pPr>
    </w:p>
    <w:p w14:paraId="38BC0618" w14:textId="77777777" w:rsidR="003C153A" w:rsidRDefault="003C153A" w:rsidP="009A7043">
      <w:pPr>
        <w:spacing w:line="480" w:lineRule="auto"/>
        <w:rPr>
          <w:b/>
          <w:bCs/>
          <w:u w:val="single"/>
        </w:rPr>
      </w:pPr>
    </w:p>
    <w:p w14:paraId="676A0265" w14:textId="77777777" w:rsidR="00577542" w:rsidRDefault="00577542" w:rsidP="009A7043">
      <w:pPr>
        <w:spacing w:line="480" w:lineRule="auto"/>
        <w:rPr>
          <w:b/>
          <w:bCs/>
          <w:u w:val="single"/>
        </w:rPr>
      </w:pPr>
    </w:p>
    <w:p w14:paraId="102428AD" w14:textId="77777777" w:rsidR="00577542" w:rsidRDefault="00577542" w:rsidP="009A7043">
      <w:pPr>
        <w:spacing w:line="480" w:lineRule="auto"/>
        <w:rPr>
          <w:b/>
          <w:bCs/>
          <w:u w:val="single"/>
        </w:rPr>
      </w:pPr>
    </w:p>
    <w:p w14:paraId="69D5696F" w14:textId="77777777" w:rsidR="00577542" w:rsidRDefault="00577542" w:rsidP="009A7043">
      <w:pPr>
        <w:spacing w:line="480" w:lineRule="auto"/>
        <w:rPr>
          <w:b/>
          <w:bCs/>
          <w:u w:val="single"/>
        </w:rPr>
      </w:pPr>
    </w:p>
    <w:p w14:paraId="5719CDD4" w14:textId="77777777" w:rsidR="00577542" w:rsidRDefault="00577542" w:rsidP="009A7043">
      <w:pPr>
        <w:spacing w:line="480" w:lineRule="auto"/>
        <w:rPr>
          <w:b/>
          <w:bCs/>
          <w:u w:val="single"/>
        </w:rPr>
      </w:pPr>
    </w:p>
    <w:p w14:paraId="7E80068F" w14:textId="77777777" w:rsidR="00577542" w:rsidRDefault="00577542" w:rsidP="009A7043">
      <w:pPr>
        <w:spacing w:line="480" w:lineRule="auto"/>
        <w:rPr>
          <w:b/>
          <w:bCs/>
          <w:u w:val="single"/>
        </w:rPr>
      </w:pPr>
    </w:p>
    <w:p w14:paraId="65C11FFB" w14:textId="77777777" w:rsidR="00577542" w:rsidRDefault="00577542" w:rsidP="009A7043">
      <w:pPr>
        <w:spacing w:line="480" w:lineRule="auto"/>
        <w:rPr>
          <w:b/>
          <w:bCs/>
          <w:u w:val="single"/>
        </w:rPr>
      </w:pPr>
    </w:p>
    <w:p w14:paraId="185CB2A2" w14:textId="77777777" w:rsidR="00577542" w:rsidRDefault="00577542" w:rsidP="009A7043">
      <w:pPr>
        <w:spacing w:line="480" w:lineRule="auto"/>
        <w:rPr>
          <w:b/>
          <w:bCs/>
          <w:u w:val="single"/>
        </w:rPr>
      </w:pPr>
    </w:p>
    <w:p w14:paraId="5385544C" w14:textId="77777777" w:rsidR="00577542" w:rsidRDefault="00577542" w:rsidP="009A7043">
      <w:pPr>
        <w:spacing w:line="480" w:lineRule="auto"/>
        <w:rPr>
          <w:b/>
          <w:bCs/>
          <w:u w:val="single"/>
        </w:rPr>
      </w:pPr>
    </w:p>
    <w:p w14:paraId="3D2E2D9C" w14:textId="77777777" w:rsidR="00577542" w:rsidRDefault="00577542" w:rsidP="009A7043">
      <w:pPr>
        <w:spacing w:line="480" w:lineRule="auto"/>
        <w:rPr>
          <w:b/>
          <w:bCs/>
          <w:u w:val="single"/>
        </w:rPr>
      </w:pPr>
    </w:p>
    <w:p w14:paraId="0B90B811" w14:textId="77777777" w:rsidR="00577542" w:rsidRDefault="00577542" w:rsidP="009A7043">
      <w:pPr>
        <w:spacing w:line="480" w:lineRule="auto"/>
        <w:rPr>
          <w:b/>
          <w:bCs/>
          <w:u w:val="single"/>
        </w:rPr>
      </w:pPr>
    </w:p>
    <w:p w14:paraId="6870C89B" w14:textId="77777777" w:rsidR="00577542" w:rsidRDefault="00577542" w:rsidP="009A7043">
      <w:pPr>
        <w:spacing w:line="480" w:lineRule="auto"/>
        <w:rPr>
          <w:b/>
          <w:bCs/>
          <w:u w:val="single"/>
        </w:rPr>
      </w:pPr>
    </w:p>
    <w:p w14:paraId="4EC52AB1" w14:textId="77777777" w:rsidR="00577542" w:rsidRDefault="00577542" w:rsidP="009A7043">
      <w:pPr>
        <w:spacing w:line="480" w:lineRule="auto"/>
        <w:rPr>
          <w:b/>
          <w:bCs/>
          <w:u w:val="single"/>
        </w:rPr>
      </w:pPr>
    </w:p>
    <w:p w14:paraId="0F842FD9" w14:textId="77777777" w:rsidR="00577542" w:rsidRDefault="00577542" w:rsidP="009A7043">
      <w:pPr>
        <w:spacing w:line="480" w:lineRule="auto"/>
        <w:rPr>
          <w:b/>
          <w:bCs/>
          <w:u w:val="single"/>
        </w:rPr>
      </w:pPr>
    </w:p>
    <w:p w14:paraId="18B4E127" w14:textId="7C083929" w:rsidR="006967B2" w:rsidRDefault="00F32566" w:rsidP="009A7043">
      <w:pPr>
        <w:spacing w:line="480" w:lineRule="auto"/>
        <w:rPr>
          <w:b/>
          <w:bCs/>
          <w:u w:val="single"/>
        </w:rPr>
      </w:pPr>
      <w:r>
        <w:rPr>
          <w:b/>
          <w:bCs/>
          <w:u w:val="single"/>
        </w:rPr>
        <w:t>Reference List.</w:t>
      </w:r>
    </w:p>
    <w:p w14:paraId="222C988B" w14:textId="53538C2F" w:rsidR="004E279C" w:rsidRPr="00F56D3A" w:rsidRDefault="00F32566" w:rsidP="009A7043">
      <w:pPr>
        <w:spacing w:line="480" w:lineRule="auto"/>
      </w:pPr>
      <w:r>
        <w:t xml:space="preserve">Colley, J. </w:t>
      </w:r>
      <w:r w:rsidR="00760EFC">
        <w:t xml:space="preserve">(2013) ‘West Yorkshire Police </w:t>
      </w:r>
      <w:r w:rsidR="00246E29">
        <w:t>lose Football Policing Costs Appeal’</w:t>
      </w:r>
      <w:r w:rsidR="009E479F">
        <w:t xml:space="preserve">, </w:t>
      </w:r>
      <w:r w:rsidR="009E479F" w:rsidRPr="00F56D3A">
        <w:rPr>
          <w:i/>
          <w:iCs/>
        </w:rPr>
        <w:t>Independent</w:t>
      </w:r>
      <w:r w:rsidR="00F56D3A">
        <w:rPr>
          <w:i/>
          <w:iCs/>
        </w:rPr>
        <w:t xml:space="preserve">, </w:t>
      </w:r>
      <w:r w:rsidR="00C75D8C">
        <w:t xml:space="preserve">7 March, </w:t>
      </w:r>
      <w:r w:rsidR="00182E3D">
        <w:t xml:space="preserve">Available at: </w:t>
      </w:r>
      <w:hyperlink r:id="rId4" w:history="1">
        <w:r w:rsidR="00182E3D" w:rsidRPr="00884E00">
          <w:rPr>
            <w:rStyle w:val="Hyperlink"/>
          </w:rPr>
          <w:t>https://www.independent.co.uk/news/uk/crime/west-yorkshire-police-lose-football-policing-costs-appeal-8524193.html</w:t>
        </w:r>
      </w:hyperlink>
      <w:r w:rsidR="00182E3D">
        <w:t xml:space="preserve"> (Accessed: </w:t>
      </w:r>
      <w:r w:rsidR="00CE5A5C">
        <w:t>4</w:t>
      </w:r>
      <w:r w:rsidR="00CE5A5C">
        <w:rPr>
          <w:vertAlign w:val="superscript"/>
        </w:rPr>
        <w:t xml:space="preserve"> </w:t>
      </w:r>
      <w:r w:rsidR="00CE5A5C">
        <w:t>July 2022).</w:t>
      </w:r>
    </w:p>
    <w:p w14:paraId="1CD020A9" w14:textId="0FA6A9CA" w:rsidR="004E279C" w:rsidRPr="002776D3" w:rsidRDefault="00F32566" w:rsidP="009A7043">
      <w:pPr>
        <w:spacing w:line="480" w:lineRule="auto"/>
        <w:rPr>
          <w:color w:val="000000" w:themeColor="text1"/>
        </w:rPr>
      </w:pPr>
      <w:r w:rsidRPr="002776D3">
        <w:rPr>
          <w:color w:val="000000" w:themeColor="text1"/>
        </w:rPr>
        <w:t xml:space="preserve">Elliot, C. and Quinn, F. (2017) </w:t>
      </w:r>
      <w:r w:rsidRPr="002776D3">
        <w:rPr>
          <w:i/>
          <w:iCs/>
          <w:color w:val="000000" w:themeColor="text1"/>
        </w:rPr>
        <w:t xml:space="preserve">Contract Law. </w:t>
      </w:r>
      <w:r w:rsidRPr="002776D3">
        <w:rPr>
          <w:color w:val="000000" w:themeColor="text1"/>
        </w:rPr>
        <w:t>11</w:t>
      </w:r>
      <w:r w:rsidRPr="002776D3">
        <w:rPr>
          <w:color w:val="000000" w:themeColor="text1"/>
          <w:vertAlign w:val="superscript"/>
        </w:rPr>
        <w:t>th</w:t>
      </w:r>
      <w:r w:rsidRPr="002776D3">
        <w:rPr>
          <w:color w:val="000000" w:themeColor="text1"/>
        </w:rPr>
        <w:t xml:space="preserve"> edn. Harlow: pearson Education Limited. </w:t>
      </w:r>
    </w:p>
    <w:p w14:paraId="17BD0CB6" w14:textId="513011A3" w:rsidR="006967B2" w:rsidRPr="002776D3" w:rsidRDefault="00F32566" w:rsidP="009A7043">
      <w:pPr>
        <w:spacing w:line="480" w:lineRule="auto"/>
        <w:rPr>
          <w:color w:val="000000" w:themeColor="text1"/>
        </w:rPr>
      </w:pPr>
      <w:r w:rsidRPr="002776D3">
        <w:rPr>
          <w:color w:val="000000" w:themeColor="text1"/>
        </w:rPr>
        <w:t>Finch, E. and Fafinski</w:t>
      </w:r>
      <w:r w:rsidRPr="002776D3">
        <w:rPr>
          <w:color w:val="000000" w:themeColor="text1"/>
        </w:rPr>
        <w:t xml:space="preserve">, S. (2021) </w:t>
      </w:r>
      <w:r w:rsidRPr="002776D3">
        <w:rPr>
          <w:i/>
          <w:iCs/>
          <w:color w:val="000000" w:themeColor="text1"/>
        </w:rPr>
        <w:t xml:space="preserve">Contract Law. </w:t>
      </w:r>
      <w:r w:rsidRPr="002776D3">
        <w:rPr>
          <w:color w:val="000000" w:themeColor="text1"/>
        </w:rPr>
        <w:t>7</w:t>
      </w:r>
      <w:r w:rsidRPr="002776D3">
        <w:rPr>
          <w:color w:val="000000" w:themeColor="text1"/>
          <w:vertAlign w:val="superscript"/>
        </w:rPr>
        <w:t>th</w:t>
      </w:r>
      <w:r w:rsidRPr="002776D3">
        <w:rPr>
          <w:color w:val="000000" w:themeColor="text1"/>
        </w:rPr>
        <w:t xml:space="preserve"> edn. Harlow: Pearson Education </w:t>
      </w:r>
      <w:r w:rsidR="004E279C" w:rsidRPr="002776D3">
        <w:rPr>
          <w:color w:val="000000" w:themeColor="text1"/>
        </w:rPr>
        <w:t>L</w:t>
      </w:r>
      <w:r w:rsidRPr="002776D3">
        <w:rPr>
          <w:color w:val="000000" w:themeColor="text1"/>
        </w:rPr>
        <w:t xml:space="preserve">imited. </w:t>
      </w:r>
    </w:p>
    <w:p w14:paraId="3C216C90" w14:textId="0036261F" w:rsidR="00727E7A" w:rsidRPr="002776D3" w:rsidRDefault="00F32566" w:rsidP="009A7043">
      <w:pPr>
        <w:spacing w:line="480" w:lineRule="auto"/>
        <w:rPr>
          <w:color w:val="000000" w:themeColor="text1"/>
        </w:rPr>
      </w:pPr>
      <w:r w:rsidRPr="002776D3">
        <w:rPr>
          <w:color w:val="000000" w:themeColor="text1"/>
        </w:rPr>
        <w:t xml:space="preserve">Mckendrick, E. (2021) </w:t>
      </w:r>
      <w:r w:rsidR="008F7B22" w:rsidRPr="002776D3">
        <w:rPr>
          <w:i/>
          <w:iCs/>
          <w:color w:val="000000" w:themeColor="text1"/>
        </w:rPr>
        <w:t xml:space="preserve">Contract Law. </w:t>
      </w:r>
      <w:r w:rsidR="008F7B22" w:rsidRPr="002776D3">
        <w:rPr>
          <w:color w:val="000000" w:themeColor="text1"/>
        </w:rPr>
        <w:t>14</w:t>
      </w:r>
      <w:r w:rsidR="008F7B22" w:rsidRPr="002776D3">
        <w:rPr>
          <w:color w:val="000000" w:themeColor="text1"/>
          <w:vertAlign w:val="superscript"/>
        </w:rPr>
        <w:t>th</w:t>
      </w:r>
      <w:r w:rsidR="008F7B22" w:rsidRPr="002776D3">
        <w:rPr>
          <w:color w:val="000000" w:themeColor="text1"/>
        </w:rPr>
        <w:t xml:space="preserve"> edn. </w:t>
      </w:r>
      <w:r w:rsidR="00867848" w:rsidRPr="002776D3">
        <w:rPr>
          <w:color w:val="000000" w:themeColor="text1"/>
        </w:rPr>
        <w:t xml:space="preserve">London: Red Globe </w:t>
      </w:r>
      <w:r w:rsidR="00921D2D" w:rsidRPr="002776D3">
        <w:rPr>
          <w:color w:val="000000" w:themeColor="text1"/>
        </w:rPr>
        <w:t>Press</w:t>
      </w:r>
    </w:p>
    <w:p w14:paraId="3861174E" w14:textId="3FBB1B9B" w:rsidR="00DC33E1" w:rsidRPr="002776D3" w:rsidRDefault="00F32566" w:rsidP="009A7043">
      <w:pPr>
        <w:spacing w:line="480" w:lineRule="auto"/>
        <w:rPr>
          <w:color w:val="000000" w:themeColor="text1"/>
        </w:rPr>
      </w:pPr>
      <w:r w:rsidRPr="002776D3">
        <w:rPr>
          <w:color w:val="000000" w:themeColor="text1"/>
        </w:rPr>
        <w:t>Merkin, R and Saintier, S</w:t>
      </w:r>
      <w:r w:rsidR="00B35287" w:rsidRPr="002776D3">
        <w:rPr>
          <w:color w:val="000000" w:themeColor="text1"/>
        </w:rPr>
        <w:t xml:space="preserve">. (2016) </w:t>
      </w:r>
      <w:r w:rsidR="00B35287" w:rsidRPr="002776D3">
        <w:rPr>
          <w:i/>
          <w:iCs/>
          <w:color w:val="000000" w:themeColor="text1"/>
        </w:rPr>
        <w:t xml:space="preserve">Contract Law. </w:t>
      </w:r>
      <w:r w:rsidR="00682322" w:rsidRPr="002776D3">
        <w:rPr>
          <w:color w:val="000000" w:themeColor="text1"/>
        </w:rPr>
        <w:t>14</w:t>
      </w:r>
      <w:r w:rsidR="00682322" w:rsidRPr="002776D3">
        <w:rPr>
          <w:color w:val="000000" w:themeColor="text1"/>
          <w:vertAlign w:val="superscript"/>
        </w:rPr>
        <w:t>th</w:t>
      </w:r>
      <w:r w:rsidR="00682322" w:rsidRPr="002776D3">
        <w:rPr>
          <w:color w:val="000000" w:themeColor="text1"/>
        </w:rPr>
        <w:t xml:space="preserve"> </w:t>
      </w:r>
      <w:r w:rsidR="00256984" w:rsidRPr="002776D3">
        <w:rPr>
          <w:color w:val="000000" w:themeColor="text1"/>
        </w:rPr>
        <w:t xml:space="preserve">edn. </w:t>
      </w:r>
      <w:r w:rsidR="00682322" w:rsidRPr="002776D3">
        <w:rPr>
          <w:color w:val="000000" w:themeColor="text1"/>
        </w:rPr>
        <w:t>Oxford</w:t>
      </w:r>
      <w:r w:rsidR="00682322" w:rsidRPr="0012582A">
        <w:rPr>
          <w:color w:val="000000" w:themeColor="text1"/>
        </w:rPr>
        <w:t>: Oxford University Press</w:t>
      </w:r>
      <w:r w:rsidR="00682322" w:rsidRPr="002776D3">
        <w:rPr>
          <w:color w:val="000000" w:themeColor="text1"/>
        </w:rPr>
        <w:t>.</w:t>
      </w:r>
    </w:p>
    <w:p w14:paraId="3DE4BC10" w14:textId="7436EF26" w:rsidR="002B5AC1" w:rsidRPr="002776D3" w:rsidRDefault="00F32566" w:rsidP="009A7043">
      <w:pPr>
        <w:spacing w:line="480" w:lineRule="auto"/>
        <w:rPr>
          <w:color w:val="000000" w:themeColor="text1"/>
        </w:rPr>
      </w:pPr>
      <w:r w:rsidRPr="002776D3">
        <w:rPr>
          <w:color w:val="000000" w:themeColor="text1"/>
        </w:rPr>
        <w:t xml:space="preserve">Poole, J. </w:t>
      </w:r>
      <w:r w:rsidR="00FE3670" w:rsidRPr="002776D3">
        <w:rPr>
          <w:color w:val="000000" w:themeColor="text1"/>
        </w:rPr>
        <w:t xml:space="preserve">(2016) </w:t>
      </w:r>
      <w:r w:rsidR="00FE3670" w:rsidRPr="002776D3">
        <w:rPr>
          <w:i/>
          <w:iCs/>
          <w:color w:val="000000" w:themeColor="text1"/>
        </w:rPr>
        <w:t xml:space="preserve">Contract Law. </w:t>
      </w:r>
      <w:r w:rsidR="00FE3670" w:rsidRPr="002776D3">
        <w:rPr>
          <w:color w:val="000000" w:themeColor="text1"/>
        </w:rPr>
        <w:t>13th edn.</w:t>
      </w:r>
      <w:r w:rsidR="00D76477" w:rsidRPr="002776D3">
        <w:rPr>
          <w:color w:val="000000" w:themeColor="text1"/>
        </w:rPr>
        <w:t xml:space="preserve"> Oxford</w:t>
      </w:r>
      <w:r w:rsidRPr="0012582A">
        <w:rPr>
          <w:color w:val="000000" w:themeColor="text1"/>
        </w:rPr>
        <w:t>: Oxford University Press</w:t>
      </w:r>
      <w:r w:rsidRPr="002776D3">
        <w:rPr>
          <w:color w:val="000000" w:themeColor="text1"/>
        </w:rPr>
        <w:t xml:space="preserve">. </w:t>
      </w:r>
    </w:p>
    <w:p w14:paraId="3DC7406D" w14:textId="7EACE367" w:rsidR="00791147" w:rsidRPr="002776D3" w:rsidRDefault="00F32566" w:rsidP="009A7043">
      <w:pPr>
        <w:spacing w:line="480" w:lineRule="auto"/>
        <w:rPr>
          <w:color w:val="000000" w:themeColor="text1"/>
        </w:rPr>
      </w:pPr>
      <w:r w:rsidRPr="002776D3">
        <w:rPr>
          <w:color w:val="000000" w:themeColor="text1"/>
        </w:rPr>
        <w:t xml:space="preserve">Richards, P. </w:t>
      </w:r>
      <w:r w:rsidR="006202A8" w:rsidRPr="002776D3">
        <w:rPr>
          <w:color w:val="000000" w:themeColor="text1"/>
        </w:rPr>
        <w:t xml:space="preserve">(2019) </w:t>
      </w:r>
      <w:r w:rsidR="006202A8" w:rsidRPr="002776D3">
        <w:rPr>
          <w:i/>
          <w:iCs/>
          <w:color w:val="000000" w:themeColor="text1"/>
        </w:rPr>
        <w:t xml:space="preserve">The Law of Contract. </w:t>
      </w:r>
      <w:r w:rsidR="00A50F7F" w:rsidRPr="002776D3">
        <w:rPr>
          <w:color w:val="000000" w:themeColor="text1"/>
        </w:rPr>
        <w:t>14</w:t>
      </w:r>
      <w:r w:rsidR="00A50F7F" w:rsidRPr="002776D3">
        <w:rPr>
          <w:color w:val="000000" w:themeColor="text1"/>
          <w:vertAlign w:val="superscript"/>
        </w:rPr>
        <w:t>th</w:t>
      </w:r>
      <w:r w:rsidR="00A50F7F" w:rsidRPr="002776D3">
        <w:rPr>
          <w:color w:val="000000" w:themeColor="text1"/>
        </w:rPr>
        <w:t xml:space="preserve"> edn. Harlow: Pearson Education Limited. </w:t>
      </w:r>
    </w:p>
    <w:p w14:paraId="3BAB2B20" w14:textId="77777777" w:rsidR="008F5F72" w:rsidRPr="002776D3" w:rsidRDefault="00F32566" w:rsidP="009A7043">
      <w:pPr>
        <w:spacing w:line="480" w:lineRule="auto"/>
        <w:rPr>
          <w:color w:val="000000" w:themeColor="text1"/>
        </w:rPr>
      </w:pPr>
      <w:r w:rsidRPr="002776D3">
        <w:rPr>
          <w:color w:val="000000" w:themeColor="text1"/>
        </w:rPr>
        <w:t>Shaw-Mellors, A &amp; Poole, J 2018, 'Recession, changed circumstances, and renegotiations: the inadequacy of princ</w:t>
      </w:r>
      <w:r w:rsidRPr="002776D3">
        <w:rPr>
          <w:color w:val="000000" w:themeColor="text1"/>
        </w:rPr>
        <w:t>iple in English law', </w:t>
      </w:r>
      <w:r w:rsidRPr="002776D3">
        <w:rPr>
          <w:rStyle w:val="Emphasis"/>
          <w:color w:val="000000" w:themeColor="text1"/>
        </w:rPr>
        <w:t>Journal of Business Law</w:t>
      </w:r>
      <w:r w:rsidRPr="002776D3">
        <w:rPr>
          <w:color w:val="000000" w:themeColor="text1"/>
        </w:rPr>
        <w:t>, vol. 2018, no. 2, pp. 101-121.</w:t>
      </w:r>
    </w:p>
    <w:p w14:paraId="16DB88E1" w14:textId="7340088E" w:rsidR="0012582A" w:rsidRPr="0012582A" w:rsidRDefault="00F32566" w:rsidP="009A7043">
      <w:pPr>
        <w:spacing w:line="480" w:lineRule="auto"/>
        <w:rPr>
          <w:color w:val="000000" w:themeColor="text1"/>
        </w:rPr>
      </w:pPr>
      <w:r w:rsidRPr="002776D3">
        <w:rPr>
          <w:color w:val="000000" w:themeColor="text1"/>
        </w:rPr>
        <w:t>T</w:t>
      </w:r>
      <w:r w:rsidRPr="0012582A">
        <w:rPr>
          <w:color w:val="000000" w:themeColor="text1"/>
        </w:rPr>
        <w:t>aylor, D</w:t>
      </w:r>
      <w:r w:rsidRPr="002776D3">
        <w:rPr>
          <w:color w:val="000000" w:themeColor="text1"/>
        </w:rPr>
        <w:t>.</w:t>
      </w:r>
      <w:r w:rsidRPr="0012582A">
        <w:rPr>
          <w:color w:val="000000" w:themeColor="text1"/>
        </w:rPr>
        <w:t xml:space="preserve"> and Taylor R. (2021) </w:t>
      </w:r>
      <w:r w:rsidRPr="0012582A">
        <w:rPr>
          <w:i/>
          <w:iCs/>
          <w:color w:val="000000" w:themeColor="text1"/>
        </w:rPr>
        <w:t>Contract Law. </w:t>
      </w:r>
      <w:r w:rsidRPr="0012582A">
        <w:rPr>
          <w:color w:val="000000" w:themeColor="text1"/>
        </w:rPr>
        <w:t>Published: Oxford University Press. 8</w:t>
      </w:r>
      <w:r w:rsidRPr="0012582A">
        <w:rPr>
          <w:color w:val="000000" w:themeColor="text1"/>
          <w:vertAlign w:val="superscript"/>
        </w:rPr>
        <w:t>th</w:t>
      </w:r>
      <w:r w:rsidRPr="0012582A">
        <w:rPr>
          <w:color w:val="000000" w:themeColor="text1"/>
        </w:rPr>
        <w:t> Edition</w:t>
      </w:r>
    </w:p>
    <w:p w14:paraId="4660B8B8" w14:textId="6A8FC047" w:rsidR="0076469E" w:rsidRDefault="0076469E" w:rsidP="006967B2">
      <w:pPr>
        <w:spacing w:line="360" w:lineRule="auto"/>
      </w:pPr>
    </w:p>
    <w:p w14:paraId="63A125FF" w14:textId="383B999A" w:rsidR="006967B2" w:rsidRDefault="006967B2" w:rsidP="006967B2">
      <w:pPr>
        <w:spacing w:line="360" w:lineRule="auto"/>
      </w:pPr>
    </w:p>
    <w:p w14:paraId="61808D59" w14:textId="30132056" w:rsidR="006967B2" w:rsidRDefault="00F32566" w:rsidP="006967B2">
      <w:pPr>
        <w:spacing w:line="360" w:lineRule="auto"/>
        <w:rPr>
          <w:b/>
          <w:bCs/>
          <w:u w:val="single"/>
        </w:rPr>
      </w:pPr>
      <w:r>
        <w:rPr>
          <w:b/>
          <w:bCs/>
          <w:u w:val="single"/>
        </w:rPr>
        <w:t>Case List</w:t>
      </w:r>
      <w:r w:rsidR="004E279C">
        <w:rPr>
          <w:b/>
          <w:bCs/>
          <w:u w:val="single"/>
        </w:rPr>
        <w:t xml:space="preserve"> and Legislation </w:t>
      </w:r>
    </w:p>
    <w:p w14:paraId="03A2DEDB" w14:textId="1A4C39CD" w:rsidR="006967B2" w:rsidRDefault="006967B2" w:rsidP="006967B2">
      <w:pPr>
        <w:spacing w:line="360" w:lineRule="auto"/>
        <w:rPr>
          <w:b/>
          <w:bCs/>
          <w:u w:val="single"/>
        </w:rPr>
      </w:pPr>
    </w:p>
    <w:p w14:paraId="1D3D5D4C" w14:textId="250E298D" w:rsidR="00B80116" w:rsidRDefault="00F32566" w:rsidP="009A7043">
      <w:pPr>
        <w:spacing w:line="480" w:lineRule="auto"/>
      </w:pPr>
      <w:r>
        <w:t>The Bills of Exchange Act 1882 s.27</w:t>
      </w:r>
    </w:p>
    <w:p w14:paraId="3052ECA7" w14:textId="50ACADC1" w:rsidR="00B80116" w:rsidRDefault="00F32566" w:rsidP="009A7043">
      <w:pPr>
        <w:spacing w:line="480" w:lineRule="auto"/>
      </w:pPr>
      <w:r>
        <w:t>Benedetti v Sawris (2013) UKSC 50</w:t>
      </w:r>
    </w:p>
    <w:p w14:paraId="0B92B429" w14:textId="78B3D3E0" w:rsidR="000445D1" w:rsidRDefault="00F32566" w:rsidP="009A7043">
      <w:pPr>
        <w:spacing w:line="480" w:lineRule="auto"/>
      </w:pPr>
      <w:r>
        <w:t>Collins v Godefroy (1831) 109 ER 1040</w:t>
      </w:r>
    </w:p>
    <w:p w14:paraId="79522774" w14:textId="5630FC7B" w:rsidR="006967B2" w:rsidRDefault="00F32566" w:rsidP="009A7043">
      <w:pPr>
        <w:spacing w:line="480" w:lineRule="auto"/>
      </w:pPr>
      <w:r>
        <w:t>Currie v Misa (1875) LR 10 Ex 153</w:t>
      </w:r>
    </w:p>
    <w:p w14:paraId="507287FA" w14:textId="59216F44" w:rsidR="00B80116" w:rsidRPr="001B155A" w:rsidRDefault="00F32566" w:rsidP="009A7043">
      <w:pPr>
        <w:spacing w:line="480" w:lineRule="auto"/>
        <w:rPr>
          <w:color w:val="000000" w:themeColor="text1"/>
          <w:sz w:val="22"/>
          <w:szCs w:val="22"/>
        </w:rPr>
      </w:pPr>
      <w:r w:rsidRPr="001B155A">
        <w:rPr>
          <w:color w:val="000000" w:themeColor="text1"/>
          <w:sz w:val="22"/>
          <w:szCs w:val="22"/>
        </w:rPr>
        <w:t xml:space="preserve">Dunlop v Selfridge (1915) AC 847 </w:t>
      </w:r>
    </w:p>
    <w:p w14:paraId="72B65898" w14:textId="31FF62DD" w:rsidR="00BC27A7" w:rsidRPr="001B155A" w:rsidRDefault="00F32566" w:rsidP="009A7043">
      <w:pPr>
        <w:spacing w:line="480" w:lineRule="auto"/>
        <w:rPr>
          <w:color w:val="000000" w:themeColor="text1"/>
          <w:sz w:val="22"/>
          <w:szCs w:val="22"/>
        </w:rPr>
      </w:pPr>
      <w:r w:rsidRPr="001B155A">
        <w:rPr>
          <w:color w:val="000000" w:themeColor="text1"/>
          <w:sz w:val="22"/>
          <w:szCs w:val="22"/>
        </w:rPr>
        <w:t>Foakes v Beer (1883) LR 9 App Cas 605</w:t>
      </w:r>
    </w:p>
    <w:p w14:paraId="1D3A235C" w14:textId="093935F7" w:rsidR="00037464" w:rsidRPr="001B155A" w:rsidRDefault="00F32566" w:rsidP="009A7043">
      <w:pPr>
        <w:spacing w:line="480" w:lineRule="auto"/>
        <w:rPr>
          <w:color w:val="000000" w:themeColor="text1"/>
          <w:sz w:val="22"/>
          <w:szCs w:val="22"/>
        </w:rPr>
      </w:pPr>
      <w:r w:rsidRPr="001B155A">
        <w:rPr>
          <w:color w:val="000000" w:themeColor="text1"/>
          <w:sz w:val="22"/>
          <w:szCs w:val="22"/>
        </w:rPr>
        <w:t xml:space="preserve">Glasbrook </w:t>
      </w:r>
      <w:r w:rsidR="00647E78" w:rsidRPr="001B155A">
        <w:rPr>
          <w:color w:val="000000" w:themeColor="text1"/>
          <w:sz w:val="22"/>
          <w:szCs w:val="22"/>
        </w:rPr>
        <w:t xml:space="preserve">Brothers v Glamorgan CC (1925) </w:t>
      </w:r>
      <w:r w:rsidR="00B37E65" w:rsidRPr="001B155A">
        <w:rPr>
          <w:color w:val="000000" w:themeColor="text1"/>
          <w:sz w:val="22"/>
          <w:szCs w:val="22"/>
        </w:rPr>
        <w:t>AC 270</w:t>
      </w:r>
    </w:p>
    <w:p w14:paraId="72D806D1" w14:textId="784A89E6" w:rsidR="00760208" w:rsidRPr="001B155A" w:rsidRDefault="00F32566" w:rsidP="009A7043">
      <w:pPr>
        <w:spacing w:line="480" w:lineRule="auto"/>
        <w:rPr>
          <w:color w:val="000000" w:themeColor="text1"/>
          <w:sz w:val="22"/>
          <w:szCs w:val="22"/>
        </w:rPr>
      </w:pPr>
      <w:r w:rsidRPr="001B155A">
        <w:rPr>
          <w:color w:val="000000" w:themeColor="text1"/>
          <w:sz w:val="22"/>
          <w:szCs w:val="22"/>
        </w:rPr>
        <w:t xml:space="preserve">Harris v Sheffield </w:t>
      </w:r>
      <w:r w:rsidRPr="001B155A">
        <w:rPr>
          <w:color w:val="000000" w:themeColor="text1"/>
          <w:sz w:val="22"/>
          <w:szCs w:val="22"/>
        </w:rPr>
        <w:t>United (1988) QB 77</w:t>
      </w:r>
    </w:p>
    <w:p w14:paraId="5E992E72" w14:textId="4E5CF43F" w:rsidR="00BC27A7" w:rsidRDefault="00F32566" w:rsidP="009A7043">
      <w:pPr>
        <w:spacing w:line="480" w:lineRule="auto"/>
        <w:rPr>
          <w:color w:val="000000" w:themeColor="text1"/>
          <w:sz w:val="22"/>
          <w:szCs w:val="22"/>
        </w:rPr>
      </w:pPr>
      <w:r w:rsidRPr="001B155A">
        <w:rPr>
          <w:color w:val="000000" w:themeColor="text1"/>
          <w:sz w:val="22"/>
          <w:szCs w:val="22"/>
        </w:rPr>
        <w:t>Hartley v Ponsonby [1857] 7 EL BL 872</w:t>
      </w:r>
    </w:p>
    <w:p w14:paraId="5F12FF35" w14:textId="6A0DB3A0" w:rsidR="003F7312" w:rsidRDefault="00F32566" w:rsidP="009A7043">
      <w:pPr>
        <w:spacing w:line="480" w:lineRule="auto"/>
        <w:rPr>
          <w:color w:val="000000" w:themeColor="text1"/>
          <w:sz w:val="22"/>
          <w:szCs w:val="22"/>
        </w:rPr>
      </w:pPr>
      <w:r>
        <w:rPr>
          <w:color w:val="000000" w:themeColor="text1"/>
        </w:rPr>
        <w:t>Ipswich Town v Chief Constable of Suffolk (2017) EWHC 1682 (QB)</w:t>
      </w:r>
    </w:p>
    <w:p w14:paraId="6CDEF8B4" w14:textId="5D6EC30C" w:rsidR="00B80116" w:rsidRDefault="00F32566" w:rsidP="009A7043">
      <w:pPr>
        <w:spacing w:line="480" w:lineRule="auto"/>
        <w:rPr>
          <w:color w:val="000000" w:themeColor="text1"/>
          <w:sz w:val="22"/>
          <w:szCs w:val="22"/>
        </w:rPr>
      </w:pPr>
      <w:r w:rsidRPr="001B155A">
        <w:rPr>
          <w:color w:val="000000" w:themeColor="text1"/>
          <w:sz w:val="22"/>
          <w:szCs w:val="22"/>
        </w:rPr>
        <w:t xml:space="preserve">Lampleigh v Braithwaite (1615) 80 ER 255 </w:t>
      </w:r>
    </w:p>
    <w:p w14:paraId="4A4FD335" w14:textId="77777777" w:rsidR="002776D3" w:rsidRDefault="00F32566" w:rsidP="009A7043">
      <w:pPr>
        <w:spacing w:after="150" w:line="480" w:lineRule="auto"/>
        <w:outlineLvl w:val="0"/>
        <w:rPr>
          <w:color w:val="000000"/>
          <w:spacing w:val="-5"/>
          <w:kern w:val="36"/>
          <w:sz w:val="22"/>
          <w:szCs w:val="22"/>
        </w:rPr>
      </w:pPr>
      <w:r w:rsidRPr="000C4A00">
        <w:rPr>
          <w:color w:val="000000"/>
          <w:spacing w:val="-5"/>
          <w:kern w:val="36"/>
          <w:sz w:val="22"/>
          <w:szCs w:val="22"/>
        </w:rPr>
        <w:lastRenderedPageBreak/>
        <w:t>Leeds United FC v West Yorkshire Police [2012] EWHC 2113 (QB)</w:t>
      </w:r>
    </w:p>
    <w:p w14:paraId="3728902D" w14:textId="77777777" w:rsidR="009A7043" w:rsidRDefault="00F32566" w:rsidP="009A7043">
      <w:pPr>
        <w:spacing w:after="150" w:line="480" w:lineRule="auto"/>
        <w:outlineLvl w:val="0"/>
        <w:rPr>
          <w:color w:val="000000"/>
          <w:spacing w:val="-5"/>
          <w:kern w:val="36"/>
          <w:sz w:val="22"/>
          <w:szCs w:val="22"/>
        </w:rPr>
      </w:pPr>
      <w:r w:rsidRPr="001B155A">
        <w:rPr>
          <w:color w:val="000000" w:themeColor="text1"/>
          <w:sz w:val="22"/>
          <w:szCs w:val="22"/>
        </w:rPr>
        <w:t>Pao On v Lau Yiu Long (1980) A</w:t>
      </w:r>
      <w:r w:rsidRPr="001B155A">
        <w:rPr>
          <w:color w:val="000000" w:themeColor="text1"/>
          <w:sz w:val="22"/>
          <w:szCs w:val="22"/>
        </w:rPr>
        <w:t>C 614</w:t>
      </w:r>
    </w:p>
    <w:p w14:paraId="29E40594" w14:textId="7F2B31F5" w:rsidR="00B80116" w:rsidRPr="009A7043" w:rsidRDefault="00F32566" w:rsidP="009A7043">
      <w:pPr>
        <w:spacing w:after="150" w:line="480" w:lineRule="auto"/>
        <w:outlineLvl w:val="0"/>
        <w:rPr>
          <w:color w:val="000000"/>
          <w:spacing w:val="-5"/>
          <w:kern w:val="36"/>
          <w:sz w:val="22"/>
          <w:szCs w:val="22"/>
        </w:rPr>
      </w:pPr>
      <w:r w:rsidRPr="001B155A">
        <w:rPr>
          <w:color w:val="000000" w:themeColor="text1"/>
          <w:sz w:val="22"/>
          <w:szCs w:val="22"/>
        </w:rPr>
        <w:t>Re Casey’s Patents (1892) 1 Ch 104</w:t>
      </w:r>
    </w:p>
    <w:p w14:paraId="3D0A2E74" w14:textId="27D0370C" w:rsidR="00B80116" w:rsidRPr="001B155A" w:rsidRDefault="00F32566" w:rsidP="009A7043">
      <w:pPr>
        <w:spacing w:line="480" w:lineRule="auto"/>
        <w:rPr>
          <w:color w:val="000000" w:themeColor="text1"/>
          <w:sz w:val="22"/>
          <w:szCs w:val="22"/>
        </w:rPr>
      </w:pPr>
      <w:r w:rsidRPr="001B155A">
        <w:rPr>
          <w:color w:val="000000" w:themeColor="text1"/>
          <w:sz w:val="22"/>
          <w:szCs w:val="22"/>
        </w:rPr>
        <w:t>Re McArdle (1951) Ch 669</w:t>
      </w:r>
    </w:p>
    <w:p w14:paraId="79DCA099" w14:textId="4D0FB698" w:rsidR="00BC27A7" w:rsidRPr="009A7043" w:rsidRDefault="00F32566" w:rsidP="009A7043">
      <w:pPr>
        <w:spacing w:line="480" w:lineRule="auto"/>
        <w:rPr>
          <w:color w:val="000000" w:themeColor="text1"/>
          <w:sz w:val="22"/>
          <w:szCs w:val="22"/>
        </w:rPr>
      </w:pPr>
      <w:hyperlink r:id="rId5" w:tgtFrame="_blank" w:history="1">
        <w:r w:rsidRPr="009A7043">
          <w:rPr>
            <w:rStyle w:val="Hyperlink"/>
            <w:color w:val="000000" w:themeColor="text1"/>
            <w:sz w:val="22"/>
            <w:szCs w:val="22"/>
          </w:rPr>
          <w:t>Re Selectmove</w:t>
        </w:r>
      </w:hyperlink>
      <w:r w:rsidRPr="009A7043">
        <w:rPr>
          <w:color w:val="000000" w:themeColor="text1"/>
          <w:sz w:val="22"/>
          <w:szCs w:val="22"/>
        </w:rPr>
        <w:t> [1995] 1 WLR 474</w:t>
      </w:r>
    </w:p>
    <w:p w14:paraId="2DB6F7B5" w14:textId="39EEE2EB" w:rsidR="001B155A" w:rsidRPr="009A7043" w:rsidRDefault="00F32566" w:rsidP="009A7043">
      <w:pPr>
        <w:spacing w:line="480" w:lineRule="auto"/>
        <w:rPr>
          <w:i/>
          <w:iCs/>
          <w:color w:val="000000" w:themeColor="text1"/>
          <w:sz w:val="22"/>
          <w:szCs w:val="22"/>
        </w:rPr>
      </w:pPr>
      <w:r w:rsidRPr="009A7043">
        <w:rPr>
          <w:rStyle w:val="Emphasis"/>
          <w:i w:val="0"/>
          <w:iCs w:val="0"/>
          <w:color w:val="000000" w:themeColor="text1"/>
          <w:sz w:val="22"/>
          <w:szCs w:val="22"/>
        </w:rPr>
        <w:t>Scotson v Pegg</w:t>
      </w:r>
      <w:r w:rsidRPr="009A7043">
        <w:rPr>
          <w:rStyle w:val="Strong"/>
          <w:i/>
          <w:iCs/>
          <w:color w:val="000000" w:themeColor="text1"/>
          <w:sz w:val="22"/>
          <w:szCs w:val="22"/>
        </w:rPr>
        <w:t> </w:t>
      </w:r>
      <w:r w:rsidRPr="009A7043">
        <w:rPr>
          <w:rStyle w:val="Strong"/>
          <w:b w:val="0"/>
          <w:bCs w:val="0"/>
          <w:color w:val="000000" w:themeColor="text1"/>
          <w:sz w:val="22"/>
          <w:szCs w:val="22"/>
        </w:rPr>
        <w:t>[1861] EWHC Exch J2</w:t>
      </w:r>
    </w:p>
    <w:p w14:paraId="74B99130" w14:textId="42C9BEE2" w:rsidR="005035E5" w:rsidRPr="001B155A" w:rsidRDefault="00F32566" w:rsidP="009A7043">
      <w:pPr>
        <w:spacing w:line="480" w:lineRule="auto"/>
        <w:rPr>
          <w:color w:val="000000" w:themeColor="text1"/>
          <w:sz w:val="22"/>
          <w:szCs w:val="22"/>
        </w:rPr>
      </w:pPr>
      <w:r w:rsidRPr="001B155A">
        <w:rPr>
          <w:color w:val="000000" w:themeColor="text1"/>
          <w:sz w:val="22"/>
          <w:szCs w:val="22"/>
        </w:rPr>
        <w:t>Stilk v Myri</w:t>
      </w:r>
      <w:r w:rsidR="000445D1" w:rsidRPr="001B155A">
        <w:rPr>
          <w:color w:val="000000" w:themeColor="text1"/>
          <w:sz w:val="22"/>
          <w:szCs w:val="22"/>
        </w:rPr>
        <w:t>ck (1809) 170 ER 1168</w:t>
      </w:r>
    </w:p>
    <w:p w14:paraId="407445BD" w14:textId="3B2BE9D0" w:rsidR="00123CB8" w:rsidRPr="001B155A" w:rsidRDefault="00F32566" w:rsidP="009A7043">
      <w:pPr>
        <w:spacing w:line="480" w:lineRule="auto"/>
        <w:rPr>
          <w:color w:val="000000" w:themeColor="text1"/>
          <w:sz w:val="22"/>
          <w:szCs w:val="22"/>
        </w:rPr>
      </w:pPr>
      <w:r w:rsidRPr="001B155A">
        <w:rPr>
          <w:color w:val="000000" w:themeColor="text1"/>
          <w:sz w:val="22"/>
          <w:szCs w:val="22"/>
        </w:rPr>
        <w:t>Thomas v Thomas (1842)</w:t>
      </w:r>
      <w:r w:rsidR="003A3002" w:rsidRPr="001B155A">
        <w:rPr>
          <w:color w:val="000000" w:themeColor="text1"/>
          <w:sz w:val="22"/>
          <w:szCs w:val="22"/>
        </w:rPr>
        <w:t xml:space="preserve"> 2 QB 851 </w:t>
      </w:r>
    </w:p>
    <w:p w14:paraId="3A16BF11" w14:textId="26412ACE" w:rsidR="00B80116" w:rsidRDefault="00F32566" w:rsidP="009A7043">
      <w:pPr>
        <w:spacing w:line="480" w:lineRule="auto"/>
        <w:rPr>
          <w:color w:val="000000" w:themeColor="text1"/>
          <w:sz w:val="22"/>
          <w:szCs w:val="22"/>
        </w:rPr>
      </w:pPr>
      <w:r w:rsidRPr="001B155A">
        <w:rPr>
          <w:color w:val="000000" w:themeColor="text1"/>
          <w:sz w:val="22"/>
          <w:szCs w:val="22"/>
        </w:rPr>
        <w:t>Tweddle v Atkinson (1861) 121 ER 762</w:t>
      </w:r>
    </w:p>
    <w:p w14:paraId="2D13E300" w14:textId="53540F00" w:rsidR="007D3223" w:rsidRDefault="00F32566" w:rsidP="009A7043">
      <w:pPr>
        <w:spacing w:line="480" w:lineRule="auto"/>
        <w:rPr>
          <w:color w:val="000000" w:themeColor="text1"/>
          <w:sz w:val="22"/>
          <w:szCs w:val="22"/>
        </w:rPr>
      </w:pPr>
      <w:r>
        <w:rPr>
          <w:color w:val="000000" w:themeColor="text1"/>
          <w:sz w:val="22"/>
          <w:szCs w:val="22"/>
        </w:rPr>
        <w:t xml:space="preserve">Ward v Byham (1959) </w:t>
      </w:r>
      <w:r w:rsidR="00370797">
        <w:rPr>
          <w:color w:val="000000" w:themeColor="text1"/>
          <w:sz w:val="22"/>
          <w:szCs w:val="22"/>
        </w:rPr>
        <w:t>1 WLR 496</w:t>
      </w:r>
    </w:p>
    <w:p w14:paraId="5AD065F0" w14:textId="2284B03A" w:rsidR="00370797" w:rsidRPr="001B155A" w:rsidRDefault="00F32566" w:rsidP="009A7043">
      <w:pPr>
        <w:spacing w:line="480" w:lineRule="auto"/>
        <w:rPr>
          <w:color w:val="000000" w:themeColor="text1"/>
          <w:sz w:val="22"/>
          <w:szCs w:val="22"/>
        </w:rPr>
      </w:pPr>
      <w:r>
        <w:rPr>
          <w:color w:val="000000" w:themeColor="text1"/>
          <w:sz w:val="22"/>
          <w:szCs w:val="22"/>
        </w:rPr>
        <w:t>White v Bluett (1853) 23 LJ EX 36</w:t>
      </w:r>
    </w:p>
    <w:p w14:paraId="62F4329D" w14:textId="7980D319" w:rsidR="00FE49B5" w:rsidRPr="001B155A" w:rsidRDefault="00F32566" w:rsidP="009A7043">
      <w:pPr>
        <w:spacing w:line="480" w:lineRule="auto"/>
        <w:rPr>
          <w:color w:val="000000" w:themeColor="text1"/>
          <w:sz w:val="22"/>
          <w:szCs w:val="22"/>
        </w:rPr>
      </w:pPr>
      <w:r w:rsidRPr="001B155A">
        <w:rPr>
          <w:color w:val="000000" w:themeColor="text1"/>
          <w:sz w:val="22"/>
          <w:szCs w:val="22"/>
        </w:rPr>
        <w:t>Williams v Roffey Brothers (1990</w:t>
      </w:r>
      <w:r w:rsidR="00D01EA9" w:rsidRPr="001B155A">
        <w:rPr>
          <w:color w:val="000000" w:themeColor="text1"/>
          <w:sz w:val="22"/>
          <w:szCs w:val="22"/>
        </w:rPr>
        <w:t>) 1 QB 1</w:t>
      </w:r>
    </w:p>
    <w:sectPr w:rsidR="00FE49B5" w:rsidRPr="001B155A" w:rsidSect="00BD7923">
      <w:pgSz w:w="11900" w:h="16820"/>
      <w:pgMar w:top="720" w:right="720" w:bottom="720" w:left="720" w:header="709" w:footer="454" w:gutter="0"/>
      <w:cols w:space="708"/>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rawingGridHorizontalSpacing w:val="100"/>
  <w:drawingGridVerticalSpacing w:val="136"/>
  <w:displayHorizontalDrawingGridEvery w:val="0"/>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7B2"/>
    <w:rsid w:val="000047A9"/>
    <w:rsid w:val="00007008"/>
    <w:rsid w:val="00007365"/>
    <w:rsid w:val="00026632"/>
    <w:rsid w:val="00034B53"/>
    <w:rsid w:val="00035C23"/>
    <w:rsid w:val="00037464"/>
    <w:rsid w:val="00042851"/>
    <w:rsid w:val="000445D1"/>
    <w:rsid w:val="00045A9A"/>
    <w:rsid w:val="00064E99"/>
    <w:rsid w:val="000754AA"/>
    <w:rsid w:val="000B0C43"/>
    <w:rsid w:val="000B12A1"/>
    <w:rsid w:val="000B38AF"/>
    <w:rsid w:val="000B4248"/>
    <w:rsid w:val="000C29E2"/>
    <w:rsid w:val="000C4A00"/>
    <w:rsid w:val="000E79B5"/>
    <w:rsid w:val="000F61A8"/>
    <w:rsid w:val="00120E43"/>
    <w:rsid w:val="00123CB8"/>
    <w:rsid w:val="0012582A"/>
    <w:rsid w:val="00130918"/>
    <w:rsid w:val="001563DB"/>
    <w:rsid w:val="00166FD2"/>
    <w:rsid w:val="00182E3D"/>
    <w:rsid w:val="0018629F"/>
    <w:rsid w:val="001B155A"/>
    <w:rsid w:val="001B6DE9"/>
    <w:rsid w:val="001B7491"/>
    <w:rsid w:val="001D4EA0"/>
    <w:rsid w:val="001D54BC"/>
    <w:rsid w:val="001F3FBA"/>
    <w:rsid w:val="00200D1D"/>
    <w:rsid w:val="00232B80"/>
    <w:rsid w:val="00233C00"/>
    <w:rsid w:val="002458F3"/>
    <w:rsid w:val="00246E29"/>
    <w:rsid w:val="00253E77"/>
    <w:rsid w:val="00256984"/>
    <w:rsid w:val="00257A57"/>
    <w:rsid w:val="0026084A"/>
    <w:rsid w:val="00267F44"/>
    <w:rsid w:val="0027214E"/>
    <w:rsid w:val="002732CF"/>
    <w:rsid w:val="00276847"/>
    <w:rsid w:val="002776D3"/>
    <w:rsid w:val="0028114E"/>
    <w:rsid w:val="00287EB1"/>
    <w:rsid w:val="00290F59"/>
    <w:rsid w:val="00291385"/>
    <w:rsid w:val="00294F58"/>
    <w:rsid w:val="002B570B"/>
    <w:rsid w:val="002B5981"/>
    <w:rsid w:val="002B5AC1"/>
    <w:rsid w:val="002C0094"/>
    <w:rsid w:val="002C7EAB"/>
    <w:rsid w:val="002D2756"/>
    <w:rsid w:val="002E1D3C"/>
    <w:rsid w:val="002E4D16"/>
    <w:rsid w:val="002E573B"/>
    <w:rsid w:val="002F4399"/>
    <w:rsid w:val="00325206"/>
    <w:rsid w:val="00356B7C"/>
    <w:rsid w:val="003613DA"/>
    <w:rsid w:val="003626AF"/>
    <w:rsid w:val="00370797"/>
    <w:rsid w:val="00384B5A"/>
    <w:rsid w:val="00396F40"/>
    <w:rsid w:val="003A3002"/>
    <w:rsid w:val="003C153A"/>
    <w:rsid w:val="003D4C42"/>
    <w:rsid w:val="003D5C71"/>
    <w:rsid w:val="003F7312"/>
    <w:rsid w:val="004139B2"/>
    <w:rsid w:val="00416C01"/>
    <w:rsid w:val="0041792E"/>
    <w:rsid w:val="00437853"/>
    <w:rsid w:val="004405CC"/>
    <w:rsid w:val="00446173"/>
    <w:rsid w:val="00461C97"/>
    <w:rsid w:val="00462F12"/>
    <w:rsid w:val="004647D2"/>
    <w:rsid w:val="00467614"/>
    <w:rsid w:val="0049237D"/>
    <w:rsid w:val="004D3DA7"/>
    <w:rsid w:val="004D4B11"/>
    <w:rsid w:val="004D5692"/>
    <w:rsid w:val="004D598C"/>
    <w:rsid w:val="004D5BC7"/>
    <w:rsid w:val="004E279C"/>
    <w:rsid w:val="004E5A10"/>
    <w:rsid w:val="004F1F03"/>
    <w:rsid w:val="004F4232"/>
    <w:rsid w:val="004F7466"/>
    <w:rsid w:val="005035E5"/>
    <w:rsid w:val="00506629"/>
    <w:rsid w:val="005107B4"/>
    <w:rsid w:val="0051211C"/>
    <w:rsid w:val="0052036A"/>
    <w:rsid w:val="00530537"/>
    <w:rsid w:val="005332E2"/>
    <w:rsid w:val="005351FD"/>
    <w:rsid w:val="00563CCE"/>
    <w:rsid w:val="00577542"/>
    <w:rsid w:val="005A0E76"/>
    <w:rsid w:val="005D6459"/>
    <w:rsid w:val="005F4718"/>
    <w:rsid w:val="005F6C84"/>
    <w:rsid w:val="00600B65"/>
    <w:rsid w:val="00617256"/>
    <w:rsid w:val="006202A8"/>
    <w:rsid w:val="00633709"/>
    <w:rsid w:val="00634159"/>
    <w:rsid w:val="00647E78"/>
    <w:rsid w:val="00651CC6"/>
    <w:rsid w:val="006557B9"/>
    <w:rsid w:val="00660CF5"/>
    <w:rsid w:val="0066763A"/>
    <w:rsid w:val="00682322"/>
    <w:rsid w:val="006967B2"/>
    <w:rsid w:val="006C57EF"/>
    <w:rsid w:val="006C79DB"/>
    <w:rsid w:val="006F04BD"/>
    <w:rsid w:val="006F1D88"/>
    <w:rsid w:val="006F41EB"/>
    <w:rsid w:val="007038B8"/>
    <w:rsid w:val="0070419F"/>
    <w:rsid w:val="00705F7A"/>
    <w:rsid w:val="00711265"/>
    <w:rsid w:val="0072118B"/>
    <w:rsid w:val="007273CB"/>
    <w:rsid w:val="00727E7A"/>
    <w:rsid w:val="00727F9C"/>
    <w:rsid w:val="00737591"/>
    <w:rsid w:val="007448D9"/>
    <w:rsid w:val="00750D4B"/>
    <w:rsid w:val="00760208"/>
    <w:rsid w:val="00760EFC"/>
    <w:rsid w:val="0076469E"/>
    <w:rsid w:val="00766E90"/>
    <w:rsid w:val="00791147"/>
    <w:rsid w:val="007922B5"/>
    <w:rsid w:val="0079276E"/>
    <w:rsid w:val="007966D6"/>
    <w:rsid w:val="007A0B3B"/>
    <w:rsid w:val="007B5724"/>
    <w:rsid w:val="007B785F"/>
    <w:rsid w:val="007C7B29"/>
    <w:rsid w:val="007D00BE"/>
    <w:rsid w:val="007D3223"/>
    <w:rsid w:val="007D7A96"/>
    <w:rsid w:val="007E1348"/>
    <w:rsid w:val="007F39BA"/>
    <w:rsid w:val="007F525B"/>
    <w:rsid w:val="007F7E41"/>
    <w:rsid w:val="008001F7"/>
    <w:rsid w:val="008023AA"/>
    <w:rsid w:val="00833196"/>
    <w:rsid w:val="00834C55"/>
    <w:rsid w:val="008357AB"/>
    <w:rsid w:val="008538D6"/>
    <w:rsid w:val="008637EB"/>
    <w:rsid w:val="00863C28"/>
    <w:rsid w:val="00867848"/>
    <w:rsid w:val="00871FC3"/>
    <w:rsid w:val="0087457E"/>
    <w:rsid w:val="008778A1"/>
    <w:rsid w:val="00881999"/>
    <w:rsid w:val="00882FA7"/>
    <w:rsid w:val="00884E00"/>
    <w:rsid w:val="00885F32"/>
    <w:rsid w:val="00891745"/>
    <w:rsid w:val="00892C79"/>
    <w:rsid w:val="00897A44"/>
    <w:rsid w:val="008A710A"/>
    <w:rsid w:val="008A7FC5"/>
    <w:rsid w:val="008B5EB9"/>
    <w:rsid w:val="008C0D0D"/>
    <w:rsid w:val="008C2726"/>
    <w:rsid w:val="008D31E8"/>
    <w:rsid w:val="008D375F"/>
    <w:rsid w:val="008E010C"/>
    <w:rsid w:val="008E3592"/>
    <w:rsid w:val="008E3983"/>
    <w:rsid w:val="008F5F72"/>
    <w:rsid w:val="008F7B22"/>
    <w:rsid w:val="0090536E"/>
    <w:rsid w:val="00921D2D"/>
    <w:rsid w:val="009315AF"/>
    <w:rsid w:val="00935401"/>
    <w:rsid w:val="0094046D"/>
    <w:rsid w:val="00956953"/>
    <w:rsid w:val="009763AA"/>
    <w:rsid w:val="009A5121"/>
    <w:rsid w:val="009A7043"/>
    <w:rsid w:val="009B1569"/>
    <w:rsid w:val="009B2921"/>
    <w:rsid w:val="009B4471"/>
    <w:rsid w:val="009C4EF5"/>
    <w:rsid w:val="009E479F"/>
    <w:rsid w:val="009E4F51"/>
    <w:rsid w:val="009F2117"/>
    <w:rsid w:val="009F4342"/>
    <w:rsid w:val="009F70CD"/>
    <w:rsid w:val="00A023C0"/>
    <w:rsid w:val="00A17062"/>
    <w:rsid w:val="00A17B22"/>
    <w:rsid w:val="00A22118"/>
    <w:rsid w:val="00A268B6"/>
    <w:rsid w:val="00A50F7F"/>
    <w:rsid w:val="00A517F4"/>
    <w:rsid w:val="00A52D7E"/>
    <w:rsid w:val="00A70478"/>
    <w:rsid w:val="00A9115C"/>
    <w:rsid w:val="00AA272A"/>
    <w:rsid w:val="00AC2652"/>
    <w:rsid w:val="00AC3F00"/>
    <w:rsid w:val="00AD5BBD"/>
    <w:rsid w:val="00AE0C13"/>
    <w:rsid w:val="00AF3401"/>
    <w:rsid w:val="00B000E9"/>
    <w:rsid w:val="00B11D4A"/>
    <w:rsid w:val="00B14074"/>
    <w:rsid w:val="00B151FF"/>
    <w:rsid w:val="00B22EC3"/>
    <w:rsid w:val="00B35014"/>
    <w:rsid w:val="00B35287"/>
    <w:rsid w:val="00B37E65"/>
    <w:rsid w:val="00B530A3"/>
    <w:rsid w:val="00B64B3B"/>
    <w:rsid w:val="00B80116"/>
    <w:rsid w:val="00B844A2"/>
    <w:rsid w:val="00B971CD"/>
    <w:rsid w:val="00BA00ED"/>
    <w:rsid w:val="00BB36AF"/>
    <w:rsid w:val="00BB3D2E"/>
    <w:rsid w:val="00BC27A7"/>
    <w:rsid w:val="00BD0700"/>
    <w:rsid w:val="00BD0F09"/>
    <w:rsid w:val="00BD2A52"/>
    <w:rsid w:val="00BD2AC4"/>
    <w:rsid w:val="00BD737E"/>
    <w:rsid w:val="00BD7923"/>
    <w:rsid w:val="00BE4D8F"/>
    <w:rsid w:val="00BE65D8"/>
    <w:rsid w:val="00BF0C31"/>
    <w:rsid w:val="00C01597"/>
    <w:rsid w:val="00C11EB0"/>
    <w:rsid w:val="00C21028"/>
    <w:rsid w:val="00C23916"/>
    <w:rsid w:val="00C27BAF"/>
    <w:rsid w:val="00C40401"/>
    <w:rsid w:val="00C41427"/>
    <w:rsid w:val="00C442E4"/>
    <w:rsid w:val="00C66707"/>
    <w:rsid w:val="00C75D8C"/>
    <w:rsid w:val="00C77D66"/>
    <w:rsid w:val="00C94B99"/>
    <w:rsid w:val="00C9525F"/>
    <w:rsid w:val="00C96594"/>
    <w:rsid w:val="00CA401E"/>
    <w:rsid w:val="00CB7347"/>
    <w:rsid w:val="00CB78F0"/>
    <w:rsid w:val="00CE398F"/>
    <w:rsid w:val="00CE5A5C"/>
    <w:rsid w:val="00CE751C"/>
    <w:rsid w:val="00CF078B"/>
    <w:rsid w:val="00CF6C85"/>
    <w:rsid w:val="00D01EA9"/>
    <w:rsid w:val="00D12D0F"/>
    <w:rsid w:val="00D270F4"/>
    <w:rsid w:val="00D308E9"/>
    <w:rsid w:val="00D31270"/>
    <w:rsid w:val="00D37881"/>
    <w:rsid w:val="00D43B5C"/>
    <w:rsid w:val="00D4478E"/>
    <w:rsid w:val="00D51CD9"/>
    <w:rsid w:val="00D54628"/>
    <w:rsid w:val="00D63623"/>
    <w:rsid w:val="00D6383A"/>
    <w:rsid w:val="00D71DE7"/>
    <w:rsid w:val="00D76477"/>
    <w:rsid w:val="00D92D96"/>
    <w:rsid w:val="00D94E31"/>
    <w:rsid w:val="00D965DE"/>
    <w:rsid w:val="00D96925"/>
    <w:rsid w:val="00DA0DE1"/>
    <w:rsid w:val="00DA3094"/>
    <w:rsid w:val="00DC33E1"/>
    <w:rsid w:val="00DD0A79"/>
    <w:rsid w:val="00DD405D"/>
    <w:rsid w:val="00E001B4"/>
    <w:rsid w:val="00E07B15"/>
    <w:rsid w:val="00E07D88"/>
    <w:rsid w:val="00E148A8"/>
    <w:rsid w:val="00E158FE"/>
    <w:rsid w:val="00E17876"/>
    <w:rsid w:val="00E17F8A"/>
    <w:rsid w:val="00E21394"/>
    <w:rsid w:val="00E22A75"/>
    <w:rsid w:val="00E31B19"/>
    <w:rsid w:val="00E42AAF"/>
    <w:rsid w:val="00E5079F"/>
    <w:rsid w:val="00E70917"/>
    <w:rsid w:val="00E84034"/>
    <w:rsid w:val="00EB20B5"/>
    <w:rsid w:val="00ED2FB8"/>
    <w:rsid w:val="00ED7378"/>
    <w:rsid w:val="00F0377A"/>
    <w:rsid w:val="00F11857"/>
    <w:rsid w:val="00F172F5"/>
    <w:rsid w:val="00F23090"/>
    <w:rsid w:val="00F3234A"/>
    <w:rsid w:val="00F32566"/>
    <w:rsid w:val="00F32750"/>
    <w:rsid w:val="00F42755"/>
    <w:rsid w:val="00F54A2F"/>
    <w:rsid w:val="00F56D3A"/>
    <w:rsid w:val="00F8326F"/>
    <w:rsid w:val="00F83D80"/>
    <w:rsid w:val="00F90245"/>
    <w:rsid w:val="00F905C4"/>
    <w:rsid w:val="00F95B1A"/>
    <w:rsid w:val="00FA77FE"/>
    <w:rsid w:val="00FD0966"/>
    <w:rsid w:val="00FD1C00"/>
    <w:rsid w:val="00FD3873"/>
    <w:rsid w:val="00FE3670"/>
    <w:rsid w:val="00FE49B5"/>
    <w:rsid w:val="00FE6D09"/>
    <w:rsid w:val="00FF36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CFCB54"/>
  <w15:chartTrackingRefBased/>
  <w15:docId w15:val="{F356AE83-82A4-B542-A365-11A03ABE7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F5F72"/>
    <w:rPr>
      <w:rFonts w:ascii="Times New Roman" w:eastAsia="Times New Roman" w:hAnsi="Times New Roman" w:cs="Times New Roman"/>
      <w:lang w:eastAsia="en-GB"/>
    </w:rPr>
  </w:style>
  <w:style w:type="paragraph" w:styleId="Heading1">
    <w:name w:val="heading 1"/>
    <w:basedOn w:val="Normal"/>
    <w:link w:val="Heading1Char"/>
    <w:uiPriority w:val="9"/>
    <w:qFormat/>
    <w:rsid w:val="000C4A00"/>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8F5F72"/>
    <w:rPr>
      <w:i/>
      <w:iCs/>
    </w:rPr>
  </w:style>
  <w:style w:type="character" w:styleId="Hyperlink">
    <w:name w:val="Hyperlink"/>
    <w:basedOn w:val="DefaultParagraphFont"/>
    <w:uiPriority w:val="99"/>
    <w:unhideWhenUsed/>
    <w:rsid w:val="009763AA"/>
    <w:rPr>
      <w:color w:val="0000FF"/>
      <w:u w:val="single"/>
    </w:rPr>
  </w:style>
  <w:style w:type="character" w:styleId="Strong">
    <w:name w:val="Strong"/>
    <w:basedOn w:val="DefaultParagraphFont"/>
    <w:uiPriority w:val="22"/>
    <w:qFormat/>
    <w:rsid w:val="009763AA"/>
    <w:rPr>
      <w:b/>
      <w:bCs/>
    </w:rPr>
  </w:style>
  <w:style w:type="character" w:customStyle="1" w:styleId="Heading1Char">
    <w:name w:val="Heading 1 Char"/>
    <w:basedOn w:val="DefaultParagraphFont"/>
    <w:link w:val="Heading1"/>
    <w:uiPriority w:val="9"/>
    <w:rsid w:val="000C4A00"/>
    <w:rPr>
      <w:rFonts w:ascii="Times New Roman" w:eastAsia="Times New Roman" w:hAnsi="Times New Roman" w:cs="Times New Roman"/>
      <w:b/>
      <w:bCs/>
      <w:kern w:val="36"/>
      <w:sz w:val="48"/>
      <w:szCs w:val="48"/>
      <w:lang w:eastAsia="en-GB"/>
    </w:rPr>
  </w:style>
  <w:style w:type="character" w:customStyle="1" w:styleId="UnresolvedMention1">
    <w:name w:val="Unresolved Mention1"/>
    <w:basedOn w:val="DefaultParagraphFont"/>
    <w:uiPriority w:val="99"/>
    <w:semiHidden/>
    <w:unhideWhenUsed/>
    <w:rsid w:val="00182E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lawteacher.net/cases/re-selectmove.php" TargetMode="External"/><Relationship Id="rId4" Type="http://schemas.openxmlformats.org/officeDocument/2006/relationships/hyperlink" Target="https://www.independent.co.uk/news/uk/crime/west-yorkshire-police-lose-football-policing-costs-appeal-852419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1936</Words>
  <Characters>11037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Teresa Kan (2017444)</dc:creator>
  <cp:lastModifiedBy>Teresa Kan (2017444)</cp:lastModifiedBy>
  <cp:revision>2</cp:revision>
  <dcterms:created xsi:type="dcterms:W3CDTF">2022-07-19T20:24:00Z</dcterms:created>
  <dcterms:modified xsi:type="dcterms:W3CDTF">2022-07-19T20:24:00Z</dcterms:modified>
</cp:coreProperties>
</file>